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71502D6A">
      <w:pPr>
        <w:contextualSpacing/>
        <w:rPr>
          <w:b/>
          <w:szCs w:val="18"/>
          <w:lang w:val="nl-NL"/>
        </w:rPr>
      </w:pPr>
      <w:bookmarkStart w:name="_Hlk108774585" w:id="0"/>
      <w:r>
        <w:rPr>
          <w:b/>
          <w:szCs w:val="18"/>
          <w:lang w:val="nl-NL"/>
        </w:rPr>
        <w:t xml:space="preserve">GEANNOTEERDE AGENDA RAAD </w:t>
      </w:r>
      <w:r w:rsidR="00E6324F">
        <w:rPr>
          <w:b/>
          <w:szCs w:val="18"/>
          <w:lang w:val="nl-NL"/>
        </w:rPr>
        <w:t xml:space="preserve">ALGEMENE </w:t>
      </w:r>
      <w:r>
        <w:rPr>
          <w:b/>
          <w:szCs w:val="18"/>
          <w:lang w:val="nl-NL"/>
        </w:rPr>
        <w:t>ZAKEN VAN</w:t>
      </w:r>
      <w:r w:rsidR="009D30AE">
        <w:rPr>
          <w:b/>
          <w:szCs w:val="18"/>
          <w:lang w:val="nl-NL"/>
        </w:rPr>
        <w:t xml:space="preserve"> 22 SEPTEMBER 2026</w:t>
      </w:r>
    </w:p>
    <w:p w:rsidR="00A26844" w:rsidP="00021A49" w:rsidRDefault="00A26844" w14:paraId="1E4E1626" w14:textId="77777777">
      <w:pPr>
        <w:contextualSpacing/>
        <w:rPr>
          <w:szCs w:val="18"/>
          <w:lang w:val="nl-NL" w:eastAsia="ja-JP"/>
        </w:rPr>
      </w:pPr>
    </w:p>
    <w:p w:rsidRPr="00A27F3A" w:rsidR="00021A49" w:rsidP="00021A49" w:rsidRDefault="005E434A" w14:paraId="61417BA5" w14:textId="4555F104">
      <w:pPr>
        <w:contextualSpacing/>
        <w:rPr>
          <w:szCs w:val="18"/>
          <w:lang w:val="nl-NL" w:eastAsia="ja-JP"/>
        </w:rPr>
      </w:pPr>
      <w:r w:rsidRPr="005E434A">
        <w:rPr>
          <w:szCs w:val="18"/>
          <w:lang w:val="nl-NL" w:eastAsia="ja-JP"/>
        </w:rPr>
        <w:t>Op dinsdag 2</w:t>
      </w:r>
      <w:r w:rsidR="009768EF">
        <w:rPr>
          <w:szCs w:val="18"/>
          <w:lang w:val="nl-NL" w:eastAsia="ja-JP"/>
        </w:rPr>
        <w:t>2</w:t>
      </w:r>
      <w:r w:rsidRPr="005E434A">
        <w:rPr>
          <w:szCs w:val="18"/>
          <w:lang w:val="nl-NL" w:eastAsia="ja-JP"/>
        </w:rPr>
        <w:t xml:space="preserve"> </w:t>
      </w:r>
      <w:r w:rsidR="009768EF">
        <w:rPr>
          <w:szCs w:val="18"/>
          <w:lang w:val="nl-NL" w:eastAsia="ja-JP"/>
        </w:rPr>
        <w:t>september</w:t>
      </w:r>
      <w:r w:rsidRPr="005E434A">
        <w:rPr>
          <w:szCs w:val="18"/>
          <w:lang w:val="nl-NL" w:eastAsia="ja-JP"/>
        </w:rPr>
        <w:t xml:space="preserve"> a.s. vindt de Raad Algemene Zaken (RAZ) plaats in</w:t>
      </w:r>
      <w:r w:rsidR="00C82BCA">
        <w:rPr>
          <w:szCs w:val="18"/>
          <w:lang w:val="nl-NL" w:eastAsia="ja-JP"/>
        </w:rPr>
        <w:t xml:space="preserve"> </w:t>
      </w:r>
      <w:r w:rsidRPr="005E434A">
        <w:rPr>
          <w:szCs w:val="18"/>
          <w:lang w:val="nl-NL" w:eastAsia="ja-JP"/>
        </w:rPr>
        <w:t>Brussel. Tijdens deze bijeenkomst zal de Raad spreken over het Meerjarig</w:t>
      </w:r>
      <w:r w:rsidR="00C82BCA">
        <w:rPr>
          <w:szCs w:val="18"/>
          <w:lang w:val="nl-NL" w:eastAsia="ja-JP"/>
        </w:rPr>
        <w:t xml:space="preserve"> </w:t>
      </w:r>
      <w:r w:rsidRPr="005E434A">
        <w:rPr>
          <w:szCs w:val="18"/>
          <w:lang w:val="nl-NL" w:eastAsia="ja-JP"/>
        </w:rPr>
        <w:t xml:space="preserve">Financieel Kader (MFK), de agenda van de Europese Raad </w:t>
      </w:r>
      <w:r w:rsidR="00D9333D">
        <w:rPr>
          <w:szCs w:val="18"/>
          <w:lang w:val="nl-NL" w:eastAsia="ja-JP"/>
        </w:rPr>
        <w:t xml:space="preserve">(ER) </w:t>
      </w:r>
      <w:r w:rsidRPr="005E434A">
        <w:rPr>
          <w:szCs w:val="18"/>
          <w:lang w:val="nl-NL" w:eastAsia="ja-JP"/>
        </w:rPr>
        <w:t xml:space="preserve">van </w:t>
      </w:r>
      <w:r w:rsidR="00C82BCA">
        <w:rPr>
          <w:szCs w:val="18"/>
          <w:lang w:val="nl-NL" w:eastAsia="ja-JP"/>
        </w:rPr>
        <w:t>15</w:t>
      </w:r>
      <w:r w:rsidRPr="005E434A">
        <w:rPr>
          <w:szCs w:val="18"/>
          <w:lang w:val="nl-NL" w:eastAsia="ja-JP"/>
        </w:rPr>
        <w:t xml:space="preserve"> en</w:t>
      </w:r>
      <w:r w:rsidR="00C82BCA">
        <w:rPr>
          <w:szCs w:val="18"/>
          <w:lang w:val="nl-NL" w:eastAsia="ja-JP"/>
        </w:rPr>
        <w:t xml:space="preserve"> </w:t>
      </w:r>
      <w:r w:rsidRPr="005E434A">
        <w:rPr>
          <w:szCs w:val="18"/>
          <w:lang w:val="nl-NL" w:eastAsia="ja-JP"/>
        </w:rPr>
        <w:t>1</w:t>
      </w:r>
      <w:r w:rsidR="00C82BCA">
        <w:rPr>
          <w:szCs w:val="18"/>
          <w:lang w:val="nl-NL" w:eastAsia="ja-JP"/>
        </w:rPr>
        <w:t>6</w:t>
      </w:r>
      <w:r w:rsidRPr="005E434A">
        <w:rPr>
          <w:szCs w:val="18"/>
          <w:lang w:val="nl-NL" w:eastAsia="ja-JP"/>
        </w:rPr>
        <w:t xml:space="preserve"> </w:t>
      </w:r>
      <w:r w:rsidR="00C82BCA">
        <w:rPr>
          <w:szCs w:val="18"/>
          <w:lang w:val="nl-NL" w:eastAsia="ja-JP"/>
        </w:rPr>
        <w:t>oktober</w:t>
      </w:r>
      <w:r w:rsidRPr="005E434A">
        <w:rPr>
          <w:szCs w:val="18"/>
          <w:lang w:val="nl-NL" w:eastAsia="ja-JP"/>
        </w:rPr>
        <w:t>,</w:t>
      </w:r>
      <w:r w:rsidR="00C82BCA">
        <w:rPr>
          <w:szCs w:val="18"/>
          <w:lang w:val="nl-NL" w:eastAsia="ja-JP"/>
        </w:rPr>
        <w:t xml:space="preserve"> </w:t>
      </w:r>
      <w:r w:rsidR="005A5EB4">
        <w:rPr>
          <w:szCs w:val="18"/>
          <w:lang w:val="nl-NL" w:eastAsia="ja-JP"/>
        </w:rPr>
        <w:t xml:space="preserve">het wetgevingsprogramma, </w:t>
      </w:r>
      <w:r w:rsidR="00C82BCA">
        <w:rPr>
          <w:szCs w:val="18"/>
          <w:lang w:val="nl-NL" w:eastAsia="ja-JP"/>
        </w:rPr>
        <w:t xml:space="preserve">de </w:t>
      </w:r>
      <w:r w:rsidR="00B178CC">
        <w:rPr>
          <w:szCs w:val="18"/>
          <w:lang w:val="nl-NL" w:eastAsia="ja-JP"/>
        </w:rPr>
        <w:t>stand</w:t>
      </w:r>
      <w:r w:rsidR="00C82BCA">
        <w:rPr>
          <w:szCs w:val="18"/>
          <w:lang w:val="nl-NL" w:eastAsia="ja-JP"/>
        </w:rPr>
        <w:t xml:space="preserve"> van zaken omtrent de omnibussen, de jaarlijkse horizontale rechtsstaatdialoog en zal er een</w:t>
      </w:r>
      <w:r w:rsidRPr="005E434A">
        <w:rPr>
          <w:szCs w:val="18"/>
          <w:lang w:val="nl-NL" w:eastAsia="ja-JP"/>
        </w:rPr>
        <w:t xml:space="preserve"> </w:t>
      </w:r>
      <w:r w:rsidR="00C82BCA">
        <w:rPr>
          <w:szCs w:val="18"/>
          <w:lang w:val="nl-NL" w:eastAsia="ja-JP"/>
        </w:rPr>
        <w:t xml:space="preserve">discussie plaatsvinden </w:t>
      </w:r>
      <w:r w:rsidRPr="00C82BCA" w:rsidR="00C82BCA">
        <w:rPr>
          <w:szCs w:val="18"/>
          <w:lang w:val="nl-NL" w:eastAsia="ja-JP"/>
        </w:rPr>
        <w:t>over de rechtsstatelijke trends en ontwikkelingen in een aantal kandidaat-lidstaten</w:t>
      </w:r>
      <w:r w:rsidR="00C82BCA">
        <w:rPr>
          <w:szCs w:val="18"/>
          <w:lang w:val="nl-NL" w:eastAsia="ja-JP"/>
        </w:rPr>
        <w:t>.</w:t>
      </w:r>
      <w:r w:rsidR="00661CA6">
        <w:rPr>
          <w:szCs w:val="18"/>
          <w:lang w:val="nl-NL" w:eastAsia="ja-JP"/>
        </w:rPr>
        <w:t xml:space="preserve"> </w:t>
      </w:r>
    </w:p>
    <w:bookmarkEnd w:id="0"/>
    <w:p w:rsidRPr="00A27F3A" w:rsidR="009D30AE" w:rsidP="009D30AE" w:rsidRDefault="009D30AE" w14:paraId="5C37E67C" w14:textId="77777777">
      <w:pPr>
        <w:pStyle w:val="Geenafstand"/>
        <w:contextualSpacing/>
        <w:rPr>
          <w:b/>
          <w:szCs w:val="18"/>
          <w:lang w:val="nl-NL"/>
        </w:rPr>
      </w:pPr>
      <w:r w:rsidRPr="00A27F3A">
        <w:rPr>
          <w:b/>
          <w:szCs w:val="18"/>
          <w:lang w:val="nl-NL"/>
        </w:rPr>
        <w:t>MFK</w:t>
      </w:r>
    </w:p>
    <w:p w:rsidRPr="00A27F3A" w:rsidR="009D30AE" w:rsidP="009D30AE" w:rsidRDefault="006724CB" w14:paraId="1EEB7410" w14:textId="69AA54B1">
      <w:pPr>
        <w:pStyle w:val="Geenafstand"/>
        <w:contextualSpacing/>
        <w:rPr>
          <w:b/>
          <w:szCs w:val="18"/>
          <w:lang w:val="nl-NL"/>
        </w:rPr>
      </w:pPr>
      <w:r>
        <w:rPr>
          <w:szCs w:val="18"/>
          <w:lang w:val="nl-NL" w:eastAsia="ja-JP"/>
        </w:rPr>
        <w:t>De Raad zal van gedachte</w:t>
      </w:r>
      <w:r w:rsidR="001D656E">
        <w:rPr>
          <w:szCs w:val="18"/>
          <w:lang w:val="nl-NL" w:eastAsia="ja-JP"/>
        </w:rPr>
        <w:t>n</w:t>
      </w:r>
      <w:r>
        <w:rPr>
          <w:szCs w:val="18"/>
          <w:lang w:val="nl-NL" w:eastAsia="ja-JP"/>
        </w:rPr>
        <w:t xml:space="preserve"> wisselen over het MFK. Naar verwachting zal het Ierse voorzitterschap van de Raad begin oktober een volgende versie van het MFK</w:t>
      </w:r>
      <w:r w:rsidR="009953E0">
        <w:rPr>
          <w:szCs w:val="18"/>
          <w:lang w:val="nl-NL" w:eastAsia="ja-JP"/>
        </w:rPr>
        <w:t>-</w:t>
      </w:r>
      <w:r>
        <w:rPr>
          <w:szCs w:val="18"/>
          <w:lang w:val="nl-NL" w:eastAsia="ja-JP"/>
        </w:rPr>
        <w:t xml:space="preserve">onderhandelingsdocument presenteren aan de Raad ter bespreking op de </w:t>
      </w:r>
      <w:r w:rsidR="009B3580">
        <w:rPr>
          <w:szCs w:val="18"/>
          <w:lang w:val="nl-NL" w:eastAsia="ja-JP"/>
        </w:rPr>
        <w:t>ER</w:t>
      </w:r>
      <w:r>
        <w:rPr>
          <w:szCs w:val="18"/>
          <w:lang w:val="nl-NL" w:eastAsia="ja-JP"/>
        </w:rPr>
        <w:t xml:space="preserve"> van medio oktober. Op het moment van schrijven is nog onduidelijk wat de bespreking over het MFK tijdens de R</w:t>
      </w:r>
      <w:r w:rsidR="00D47B6A">
        <w:rPr>
          <w:szCs w:val="18"/>
          <w:lang w:val="nl-NL" w:eastAsia="ja-JP"/>
        </w:rPr>
        <w:t>aad</w:t>
      </w:r>
      <w:r>
        <w:rPr>
          <w:szCs w:val="18"/>
          <w:lang w:val="nl-NL" w:eastAsia="ja-JP"/>
        </w:rPr>
        <w:t xml:space="preserve"> van 22 september zal inhouden.</w:t>
      </w:r>
      <w:r w:rsidR="00DE35F3">
        <w:rPr>
          <w:szCs w:val="18"/>
          <w:lang w:val="nl-NL" w:eastAsia="ja-JP"/>
        </w:rPr>
        <w:t xml:space="preserve"> Zoals uiteengezet in de Kamerbrief</w:t>
      </w:r>
      <w:r w:rsidR="00DE35F3">
        <w:rPr>
          <w:rStyle w:val="Voetnootmarkering"/>
          <w:szCs w:val="18"/>
          <w:lang w:val="nl-NL" w:eastAsia="ja-JP"/>
        </w:rPr>
        <w:footnoteReference w:id="1"/>
      </w:r>
      <w:r w:rsidR="00DE35F3">
        <w:rPr>
          <w:szCs w:val="18"/>
          <w:lang w:val="nl-NL" w:eastAsia="ja-JP"/>
        </w:rPr>
        <w:t xml:space="preserve"> met appreciatie van het meest recente onderhandelingsdocument is de inzet van het kabinet erop gericht om </w:t>
      </w:r>
      <w:r w:rsidRPr="0098490C" w:rsidR="00DE35F3">
        <w:rPr>
          <w:szCs w:val="18"/>
          <w:lang w:val="nl-NL" w:eastAsia="ja-JP"/>
        </w:rPr>
        <w:t>de</w:t>
      </w:r>
      <w:r w:rsidRPr="0098490C" w:rsidR="008E7C7C">
        <w:rPr>
          <w:szCs w:val="18"/>
          <w:lang w:val="nl-NL" w:eastAsia="ja-JP"/>
        </w:rPr>
        <w:t xml:space="preserve"> Nederlandse afdrachten aan de EU-begroting te verbeteren door de</w:t>
      </w:r>
      <w:r w:rsidRPr="0098490C" w:rsidR="00DE35F3">
        <w:rPr>
          <w:szCs w:val="18"/>
          <w:lang w:val="nl-NL" w:eastAsia="ja-JP"/>
        </w:rPr>
        <w:t xml:space="preserve"> voorgestelde omvang van het MFK te verlagen</w:t>
      </w:r>
      <w:r w:rsidRPr="0098490C" w:rsidR="008E7C7C">
        <w:rPr>
          <w:szCs w:val="18"/>
          <w:lang w:val="nl-NL" w:eastAsia="ja-JP"/>
        </w:rPr>
        <w:t>,</w:t>
      </w:r>
      <w:r w:rsidRPr="0098490C" w:rsidR="00DE35F3">
        <w:rPr>
          <w:szCs w:val="18"/>
          <w:lang w:val="nl-NL" w:eastAsia="ja-JP"/>
        </w:rPr>
        <w:t xml:space="preserve"> </w:t>
      </w:r>
      <w:r w:rsidRPr="0098490C" w:rsidR="008E7C7C">
        <w:rPr>
          <w:szCs w:val="18"/>
          <w:lang w:val="nl-NL" w:eastAsia="ja-JP"/>
        </w:rPr>
        <w:t xml:space="preserve">de korting die Nederland ontvangt op de bni-afdracht te behouden en de perceptiekostenvergoeding op 25 procent te houden </w:t>
      </w:r>
      <w:r w:rsidRPr="0098490C" w:rsidR="00DE35F3">
        <w:rPr>
          <w:szCs w:val="18"/>
          <w:lang w:val="nl-NL" w:eastAsia="ja-JP"/>
        </w:rPr>
        <w:t>en</w:t>
      </w:r>
      <w:r w:rsidRPr="0098490C" w:rsidR="008E7C7C">
        <w:rPr>
          <w:szCs w:val="18"/>
          <w:lang w:val="nl-NL" w:eastAsia="ja-JP"/>
        </w:rPr>
        <w:t xml:space="preserve"> tevens</w:t>
      </w:r>
      <w:r w:rsidRPr="0098490C" w:rsidR="00DE35F3">
        <w:rPr>
          <w:szCs w:val="18"/>
          <w:lang w:val="nl-NL" w:eastAsia="ja-JP"/>
        </w:rPr>
        <w:t xml:space="preserve"> de begroting te moderniseren door middelen meer in te zetten voor de strategische doelen van Europa. Concreet</w:t>
      </w:r>
      <w:r w:rsidRPr="00DE35F3" w:rsidR="00DE35F3">
        <w:rPr>
          <w:szCs w:val="18"/>
          <w:lang w:val="nl-NL" w:eastAsia="ja-JP"/>
        </w:rPr>
        <w:t xml:space="preserve"> vindt het kabinet dat de Europese begroting meer gericht moet worden op het versterken van het Europees concurrentievermogen, onderzoek en innovatie, een stevig migratie- en asielbeleid, veiligheid en defensie</w:t>
      </w:r>
      <w:r w:rsidR="00DE35F3">
        <w:rPr>
          <w:szCs w:val="18"/>
          <w:lang w:val="nl-NL" w:eastAsia="ja-JP"/>
        </w:rPr>
        <w:t>.</w:t>
      </w:r>
      <w:r w:rsidRPr="00DE35F3" w:rsidR="00DE35F3">
        <w:rPr>
          <w:szCs w:val="18"/>
          <w:lang w:val="nl-NL" w:eastAsia="ja-JP"/>
        </w:rPr>
        <w:t xml:space="preserve"> </w:t>
      </w:r>
    </w:p>
    <w:p w:rsidRPr="00A27F3A" w:rsidR="009D30AE" w:rsidP="009D30AE" w:rsidRDefault="009D30AE" w14:paraId="5812C3A1" w14:textId="77777777">
      <w:pPr>
        <w:pStyle w:val="Geenafstand"/>
        <w:contextualSpacing/>
        <w:rPr>
          <w:b/>
          <w:szCs w:val="18"/>
          <w:lang w:val="nl-NL"/>
        </w:rPr>
      </w:pPr>
    </w:p>
    <w:p w:rsidRPr="001D656E" w:rsidR="007C062C" w:rsidP="007C062C" w:rsidRDefault="007C062C" w14:paraId="58939C2C" w14:textId="39AF612D">
      <w:pPr>
        <w:pStyle w:val="Geenafstand"/>
        <w:contextualSpacing/>
        <w:rPr>
          <w:b/>
          <w:szCs w:val="18"/>
          <w:lang w:val="nl-NL"/>
        </w:rPr>
      </w:pPr>
      <w:r w:rsidRPr="001D656E">
        <w:rPr>
          <w:b/>
          <w:szCs w:val="18"/>
          <w:lang w:val="nl-NL" w:eastAsia="ja-JP"/>
        </w:rPr>
        <w:t>Voorbereiding Europese Raad</w:t>
      </w:r>
    </w:p>
    <w:p w:rsidR="009D30AE" w:rsidP="009D30AE" w:rsidRDefault="007C062C" w14:paraId="7569F1C0" w14:textId="2192C78A">
      <w:pPr>
        <w:pStyle w:val="Geenafstand"/>
        <w:contextualSpacing/>
        <w:rPr>
          <w:szCs w:val="18"/>
          <w:lang w:val="nl-NL" w:eastAsia="ja-JP"/>
        </w:rPr>
      </w:pPr>
      <w:r w:rsidRPr="007C062C">
        <w:rPr>
          <w:szCs w:val="18"/>
          <w:lang w:val="nl-NL" w:eastAsia="ja-JP"/>
        </w:rPr>
        <w:t xml:space="preserve">De Raad zal de agenda van de ER van </w:t>
      </w:r>
      <w:r w:rsidR="00C82BCA">
        <w:rPr>
          <w:szCs w:val="18"/>
          <w:lang w:val="nl-NL" w:eastAsia="ja-JP"/>
        </w:rPr>
        <w:t>15</w:t>
      </w:r>
      <w:r w:rsidRPr="007C062C">
        <w:rPr>
          <w:szCs w:val="18"/>
          <w:lang w:val="nl-NL" w:eastAsia="ja-JP"/>
        </w:rPr>
        <w:t xml:space="preserve"> en </w:t>
      </w:r>
      <w:r w:rsidR="00C82BCA">
        <w:rPr>
          <w:szCs w:val="18"/>
          <w:lang w:val="nl-NL" w:eastAsia="ja-JP"/>
        </w:rPr>
        <w:t>16</w:t>
      </w:r>
      <w:r w:rsidRPr="007C062C">
        <w:rPr>
          <w:szCs w:val="18"/>
          <w:lang w:val="nl-NL" w:eastAsia="ja-JP"/>
        </w:rPr>
        <w:t xml:space="preserve"> </w:t>
      </w:r>
      <w:r w:rsidR="00C82BCA">
        <w:rPr>
          <w:szCs w:val="18"/>
          <w:lang w:val="nl-NL" w:eastAsia="ja-JP"/>
        </w:rPr>
        <w:t>oktober</w:t>
      </w:r>
      <w:r w:rsidRPr="007C062C">
        <w:rPr>
          <w:szCs w:val="18"/>
          <w:lang w:val="nl-NL" w:eastAsia="ja-JP"/>
        </w:rPr>
        <w:t xml:space="preserve"> 2026 vaststellen. Op</w:t>
      </w:r>
      <w:r w:rsidR="00C82BCA">
        <w:rPr>
          <w:szCs w:val="18"/>
          <w:lang w:val="nl-NL" w:eastAsia="ja-JP"/>
        </w:rPr>
        <w:t xml:space="preserve"> </w:t>
      </w:r>
      <w:r w:rsidRPr="007C062C">
        <w:rPr>
          <w:szCs w:val="18"/>
          <w:lang w:val="nl-NL" w:eastAsia="ja-JP"/>
        </w:rPr>
        <w:t>het moment van schrijven is de agenda van de ER nog niet bekend. Naar</w:t>
      </w:r>
      <w:r w:rsidR="00C82BCA">
        <w:rPr>
          <w:szCs w:val="18"/>
          <w:lang w:val="nl-NL" w:eastAsia="ja-JP"/>
        </w:rPr>
        <w:t xml:space="preserve"> </w:t>
      </w:r>
      <w:r w:rsidRPr="007C062C">
        <w:rPr>
          <w:szCs w:val="18"/>
          <w:lang w:val="nl-NL" w:eastAsia="ja-JP"/>
        </w:rPr>
        <w:t>verwachting zal de ER stilstaan bij de voortdurende Russische agressie</w:t>
      </w:r>
      <w:r w:rsidR="00C82BCA">
        <w:rPr>
          <w:szCs w:val="18"/>
          <w:lang w:val="nl-NL" w:eastAsia="ja-JP"/>
        </w:rPr>
        <w:t xml:space="preserve"> </w:t>
      </w:r>
      <w:r w:rsidRPr="007C062C">
        <w:rPr>
          <w:szCs w:val="18"/>
          <w:lang w:val="nl-NL" w:eastAsia="ja-JP"/>
        </w:rPr>
        <w:t xml:space="preserve">tegen Oekraïne, </w:t>
      </w:r>
      <w:r w:rsidR="00C82BCA">
        <w:rPr>
          <w:szCs w:val="18"/>
          <w:lang w:val="nl-NL" w:eastAsia="ja-JP"/>
        </w:rPr>
        <w:t>migratie,</w:t>
      </w:r>
      <w:r w:rsidRPr="007C062C">
        <w:rPr>
          <w:szCs w:val="18"/>
          <w:lang w:val="nl-NL" w:eastAsia="ja-JP"/>
        </w:rPr>
        <w:t xml:space="preserve"> de situatie in het Midden-Oosten, concurrentievermogen,</w:t>
      </w:r>
      <w:r w:rsidR="00A569B3">
        <w:rPr>
          <w:szCs w:val="18"/>
          <w:lang w:val="nl-NL" w:eastAsia="ja-JP"/>
        </w:rPr>
        <w:t xml:space="preserve"> </w:t>
      </w:r>
      <w:r w:rsidRPr="007C062C">
        <w:rPr>
          <w:szCs w:val="18"/>
          <w:lang w:val="nl-NL" w:eastAsia="ja-JP"/>
        </w:rPr>
        <w:t>het MFK,</w:t>
      </w:r>
      <w:r w:rsidR="00C82BCA">
        <w:rPr>
          <w:szCs w:val="18"/>
          <w:lang w:val="nl-NL" w:eastAsia="ja-JP"/>
        </w:rPr>
        <w:t xml:space="preserve"> Europese defensie en veiligheid</w:t>
      </w:r>
      <w:r w:rsidR="00A569B3">
        <w:rPr>
          <w:szCs w:val="18"/>
          <w:lang w:val="nl-NL" w:eastAsia="ja-JP"/>
        </w:rPr>
        <w:t xml:space="preserve"> en </w:t>
      </w:r>
      <w:r w:rsidRPr="00695CF3" w:rsidR="00A569B3">
        <w:rPr>
          <w:szCs w:val="18"/>
          <w:lang w:val="nl-NL" w:eastAsia="ja-JP"/>
        </w:rPr>
        <w:t xml:space="preserve">mogelijk ook </w:t>
      </w:r>
      <w:r w:rsidRPr="001B08A9">
        <w:rPr>
          <w:szCs w:val="18"/>
          <w:lang w:val="nl-NL" w:eastAsia="ja-JP"/>
        </w:rPr>
        <w:t xml:space="preserve">EU-uitbreiding en </w:t>
      </w:r>
      <w:r w:rsidRPr="00695CF3" w:rsidR="00A569B3">
        <w:rPr>
          <w:szCs w:val="18"/>
          <w:lang w:val="nl-NL" w:eastAsia="ja-JP"/>
        </w:rPr>
        <w:t>de toekomst van de Unie</w:t>
      </w:r>
      <w:r w:rsidRPr="007C062C">
        <w:rPr>
          <w:szCs w:val="18"/>
          <w:lang w:val="nl-NL" w:eastAsia="ja-JP"/>
        </w:rPr>
        <w:t xml:space="preserve">. Na het vaststellen </w:t>
      </w:r>
      <w:r w:rsidR="00634F28">
        <w:rPr>
          <w:szCs w:val="18"/>
          <w:lang w:val="nl-NL" w:eastAsia="ja-JP"/>
        </w:rPr>
        <w:t>van</w:t>
      </w:r>
      <w:r w:rsidR="00C82BCA">
        <w:rPr>
          <w:szCs w:val="18"/>
          <w:lang w:val="nl-NL" w:eastAsia="ja-JP"/>
        </w:rPr>
        <w:t xml:space="preserve"> </w:t>
      </w:r>
      <w:r w:rsidRPr="007C062C">
        <w:rPr>
          <w:szCs w:val="18"/>
          <w:lang w:val="nl-NL" w:eastAsia="ja-JP"/>
        </w:rPr>
        <w:t>de agenda zal uw Kamer zoals gebruikelijk de kabinetsinzet ontvangen</w:t>
      </w:r>
      <w:r w:rsidR="00C82BCA">
        <w:rPr>
          <w:szCs w:val="18"/>
          <w:lang w:val="nl-NL" w:eastAsia="ja-JP"/>
        </w:rPr>
        <w:t>.</w:t>
      </w:r>
    </w:p>
    <w:p w:rsidR="00CC4FEA" w:rsidP="009D30AE" w:rsidRDefault="00CC4FEA" w14:paraId="79B9B487" w14:textId="77777777">
      <w:pPr>
        <w:pStyle w:val="Geenafstand"/>
        <w:contextualSpacing/>
        <w:rPr>
          <w:b/>
          <w:szCs w:val="18"/>
          <w:lang w:val="nl-NL"/>
        </w:rPr>
      </w:pPr>
    </w:p>
    <w:p w:rsidR="009D30AE" w:rsidP="009D30AE" w:rsidRDefault="00CC4FEA" w14:paraId="77E437EE" w14:textId="40F85F83">
      <w:pPr>
        <w:pStyle w:val="Geenafstand"/>
        <w:contextualSpacing/>
        <w:rPr>
          <w:b/>
          <w:szCs w:val="18"/>
          <w:lang w:val="nl-NL"/>
        </w:rPr>
      </w:pPr>
      <w:r>
        <w:rPr>
          <w:b/>
          <w:szCs w:val="18"/>
          <w:lang w:val="nl-NL"/>
        </w:rPr>
        <w:t>Wetgevingsprogramma</w:t>
      </w:r>
    </w:p>
    <w:p w:rsidRPr="008945C0" w:rsidR="008945C0" w:rsidP="008945C0" w:rsidRDefault="008945C0" w14:paraId="2F8EEEB2" w14:textId="2893C7D3">
      <w:pPr>
        <w:pStyle w:val="Geenafstand"/>
        <w:contextualSpacing/>
        <w:rPr>
          <w:bCs/>
          <w:szCs w:val="18"/>
          <w:lang w:val="nl-NL"/>
        </w:rPr>
      </w:pPr>
      <w:r w:rsidRPr="008945C0">
        <w:rPr>
          <w:bCs/>
          <w:szCs w:val="18"/>
          <w:lang w:val="nl-NL"/>
        </w:rPr>
        <w:t>De Raad zal spreken over het wetgevingsprogramma 2027. Zoals gebruikelijk zal de Commissie</w:t>
      </w:r>
      <w:r w:rsidR="00BD6190">
        <w:rPr>
          <w:bCs/>
          <w:szCs w:val="18"/>
          <w:lang w:val="nl-NL"/>
        </w:rPr>
        <w:t xml:space="preserve"> de Raad informeren </w:t>
      </w:r>
      <w:r w:rsidRPr="008945C0">
        <w:rPr>
          <w:bCs/>
          <w:szCs w:val="18"/>
          <w:lang w:val="nl-NL"/>
        </w:rPr>
        <w:t>over de voornaamste elementen voor de voorbereiding van het volgende werkprogramma van de Commissie ("intentiebrief")</w:t>
      </w:r>
      <w:r w:rsidR="00BD6190">
        <w:rPr>
          <w:bCs/>
          <w:szCs w:val="18"/>
          <w:lang w:val="nl-NL"/>
        </w:rPr>
        <w:t>.</w:t>
      </w:r>
      <w:r w:rsidRPr="008945C0">
        <w:rPr>
          <w:bCs/>
          <w:szCs w:val="18"/>
          <w:lang w:val="nl-NL"/>
        </w:rPr>
        <w:t xml:space="preserve"> Het voorzitterschap zal vervolgens een samenvatting van de gedachtewisseling per brief met de Commissie delen. Zoals het kabinet verwoordde in de Staat van de Unie 2026 is het van belang dat - in een tijd van geopolitieke instabiliteit – de EU slagvaardig, welvarend en veilig moet blijven. Nederland ziet daarbij prioriteiten zoals het versterken van de concurrentiekracht; een modern, betaalbaar en eerlijk MFK; investeringen in defensie en veiligheid; het verminderen van migratiedruk en stimulatie van terugkeer.</w:t>
      </w:r>
    </w:p>
    <w:p w:rsidRPr="009D30AE" w:rsidR="0008478E" w:rsidP="0008478E" w:rsidRDefault="0008478E" w14:paraId="13BB2070" w14:textId="77777777">
      <w:pPr>
        <w:pStyle w:val="Geenafstand"/>
        <w:contextualSpacing/>
        <w:rPr>
          <w:b/>
          <w:szCs w:val="18"/>
          <w:lang w:val="nl-NL"/>
        </w:rPr>
      </w:pPr>
    </w:p>
    <w:p w:rsidR="009D30AE" w:rsidP="009D30AE" w:rsidRDefault="009D30AE" w14:paraId="09428CF1" w14:textId="77777777">
      <w:pPr>
        <w:pStyle w:val="Geenafstand"/>
        <w:contextualSpacing/>
        <w:rPr>
          <w:b/>
          <w:szCs w:val="18"/>
          <w:lang w:val="nl-NL"/>
        </w:rPr>
      </w:pPr>
      <w:r w:rsidRPr="009D30AE">
        <w:rPr>
          <w:b/>
          <w:szCs w:val="18"/>
          <w:lang w:val="nl-NL"/>
        </w:rPr>
        <w:t>Jaarlijkse rechtsstaatsdialoog (horizontale discussie)</w:t>
      </w:r>
    </w:p>
    <w:p w:rsidR="009D30AE" w:rsidP="00102D49" w:rsidRDefault="00102D49" w14:paraId="7943289E" w14:textId="6CB35F84">
      <w:pPr>
        <w:pStyle w:val="Geenafstand"/>
        <w:contextualSpacing/>
        <w:rPr>
          <w:b/>
          <w:szCs w:val="18"/>
          <w:lang w:val="nl-NL"/>
        </w:rPr>
      </w:pPr>
      <w:r w:rsidRPr="00102D49">
        <w:rPr>
          <w:szCs w:val="18"/>
          <w:lang w:val="nl-NL" w:eastAsia="ja-JP"/>
        </w:rPr>
        <w:t>Tijdens de Raad vindt de jaarlijkse horizontale rechtsstaatsdialoog plaats op basis van het rechtsstaatrapport voor 202</w:t>
      </w:r>
      <w:r>
        <w:rPr>
          <w:szCs w:val="18"/>
          <w:lang w:val="nl-NL" w:eastAsia="ja-JP"/>
        </w:rPr>
        <w:t>6</w:t>
      </w:r>
      <w:r w:rsidRPr="00102D49">
        <w:rPr>
          <w:szCs w:val="18"/>
          <w:lang w:val="nl-NL" w:eastAsia="ja-JP"/>
        </w:rPr>
        <w:t xml:space="preserve"> dat de Commissie op </w:t>
      </w:r>
      <w:r>
        <w:rPr>
          <w:szCs w:val="18"/>
          <w:lang w:val="nl-NL" w:eastAsia="ja-JP"/>
        </w:rPr>
        <w:t>17</w:t>
      </w:r>
      <w:r w:rsidRPr="00102D49">
        <w:rPr>
          <w:szCs w:val="18"/>
          <w:lang w:val="nl-NL" w:eastAsia="ja-JP"/>
        </w:rPr>
        <w:t xml:space="preserve"> juli jl. publiceerde.</w:t>
      </w:r>
      <w:r>
        <w:rPr>
          <w:rStyle w:val="Voetnootmarkering"/>
          <w:szCs w:val="18"/>
          <w:lang w:val="nl-NL" w:eastAsia="ja-JP"/>
        </w:rPr>
        <w:footnoteReference w:id="2"/>
      </w:r>
      <w:r w:rsidRPr="00102D49">
        <w:rPr>
          <w:szCs w:val="18"/>
          <w:lang w:val="nl-NL" w:eastAsia="ja-JP"/>
        </w:rPr>
        <w:t xml:space="preserve"> </w:t>
      </w:r>
      <w:r w:rsidRPr="0098490C">
        <w:rPr>
          <w:szCs w:val="18"/>
          <w:lang w:val="nl-NL" w:eastAsia="ja-JP"/>
        </w:rPr>
        <w:t>Uw Kamer ontving op 4 september een appreciatie van dit rapport</w:t>
      </w:r>
      <w:r w:rsidRPr="0098490C" w:rsidR="0098490C">
        <w:rPr>
          <w:szCs w:val="18"/>
          <w:lang w:val="nl-NL" w:eastAsia="ja-JP"/>
        </w:rPr>
        <w:t xml:space="preserve">. </w:t>
      </w:r>
      <w:r w:rsidRPr="0098490C">
        <w:rPr>
          <w:szCs w:val="18"/>
          <w:lang w:val="nl-NL" w:eastAsia="ja-JP"/>
        </w:rPr>
        <w:t xml:space="preserve">Het rapport doet verslag van de rechtsstatelijke situatie in de EU als geheel en in de lidstaten afzonderlijk, aan de hand van vier pijlers: justitieel stelsel, corruptiebestrijding, pluriformiteit en vrijheid van de media en andere institutionele kwesties die verband houden met </w:t>
      </w:r>
      <w:r w:rsidRPr="0098490C">
        <w:rPr>
          <w:i/>
          <w:iCs/>
          <w:szCs w:val="18"/>
          <w:lang w:val="nl-NL" w:eastAsia="ja-JP"/>
        </w:rPr>
        <w:t>checks and balances</w:t>
      </w:r>
      <w:r w:rsidRPr="0098490C">
        <w:rPr>
          <w:szCs w:val="18"/>
          <w:lang w:val="nl-NL" w:eastAsia="ja-JP"/>
        </w:rPr>
        <w:t>. Tijdens</w:t>
      </w:r>
      <w:r w:rsidRPr="00102D49">
        <w:rPr>
          <w:szCs w:val="18"/>
          <w:lang w:val="nl-NL" w:eastAsia="ja-JP"/>
        </w:rPr>
        <w:t xml:space="preserve"> de Raad zal worden gesproken over de bredere, horizontale ontwikkelingen op het terrein van rechtsstatelijkheid in de EU, zoals die in het algemene deel van het rechtsstaatrapport 202</w:t>
      </w:r>
      <w:r>
        <w:rPr>
          <w:szCs w:val="18"/>
          <w:lang w:val="nl-NL" w:eastAsia="ja-JP"/>
        </w:rPr>
        <w:t>6</w:t>
      </w:r>
      <w:r w:rsidRPr="00102D49">
        <w:rPr>
          <w:szCs w:val="18"/>
          <w:lang w:val="nl-NL" w:eastAsia="ja-JP"/>
        </w:rPr>
        <w:t xml:space="preserve"> worden geschetst. Het kabinet zal tijdens de Raad in lijn met de kabinetsappreciatie van het rechtsstaatrapport interveniëren</w:t>
      </w:r>
      <w:r w:rsidR="00557051">
        <w:rPr>
          <w:szCs w:val="18"/>
          <w:lang w:val="nl-NL" w:eastAsia="ja-JP"/>
        </w:rPr>
        <w:t>.</w:t>
      </w:r>
      <w:r w:rsidR="00C50766">
        <w:rPr>
          <w:szCs w:val="18"/>
          <w:lang w:val="nl-NL" w:eastAsia="ja-JP"/>
        </w:rPr>
        <w:t xml:space="preserve"> Tijdens de Raad van 19 november a.s. zullen de landenhoofdstukken over Cyprus, Hongarije, Litouwen en Luxemburg worden besproken.</w:t>
      </w:r>
    </w:p>
    <w:p w:rsidRPr="009D30AE" w:rsidR="009D30AE" w:rsidP="009D30AE" w:rsidRDefault="009D30AE" w14:paraId="328755E6" w14:textId="77777777">
      <w:pPr>
        <w:pStyle w:val="Geenafstand"/>
        <w:contextualSpacing/>
        <w:rPr>
          <w:b/>
          <w:szCs w:val="18"/>
          <w:lang w:val="nl-NL"/>
        </w:rPr>
      </w:pPr>
    </w:p>
    <w:p w:rsidR="008016CB" w:rsidP="009D30AE" w:rsidRDefault="00180D4B" w14:paraId="2D163528" w14:textId="5C57BEAE">
      <w:pPr>
        <w:pStyle w:val="Geenafstand"/>
        <w:contextualSpacing/>
        <w:rPr>
          <w:szCs w:val="18"/>
          <w:lang w:val="nl-NL" w:eastAsia="ja-JP"/>
        </w:rPr>
      </w:pPr>
      <w:r w:rsidRPr="00180D4B">
        <w:rPr>
          <w:b/>
          <w:szCs w:val="18"/>
          <w:lang w:val="nl-NL"/>
        </w:rPr>
        <w:t xml:space="preserve">Rechtsstaatdiscussie over kandidaat-lidstaten </w:t>
      </w:r>
      <w:r>
        <w:rPr>
          <w:b/>
          <w:szCs w:val="18"/>
          <w:lang w:val="nl-NL"/>
        </w:rPr>
        <w:br/>
      </w:r>
      <w:r>
        <w:rPr>
          <w:szCs w:val="18"/>
          <w:lang w:val="nl-NL" w:eastAsia="ja-JP"/>
        </w:rPr>
        <w:t>L</w:t>
      </w:r>
      <w:r w:rsidRPr="00180D4B">
        <w:rPr>
          <w:szCs w:val="18"/>
          <w:lang w:val="nl-NL" w:eastAsia="ja-JP"/>
        </w:rPr>
        <w:t xml:space="preserve">idstaten </w:t>
      </w:r>
      <w:r>
        <w:rPr>
          <w:szCs w:val="18"/>
          <w:lang w:val="nl-NL" w:eastAsia="ja-JP"/>
        </w:rPr>
        <w:t xml:space="preserve">zullen </w:t>
      </w:r>
      <w:r w:rsidRPr="00180D4B">
        <w:rPr>
          <w:szCs w:val="18"/>
          <w:lang w:val="nl-NL" w:eastAsia="ja-JP"/>
        </w:rPr>
        <w:t xml:space="preserve">in een afzonderlijke sessie spreken over de rechtsstatelijke trends en ontwikkelingen in een aantal kandidaat-lidstaten. Over Albanië, Montenegro, Noord-Macedonië en Servië zijn, net als vorig jaar, aparte landenhoofdstukken opgenomen in het rechtsstaatrapport van de Commissie. In </w:t>
      </w:r>
      <w:r w:rsidRPr="00180D4B">
        <w:rPr>
          <w:szCs w:val="18"/>
          <w:lang w:val="nl-NL" w:eastAsia="ja-JP"/>
        </w:rPr>
        <w:lastRenderedPageBreak/>
        <w:t xml:space="preserve">tegenstelling tot de hoofdstukken over de lidstaten bevatten deze hoofdstukken geen aanbevelingen, omdat die onderdeel zullen uitmaken van de landenrapportages die bij het jaarlijkse uitbreidingspakket worden uitgebracht. </w:t>
      </w:r>
      <w:r>
        <w:rPr>
          <w:szCs w:val="18"/>
          <w:lang w:val="nl-NL" w:eastAsia="ja-JP"/>
        </w:rPr>
        <w:t>Uw Kamer ontvangt zoals gebruikelijk een appreciatie van dit uitbreidingspakket.</w:t>
      </w:r>
      <w:r>
        <w:rPr>
          <w:szCs w:val="18"/>
          <w:lang w:val="nl-NL" w:eastAsia="ja-JP"/>
        </w:rPr>
        <w:br/>
      </w:r>
      <w:r>
        <w:rPr>
          <w:szCs w:val="18"/>
          <w:lang w:val="nl-NL" w:eastAsia="ja-JP"/>
        </w:rPr>
        <w:br/>
      </w:r>
      <w:r w:rsidRPr="00180D4B">
        <w:rPr>
          <w:szCs w:val="18"/>
          <w:lang w:val="nl-NL" w:eastAsia="ja-JP"/>
        </w:rPr>
        <w:t xml:space="preserve">Het kabinet vindt het positief dat deze vier kandidaat-lidstaten wederom zijn meegenomen in dit rechtsstaatrapport, omdat het een extra mechanisme biedt om de situatie op het gebied van de rechtsstaat in deze landen te monitoren. Het kabinet verwelkomt verschillende hervormingsprocessen </w:t>
      </w:r>
      <w:r>
        <w:rPr>
          <w:szCs w:val="18"/>
          <w:lang w:val="nl-NL" w:eastAsia="ja-JP"/>
        </w:rPr>
        <w:t>die de Commissie signaleert</w:t>
      </w:r>
      <w:r w:rsidRPr="00180D4B">
        <w:rPr>
          <w:szCs w:val="18"/>
          <w:lang w:val="nl-NL" w:eastAsia="ja-JP"/>
        </w:rPr>
        <w:t>, waarbij gebrekkige implementatie</w:t>
      </w:r>
      <w:r>
        <w:rPr>
          <w:szCs w:val="18"/>
          <w:lang w:val="nl-NL" w:eastAsia="ja-JP"/>
        </w:rPr>
        <w:t xml:space="preserve"> en </w:t>
      </w:r>
      <w:r w:rsidR="003E4897">
        <w:rPr>
          <w:szCs w:val="18"/>
          <w:lang w:val="nl-NL" w:eastAsia="ja-JP"/>
        </w:rPr>
        <w:t xml:space="preserve">administratieve en personele </w:t>
      </w:r>
      <w:r>
        <w:rPr>
          <w:szCs w:val="18"/>
          <w:lang w:val="nl-NL" w:eastAsia="ja-JP"/>
        </w:rPr>
        <w:t xml:space="preserve">capaciteit vaak </w:t>
      </w:r>
      <w:r w:rsidRPr="00180D4B">
        <w:rPr>
          <w:szCs w:val="18"/>
          <w:lang w:val="nl-NL" w:eastAsia="ja-JP"/>
        </w:rPr>
        <w:t>een punt van aandacht blij</w:t>
      </w:r>
      <w:r w:rsidR="003B2F92">
        <w:rPr>
          <w:szCs w:val="18"/>
          <w:lang w:val="nl-NL" w:eastAsia="ja-JP"/>
        </w:rPr>
        <w:t>ven</w:t>
      </w:r>
      <w:r w:rsidRPr="00180D4B">
        <w:rPr>
          <w:szCs w:val="18"/>
          <w:lang w:val="nl-NL" w:eastAsia="ja-JP"/>
        </w:rPr>
        <w:t xml:space="preserve">. </w:t>
      </w:r>
      <w:r>
        <w:rPr>
          <w:szCs w:val="18"/>
          <w:lang w:val="nl-NL" w:eastAsia="ja-JP"/>
        </w:rPr>
        <w:t>Verder</w:t>
      </w:r>
      <w:r w:rsidRPr="00180D4B">
        <w:rPr>
          <w:szCs w:val="18"/>
          <w:lang w:val="nl-NL" w:eastAsia="ja-JP"/>
        </w:rPr>
        <w:t xml:space="preserve"> deelt het kabinet verschillende zorgen </w:t>
      </w:r>
      <w:r w:rsidR="00F031C9">
        <w:rPr>
          <w:szCs w:val="18"/>
          <w:lang w:val="nl-NL" w:eastAsia="ja-JP"/>
        </w:rPr>
        <w:t xml:space="preserve">en uitdagingen </w:t>
      </w:r>
      <w:r w:rsidRPr="00180D4B">
        <w:rPr>
          <w:szCs w:val="18"/>
          <w:lang w:val="nl-NL" w:eastAsia="ja-JP"/>
        </w:rPr>
        <w:t xml:space="preserve">die </w:t>
      </w:r>
      <w:r w:rsidR="009C4C5D">
        <w:rPr>
          <w:szCs w:val="18"/>
          <w:lang w:val="nl-NL" w:eastAsia="ja-JP"/>
        </w:rPr>
        <w:t>de Commissie omschrijft</w:t>
      </w:r>
      <w:r>
        <w:rPr>
          <w:szCs w:val="18"/>
          <w:lang w:val="nl-NL" w:eastAsia="ja-JP"/>
        </w:rPr>
        <w:t xml:space="preserve">, waaronder </w:t>
      </w:r>
      <w:r w:rsidR="00784D20">
        <w:rPr>
          <w:szCs w:val="18"/>
          <w:lang w:val="nl-NL" w:eastAsia="ja-JP"/>
        </w:rPr>
        <w:t>over</w:t>
      </w:r>
      <w:r w:rsidR="009C4C5D">
        <w:rPr>
          <w:szCs w:val="18"/>
          <w:lang w:val="nl-NL" w:eastAsia="ja-JP"/>
        </w:rPr>
        <w:t xml:space="preserve"> </w:t>
      </w:r>
      <w:r>
        <w:rPr>
          <w:szCs w:val="18"/>
          <w:lang w:val="nl-NL" w:eastAsia="ja-JP"/>
        </w:rPr>
        <w:t>mediavrijheid</w:t>
      </w:r>
      <w:r w:rsidR="003E4897">
        <w:rPr>
          <w:szCs w:val="18"/>
          <w:lang w:val="nl-NL" w:eastAsia="ja-JP"/>
        </w:rPr>
        <w:t>, onafhankelijkheid van de rechtspraak</w:t>
      </w:r>
      <w:r w:rsidR="00F031C9">
        <w:rPr>
          <w:szCs w:val="18"/>
          <w:lang w:val="nl-NL" w:eastAsia="ja-JP"/>
        </w:rPr>
        <w:t xml:space="preserve"> en corruptiebestrijding. </w:t>
      </w:r>
      <w:r w:rsidRPr="00180D4B">
        <w:rPr>
          <w:szCs w:val="18"/>
          <w:lang w:val="nl-NL" w:eastAsia="ja-JP"/>
        </w:rPr>
        <w:t xml:space="preserve">Tijdens de Raad zal het kabinet </w:t>
      </w:r>
      <w:r w:rsidR="009C4C5D">
        <w:rPr>
          <w:szCs w:val="18"/>
          <w:lang w:val="nl-NL" w:eastAsia="ja-JP"/>
        </w:rPr>
        <w:t xml:space="preserve">onderstrepen dat de kandidaat-lidstaten blijvend aandacht moeten besteden aan hervormingen. </w:t>
      </w:r>
    </w:p>
    <w:p w:rsidRPr="00A27F3A" w:rsidR="008016CB" w:rsidP="008016CB" w:rsidRDefault="008016CB" w14:paraId="71A471D2" w14:textId="77777777">
      <w:pPr>
        <w:pStyle w:val="Geenafstand"/>
        <w:contextualSpacing/>
        <w:rPr>
          <w:b/>
          <w:szCs w:val="18"/>
          <w:lang w:val="nl-NL"/>
        </w:rPr>
      </w:pPr>
    </w:p>
    <w:p w:rsidRPr="00A27F3A" w:rsidR="008016CB" w:rsidP="008016CB" w:rsidRDefault="008016CB" w14:paraId="4CAF83FE" w14:textId="77777777">
      <w:pPr>
        <w:pStyle w:val="Geenafstand"/>
        <w:contextualSpacing/>
        <w:rPr>
          <w:b/>
          <w:szCs w:val="18"/>
          <w:lang w:val="nl-NL"/>
        </w:rPr>
      </w:pPr>
      <w:r>
        <w:rPr>
          <w:b/>
          <w:szCs w:val="18"/>
          <w:lang w:val="nl-NL"/>
        </w:rPr>
        <w:t xml:space="preserve">Diversenpunt </w:t>
      </w:r>
      <w:r w:rsidRPr="00A27F3A">
        <w:rPr>
          <w:b/>
          <w:szCs w:val="18"/>
          <w:lang w:val="nl-NL"/>
        </w:rPr>
        <w:t>Omnibus versimpeling</w:t>
      </w:r>
    </w:p>
    <w:p w:rsidR="008016CB" w:rsidP="008016CB" w:rsidRDefault="008016CB" w14:paraId="0467871C" w14:textId="128C8847">
      <w:pPr>
        <w:pStyle w:val="Geenafstand"/>
        <w:contextualSpacing/>
        <w:rPr>
          <w:szCs w:val="18"/>
          <w:lang w:val="nl-NL" w:eastAsia="ja-JP"/>
        </w:rPr>
      </w:pPr>
      <w:r w:rsidRPr="00B935C8">
        <w:rPr>
          <w:szCs w:val="18"/>
          <w:lang w:val="nl-NL" w:eastAsia="ja-JP"/>
        </w:rPr>
        <w:t>Tijdens de R</w:t>
      </w:r>
      <w:r w:rsidR="00680CDF">
        <w:rPr>
          <w:szCs w:val="18"/>
          <w:lang w:val="nl-NL" w:eastAsia="ja-JP"/>
        </w:rPr>
        <w:t>aad</w:t>
      </w:r>
      <w:r w:rsidRPr="00B935C8">
        <w:rPr>
          <w:szCs w:val="18"/>
          <w:lang w:val="nl-NL" w:eastAsia="ja-JP"/>
        </w:rPr>
        <w:t xml:space="preserve"> zal onder </w:t>
      </w:r>
      <w:r w:rsidR="00535117">
        <w:rPr>
          <w:szCs w:val="18"/>
          <w:lang w:val="nl-NL" w:eastAsia="ja-JP"/>
        </w:rPr>
        <w:t>‘</w:t>
      </w:r>
      <w:r w:rsidRPr="00B935C8">
        <w:rPr>
          <w:szCs w:val="18"/>
          <w:lang w:val="nl-NL" w:eastAsia="ja-JP"/>
        </w:rPr>
        <w:t>diversenpunt</w:t>
      </w:r>
      <w:r w:rsidR="00535117">
        <w:rPr>
          <w:szCs w:val="18"/>
          <w:lang w:val="nl-NL" w:eastAsia="ja-JP"/>
        </w:rPr>
        <w:t>en’</w:t>
      </w:r>
      <w:r w:rsidRPr="00B935C8">
        <w:rPr>
          <w:szCs w:val="18"/>
          <w:lang w:val="nl-NL" w:eastAsia="ja-JP"/>
        </w:rPr>
        <w:t xml:space="preserve"> </w:t>
      </w:r>
      <w:r w:rsidR="00535117">
        <w:rPr>
          <w:szCs w:val="18"/>
          <w:lang w:val="nl-NL" w:eastAsia="ja-JP"/>
        </w:rPr>
        <w:t xml:space="preserve">het voorzitterschap informatie geven over </w:t>
      </w:r>
      <w:r w:rsidR="00262CE5">
        <w:rPr>
          <w:szCs w:val="18"/>
          <w:lang w:val="nl-NL" w:eastAsia="ja-JP"/>
        </w:rPr>
        <w:t xml:space="preserve">de </w:t>
      </w:r>
      <w:r w:rsidR="00535117">
        <w:rPr>
          <w:szCs w:val="18"/>
          <w:lang w:val="nl-NL" w:eastAsia="ja-JP"/>
        </w:rPr>
        <w:t>stand van zaken omtrent</w:t>
      </w:r>
      <w:r w:rsidRPr="00B935C8">
        <w:rPr>
          <w:szCs w:val="18"/>
          <w:lang w:val="nl-NL" w:eastAsia="ja-JP"/>
        </w:rPr>
        <w:t xml:space="preserve"> </w:t>
      </w:r>
      <w:r w:rsidR="00535117">
        <w:rPr>
          <w:szCs w:val="18"/>
          <w:lang w:val="nl-NL" w:eastAsia="ja-JP"/>
        </w:rPr>
        <w:t>de</w:t>
      </w:r>
      <w:r w:rsidRPr="00B935C8">
        <w:rPr>
          <w:szCs w:val="18"/>
          <w:lang w:val="nl-NL" w:eastAsia="ja-JP"/>
        </w:rPr>
        <w:t xml:space="preserve"> Omnibuspakketten. </w:t>
      </w:r>
      <w:r w:rsidRPr="00DD14C8">
        <w:rPr>
          <w:szCs w:val="18"/>
          <w:lang w:val="nl-NL" w:eastAsia="ja-JP"/>
        </w:rPr>
        <w:t>Het kabinet verwelkomt de inzet van de Commissie om met Omnibusvoorstellen en andere vereenvoudigingsinitiatieven onnodige regeldruk terug te dringen. Het aanpakken van onnodige regeldruk is voor het kabinet een prioriteit. De Nederlandse inzet bij de Omnibusvoorstellen is in brede zin om regelgeving te verduidelijken en te stroomlijnen, terwijl de doelen van de wetgeving overeind blijven.</w:t>
      </w:r>
    </w:p>
    <w:p w:rsidRPr="00237549" w:rsidR="009D30AE" w:rsidP="009D30AE" w:rsidRDefault="009D30AE" w14:paraId="052A908C" w14:textId="0EA89963">
      <w:pPr>
        <w:pStyle w:val="Geenafstand"/>
        <w:contextualSpacing/>
        <w:rPr>
          <w:rFonts w:cs="Times New Roman"/>
          <w:szCs w:val="18"/>
          <w:lang w:val="nl-NL" w:eastAsia="ja-JP"/>
        </w:rPr>
      </w:pPr>
    </w:p>
    <w:sectPr w:rsidRPr="00237549" w:rsidR="009D30A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0C59" w14:textId="77777777" w:rsidR="007A7127" w:rsidRDefault="007A7127" w:rsidP="003E101F">
      <w:pPr>
        <w:spacing w:after="0"/>
      </w:pPr>
      <w:r>
        <w:separator/>
      </w:r>
    </w:p>
  </w:endnote>
  <w:endnote w:type="continuationSeparator" w:id="0">
    <w:p w14:paraId="7CFAD296" w14:textId="77777777" w:rsidR="007A7127" w:rsidRDefault="007A7127"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06BDCE62" w14:textId="77777777" w:rsidR="003E101F" w:rsidRDefault="003E101F" w:rsidP="003E101F">
        <w:pPr>
          <w:pStyle w:val="Voettekst"/>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BDFC0" w14:textId="77777777" w:rsidR="007A7127" w:rsidRDefault="007A7127" w:rsidP="003E101F">
      <w:pPr>
        <w:spacing w:after="0"/>
      </w:pPr>
      <w:r>
        <w:separator/>
      </w:r>
    </w:p>
  </w:footnote>
  <w:footnote w:type="continuationSeparator" w:id="0">
    <w:p w14:paraId="46DE3098" w14:textId="77777777" w:rsidR="007A7127" w:rsidRDefault="007A7127" w:rsidP="003E101F">
      <w:pPr>
        <w:spacing w:after="0"/>
      </w:pPr>
      <w:r>
        <w:continuationSeparator/>
      </w:r>
    </w:p>
  </w:footnote>
  <w:footnote w:id="1">
    <w:p w14:paraId="24095665" w14:textId="51D64436" w:rsidR="00DE35F3" w:rsidRPr="0098490C" w:rsidRDefault="00DE35F3">
      <w:pPr>
        <w:pStyle w:val="Voetnoottekst"/>
        <w:rPr>
          <w:sz w:val="16"/>
          <w:szCs w:val="16"/>
        </w:rPr>
      </w:pPr>
      <w:r w:rsidRPr="0098490C">
        <w:rPr>
          <w:rStyle w:val="Voetnootmarkering"/>
          <w:sz w:val="16"/>
          <w:szCs w:val="16"/>
        </w:rPr>
        <w:footnoteRef/>
      </w:r>
      <w:r w:rsidRPr="0098490C">
        <w:rPr>
          <w:sz w:val="16"/>
          <w:szCs w:val="16"/>
        </w:rPr>
        <w:t xml:space="preserve"> Kamerstuk </w:t>
      </w:r>
      <w:r w:rsidR="00611D62" w:rsidRPr="00611D62">
        <w:rPr>
          <w:sz w:val="16"/>
          <w:szCs w:val="16"/>
        </w:rPr>
        <w:t>Getal:21501-20-2404</w:t>
      </w:r>
    </w:p>
  </w:footnote>
  <w:footnote w:id="2">
    <w:p w14:paraId="54C9B91D" w14:textId="68FFC0E7" w:rsidR="00102D49" w:rsidRPr="00214C6E" w:rsidRDefault="00102D49">
      <w:pPr>
        <w:pStyle w:val="Voetnoottekst"/>
        <w:rPr>
          <w:sz w:val="18"/>
          <w:szCs w:val="18"/>
        </w:rPr>
      </w:pPr>
      <w:r w:rsidRPr="0098490C">
        <w:rPr>
          <w:rStyle w:val="Voetnootmarkering"/>
          <w:sz w:val="16"/>
          <w:szCs w:val="16"/>
        </w:rPr>
        <w:footnoteRef/>
      </w:r>
      <w:r w:rsidRPr="0098490C">
        <w:rPr>
          <w:sz w:val="16"/>
          <w:szCs w:val="16"/>
        </w:rPr>
        <w:t xml:space="preserve"> </w:t>
      </w:r>
      <w:hyperlink r:id="rId1" w:history="1">
        <w:r w:rsidRPr="0098490C">
          <w:rPr>
            <w:rStyle w:val="Hyperlink"/>
            <w:sz w:val="16"/>
            <w:szCs w:val="16"/>
          </w:rPr>
          <w:t>2026 Rule of Law Report - European Commission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213"/>
    <w:multiLevelType w:val="multilevel"/>
    <w:tmpl w:val="73A6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4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1167E"/>
    <w:rsid w:val="00021A49"/>
    <w:rsid w:val="0008478E"/>
    <w:rsid w:val="000A1E9B"/>
    <w:rsid w:val="000C05E0"/>
    <w:rsid w:val="00102D49"/>
    <w:rsid w:val="001063B9"/>
    <w:rsid w:val="001105F0"/>
    <w:rsid w:val="00116780"/>
    <w:rsid w:val="00141710"/>
    <w:rsid w:val="00142192"/>
    <w:rsid w:val="00164DED"/>
    <w:rsid w:val="0017106E"/>
    <w:rsid w:val="00180D4B"/>
    <w:rsid w:val="00195F0C"/>
    <w:rsid w:val="001A1DC8"/>
    <w:rsid w:val="001B08A9"/>
    <w:rsid w:val="001B292C"/>
    <w:rsid w:val="001D656E"/>
    <w:rsid w:val="001E28C2"/>
    <w:rsid w:val="001F5DEA"/>
    <w:rsid w:val="001F5F20"/>
    <w:rsid w:val="00213707"/>
    <w:rsid w:val="00214C6E"/>
    <w:rsid w:val="00237549"/>
    <w:rsid w:val="00262CE5"/>
    <w:rsid w:val="00264E90"/>
    <w:rsid w:val="00264EC8"/>
    <w:rsid w:val="00284730"/>
    <w:rsid w:val="00286C8C"/>
    <w:rsid w:val="002B44B9"/>
    <w:rsid w:val="002B712F"/>
    <w:rsid w:val="002C7BC2"/>
    <w:rsid w:val="002D1094"/>
    <w:rsid w:val="00331C5C"/>
    <w:rsid w:val="00366317"/>
    <w:rsid w:val="00375371"/>
    <w:rsid w:val="00393AE5"/>
    <w:rsid w:val="003B2F92"/>
    <w:rsid w:val="003D2CCE"/>
    <w:rsid w:val="003E101F"/>
    <w:rsid w:val="003E4897"/>
    <w:rsid w:val="004076D3"/>
    <w:rsid w:val="00422371"/>
    <w:rsid w:val="004277BB"/>
    <w:rsid w:val="00427D42"/>
    <w:rsid w:val="00432C54"/>
    <w:rsid w:val="004555B1"/>
    <w:rsid w:val="004A357E"/>
    <w:rsid w:val="004A6A21"/>
    <w:rsid w:val="004C6937"/>
    <w:rsid w:val="005022A8"/>
    <w:rsid w:val="005132BE"/>
    <w:rsid w:val="00524099"/>
    <w:rsid w:val="005320CC"/>
    <w:rsid w:val="00535117"/>
    <w:rsid w:val="00535DBA"/>
    <w:rsid w:val="00557051"/>
    <w:rsid w:val="005768F4"/>
    <w:rsid w:val="00595512"/>
    <w:rsid w:val="0059749F"/>
    <w:rsid w:val="005A3F49"/>
    <w:rsid w:val="005A4835"/>
    <w:rsid w:val="005A5EB4"/>
    <w:rsid w:val="005E434A"/>
    <w:rsid w:val="005F4DA4"/>
    <w:rsid w:val="006030D7"/>
    <w:rsid w:val="00611D62"/>
    <w:rsid w:val="0061225D"/>
    <w:rsid w:val="00634F28"/>
    <w:rsid w:val="00645145"/>
    <w:rsid w:val="00661CA6"/>
    <w:rsid w:val="006724CB"/>
    <w:rsid w:val="00680CDF"/>
    <w:rsid w:val="00685920"/>
    <w:rsid w:val="006908F3"/>
    <w:rsid w:val="00695CF3"/>
    <w:rsid w:val="006979D3"/>
    <w:rsid w:val="006D7DA6"/>
    <w:rsid w:val="006E6528"/>
    <w:rsid w:val="006E7C91"/>
    <w:rsid w:val="006F205E"/>
    <w:rsid w:val="00707621"/>
    <w:rsid w:val="00713428"/>
    <w:rsid w:val="0071691D"/>
    <w:rsid w:val="00724CBD"/>
    <w:rsid w:val="0077325E"/>
    <w:rsid w:val="00784D20"/>
    <w:rsid w:val="00786A15"/>
    <w:rsid w:val="007916EC"/>
    <w:rsid w:val="007A344E"/>
    <w:rsid w:val="007A7127"/>
    <w:rsid w:val="007B185F"/>
    <w:rsid w:val="007B366D"/>
    <w:rsid w:val="007C062C"/>
    <w:rsid w:val="007C6E17"/>
    <w:rsid w:val="007E64BE"/>
    <w:rsid w:val="007F4FA1"/>
    <w:rsid w:val="008016CB"/>
    <w:rsid w:val="00822EC8"/>
    <w:rsid w:val="008547FC"/>
    <w:rsid w:val="008945C0"/>
    <w:rsid w:val="008B4D3F"/>
    <w:rsid w:val="008D2D95"/>
    <w:rsid w:val="008E7C7C"/>
    <w:rsid w:val="0095190E"/>
    <w:rsid w:val="0095197D"/>
    <w:rsid w:val="00973B85"/>
    <w:rsid w:val="00976678"/>
    <w:rsid w:val="009768EF"/>
    <w:rsid w:val="0098490C"/>
    <w:rsid w:val="009953E0"/>
    <w:rsid w:val="009964B5"/>
    <w:rsid w:val="009A03F3"/>
    <w:rsid w:val="009B3580"/>
    <w:rsid w:val="009C1EB1"/>
    <w:rsid w:val="009C4C5D"/>
    <w:rsid w:val="009D30AE"/>
    <w:rsid w:val="009E2F44"/>
    <w:rsid w:val="009F713F"/>
    <w:rsid w:val="00A014DE"/>
    <w:rsid w:val="00A05587"/>
    <w:rsid w:val="00A13432"/>
    <w:rsid w:val="00A26844"/>
    <w:rsid w:val="00A27F3A"/>
    <w:rsid w:val="00A400A5"/>
    <w:rsid w:val="00A53A65"/>
    <w:rsid w:val="00A569B3"/>
    <w:rsid w:val="00A87FCA"/>
    <w:rsid w:val="00A9453C"/>
    <w:rsid w:val="00AF20EA"/>
    <w:rsid w:val="00B178CC"/>
    <w:rsid w:val="00B21CDB"/>
    <w:rsid w:val="00B272AC"/>
    <w:rsid w:val="00B32D4B"/>
    <w:rsid w:val="00B37ED2"/>
    <w:rsid w:val="00B524DC"/>
    <w:rsid w:val="00B57E78"/>
    <w:rsid w:val="00B7771F"/>
    <w:rsid w:val="00B935C8"/>
    <w:rsid w:val="00BD6190"/>
    <w:rsid w:val="00BD728F"/>
    <w:rsid w:val="00C1204F"/>
    <w:rsid w:val="00C37F74"/>
    <w:rsid w:val="00C50766"/>
    <w:rsid w:val="00C5506A"/>
    <w:rsid w:val="00C57CEF"/>
    <w:rsid w:val="00C60824"/>
    <w:rsid w:val="00C6158A"/>
    <w:rsid w:val="00C61D53"/>
    <w:rsid w:val="00C72AE8"/>
    <w:rsid w:val="00C82BCA"/>
    <w:rsid w:val="00CB275B"/>
    <w:rsid w:val="00CB2D8D"/>
    <w:rsid w:val="00CC4FEA"/>
    <w:rsid w:val="00CD57BA"/>
    <w:rsid w:val="00CF056D"/>
    <w:rsid w:val="00CF4884"/>
    <w:rsid w:val="00CF724A"/>
    <w:rsid w:val="00D309B7"/>
    <w:rsid w:val="00D347B1"/>
    <w:rsid w:val="00D35E0C"/>
    <w:rsid w:val="00D47B6A"/>
    <w:rsid w:val="00D62ECE"/>
    <w:rsid w:val="00D666CA"/>
    <w:rsid w:val="00D75BE2"/>
    <w:rsid w:val="00D9333D"/>
    <w:rsid w:val="00D961CA"/>
    <w:rsid w:val="00DD14C8"/>
    <w:rsid w:val="00DD4449"/>
    <w:rsid w:val="00DE35F3"/>
    <w:rsid w:val="00DF1B87"/>
    <w:rsid w:val="00E2320F"/>
    <w:rsid w:val="00E315DA"/>
    <w:rsid w:val="00E32744"/>
    <w:rsid w:val="00E37540"/>
    <w:rsid w:val="00E406DE"/>
    <w:rsid w:val="00E41B42"/>
    <w:rsid w:val="00E44A42"/>
    <w:rsid w:val="00E506EC"/>
    <w:rsid w:val="00E6324F"/>
    <w:rsid w:val="00EA0076"/>
    <w:rsid w:val="00EA3B5E"/>
    <w:rsid w:val="00EC189B"/>
    <w:rsid w:val="00EC78E5"/>
    <w:rsid w:val="00EC7EE9"/>
    <w:rsid w:val="00EE0FD1"/>
    <w:rsid w:val="00EF7DE9"/>
    <w:rsid w:val="00F031C9"/>
    <w:rsid w:val="00F07B17"/>
    <w:rsid w:val="00F265CF"/>
    <w:rsid w:val="00F27E16"/>
    <w:rsid w:val="00F3128A"/>
    <w:rsid w:val="00F47ED5"/>
    <w:rsid w:val="00FB47B0"/>
    <w:rsid w:val="00FC09F7"/>
    <w:rsid w:val="00FF2F8C"/>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E28C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28C2"/>
    <w:rPr>
      <w:rFonts w:ascii="Tahoma" w:hAnsi="Tahoma" w:cs="Tahoma"/>
      <w:sz w:val="16"/>
      <w:szCs w:val="16"/>
    </w:rPr>
  </w:style>
  <w:style w:type="paragraph" w:styleId="Geenafstand">
    <w:name w:val="No Spacing"/>
    <w:uiPriority w:val="1"/>
    <w:qFormat/>
    <w:rsid w:val="00021A49"/>
    <w:pPr>
      <w:spacing w:after="0"/>
    </w:pPr>
  </w:style>
  <w:style w:type="paragraph" w:styleId="Koptekst">
    <w:name w:val="header"/>
    <w:basedOn w:val="Standaard"/>
    <w:link w:val="KoptekstChar"/>
    <w:uiPriority w:val="99"/>
    <w:unhideWhenUsed/>
    <w:rsid w:val="003E101F"/>
    <w:pPr>
      <w:tabs>
        <w:tab w:val="center" w:pos="4513"/>
        <w:tab w:val="right" w:pos="9026"/>
      </w:tabs>
      <w:spacing w:after="0"/>
    </w:pPr>
  </w:style>
  <w:style w:type="character" w:customStyle="1" w:styleId="KoptekstChar">
    <w:name w:val="Koptekst Char"/>
    <w:basedOn w:val="Standaardalinea-lettertype"/>
    <w:link w:val="Koptekst"/>
    <w:uiPriority w:val="99"/>
    <w:rsid w:val="003E101F"/>
  </w:style>
  <w:style w:type="paragraph" w:styleId="Voettekst">
    <w:name w:val="footer"/>
    <w:basedOn w:val="Standaard"/>
    <w:link w:val="VoettekstChar"/>
    <w:uiPriority w:val="99"/>
    <w:unhideWhenUsed/>
    <w:rsid w:val="003E101F"/>
    <w:pPr>
      <w:tabs>
        <w:tab w:val="center" w:pos="4513"/>
        <w:tab w:val="right" w:pos="9026"/>
      </w:tabs>
      <w:spacing w:after="0"/>
    </w:pPr>
  </w:style>
  <w:style w:type="character" w:customStyle="1" w:styleId="VoettekstChar">
    <w:name w:val="Voettekst Char"/>
    <w:basedOn w:val="Standaardalinea-lettertype"/>
    <w:link w:val="Voettekst"/>
    <w:uiPriority w:val="99"/>
    <w:rsid w:val="003E101F"/>
  </w:style>
  <w:style w:type="character" w:styleId="Verwijzingopmerking">
    <w:name w:val="annotation reference"/>
    <w:basedOn w:val="Standaardalinea-lettertype"/>
    <w:uiPriority w:val="99"/>
    <w:semiHidden/>
    <w:unhideWhenUsed/>
    <w:rsid w:val="00C5506A"/>
    <w:rPr>
      <w:sz w:val="16"/>
      <w:szCs w:val="16"/>
    </w:rPr>
  </w:style>
  <w:style w:type="paragraph" w:styleId="Tekstopmerking">
    <w:name w:val="annotation text"/>
    <w:basedOn w:val="Standaard"/>
    <w:link w:val="TekstopmerkingChar"/>
    <w:uiPriority w:val="99"/>
    <w:unhideWhenUsed/>
    <w:rsid w:val="00C5506A"/>
    <w:rPr>
      <w:sz w:val="20"/>
      <w:szCs w:val="20"/>
    </w:rPr>
  </w:style>
  <w:style w:type="character" w:customStyle="1" w:styleId="TekstopmerkingChar">
    <w:name w:val="Tekst opmerking Char"/>
    <w:basedOn w:val="Standaardalinea-lettertype"/>
    <w:link w:val="Tekstopmerking"/>
    <w:uiPriority w:val="99"/>
    <w:rsid w:val="00C5506A"/>
    <w:rPr>
      <w:sz w:val="20"/>
      <w:szCs w:val="20"/>
    </w:rPr>
  </w:style>
  <w:style w:type="paragraph" w:styleId="Onderwerpvanopmerking">
    <w:name w:val="annotation subject"/>
    <w:basedOn w:val="Tekstopmerking"/>
    <w:next w:val="Tekstopmerking"/>
    <w:link w:val="OnderwerpvanopmerkingChar"/>
    <w:uiPriority w:val="99"/>
    <w:semiHidden/>
    <w:unhideWhenUsed/>
    <w:rsid w:val="00C5506A"/>
    <w:rPr>
      <w:b/>
      <w:bCs/>
    </w:rPr>
  </w:style>
  <w:style w:type="character" w:customStyle="1" w:styleId="OnderwerpvanopmerkingChar">
    <w:name w:val="Onderwerp van opmerking Char"/>
    <w:basedOn w:val="TekstopmerkingChar"/>
    <w:link w:val="Onderwerpvanopmerking"/>
    <w:uiPriority w:val="99"/>
    <w:semiHidden/>
    <w:rsid w:val="00C5506A"/>
    <w:rPr>
      <w:b/>
      <w:bCs/>
      <w:sz w:val="20"/>
      <w:szCs w:val="20"/>
    </w:rPr>
  </w:style>
  <w:style w:type="paragraph" w:styleId="Voetnoottekst">
    <w:name w:val="footnote text"/>
    <w:basedOn w:val="Standaard"/>
    <w:link w:val="VoetnoottekstChar"/>
    <w:uiPriority w:val="99"/>
    <w:semiHidden/>
    <w:unhideWhenUsed/>
    <w:rsid w:val="00102D49"/>
    <w:pPr>
      <w:spacing w:after="0"/>
    </w:pPr>
    <w:rPr>
      <w:sz w:val="20"/>
      <w:szCs w:val="20"/>
    </w:rPr>
  </w:style>
  <w:style w:type="character" w:customStyle="1" w:styleId="VoetnoottekstChar">
    <w:name w:val="Voetnoottekst Char"/>
    <w:basedOn w:val="Standaardalinea-lettertype"/>
    <w:link w:val="Voetnoottekst"/>
    <w:uiPriority w:val="99"/>
    <w:semiHidden/>
    <w:rsid w:val="00102D49"/>
    <w:rPr>
      <w:sz w:val="20"/>
      <w:szCs w:val="20"/>
    </w:rPr>
  </w:style>
  <w:style w:type="character" w:styleId="Voetnootmarkering">
    <w:name w:val="footnote reference"/>
    <w:basedOn w:val="Standaardalinea-lettertype"/>
    <w:uiPriority w:val="99"/>
    <w:semiHidden/>
    <w:unhideWhenUsed/>
    <w:rsid w:val="00102D49"/>
    <w:rPr>
      <w:vertAlign w:val="superscript"/>
    </w:rPr>
  </w:style>
  <w:style w:type="character" w:styleId="Hyperlink">
    <w:name w:val="Hyperlink"/>
    <w:basedOn w:val="Standaardalinea-lettertype"/>
    <w:uiPriority w:val="99"/>
    <w:unhideWhenUsed/>
    <w:rsid w:val="00102D49"/>
    <w:rPr>
      <w:color w:val="0000FF" w:themeColor="hyperlink"/>
      <w:u w:val="single"/>
    </w:rPr>
  </w:style>
  <w:style w:type="character" w:styleId="Onopgelostemelding">
    <w:name w:val="Unresolved Mention"/>
    <w:basedOn w:val="Standaardalinea-lettertype"/>
    <w:uiPriority w:val="99"/>
    <w:semiHidden/>
    <w:unhideWhenUsed/>
    <w:rsid w:val="00102D49"/>
    <w:rPr>
      <w:color w:val="605E5C"/>
      <w:shd w:val="clear" w:color="auto" w:fill="E1DFDD"/>
    </w:rPr>
  </w:style>
  <w:style w:type="paragraph" w:styleId="Revisie">
    <w:name w:val="Revision"/>
    <w:hidden/>
    <w:uiPriority w:val="99"/>
    <w:semiHidden/>
    <w:rsid w:val="001B08A9"/>
    <w:pPr>
      <w:spacing w:after="0"/>
    </w:pPr>
  </w:style>
  <w:style w:type="character" w:styleId="GevolgdeHyperlink">
    <w:name w:val="FollowedHyperlink"/>
    <w:basedOn w:val="Standaardalinea-lettertype"/>
    <w:uiPriority w:val="99"/>
    <w:semiHidden/>
    <w:unhideWhenUsed/>
    <w:rsid w:val="00C72A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79437">
      <w:bodyDiv w:val="1"/>
      <w:marLeft w:val="0"/>
      <w:marRight w:val="0"/>
      <w:marTop w:val="0"/>
      <w:marBottom w:val="0"/>
      <w:divBdr>
        <w:top w:val="none" w:sz="0" w:space="0" w:color="auto"/>
        <w:left w:val="none" w:sz="0" w:space="0" w:color="auto"/>
        <w:bottom w:val="none" w:sz="0" w:space="0" w:color="auto"/>
        <w:right w:val="none" w:sz="0" w:space="0" w:color="auto"/>
      </w:divBdr>
    </w:div>
    <w:div w:id="303195306">
      <w:bodyDiv w:val="1"/>
      <w:marLeft w:val="0"/>
      <w:marRight w:val="0"/>
      <w:marTop w:val="0"/>
      <w:marBottom w:val="0"/>
      <w:divBdr>
        <w:top w:val="none" w:sz="0" w:space="0" w:color="auto"/>
        <w:left w:val="none" w:sz="0" w:space="0" w:color="auto"/>
        <w:bottom w:val="none" w:sz="0" w:space="0" w:color="auto"/>
        <w:right w:val="none" w:sz="0" w:space="0" w:color="auto"/>
      </w:divBdr>
    </w:div>
    <w:div w:id="368921190">
      <w:bodyDiv w:val="1"/>
      <w:marLeft w:val="0"/>
      <w:marRight w:val="0"/>
      <w:marTop w:val="0"/>
      <w:marBottom w:val="0"/>
      <w:divBdr>
        <w:top w:val="none" w:sz="0" w:space="0" w:color="auto"/>
        <w:left w:val="none" w:sz="0" w:space="0" w:color="auto"/>
        <w:bottom w:val="none" w:sz="0" w:space="0" w:color="auto"/>
        <w:right w:val="none" w:sz="0" w:space="0" w:color="auto"/>
      </w:divBdr>
    </w:div>
    <w:div w:id="507251195">
      <w:bodyDiv w:val="1"/>
      <w:marLeft w:val="0"/>
      <w:marRight w:val="0"/>
      <w:marTop w:val="0"/>
      <w:marBottom w:val="0"/>
      <w:divBdr>
        <w:top w:val="none" w:sz="0" w:space="0" w:color="auto"/>
        <w:left w:val="none" w:sz="0" w:space="0" w:color="auto"/>
        <w:bottom w:val="none" w:sz="0" w:space="0" w:color="auto"/>
        <w:right w:val="none" w:sz="0" w:space="0" w:color="auto"/>
      </w:divBdr>
      <w:divsChild>
        <w:div w:id="512499531">
          <w:marLeft w:val="0"/>
          <w:marRight w:val="0"/>
          <w:marTop w:val="0"/>
          <w:marBottom w:val="0"/>
          <w:divBdr>
            <w:top w:val="none" w:sz="0" w:space="0" w:color="auto"/>
            <w:left w:val="none" w:sz="0" w:space="0" w:color="auto"/>
            <w:bottom w:val="none" w:sz="0" w:space="0" w:color="auto"/>
            <w:right w:val="none" w:sz="0" w:space="0" w:color="auto"/>
          </w:divBdr>
        </w:div>
      </w:divsChild>
    </w:div>
    <w:div w:id="759914242">
      <w:bodyDiv w:val="1"/>
      <w:marLeft w:val="0"/>
      <w:marRight w:val="0"/>
      <w:marTop w:val="0"/>
      <w:marBottom w:val="0"/>
      <w:divBdr>
        <w:top w:val="none" w:sz="0" w:space="0" w:color="auto"/>
        <w:left w:val="none" w:sz="0" w:space="0" w:color="auto"/>
        <w:bottom w:val="none" w:sz="0" w:space="0" w:color="auto"/>
        <w:right w:val="none" w:sz="0" w:space="0" w:color="auto"/>
      </w:divBdr>
    </w:div>
    <w:div w:id="863442334">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024358674">
      <w:bodyDiv w:val="1"/>
      <w:marLeft w:val="0"/>
      <w:marRight w:val="0"/>
      <w:marTop w:val="0"/>
      <w:marBottom w:val="0"/>
      <w:divBdr>
        <w:top w:val="none" w:sz="0" w:space="0" w:color="auto"/>
        <w:left w:val="none" w:sz="0" w:space="0" w:color="auto"/>
        <w:bottom w:val="none" w:sz="0" w:space="0" w:color="auto"/>
        <w:right w:val="none" w:sz="0" w:space="0" w:color="auto"/>
      </w:divBdr>
    </w:div>
    <w:div w:id="1074011528">
      <w:bodyDiv w:val="1"/>
      <w:marLeft w:val="0"/>
      <w:marRight w:val="0"/>
      <w:marTop w:val="0"/>
      <w:marBottom w:val="0"/>
      <w:divBdr>
        <w:top w:val="none" w:sz="0" w:space="0" w:color="auto"/>
        <w:left w:val="none" w:sz="0" w:space="0" w:color="auto"/>
        <w:bottom w:val="none" w:sz="0" w:space="0" w:color="auto"/>
        <w:right w:val="none" w:sz="0" w:space="0" w:color="auto"/>
      </w:divBdr>
    </w:div>
    <w:div w:id="1439250167">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804805515">
      <w:bodyDiv w:val="1"/>
      <w:marLeft w:val="0"/>
      <w:marRight w:val="0"/>
      <w:marTop w:val="0"/>
      <w:marBottom w:val="0"/>
      <w:divBdr>
        <w:top w:val="none" w:sz="0" w:space="0" w:color="auto"/>
        <w:left w:val="none" w:sz="0" w:space="0" w:color="auto"/>
        <w:bottom w:val="none" w:sz="0" w:space="0" w:color="auto"/>
        <w:right w:val="none" w:sz="0" w:space="0" w:color="auto"/>
      </w:divBdr>
    </w:div>
    <w:div w:id="1887335558">
      <w:bodyDiv w:val="1"/>
      <w:marLeft w:val="0"/>
      <w:marRight w:val="0"/>
      <w:marTop w:val="0"/>
      <w:marBottom w:val="0"/>
      <w:divBdr>
        <w:top w:val="none" w:sz="0" w:space="0" w:color="auto"/>
        <w:left w:val="none" w:sz="0" w:space="0" w:color="auto"/>
        <w:bottom w:val="none" w:sz="0" w:space="0" w:color="auto"/>
        <w:right w:val="none" w:sz="0" w:space="0" w:color="auto"/>
      </w:divBdr>
    </w:div>
    <w:div w:id="1927298646">
      <w:bodyDiv w:val="1"/>
      <w:marLeft w:val="0"/>
      <w:marRight w:val="0"/>
      <w:marTop w:val="0"/>
      <w:marBottom w:val="0"/>
      <w:divBdr>
        <w:top w:val="none" w:sz="0" w:space="0" w:color="auto"/>
        <w:left w:val="none" w:sz="0" w:space="0" w:color="auto"/>
        <w:bottom w:val="none" w:sz="0" w:space="0" w:color="auto"/>
        <w:right w:val="none" w:sz="0" w:space="0" w:color="auto"/>
      </w:divBdr>
      <w:divsChild>
        <w:div w:id="1174145074">
          <w:marLeft w:val="0"/>
          <w:marRight w:val="0"/>
          <w:marTop w:val="0"/>
          <w:marBottom w:val="0"/>
          <w:divBdr>
            <w:top w:val="none" w:sz="0" w:space="0" w:color="auto"/>
            <w:left w:val="none" w:sz="0" w:space="0" w:color="auto"/>
            <w:bottom w:val="none" w:sz="0" w:space="0" w:color="auto"/>
            <w:right w:val="none" w:sz="0" w:space="0" w:color="auto"/>
          </w:divBdr>
        </w:div>
      </w:divsChild>
    </w:div>
    <w:div w:id="2015379511">
      <w:bodyDiv w:val="1"/>
      <w:marLeft w:val="0"/>
      <w:marRight w:val="0"/>
      <w:marTop w:val="0"/>
      <w:marBottom w:val="0"/>
      <w:divBdr>
        <w:top w:val="none" w:sz="0" w:space="0" w:color="auto"/>
        <w:left w:val="none" w:sz="0" w:space="0" w:color="auto"/>
        <w:bottom w:val="none" w:sz="0" w:space="0" w:color="auto"/>
        <w:right w:val="none" w:sz="0" w:space="0" w:color="auto"/>
      </w:divBdr>
    </w:div>
    <w:div w:id="212134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strategy-and-policy/policies/justice-and-fundamental-rights/upholding-rule-law/rule-law/annual-rule-law-cycle/2026-rule-law-repor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905</ap:Words>
  <ap:Characters>4978</ap:Characters>
  <ap:DocSecurity>0</ap:DocSecurity>
  <ap:Lines>41</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2026-09-04T14:34:00.0000000Z</dcterms:created>
  <dcterms:modified xsi:type="dcterms:W3CDTF">2026-09-04T14:34:00.0000000Z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0x0101009C7CE436063D44E9BE7DC0259EF7C32F006EB9F9836A634AE58B6169785FD3936F00217B40B85F561D42AA9161C69469867D</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1;#Informatie voorziening|8edfc6d5-9fe4-8b19-f842-4a06399853cd</vt:lpwstr>
  </property>
  <property fmtid="{D5CDD505-2E9C-101B-9397-08002B2CF9AE}" pid="11" name="DocumentSetDescription">
    <vt:lpwstr/>
  </property>
  <property fmtid="{D5CDD505-2E9C-101B-9397-08002B2CF9AE}" pid="12" name="BZCountryState">
    <vt:lpwstr>3;#The Netherlands|7f69a7bb-478c-499d-a6cf-5869916dfee4</vt:lpwstr>
  </property>
  <property fmtid="{D5CDD505-2E9C-101B-9397-08002B2CF9AE}" pid="13" name="_dlc_DocIdItemGuid">
    <vt:lpwstr>79ba4c33-2c7d-4116-a495-3b354b0540c2</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https://247.plaza.buzaservices.nl/subject/PV-RK2026072026/BZ2631560/GA%20RAZ.docx,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