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0B21" w:rsidR="00420B21" w:rsidP="00420B21" w:rsidRDefault="00420B21" w14:paraId="18567E91" w14:textId="77777777">
      <w:pPr>
        <w:pStyle w:val="Geenafstand"/>
        <w:rPr>
          <w:rFonts w:ascii="Verdana" w:hAnsi="Verdana"/>
          <w:b/>
          <w:bCs/>
          <w:sz w:val="18"/>
          <w:szCs w:val="18"/>
          <w:lang w:val="en-GB"/>
        </w:rPr>
      </w:pPr>
      <w:r w:rsidRPr="00420B21">
        <w:rPr>
          <w:rFonts w:ascii="Verdana" w:hAnsi="Verdana"/>
          <w:b/>
          <w:bCs/>
          <w:sz w:val="18"/>
          <w:szCs w:val="18"/>
          <w:lang w:val="en-GB"/>
        </w:rPr>
        <w:t xml:space="preserve">Written comments Kingdom of the Netherlands </w:t>
      </w:r>
    </w:p>
    <w:p w:rsidR="00420B21" w:rsidP="00420B21" w:rsidRDefault="00420B21" w14:paraId="49423E31" w14:textId="2220991E">
      <w:pPr>
        <w:pStyle w:val="Geenafstand"/>
        <w:rPr>
          <w:rFonts w:ascii="Verdana" w:hAnsi="Verdana"/>
          <w:b/>
          <w:bCs/>
          <w:sz w:val="18"/>
          <w:szCs w:val="18"/>
          <w:lang w:val="en-GB"/>
        </w:rPr>
      </w:pPr>
      <w:r w:rsidRPr="00420B21">
        <w:rPr>
          <w:rFonts w:ascii="Verdana" w:hAnsi="Verdana"/>
          <w:b/>
          <w:bCs/>
          <w:sz w:val="18"/>
          <w:szCs w:val="18"/>
          <w:lang w:val="en-GB"/>
        </w:rPr>
        <w:t xml:space="preserve">20 July 2026 Co-Lead’s draft of Protocol </w:t>
      </w:r>
      <w:r>
        <w:rPr>
          <w:rFonts w:ascii="Verdana" w:hAnsi="Verdana"/>
          <w:b/>
          <w:bCs/>
          <w:sz w:val="18"/>
          <w:szCs w:val="18"/>
          <w:lang w:val="en-GB"/>
        </w:rPr>
        <w:t>II</w:t>
      </w:r>
      <w:r w:rsidRPr="00420B21">
        <w:rPr>
          <w:rFonts w:ascii="Verdana" w:hAnsi="Verdana"/>
          <w:b/>
          <w:bCs/>
          <w:sz w:val="18"/>
          <w:szCs w:val="18"/>
          <w:lang w:val="en-GB"/>
        </w:rPr>
        <w:t xml:space="preserve"> to the Framework Convention</w:t>
      </w:r>
    </w:p>
    <w:p w:rsidR="00420B21" w:rsidP="00420B21" w:rsidRDefault="00420B21" w14:paraId="7D4515E6" w14:textId="77777777">
      <w:pPr>
        <w:pStyle w:val="Geenafstand"/>
        <w:rPr>
          <w:rFonts w:ascii="Verdana" w:hAnsi="Verdana"/>
          <w:b/>
          <w:bCs/>
          <w:sz w:val="18"/>
          <w:szCs w:val="18"/>
          <w:lang w:val="en-GB"/>
        </w:rPr>
      </w:pPr>
    </w:p>
    <w:p w:rsidRPr="00420B21" w:rsidR="00420B21" w:rsidP="00420B21" w:rsidRDefault="00420B21" w14:paraId="5DEC6F80" w14:textId="77777777">
      <w:pPr>
        <w:rPr>
          <w:u w:val="single"/>
          <w:lang w:val="en-GB"/>
        </w:rPr>
      </w:pPr>
      <w:r w:rsidRPr="00420B21">
        <w:rPr>
          <w:u w:val="single"/>
          <w:lang w:val="en-GB"/>
        </w:rPr>
        <w:t>Abstract</w:t>
      </w:r>
    </w:p>
    <w:p w:rsidR="00420B21" w:rsidP="004D3A2D" w:rsidRDefault="00420B21" w14:paraId="79ED1BF5" w14:textId="609FA49C">
      <w:pPr>
        <w:jc w:val="both"/>
        <w:rPr>
          <w:rFonts w:ascii="Verdana" w:hAnsi="Verdana"/>
          <w:sz w:val="18"/>
          <w:szCs w:val="18"/>
          <w:lang w:val="en-US"/>
        </w:rPr>
      </w:pPr>
      <w:r w:rsidRPr="00420B21">
        <w:rPr>
          <w:rFonts w:ascii="Verdana" w:hAnsi="Verdana"/>
          <w:sz w:val="18"/>
          <w:szCs w:val="18"/>
          <w:lang w:val="en-US"/>
        </w:rPr>
        <w:t xml:space="preserve">This written submission contains the comments from the Kingdom of the Netherlands on the 20 July 2026 </w:t>
      </w:r>
      <w:bookmarkStart w:name="_Hlk238119539" w:id="0"/>
      <w:r w:rsidRPr="00420B21">
        <w:rPr>
          <w:rFonts w:ascii="Verdana" w:hAnsi="Verdana"/>
          <w:sz w:val="18"/>
          <w:szCs w:val="18"/>
          <w:lang w:val="en-US"/>
        </w:rPr>
        <w:t xml:space="preserve">Co-Lead ‘s Draft Protocol on </w:t>
      </w:r>
      <w:bookmarkEnd w:id="0"/>
      <w:r w:rsidRPr="00420B21">
        <w:rPr>
          <w:rFonts w:ascii="Verdana" w:hAnsi="Verdana"/>
          <w:sz w:val="18"/>
          <w:szCs w:val="18"/>
          <w:lang w:val="en-US"/>
        </w:rPr>
        <w:t xml:space="preserve">the Prevention and Resolution of Tax Disputes. </w:t>
      </w:r>
      <w:r w:rsidR="004D3A2D">
        <w:rPr>
          <w:rFonts w:ascii="Verdana" w:hAnsi="Verdana"/>
          <w:sz w:val="18"/>
          <w:szCs w:val="18"/>
          <w:lang w:val="en-US"/>
        </w:rPr>
        <w:t xml:space="preserve">The Kingdom of the Netherlands expresses its appreciation for the work by the Secretariat and the co-leads in the preparation of this first draft and is committed to continue to work on improving mechanisms for the prevention and resolution of international tax disputes with a view to provide certainty to states and taxpayers alike. </w:t>
      </w:r>
      <w:r>
        <w:rPr>
          <w:rFonts w:ascii="Verdana" w:hAnsi="Verdana"/>
          <w:sz w:val="18"/>
          <w:szCs w:val="18"/>
          <w:lang w:val="en-US"/>
        </w:rPr>
        <w:t>In the following paragraphs we</w:t>
      </w:r>
      <w:r w:rsidRPr="00420B21">
        <w:rPr>
          <w:rFonts w:ascii="Verdana" w:hAnsi="Verdana"/>
          <w:sz w:val="18"/>
          <w:szCs w:val="18"/>
          <w:lang w:val="en-US"/>
        </w:rPr>
        <w:t xml:space="preserve"> include</w:t>
      </w:r>
      <w:r>
        <w:rPr>
          <w:rFonts w:ascii="Verdana" w:hAnsi="Verdana"/>
          <w:sz w:val="18"/>
          <w:szCs w:val="18"/>
          <w:lang w:val="en-US"/>
        </w:rPr>
        <w:t xml:space="preserve"> substantive</w:t>
      </w:r>
      <w:r w:rsidRPr="00420B21">
        <w:rPr>
          <w:rFonts w:ascii="Verdana" w:hAnsi="Verdana"/>
          <w:sz w:val="18"/>
          <w:szCs w:val="18"/>
          <w:lang w:val="en-US"/>
        </w:rPr>
        <w:t xml:space="preserve"> </w:t>
      </w:r>
      <w:r>
        <w:rPr>
          <w:rFonts w:ascii="Verdana" w:hAnsi="Verdana"/>
          <w:sz w:val="18"/>
          <w:szCs w:val="18"/>
          <w:lang w:val="en-US"/>
        </w:rPr>
        <w:t>Chapter-by-Chapter</w:t>
      </w:r>
      <w:r w:rsidRPr="00420B21">
        <w:rPr>
          <w:rFonts w:ascii="Verdana" w:hAnsi="Verdana"/>
          <w:sz w:val="18"/>
          <w:szCs w:val="18"/>
          <w:lang w:val="en-US"/>
        </w:rPr>
        <w:t xml:space="preserve"> comments </w:t>
      </w:r>
      <w:r>
        <w:rPr>
          <w:rFonts w:ascii="Verdana" w:hAnsi="Verdana"/>
          <w:sz w:val="18"/>
          <w:szCs w:val="18"/>
          <w:lang w:val="en-US"/>
        </w:rPr>
        <w:t>a</w:t>
      </w:r>
      <w:r w:rsidRPr="00420B21">
        <w:rPr>
          <w:rFonts w:ascii="Verdana" w:hAnsi="Verdana"/>
          <w:sz w:val="18"/>
          <w:szCs w:val="18"/>
          <w:lang w:val="en-US"/>
        </w:rPr>
        <w:t>nd suggestions.</w:t>
      </w:r>
      <w:r w:rsidR="004D3A2D">
        <w:rPr>
          <w:rFonts w:ascii="Verdana" w:hAnsi="Verdana"/>
          <w:sz w:val="18"/>
          <w:szCs w:val="18"/>
          <w:lang w:val="en-US"/>
        </w:rPr>
        <w:t xml:space="preserve"> These are intended to improve or further strengthen the functioning of the mechanisms and are not a valuation of the proposals from a broader perspective.  </w:t>
      </w:r>
    </w:p>
    <w:p w:rsidRPr="003F5D70" w:rsidR="00E24466" w:rsidP="00B0287E" w:rsidRDefault="00E24466" w14:paraId="457C0FA9" w14:textId="0618A135">
      <w:pPr>
        <w:pStyle w:val="Geenafstand"/>
        <w:jc w:val="center"/>
        <w:rPr>
          <w:rFonts w:ascii="Verdana" w:hAnsi="Verdana"/>
          <w:b/>
          <w:bCs/>
          <w:sz w:val="18"/>
          <w:szCs w:val="18"/>
          <w:u w:val="single"/>
          <w:lang w:val="en-US"/>
        </w:rPr>
      </w:pPr>
      <w:r w:rsidRPr="003F5D70">
        <w:rPr>
          <w:rFonts w:ascii="Verdana" w:hAnsi="Verdana"/>
          <w:b/>
          <w:bCs/>
          <w:sz w:val="18"/>
          <w:szCs w:val="18"/>
          <w:u w:val="single"/>
          <w:lang w:val="en-US"/>
        </w:rPr>
        <w:t>Chapter I – General provisions</w:t>
      </w:r>
    </w:p>
    <w:p w:rsidRPr="003F5D70" w:rsidR="00B0287E" w:rsidP="00E24466" w:rsidRDefault="00B0287E" w14:paraId="0D729D11" w14:textId="77777777">
      <w:pPr>
        <w:pStyle w:val="Geenafstand"/>
        <w:jc w:val="both"/>
        <w:rPr>
          <w:rFonts w:ascii="Verdana" w:hAnsi="Verdana"/>
          <w:sz w:val="18"/>
          <w:szCs w:val="18"/>
          <w:lang w:val="en-US"/>
        </w:rPr>
      </w:pPr>
    </w:p>
    <w:p w:rsidRPr="00F57880" w:rsidR="00F57880" w:rsidP="00F57880" w:rsidRDefault="00F57880" w14:paraId="5D78B393" w14:textId="404E79AB">
      <w:pPr>
        <w:pStyle w:val="Geenafstand"/>
        <w:jc w:val="both"/>
        <w:rPr>
          <w:rFonts w:ascii="Verdana" w:hAnsi="Verdana"/>
          <w:sz w:val="18"/>
          <w:szCs w:val="18"/>
          <w:lang w:val="en-US"/>
        </w:rPr>
      </w:pPr>
      <w:r w:rsidRPr="00F57880">
        <w:rPr>
          <w:rFonts w:ascii="Verdana" w:hAnsi="Verdana"/>
          <w:sz w:val="18"/>
          <w:szCs w:val="18"/>
          <w:lang w:val="en-US"/>
        </w:rPr>
        <w:t>Protocol II establishes a dedicated framework of technical and procedural rules for the prevention and resolution of international tax disputes. To support the consistent and practical application of its provisions and to reduce the need for users to consult multiple documents for key terminology, the Netherlands believes it would be beneficial for the Protocol to include a list of definitions for terms used throughout the text or, alternatively, clear cross-references to the provisions</w:t>
      </w:r>
      <w:r>
        <w:rPr>
          <w:rFonts w:ascii="Verdana" w:hAnsi="Verdana"/>
          <w:sz w:val="18"/>
          <w:szCs w:val="18"/>
          <w:lang w:val="en-US"/>
        </w:rPr>
        <w:t>/documents</w:t>
      </w:r>
      <w:r w:rsidRPr="00F57880">
        <w:rPr>
          <w:rFonts w:ascii="Verdana" w:hAnsi="Verdana"/>
          <w:sz w:val="18"/>
          <w:szCs w:val="18"/>
          <w:lang w:val="en-US"/>
        </w:rPr>
        <w:t xml:space="preserve"> in which those terms are defined.</w:t>
      </w:r>
    </w:p>
    <w:p w:rsidRPr="003F5D70" w:rsidR="00E24466" w:rsidP="00E24466" w:rsidRDefault="00E24466" w14:paraId="02F9BCB6" w14:textId="77777777">
      <w:pPr>
        <w:pStyle w:val="Geenafstand"/>
        <w:jc w:val="both"/>
        <w:rPr>
          <w:rFonts w:ascii="Verdana" w:hAnsi="Verdana"/>
          <w:sz w:val="18"/>
          <w:szCs w:val="18"/>
          <w:lang w:val="en-US"/>
        </w:rPr>
      </w:pPr>
    </w:p>
    <w:p w:rsidRPr="00F57880" w:rsidR="00F57880" w:rsidP="00F57880" w:rsidRDefault="00F57880" w14:paraId="0AB093FE" w14:textId="77777777">
      <w:pPr>
        <w:pStyle w:val="Geenafstand"/>
        <w:jc w:val="both"/>
        <w:rPr>
          <w:rFonts w:ascii="Verdana" w:hAnsi="Verdana"/>
          <w:sz w:val="18"/>
          <w:szCs w:val="18"/>
          <w:lang w:val="en-US"/>
        </w:rPr>
      </w:pPr>
      <w:r w:rsidRPr="00F57880">
        <w:rPr>
          <w:rFonts w:ascii="Verdana" w:hAnsi="Verdana"/>
          <w:sz w:val="18"/>
          <w:szCs w:val="18"/>
          <w:lang w:val="en-US"/>
        </w:rPr>
        <w:t>While recognizing that the definitions of several terms remain under discussion within the Framework Convention and Protocol I, the Netherlands considers that further consideration could be given to defining, or refining the definitions of, the following terms within Protocol II:</w:t>
      </w:r>
    </w:p>
    <w:p w:rsidRPr="003F5D70" w:rsidR="00223270" w:rsidP="00E24466" w:rsidRDefault="00223270" w14:paraId="20F12C20" w14:textId="77777777">
      <w:pPr>
        <w:pStyle w:val="Geenafstand"/>
        <w:jc w:val="both"/>
        <w:rPr>
          <w:rFonts w:ascii="Verdana" w:hAnsi="Verdana"/>
          <w:sz w:val="18"/>
          <w:szCs w:val="18"/>
          <w:lang w:val="en-US"/>
        </w:rPr>
      </w:pPr>
    </w:p>
    <w:p w:rsidRPr="00F57880" w:rsidR="00F57880" w:rsidP="00894D89" w:rsidRDefault="00223270" w14:paraId="27B2316A" w14:textId="7A4EE852">
      <w:pPr>
        <w:numPr>
          <w:ilvl w:val="0"/>
          <w:numId w:val="4"/>
        </w:numPr>
        <w:spacing w:after="0" w:line="240" w:lineRule="auto"/>
        <w:jc w:val="both"/>
        <w:rPr>
          <w:rFonts w:ascii="Verdana" w:hAnsi="Verdana"/>
          <w:sz w:val="18"/>
          <w:szCs w:val="18"/>
          <w:lang w:val="en-US"/>
        </w:rPr>
      </w:pPr>
      <w:r w:rsidRPr="00F57880">
        <w:rPr>
          <w:rFonts w:ascii="Verdana" w:hAnsi="Verdana"/>
          <w:i/>
          <w:iCs/>
          <w:sz w:val="18"/>
          <w:szCs w:val="18"/>
          <w:lang w:val="en-US"/>
        </w:rPr>
        <w:t>Person</w:t>
      </w:r>
      <w:r w:rsidRPr="00F57880">
        <w:rPr>
          <w:rFonts w:ascii="Verdana" w:hAnsi="Verdana"/>
          <w:sz w:val="18"/>
          <w:szCs w:val="18"/>
          <w:lang w:val="en-US"/>
        </w:rPr>
        <w:t xml:space="preserve">: </w:t>
      </w:r>
      <w:r w:rsidR="00F57880">
        <w:rPr>
          <w:rFonts w:ascii="Verdana" w:hAnsi="Verdana"/>
          <w:sz w:val="18"/>
          <w:szCs w:val="18"/>
          <w:lang w:val="en-US"/>
        </w:rPr>
        <w:t>c</w:t>
      </w:r>
      <w:r w:rsidRPr="00F57880" w:rsidR="00F57880">
        <w:rPr>
          <w:rFonts w:ascii="Verdana" w:hAnsi="Verdana"/>
          <w:sz w:val="18"/>
          <w:szCs w:val="18"/>
          <w:lang w:val="en-US"/>
        </w:rPr>
        <w:t>hapter II currently refers to the term “taxpayer.” As this term is not defined in the Protocol and differs from the terminology commonly used in bilateral tax conventions, which generally refer to a “person” (as is also the case in Chapter III</w:t>
      </w:r>
      <w:r w:rsidR="00F57880">
        <w:rPr>
          <w:rFonts w:ascii="Verdana" w:hAnsi="Verdana"/>
          <w:sz w:val="18"/>
          <w:szCs w:val="18"/>
          <w:lang w:val="en-US"/>
        </w:rPr>
        <w:t xml:space="preserve"> of this protocol</w:t>
      </w:r>
      <w:r w:rsidRPr="00F57880" w:rsidR="00F57880">
        <w:rPr>
          <w:rFonts w:ascii="Verdana" w:hAnsi="Verdana"/>
          <w:sz w:val="18"/>
          <w:szCs w:val="18"/>
          <w:lang w:val="en-US"/>
        </w:rPr>
        <w:t xml:space="preserve">), the Netherlands would suggest considering the use of the term “person” throughout the Protocol. This would promote consistency with existing treaty practice and may help avoid differing interpretations regarding the </w:t>
      </w:r>
      <w:proofErr w:type="gramStart"/>
      <w:r w:rsidRPr="00F57880" w:rsidR="00F57880">
        <w:rPr>
          <w:rFonts w:ascii="Verdana" w:hAnsi="Verdana"/>
          <w:sz w:val="18"/>
          <w:szCs w:val="18"/>
          <w:lang w:val="en-US"/>
        </w:rPr>
        <w:t>persons</w:t>
      </w:r>
      <w:proofErr w:type="gramEnd"/>
      <w:r w:rsidRPr="00F57880" w:rsidR="00F57880">
        <w:rPr>
          <w:rFonts w:ascii="Verdana" w:hAnsi="Verdana"/>
          <w:sz w:val="18"/>
          <w:szCs w:val="18"/>
          <w:lang w:val="en-US"/>
        </w:rPr>
        <w:t xml:space="preserve"> eligible to access the mechanisms provided by the Protocol.</w:t>
      </w:r>
    </w:p>
    <w:p w:rsidRPr="00F57880" w:rsidR="00F57880" w:rsidP="00894D89" w:rsidRDefault="00223270" w14:paraId="55B40A7E" w14:textId="0A372A5B">
      <w:pPr>
        <w:numPr>
          <w:ilvl w:val="0"/>
          <w:numId w:val="4"/>
        </w:numPr>
        <w:spacing w:after="0" w:line="240" w:lineRule="auto"/>
        <w:jc w:val="both"/>
        <w:rPr>
          <w:rFonts w:ascii="Verdana" w:hAnsi="Verdana"/>
          <w:sz w:val="18"/>
          <w:szCs w:val="18"/>
          <w:lang w:val="en-US"/>
        </w:rPr>
      </w:pPr>
      <w:r w:rsidRPr="00F57880">
        <w:rPr>
          <w:rFonts w:ascii="Verdana" w:hAnsi="Verdana"/>
          <w:i/>
          <w:iCs/>
          <w:sz w:val="18"/>
          <w:szCs w:val="18"/>
          <w:lang w:val="en-US"/>
        </w:rPr>
        <w:t>Applicable tax instrument</w:t>
      </w:r>
      <w:r w:rsidRPr="00F57880">
        <w:rPr>
          <w:rFonts w:ascii="Verdana" w:hAnsi="Verdana"/>
          <w:sz w:val="18"/>
          <w:szCs w:val="18"/>
          <w:lang w:val="en-US"/>
        </w:rPr>
        <w:t xml:space="preserve">: the </w:t>
      </w:r>
      <w:r w:rsidRPr="00F57880" w:rsidR="00F57880">
        <w:rPr>
          <w:rFonts w:ascii="Verdana" w:hAnsi="Verdana"/>
          <w:sz w:val="18"/>
          <w:szCs w:val="18"/>
          <w:lang w:val="en-US"/>
        </w:rPr>
        <w:t>current definition does not explicitly indicate the category of instrument to which it applies. While it can be inferred from the procedural scope of the Protocol that income tax treaties are primarily intended, it may be helpful to specify this expressly. Such clarification could contribute to greater certainty regarding the intended scope of application and avoid uncertainty as to whether other tax-related agreements, such as those relating to international shipping or air transport, are also covered.</w:t>
      </w:r>
    </w:p>
    <w:p w:rsidRPr="00F57880" w:rsidR="00F57880" w:rsidP="00894D89" w:rsidRDefault="00E24466" w14:paraId="1E22DF79" w14:textId="70C7622C">
      <w:pPr>
        <w:pStyle w:val="Geenafstand"/>
        <w:numPr>
          <w:ilvl w:val="0"/>
          <w:numId w:val="3"/>
        </w:numPr>
        <w:jc w:val="both"/>
        <w:rPr>
          <w:rFonts w:ascii="Verdana" w:hAnsi="Verdana"/>
          <w:sz w:val="18"/>
          <w:szCs w:val="18"/>
          <w:lang w:val="en-US"/>
        </w:rPr>
      </w:pPr>
      <w:r w:rsidRPr="003F5D70">
        <w:rPr>
          <w:rFonts w:ascii="Verdana" w:hAnsi="Verdana"/>
          <w:i/>
          <w:iCs/>
          <w:sz w:val="18"/>
          <w:szCs w:val="18"/>
          <w:lang w:val="en-US"/>
        </w:rPr>
        <w:t>Competent authority</w:t>
      </w:r>
      <w:r w:rsidRPr="003F5D70">
        <w:rPr>
          <w:rFonts w:ascii="Verdana" w:hAnsi="Verdana"/>
          <w:sz w:val="18"/>
          <w:szCs w:val="18"/>
          <w:lang w:val="en-US"/>
        </w:rPr>
        <w:t xml:space="preserve">: </w:t>
      </w:r>
      <w:r w:rsidR="00F57880">
        <w:rPr>
          <w:rFonts w:ascii="Verdana" w:hAnsi="Verdana"/>
          <w:sz w:val="18"/>
          <w:szCs w:val="18"/>
          <w:lang w:val="en-US"/>
        </w:rPr>
        <w:t>a</w:t>
      </w:r>
      <w:r w:rsidRPr="00F57880" w:rsidR="00F57880">
        <w:rPr>
          <w:rFonts w:ascii="Verdana" w:hAnsi="Verdana"/>
          <w:sz w:val="18"/>
          <w:szCs w:val="18"/>
          <w:lang w:val="en-US"/>
        </w:rPr>
        <w:t>s different governmental bodies may be designated as the competent authority for different procedures and functions, the Netherlands considers that a definition of this term would be useful. In line with the approach generally adopted in bilateral tax treaties, a broad definition, such as the Minister or an authorized representative, would provide States with sufficient flexibility to designate the appropriate agency or department for the purposes of Protocol II. Such an approach may also help avoid practical difficulties that could arise from organizational restructuring or personnel changes.</w:t>
      </w:r>
    </w:p>
    <w:p w:rsidRPr="003F5D70" w:rsidR="00F57880" w:rsidP="00E24466" w:rsidRDefault="00F57880" w14:paraId="00967591" w14:textId="77777777">
      <w:pPr>
        <w:pStyle w:val="Geenafstand"/>
        <w:jc w:val="both"/>
        <w:rPr>
          <w:rFonts w:ascii="Verdana" w:hAnsi="Verdana"/>
          <w:sz w:val="18"/>
          <w:szCs w:val="18"/>
          <w:lang w:val="en-US"/>
        </w:rPr>
      </w:pPr>
    </w:p>
    <w:p w:rsidRPr="003F5D70" w:rsidR="00B0287E" w:rsidP="00E24466" w:rsidRDefault="00B0287E" w14:paraId="062EBAF8" w14:textId="77777777">
      <w:pPr>
        <w:pStyle w:val="Geenafstand"/>
        <w:jc w:val="both"/>
        <w:rPr>
          <w:rFonts w:ascii="Verdana" w:hAnsi="Verdana"/>
          <w:sz w:val="18"/>
          <w:szCs w:val="18"/>
          <w:lang w:val="en-US"/>
        </w:rPr>
      </w:pPr>
    </w:p>
    <w:p w:rsidRPr="003F5D70" w:rsidR="00E24466" w:rsidP="00B0287E" w:rsidRDefault="00E24466" w14:paraId="488AD343" w14:textId="5B21EEA7">
      <w:pPr>
        <w:pStyle w:val="Geenafstand"/>
        <w:jc w:val="center"/>
        <w:rPr>
          <w:rFonts w:ascii="Verdana" w:hAnsi="Verdana"/>
          <w:b/>
          <w:bCs/>
          <w:sz w:val="18"/>
          <w:szCs w:val="18"/>
          <w:u w:val="single"/>
          <w:lang w:val="en-US"/>
        </w:rPr>
      </w:pPr>
      <w:r w:rsidRPr="003F5D70">
        <w:rPr>
          <w:rFonts w:ascii="Verdana" w:hAnsi="Verdana"/>
          <w:b/>
          <w:bCs/>
          <w:sz w:val="18"/>
          <w:szCs w:val="18"/>
          <w:u w:val="single"/>
          <w:lang w:val="en-US"/>
        </w:rPr>
        <w:t>Chapter II</w:t>
      </w:r>
      <w:r w:rsidRPr="003F5D70" w:rsidR="00CE1948">
        <w:rPr>
          <w:rFonts w:ascii="Verdana" w:hAnsi="Verdana"/>
          <w:b/>
          <w:bCs/>
          <w:sz w:val="18"/>
          <w:szCs w:val="18"/>
          <w:u w:val="single"/>
          <w:lang w:val="en-US"/>
        </w:rPr>
        <w:t xml:space="preserve"> – Prevention of tax disputes</w:t>
      </w:r>
    </w:p>
    <w:p w:rsidRPr="003F5D70" w:rsidR="00B0287E" w:rsidP="00E24466" w:rsidRDefault="00B0287E" w14:paraId="02BCB4F6" w14:textId="77777777">
      <w:pPr>
        <w:pStyle w:val="Geenafstand"/>
        <w:jc w:val="both"/>
        <w:rPr>
          <w:rFonts w:ascii="Verdana" w:hAnsi="Verdana"/>
          <w:sz w:val="18"/>
          <w:szCs w:val="18"/>
          <w:u w:val="single"/>
          <w:lang w:val="en-US"/>
        </w:rPr>
      </w:pPr>
    </w:p>
    <w:p w:rsidRPr="003F5D70" w:rsidR="00CE1948" w:rsidP="00E24466" w:rsidRDefault="00CE1948" w14:paraId="47C9795E" w14:textId="49C76D66">
      <w:pPr>
        <w:pStyle w:val="Geenafstand"/>
        <w:jc w:val="both"/>
        <w:rPr>
          <w:rFonts w:ascii="Verdana" w:hAnsi="Verdana"/>
          <w:b/>
          <w:bCs/>
          <w:sz w:val="18"/>
          <w:szCs w:val="18"/>
          <w:lang w:val="en-US"/>
        </w:rPr>
      </w:pPr>
      <w:r w:rsidRPr="003F5D70">
        <w:rPr>
          <w:rFonts w:ascii="Verdana" w:hAnsi="Verdana"/>
          <w:b/>
          <w:bCs/>
          <w:sz w:val="18"/>
          <w:szCs w:val="18"/>
          <w:lang w:val="en-US"/>
        </w:rPr>
        <w:t>Article II.1 – Bilateral and multilateral advance pricing arrangements</w:t>
      </w:r>
    </w:p>
    <w:p w:rsidRPr="003F5D70" w:rsidR="00B0287E" w:rsidP="00B0287E" w:rsidRDefault="00CE1948" w14:paraId="7B738CDC" w14:textId="7C1FD329">
      <w:pPr>
        <w:pStyle w:val="Geenafstand"/>
        <w:jc w:val="both"/>
        <w:rPr>
          <w:rFonts w:ascii="Verdana" w:hAnsi="Verdana"/>
          <w:sz w:val="18"/>
          <w:szCs w:val="18"/>
          <w:u w:val="single"/>
          <w:lang w:val="en-US"/>
        </w:rPr>
      </w:pPr>
      <w:r w:rsidRPr="003F5D70">
        <w:rPr>
          <w:rFonts w:ascii="Verdana" w:hAnsi="Verdana"/>
          <w:sz w:val="18"/>
          <w:szCs w:val="18"/>
          <w:u w:val="single"/>
          <w:lang w:val="en-US"/>
        </w:rPr>
        <w:t>Paragraph 1</w:t>
      </w:r>
    </w:p>
    <w:p w:rsidRPr="00F57880" w:rsidR="00F57880" w:rsidP="00F57880" w:rsidRDefault="00F57880" w14:paraId="28E5A485" w14:textId="4E7666FC">
      <w:pPr>
        <w:pStyle w:val="Geenafstand"/>
        <w:jc w:val="both"/>
        <w:rPr>
          <w:rFonts w:ascii="Verdana" w:hAnsi="Verdana"/>
          <w:sz w:val="18"/>
          <w:szCs w:val="18"/>
          <w:lang w:val="en-US"/>
        </w:rPr>
      </w:pPr>
      <w:r w:rsidRPr="00F57880">
        <w:rPr>
          <w:rFonts w:ascii="Verdana" w:hAnsi="Verdana"/>
          <w:sz w:val="18"/>
          <w:szCs w:val="18"/>
          <w:lang w:val="en-US"/>
        </w:rPr>
        <w:t xml:space="preserve">The Netherlands notes that the term “transfer pricing issues” is not defined in the Protocol and is not a term typically used in transfer pricing practice. To enhance clarity and consistency, </w:t>
      </w:r>
      <w:r w:rsidR="007375A1">
        <w:rPr>
          <w:rFonts w:ascii="Verdana" w:hAnsi="Verdana"/>
          <w:sz w:val="18"/>
          <w:szCs w:val="18"/>
          <w:lang w:val="en-US"/>
        </w:rPr>
        <w:t xml:space="preserve">we suggest </w:t>
      </w:r>
      <w:proofErr w:type="gramStart"/>
      <w:r w:rsidR="007375A1">
        <w:rPr>
          <w:rFonts w:ascii="Verdana" w:hAnsi="Verdana"/>
          <w:sz w:val="18"/>
          <w:szCs w:val="18"/>
          <w:lang w:val="en-US"/>
        </w:rPr>
        <w:t>to replace</w:t>
      </w:r>
      <w:proofErr w:type="gramEnd"/>
      <w:r w:rsidR="007375A1">
        <w:rPr>
          <w:rFonts w:ascii="Verdana" w:hAnsi="Verdana"/>
          <w:sz w:val="18"/>
          <w:szCs w:val="18"/>
          <w:lang w:val="en-US"/>
        </w:rPr>
        <w:t xml:space="preserve"> the wording</w:t>
      </w:r>
      <w:r w:rsidRPr="00F57880">
        <w:rPr>
          <w:rFonts w:ascii="Verdana" w:hAnsi="Verdana"/>
          <w:sz w:val="18"/>
          <w:szCs w:val="18"/>
          <w:lang w:val="en-US"/>
        </w:rPr>
        <w:t>:</w:t>
      </w:r>
    </w:p>
    <w:p w:rsidRPr="003F5D70" w:rsidR="00CE1948" w:rsidP="00CE1948" w:rsidRDefault="00CE1948" w14:paraId="16DABE8D" w14:textId="77777777">
      <w:pPr>
        <w:pStyle w:val="Geenafstand"/>
        <w:ind w:left="360"/>
        <w:jc w:val="both"/>
        <w:rPr>
          <w:rFonts w:ascii="Verdana" w:hAnsi="Verdana"/>
          <w:sz w:val="18"/>
          <w:szCs w:val="18"/>
          <w:lang w:val="en-US"/>
        </w:rPr>
      </w:pPr>
    </w:p>
    <w:p w:rsidRPr="003F5D70" w:rsidR="00CE1948" w:rsidP="00143CDB" w:rsidRDefault="007375A1" w14:paraId="398272A3" w14:textId="2F59B32E">
      <w:pPr>
        <w:pStyle w:val="Geenafstand"/>
        <w:ind w:left="709"/>
        <w:jc w:val="both"/>
        <w:rPr>
          <w:rFonts w:ascii="Verdana" w:hAnsi="Verdana"/>
          <w:i/>
          <w:iCs/>
          <w:sz w:val="18"/>
          <w:szCs w:val="18"/>
          <w:lang w:val="en-US"/>
        </w:rPr>
      </w:pPr>
      <w:r>
        <w:rPr>
          <w:rFonts w:ascii="Verdana" w:hAnsi="Verdana"/>
          <w:i/>
          <w:iCs/>
          <w:sz w:val="18"/>
          <w:szCs w:val="18"/>
          <w:lang w:val="en-US"/>
        </w:rPr>
        <w:t>“</w:t>
      </w:r>
      <w:r w:rsidRPr="003F5D70" w:rsidR="00CE1948">
        <w:rPr>
          <w:rFonts w:ascii="Verdana" w:hAnsi="Verdana"/>
          <w:i/>
          <w:iCs/>
          <w:sz w:val="18"/>
          <w:szCs w:val="18"/>
          <w:lang w:val="en-US"/>
        </w:rPr>
        <w:t xml:space="preserve">Where a </w:t>
      </w:r>
      <w:r w:rsidRPr="003F5D70" w:rsidR="00CE1948">
        <w:rPr>
          <w:rFonts w:ascii="Verdana" w:hAnsi="Verdana"/>
          <w:i/>
          <w:iCs/>
          <w:strike/>
          <w:color w:val="FF0000"/>
          <w:sz w:val="18"/>
          <w:szCs w:val="18"/>
          <w:lang w:val="en-US"/>
        </w:rPr>
        <w:t>taxpayer that</w:t>
      </w:r>
      <w:r w:rsidRPr="003F5D70" w:rsidR="00CE1948">
        <w:rPr>
          <w:rFonts w:ascii="Verdana" w:hAnsi="Verdana"/>
          <w:i/>
          <w:iCs/>
          <w:color w:val="FF0000"/>
          <w:sz w:val="18"/>
          <w:szCs w:val="18"/>
          <w:lang w:val="en-US"/>
        </w:rPr>
        <w:t xml:space="preserve"> person </w:t>
      </w:r>
      <w:r w:rsidRPr="003F5D70" w:rsidR="00CE1948">
        <w:rPr>
          <w:rFonts w:ascii="Verdana" w:hAnsi="Verdana"/>
          <w:i/>
          <w:iCs/>
          <w:sz w:val="18"/>
          <w:szCs w:val="18"/>
          <w:lang w:val="en-US"/>
        </w:rPr>
        <w:t xml:space="preserve">is, or </w:t>
      </w:r>
      <w:r w:rsidRPr="003F5D70" w:rsidR="00CE1948">
        <w:rPr>
          <w:rFonts w:ascii="Verdana" w:hAnsi="Verdana"/>
          <w:i/>
          <w:iCs/>
          <w:strike/>
          <w:color w:val="FF0000"/>
          <w:sz w:val="18"/>
          <w:szCs w:val="18"/>
          <w:lang w:val="en-US"/>
        </w:rPr>
        <w:t>taxpayers that</w:t>
      </w:r>
      <w:r w:rsidRPr="003F5D70" w:rsidR="00CE1948">
        <w:rPr>
          <w:rFonts w:ascii="Verdana" w:hAnsi="Verdana"/>
          <w:i/>
          <w:iCs/>
          <w:color w:val="FF0000"/>
          <w:sz w:val="18"/>
          <w:szCs w:val="18"/>
          <w:lang w:val="en-US"/>
        </w:rPr>
        <w:t xml:space="preserve"> person </w:t>
      </w:r>
      <w:r w:rsidRPr="003F5D70" w:rsidR="00CE1948">
        <w:rPr>
          <w:rFonts w:ascii="Verdana" w:hAnsi="Verdana"/>
          <w:i/>
          <w:iCs/>
          <w:sz w:val="18"/>
          <w:szCs w:val="18"/>
          <w:lang w:val="en-US"/>
        </w:rPr>
        <w:t xml:space="preserve">are, party to specified transactions or arrangements </w:t>
      </w:r>
      <w:r w:rsidRPr="003F5D70" w:rsidR="00CE1948">
        <w:rPr>
          <w:rFonts w:ascii="Verdana" w:hAnsi="Verdana"/>
          <w:i/>
          <w:iCs/>
          <w:color w:val="FF0000"/>
          <w:sz w:val="18"/>
          <w:szCs w:val="18"/>
          <w:lang w:val="en-US"/>
        </w:rPr>
        <w:t xml:space="preserve">with another associated enterprise or enterprises, </w:t>
      </w:r>
      <w:r w:rsidRPr="003F5D70" w:rsidR="00CE1948">
        <w:rPr>
          <w:rFonts w:ascii="Verdana" w:hAnsi="Verdana"/>
          <w:i/>
          <w:iCs/>
          <w:sz w:val="18"/>
          <w:szCs w:val="18"/>
          <w:lang w:val="en-US"/>
        </w:rPr>
        <w:t xml:space="preserve">seeks advance certainty as to the </w:t>
      </w:r>
      <w:r w:rsidRPr="003F5D70" w:rsidR="00CE1948">
        <w:rPr>
          <w:rFonts w:ascii="Verdana" w:hAnsi="Verdana"/>
          <w:i/>
          <w:iCs/>
          <w:strike/>
          <w:color w:val="FF0000"/>
          <w:sz w:val="18"/>
          <w:szCs w:val="18"/>
          <w:lang w:val="en-US"/>
        </w:rPr>
        <w:t xml:space="preserve">transfer </w:t>
      </w:r>
      <w:r w:rsidRPr="003F5D70" w:rsidR="00CE1948">
        <w:rPr>
          <w:rFonts w:ascii="Verdana" w:hAnsi="Verdana"/>
          <w:i/>
          <w:iCs/>
          <w:sz w:val="18"/>
          <w:szCs w:val="18"/>
          <w:lang w:val="en-US"/>
        </w:rPr>
        <w:t xml:space="preserve">pricing </w:t>
      </w:r>
      <w:r w:rsidRPr="003F5D70" w:rsidR="00CE1948">
        <w:rPr>
          <w:rFonts w:ascii="Verdana" w:hAnsi="Verdana"/>
          <w:i/>
          <w:iCs/>
          <w:strike/>
          <w:color w:val="FF0000"/>
          <w:sz w:val="18"/>
          <w:szCs w:val="18"/>
          <w:lang w:val="en-US"/>
        </w:rPr>
        <w:t xml:space="preserve">treatment </w:t>
      </w:r>
      <w:r w:rsidRPr="003F5D70" w:rsidR="00CE1948">
        <w:rPr>
          <w:rFonts w:ascii="Verdana" w:hAnsi="Verdana"/>
          <w:i/>
          <w:iCs/>
          <w:sz w:val="18"/>
          <w:szCs w:val="18"/>
          <w:lang w:val="en-US"/>
        </w:rPr>
        <w:t xml:space="preserve">of those transactions or arrangements for specified taxable periods, that </w:t>
      </w:r>
      <w:r w:rsidRPr="003F5D70" w:rsidR="00CE1948">
        <w:rPr>
          <w:rFonts w:ascii="Verdana" w:hAnsi="Verdana"/>
          <w:i/>
          <w:iCs/>
          <w:strike/>
          <w:color w:val="FF0000"/>
          <w:sz w:val="18"/>
          <w:szCs w:val="18"/>
          <w:lang w:val="en-US"/>
        </w:rPr>
        <w:t xml:space="preserve">taxpayer </w:t>
      </w:r>
      <w:r w:rsidRPr="003F5D70" w:rsidR="00CE1948">
        <w:rPr>
          <w:rFonts w:ascii="Verdana" w:hAnsi="Verdana"/>
          <w:i/>
          <w:iCs/>
          <w:color w:val="FF0000"/>
          <w:sz w:val="18"/>
          <w:szCs w:val="18"/>
          <w:lang w:val="en-US"/>
        </w:rPr>
        <w:t xml:space="preserve">person </w:t>
      </w:r>
      <w:r w:rsidRPr="003F5D70" w:rsidR="00CE1948">
        <w:rPr>
          <w:rFonts w:ascii="Verdana" w:hAnsi="Verdana"/>
          <w:i/>
          <w:iCs/>
          <w:sz w:val="18"/>
          <w:szCs w:val="18"/>
          <w:lang w:val="en-US"/>
        </w:rPr>
        <w:t xml:space="preserve">or those </w:t>
      </w:r>
      <w:r w:rsidRPr="003F5D70" w:rsidR="00CE1948">
        <w:rPr>
          <w:rFonts w:ascii="Verdana" w:hAnsi="Verdana"/>
          <w:i/>
          <w:iCs/>
          <w:strike/>
          <w:color w:val="FF0000"/>
          <w:sz w:val="18"/>
          <w:szCs w:val="18"/>
          <w:lang w:val="en-US"/>
        </w:rPr>
        <w:t xml:space="preserve">taxpayers </w:t>
      </w:r>
      <w:r w:rsidRPr="003F5D70" w:rsidR="00CE1948">
        <w:rPr>
          <w:rFonts w:ascii="Verdana" w:hAnsi="Verdana"/>
          <w:i/>
          <w:iCs/>
          <w:color w:val="FF0000"/>
          <w:sz w:val="18"/>
          <w:szCs w:val="18"/>
          <w:lang w:val="en-US"/>
        </w:rPr>
        <w:t xml:space="preserve">persons </w:t>
      </w:r>
      <w:r w:rsidRPr="003F5D70" w:rsidR="00CE1948">
        <w:rPr>
          <w:rFonts w:ascii="Verdana" w:hAnsi="Verdana"/>
          <w:i/>
          <w:iCs/>
          <w:sz w:val="18"/>
          <w:szCs w:val="18"/>
          <w:lang w:val="en-US"/>
        </w:rPr>
        <w:t>may request a bilateral or multilateral advance pricing arrangement under this Article by submitting a request to the competent authority of each Party for which the arrangement is sought.</w:t>
      </w:r>
      <w:r>
        <w:rPr>
          <w:rFonts w:ascii="Verdana" w:hAnsi="Verdana"/>
          <w:i/>
          <w:iCs/>
          <w:sz w:val="18"/>
          <w:szCs w:val="18"/>
          <w:lang w:val="en-US"/>
        </w:rPr>
        <w:t>”</w:t>
      </w:r>
    </w:p>
    <w:p w:rsidRPr="003F5D70" w:rsidR="00CE1948" w:rsidP="00B0287E" w:rsidRDefault="00CE1948" w14:paraId="3075999A" w14:textId="77777777">
      <w:pPr>
        <w:pStyle w:val="Geenafstand"/>
        <w:jc w:val="both"/>
        <w:rPr>
          <w:rFonts w:ascii="Verdana" w:hAnsi="Verdana"/>
          <w:sz w:val="18"/>
          <w:szCs w:val="18"/>
          <w:lang w:val="en-US"/>
        </w:rPr>
      </w:pPr>
    </w:p>
    <w:p w:rsidRPr="00F57880" w:rsidR="00F57880" w:rsidP="00F57880" w:rsidRDefault="007375A1" w14:paraId="1FBB08AD" w14:textId="513C393C">
      <w:pPr>
        <w:pStyle w:val="Geenafstand"/>
        <w:jc w:val="both"/>
        <w:rPr>
          <w:b/>
          <w:bCs/>
          <w:lang w:val="en-US"/>
        </w:rPr>
      </w:pPr>
      <w:r>
        <w:rPr>
          <w:rFonts w:ascii="Verdana" w:hAnsi="Verdana"/>
          <w:sz w:val="18"/>
          <w:szCs w:val="18"/>
          <w:lang w:val="en-US"/>
        </w:rPr>
        <w:lastRenderedPageBreak/>
        <w:t xml:space="preserve">Furthermore, </w:t>
      </w:r>
      <w:r w:rsidRPr="00F57880" w:rsidR="00F57880">
        <w:rPr>
          <w:rFonts w:ascii="Verdana" w:hAnsi="Verdana"/>
          <w:sz w:val="18"/>
          <w:szCs w:val="18"/>
          <w:lang w:val="en-US"/>
        </w:rPr>
        <w:t>references to “transfer pricing issues” also appear in Article II.1(3)(d), Article II.2(1), and Article II.3(1) and (3). Consideration may be given to ensuring consistent terminology throughout the Protocol.</w:t>
      </w:r>
    </w:p>
    <w:p w:rsidR="00143CDB" w:rsidP="00B0287E" w:rsidRDefault="00143CDB" w14:paraId="040BDA5E" w14:textId="77777777">
      <w:pPr>
        <w:pStyle w:val="Geenafstand"/>
        <w:jc w:val="both"/>
        <w:rPr>
          <w:rFonts w:ascii="Verdana" w:hAnsi="Verdana"/>
          <w:sz w:val="18"/>
          <w:szCs w:val="18"/>
          <w:u w:val="single"/>
          <w:lang w:val="en-US"/>
        </w:rPr>
      </w:pPr>
    </w:p>
    <w:p w:rsidRPr="003F5D70" w:rsidR="00B0287E" w:rsidP="00B0287E" w:rsidRDefault="00B0287E" w14:paraId="66026AD6" w14:textId="5B55C24D">
      <w:pPr>
        <w:pStyle w:val="Geenafstand"/>
        <w:jc w:val="both"/>
        <w:rPr>
          <w:rFonts w:ascii="Verdana" w:hAnsi="Verdana"/>
          <w:sz w:val="18"/>
          <w:szCs w:val="18"/>
          <w:u w:val="single"/>
          <w:lang w:val="en-US"/>
        </w:rPr>
      </w:pPr>
      <w:r w:rsidRPr="003F5D70">
        <w:rPr>
          <w:rFonts w:ascii="Verdana" w:hAnsi="Verdana"/>
          <w:sz w:val="18"/>
          <w:szCs w:val="18"/>
          <w:u w:val="single"/>
          <w:lang w:val="en-US"/>
        </w:rPr>
        <w:t>Paragraph 2</w:t>
      </w:r>
    </w:p>
    <w:p w:rsidRPr="00F57880" w:rsidR="00F57880" w:rsidP="00F57880" w:rsidRDefault="00F57880" w14:paraId="7115A712" w14:textId="0801AF4B">
      <w:pPr>
        <w:pStyle w:val="Geenafstand"/>
        <w:jc w:val="both"/>
        <w:rPr>
          <w:rFonts w:ascii="Verdana" w:hAnsi="Verdana"/>
          <w:sz w:val="18"/>
          <w:szCs w:val="18"/>
          <w:lang w:val="en-US"/>
        </w:rPr>
      </w:pPr>
      <w:r w:rsidRPr="00F57880">
        <w:rPr>
          <w:rFonts w:ascii="Verdana" w:hAnsi="Verdana"/>
          <w:sz w:val="18"/>
          <w:szCs w:val="18"/>
          <w:lang w:val="en-US"/>
        </w:rPr>
        <w:t xml:space="preserve">The Netherlands understands the proposed timelines are </w:t>
      </w:r>
      <w:r w:rsidR="007375A1">
        <w:rPr>
          <w:rFonts w:ascii="Verdana" w:hAnsi="Verdana"/>
          <w:sz w:val="18"/>
          <w:szCs w:val="18"/>
          <w:lang w:val="en-US"/>
        </w:rPr>
        <w:t>meant</w:t>
      </w:r>
      <w:r w:rsidRPr="00F57880">
        <w:rPr>
          <w:rFonts w:ascii="Verdana" w:hAnsi="Verdana"/>
          <w:sz w:val="18"/>
          <w:szCs w:val="18"/>
          <w:lang w:val="en-US"/>
        </w:rPr>
        <w:t xml:space="preserve"> as indicative guidance and </w:t>
      </w:r>
      <w:r w:rsidR="004D3A2D">
        <w:rPr>
          <w:rFonts w:ascii="Verdana" w:hAnsi="Verdana"/>
          <w:sz w:val="18"/>
          <w:szCs w:val="18"/>
          <w:lang w:val="en-US"/>
        </w:rPr>
        <w:t xml:space="preserve">to </w:t>
      </w:r>
      <w:r w:rsidRPr="00F57880">
        <w:rPr>
          <w:rFonts w:ascii="Verdana" w:hAnsi="Verdana"/>
          <w:sz w:val="18"/>
          <w:szCs w:val="18"/>
          <w:lang w:val="en-US"/>
        </w:rPr>
        <w:t xml:space="preserve">promote timely processing of requests. </w:t>
      </w:r>
      <w:r w:rsidR="007375A1">
        <w:rPr>
          <w:rFonts w:ascii="Verdana" w:hAnsi="Verdana"/>
          <w:sz w:val="18"/>
          <w:szCs w:val="18"/>
          <w:lang w:val="en-US"/>
        </w:rPr>
        <w:t>However, specifying</w:t>
      </w:r>
      <w:r w:rsidRPr="00F57880">
        <w:rPr>
          <w:rFonts w:ascii="Verdana" w:hAnsi="Verdana"/>
          <w:sz w:val="18"/>
          <w:szCs w:val="18"/>
          <w:lang w:val="en-US"/>
        </w:rPr>
        <w:t xml:space="preserve"> timelines </w:t>
      </w:r>
      <w:r w:rsidR="007375A1">
        <w:rPr>
          <w:rFonts w:ascii="Verdana" w:hAnsi="Verdana"/>
          <w:sz w:val="18"/>
          <w:szCs w:val="18"/>
          <w:lang w:val="en-US"/>
        </w:rPr>
        <w:t>could carry legal implications if seen as</w:t>
      </w:r>
      <w:r w:rsidRPr="00F57880">
        <w:rPr>
          <w:rFonts w:ascii="Verdana" w:hAnsi="Verdana"/>
          <w:sz w:val="18"/>
          <w:szCs w:val="18"/>
          <w:lang w:val="en-US"/>
        </w:rPr>
        <w:t xml:space="preserve"> creating obligations. </w:t>
      </w:r>
      <w:r w:rsidR="007375A1">
        <w:rPr>
          <w:rFonts w:ascii="Verdana" w:hAnsi="Verdana"/>
          <w:sz w:val="18"/>
          <w:szCs w:val="18"/>
          <w:lang w:val="en-US"/>
        </w:rPr>
        <w:t>T</w:t>
      </w:r>
      <w:r w:rsidRPr="00F57880">
        <w:rPr>
          <w:rFonts w:ascii="Verdana" w:hAnsi="Verdana"/>
          <w:sz w:val="18"/>
          <w:szCs w:val="18"/>
          <w:lang w:val="en-US"/>
        </w:rPr>
        <w:t xml:space="preserve">he Netherlands </w:t>
      </w:r>
      <w:r w:rsidR="007375A1">
        <w:rPr>
          <w:rFonts w:ascii="Verdana" w:hAnsi="Verdana"/>
          <w:sz w:val="18"/>
          <w:szCs w:val="18"/>
          <w:lang w:val="en-US"/>
        </w:rPr>
        <w:t>therefore suggests</w:t>
      </w:r>
      <w:r w:rsidRPr="00F57880">
        <w:rPr>
          <w:rFonts w:ascii="Verdana" w:hAnsi="Verdana"/>
          <w:sz w:val="18"/>
          <w:szCs w:val="18"/>
          <w:lang w:val="en-US"/>
        </w:rPr>
        <w:t xml:space="preserve"> either omitting specific timelines or clarifying that they are best-practice objectives</w:t>
      </w:r>
      <w:r w:rsidR="007375A1">
        <w:rPr>
          <w:rFonts w:ascii="Verdana" w:hAnsi="Verdana"/>
          <w:sz w:val="18"/>
          <w:szCs w:val="18"/>
          <w:lang w:val="en-US"/>
        </w:rPr>
        <w:t>, not</w:t>
      </w:r>
      <w:r w:rsidRPr="00F57880">
        <w:rPr>
          <w:rFonts w:ascii="Verdana" w:hAnsi="Verdana"/>
          <w:sz w:val="18"/>
          <w:szCs w:val="18"/>
          <w:lang w:val="en-US"/>
        </w:rPr>
        <w:t xml:space="preserve"> binding requirements. This applies </w:t>
      </w:r>
      <w:r w:rsidR="004D3A2D">
        <w:rPr>
          <w:rFonts w:ascii="Verdana" w:hAnsi="Verdana"/>
          <w:sz w:val="18"/>
          <w:szCs w:val="18"/>
          <w:lang w:val="en-US"/>
        </w:rPr>
        <w:t xml:space="preserve">also </w:t>
      </w:r>
      <w:r w:rsidRPr="00F57880">
        <w:rPr>
          <w:rFonts w:ascii="Verdana" w:hAnsi="Verdana"/>
          <w:sz w:val="18"/>
          <w:szCs w:val="18"/>
          <w:lang w:val="en-US"/>
        </w:rPr>
        <w:t>to Articles II.2 through II.6.</w:t>
      </w:r>
    </w:p>
    <w:p w:rsidRPr="003F5D70" w:rsidR="00B0287E" w:rsidP="00B0287E" w:rsidRDefault="00B0287E" w14:paraId="7ACD3A9F" w14:textId="77777777">
      <w:pPr>
        <w:pStyle w:val="Geenafstand"/>
        <w:jc w:val="both"/>
        <w:rPr>
          <w:rFonts w:ascii="Verdana" w:hAnsi="Verdana"/>
          <w:sz w:val="18"/>
          <w:szCs w:val="18"/>
          <w:lang w:val="en-US"/>
        </w:rPr>
      </w:pPr>
    </w:p>
    <w:p w:rsidRPr="003F5D70" w:rsidR="00B0287E" w:rsidP="00B0287E" w:rsidRDefault="00B0287E" w14:paraId="2027511A" w14:textId="08310130">
      <w:pPr>
        <w:pStyle w:val="Geenafstand"/>
        <w:jc w:val="both"/>
        <w:rPr>
          <w:rFonts w:ascii="Verdana" w:hAnsi="Verdana"/>
          <w:sz w:val="18"/>
          <w:szCs w:val="18"/>
          <w:u w:val="single"/>
          <w:lang w:val="en-US"/>
        </w:rPr>
      </w:pPr>
      <w:r w:rsidRPr="003F5D70">
        <w:rPr>
          <w:rFonts w:ascii="Verdana" w:hAnsi="Verdana"/>
          <w:sz w:val="18"/>
          <w:szCs w:val="18"/>
          <w:u w:val="single"/>
          <w:lang w:val="en-US"/>
        </w:rPr>
        <w:t>Paragraph 3</w:t>
      </w:r>
    </w:p>
    <w:p w:rsidRPr="007375A1" w:rsidR="007375A1" w:rsidP="007375A1" w:rsidRDefault="004D3A2D" w14:paraId="54601EB6" w14:textId="135AB6CC">
      <w:pPr>
        <w:pStyle w:val="Geenafstand"/>
        <w:jc w:val="both"/>
        <w:rPr>
          <w:rFonts w:ascii="Verdana" w:hAnsi="Verdana"/>
          <w:sz w:val="18"/>
          <w:szCs w:val="18"/>
          <w:lang w:val="en-US"/>
        </w:rPr>
      </w:pPr>
      <w:r>
        <w:rPr>
          <w:rFonts w:ascii="Verdana" w:hAnsi="Verdana"/>
          <w:sz w:val="18"/>
          <w:szCs w:val="18"/>
          <w:lang w:val="en-US"/>
        </w:rPr>
        <w:t>While</w:t>
      </w:r>
      <w:r w:rsidRPr="007375A1" w:rsidR="007375A1">
        <w:rPr>
          <w:rFonts w:ascii="Verdana" w:hAnsi="Verdana"/>
          <w:sz w:val="18"/>
          <w:szCs w:val="18"/>
          <w:lang w:val="en-US"/>
        </w:rPr>
        <w:t xml:space="preserve"> Article II.8(8) confirms </w:t>
      </w:r>
      <w:r>
        <w:rPr>
          <w:rFonts w:ascii="Verdana" w:hAnsi="Verdana"/>
          <w:sz w:val="18"/>
          <w:szCs w:val="18"/>
          <w:lang w:val="en-US"/>
        </w:rPr>
        <w:t xml:space="preserve">that </w:t>
      </w:r>
      <w:r w:rsidRPr="007375A1" w:rsidR="007375A1">
        <w:rPr>
          <w:rFonts w:ascii="Verdana" w:hAnsi="Verdana"/>
          <w:sz w:val="18"/>
          <w:szCs w:val="18"/>
          <w:lang w:val="en-US"/>
        </w:rPr>
        <w:t xml:space="preserve">domestic legal and administrative procedures are unaffected once an agreement is reached, paragraph 3 addresses the information required for a request. The Netherlands considers the listed information a minimum requirement; additional information may be needed under national rules. To clarify this, we suggest adding “which in any case includes” to paragraph </w:t>
      </w:r>
      <w:proofErr w:type="gramStart"/>
      <w:r w:rsidRPr="007375A1" w:rsidR="007375A1">
        <w:rPr>
          <w:rFonts w:ascii="Verdana" w:hAnsi="Verdana"/>
          <w:sz w:val="18"/>
          <w:szCs w:val="18"/>
          <w:lang w:val="en-US"/>
        </w:rPr>
        <w:t>3, and</w:t>
      </w:r>
      <w:proofErr w:type="gramEnd"/>
      <w:r w:rsidRPr="007375A1" w:rsidR="007375A1">
        <w:rPr>
          <w:rFonts w:ascii="Verdana" w:hAnsi="Verdana"/>
          <w:sz w:val="18"/>
          <w:szCs w:val="18"/>
          <w:lang w:val="en-US"/>
        </w:rPr>
        <w:t xml:space="preserve"> amending </w:t>
      </w:r>
      <w:r>
        <w:rPr>
          <w:rFonts w:ascii="Verdana" w:hAnsi="Verdana"/>
          <w:sz w:val="18"/>
          <w:szCs w:val="18"/>
          <w:lang w:val="en-US"/>
        </w:rPr>
        <w:t xml:space="preserve">sub </w:t>
      </w:r>
      <w:r w:rsidRPr="007375A1" w:rsidR="007375A1">
        <w:rPr>
          <w:rFonts w:ascii="Verdana" w:hAnsi="Verdana"/>
          <w:sz w:val="18"/>
          <w:szCs w:val="18"/>
          <w:lang w:val="en-US"/>
        </w:rPr>
        <w:t>(h) to reference information required by Parties’ domestic laws. Similar clarifications could be made in Articles II.2</w:t>
      </w:r>
      <w:r>
        <w:rPr>
          <w:rFonts w:ascii="Verdana" w:hAnsi="Verdana"/>
          <w:sz w:val="18"/>
          <w:szCs w:val="18"/>
          <w:lang w:val="en-US"/>
        </w:rPr>
        <w:t>-</w:t>
      </w:r>
      <w:r w:rsidRPr="007375A1" w:rsidR="007375A1">
        <w:rPr>
          <w:rFonts w:ascii="Verdana" w:hAnsi="Verdana"/>
          <w:sz w:val="18"/>
          <w:szCs w:val="18"/>
          <w:lang w:val="en-US"/>
        </w:rPr>
        <w:t xml:space="preserve"> II.4. Finally, an explicit reference to Article III.1(8) (and similarly in II.2(3)) may further clarify these provisions.</w:t>
      </w:r>
    </w:p>
    <w:p w:rsidRPr="003F5D70" w:rsidR="00F57880" w:rsidP="00B0287E" w:rsidRDefault="00F57880" w14:paraId="1C15C6F3" w14:textId="77777777">
      <w:pPr>
        <w:pStyle w:val="Geenafstand"/>
        <w:jc w:val="both"/>
        <w:rPr>
          <w:rFonts w:ascii="Verdana" w:hAnsi="Verdana"/>
          <w:sz w:val="18"/>
          <w:szCs w:val="18"/>
          <w:lang w:val="en-US"/>
        </w:rPr>
      </w:pPr>
    </w:p>
    <w:p w:rsidRPr="003F5D70" w:rsidR="00D04A83" w:rsidP="00D04A83" w:rsidRDefault="00D04A83" w14:paraId="4803C6DE" w14:textId="1ECF7654">
      <w:pPr>
        <w:pStyle w:val="Geenafstand"/>
        <w:jc w:val="both"/>
        <w:rPr>
          <w:rFonts w:ascii="Verdana" w:hAnsi="Verdana"/>
          <w:b/>
          <w:bCs/>
          <w:sz w:val="18"/>
          <w:szCs w:val="18"/>
          <w:lang w:val="en-US"/>
        </w:rPr>
      </w:pPr>
      <w:r w:rsidRPr="003F5D70">
        <w:rPr>
          <w:rFonts w:ascii="Verdana" w:hAnsi="Verdana"/>
          <w:b/>
          <w:bCs/>
          <w:sz w:val="18"/>
          <w:szCs w:val="18"/>
          <w:lang w:val="en-US"/>
        </w:rPr>
        <w:t>Article II.2 – Bilateral and multilateral advance rulings not related to transfer pricing</w:t>
      </w:r>
    </w:p>
    <w:p w:rsidR="00F57880" w:rsidP="00B0287E" w:rsidRDefault="00242FF6" w14:paraId="4370DBF9" w14:textId="327FDDBB">
      <w:pPr>
        <w:pStyle w:val="Geenafstand"/>
        <w:jc w:val="both"/>
        <w:rPr>
          <w:rFonts w:ascii="Verdana" w:hAnsi="Verdana"/>
          <w:sz w:val="18"/>
          <w:szCs w:val="18"/>
          <w:lang w:val="en-GB"/>
        </w:rPr>
      </w:pPr>
      <w:r w:rsidRPr="00210E9E">
        <w:rPr>
          <w:rFonts w:ascii="Verdana" w:hAnsi="Verdana"/>
          <w:sz w:val="18"/>
          <w:szCs w:val="18"/>
          <w:lang w:val="en-GB"/>
        </w:rPr>
        <w:t xml:space="preserve">The Netherlands supports </w:t>
      </w:r>
      <w:r w:rsidR="004D3A2D">
        <w:rPr>
          <w:rFonts w:ascii="Verdana" w:hAnsi="Verdana"/>
          <w:sz w:val="18"/>
          <w:szCs w:val="18"/>
          <w:lang w:val="en-GB"/>
        </w:rPr>
        <w:t>the option</w:t>
      </w:r>
      <w:r w:rsidRPr="00210E9E">
        <w:rPr>
          <w:rFonts w:ascii="Verdana" w:hAnsi="Verdana"/>
          <w:sz w:val="18"/>
          <w:szCs w:val="18"/>
          <w:lang w:val="en-GB"/>
        </w:rPr>
        <w:t xml:space="preserve"> for advance rulings beyond transfer pricing, since no international procedure </w:t>
      </w:r>
      <w:r w:rsidR="004D3A2D">
        <w:rPr>
          <w:rFonts w:ascii="Verdana" w:hAnsi="Verdana"/>
          <w:sz w:val="18"/>
          <w:szCs w:val="18"/>
          <w:lang w:val="en-GB"/>
        </w:rPr>
        <w:t xml:space="preserve">for this </w:t>
      </w:r>
      <w:r w:rsidRPr="004D3A2D">
        <w:rPr>
          <w:rFonts w:ascii="Verdana" w:hAnsi="Verdana"/>
          <w:sz w:val="18"/>
          <w:szCs w:val="18"/>
          <w:lang w:val="en-GB"/>
        </w:rPr>
        <w:t xml:space="preserve">currently exists. </w:t>
      </w:r>
      <w:r w:rsidR="00CD0FD4">
        <w:rPr>
          <w:rFonts w:ascii="Verdana" w:hAnsi="Verdana"/>
          <w:sz w:val="18"/>
          <w:szCs w:val="18"/>
          <w:lang w:val="en-GB"/>
        </w:rPr>
        <w:t>Given</w:t>
      </w:r>
      <w:r w:rsidRPr="004D3A2D">
        <w:rPr>
          <w:rFonts w:ascii="Verdana" w:hAnsi="Verdana"/>
          <w:sz w:val="18"/>
          <w:szCs w:val="18"/>
          <w:lang w:val="en-GB"/>
        </w:rPr>
        <w:t xml:space="preserve"> the article’s reference to multilateral advance rulings, </w:t>
      </w:r>
      <w:r w:rsidR="00CD0FD4">
        <w:rPr>
          <w:rFonts w:ascii="Verdana" w:hAnsi="Verdana"/>
          <w:sz w:val="18"/>
          <w:szCs w:val="18"/>
          <w:lang w:val="en-GB"/>
        </w:rPr>
        <w:t>we</w:t>
      </w:r>
      <w:r w:rsidRPr="004D3A2D" w:rsidR="00CD0FD4">
        <w:rPr>
          <w:rFonts w:ascii="Verdana" w:hAnsi="Verdana"/>
          <w:sz w:val="18"/>
          <w:szCs w:val="18"/>
          <w:lang w:val="en-GB"/>
        </w:rPr>
        <w:t xml:space="preserve"> </w:t>
      </w:r>
      <w:r w:rsidRPr="004D3A2D">
        <w:rPr>
          <w:rFonts w:ascii="Verdana" w:hAnsi="Verdana"/>
          <w:sz w:val="18"/>
          <w:szCs w:val="18"/>
          <w:lang w:val="en-GB"/>
        </w:rPr>
        <w:t>would appreciate examples clarifying when a multilateral ruling would be appropriate, given that legal grounds are usually found in bilateral treaties.</w:t>
      </w:r>
    </w:p>
    <w:p w:rsidRPr="003F5D70" w:rsidR="00CD0FD4" w:rsidP="00B0287E" w:rsidRDefault="00CD0FD4" w14:paraId="68CD2EF6" w14:textId="77777777">
      <w:pPr>
        <w:pStyle w:val="Geenafstand"/>
        <w:jc w:val="both"/>
        <w:rPr>
          <w:rFonts w:ascii="Verdana" w:hAnsi="Verdana"/>
          <w:sz w:val="18"/>
          <w:szCs w:val="18"/>
          <w:lang w:val="en-US"/>
        </w:rPr>
      </w:pPr>
    </w:p>
    <w:p w:rsidRPr="003F5D70" w:rsidR="000A6E51" w:rsidP="00E24466" w:rsidRDefault="000A6E51" w14:paraId="75B6DB2C" w14:textId="77777777">
      <w:pPr>
        <w:pStyle w:val="Geenafstand"/>
        <w:jc w:val="both"/>
        <w:rPr>
          <w:rFonts w:ascii="Verdana" w:hAnsi="Verdana"/>
          <w:b/>
          <w:bCs/>
          <w:sz w:val="18"/>
          <w:szCs w:val="18"/>
          <w:lang w:val="en-US"/>
        </w:rPr>
      </w:pPr>
      <w:r w:rsidRPr="003F5D70">
        <w:rPr>
          <w:rFonts w:ascii="Verdana" w:hAnsi="Verdana"/>
          <w:b/>
          <w:bCs/>
          <w:sz w:val="18"/>
          <w:szCs w:val="18"/>
          <w:lang w:val="en-US"/>
        </w:rPr>
        <w:t>Article II.3 – Coordinated unilateral advance pricing arrangements</w:t>
      </w:r>
    </w:p>
    <w:p w:rsidRPr="003F5D70" w:rsidR="000A6E51" w:rsidP="00E24466" w:rsidRDefault="000A6E51" w14:paraId="3C2288AD" w14:textId="6F50E3FF">
      <w:pPr>
        <w:pStyle w:val="Geenafstand"/>
        <w:jc w:val="both"/>
        <w:rPr>
          <w:rFonts w:ascii="Verdana" w:hAnsi="Verdana"/>
          <w:sz w:val="18"/>
          <w:szCs w:val="18"/>
          <w:u w:val="single"/>
          <w:lang w:val="en-US"/>
        </w:rPr>
      </w:pPr>
      <w:r w:rsidRPr="003F5D70">
        <w:rPr>
          <w:rFonts w:ascii="Verdana" w:hAnsi="Verdana"/>
          <w:sz w:val="18"/>
          <w:szCs w:val="18"/>
          <w:u w:val="single"/>
          <w:lang w:val="en-US"/>
        </w:rPr>
        <w:t>General</w:t>
      </w:r>
    </w:p>
    <w:p w:rsidR="006F5530" w:rsidP="006F5530" w:rsidRDefault="006F5530" w14:paraId="02A211B0" w14:textId="77777777">
      <w:pPr>
        <w:pStyle w:val="Geenafstand"/>
        <w:jc w:val="both"/>
        <w:rPr>
          <w:rFonts w:ascii="Verdana" w:hAnsi="Verdana"/>
          <w:sz w:val="18"/>
          <w:szCs w:val="18"/>
          <w:lang w:val="en-US"/>
        </w:rPr>
      </w:pPr>
      <w:r w:rsidRPr="006F5530">
        <w:rPr>
          <w:rFonts w:ascii="Verdana" w:hAnsi="Verdana"/>
          <w:sz w:val="18"/>
          <w:szCs w:val="18"/>
          <w:lang w:val="en-US"/>
        </w:rPr>
        <w:t>The Netherlands would welcome further clarification regarding the rationale for limiting the scope of this article to situations where no applicable tax instrument is in force between the Parties concerned.</w:t>
      </w:r>
    </w:p>
    <w:p w:rsidRPr="006F5530" w:rsidR="006F5530" w:rsidP="006F5530" w:rsidRDefault="006F5530" w14:paraId="7F7D4324" w14:textId="77777777">
      <w:pPr>
        <w:pStyle w:val="Geenafstand"/>
        <w:jc w:val="both"/>
        <w:rPr>
          <w:rFonts w:ascii="Verdana" w:hAnsi="Verdana"/>
          <w:sz w:val="18"/>
          <w:szCs w:val="18"/>
          <w:lang w:val="en-US"/>
        </w:rPr>
      </w:pPr>
    </w:p>
    <w:p w:rsidR="006F5530" w:rsidP="006F5530" w:rsidRDefault="006F5530" w14:paraId="1E8D2F08" w14:textId="2C90186B">
      <w:pPr>
        <w:pStyle w:val="Geenafstand"/>
        <w:jc w:val="both"/>
        <w:rPr>
          <w:rFonts w:ascii="Verdana" w:hAnsi="Verdana"/>
          <w:sz w:val="18"/>
          <w:szCs w:val="18"/>
          <w:lang w:val="en-US"/>
        </w:rPr>
      </w:pPr>
      <w:r w:rsidRPr="006F5530">
        <w:rPr>
          <w:rFonts w:ascii="Verdana" w:hAnsi="Verdana"/>
          <w:sz w:val="18"/>
          <w:szCs w:val="18"/>
          <w:lang w:val="en-US"/>
        </w:rPr>
        <w:t xml:space="preserve">For example, situations may arise where one State operates a bilateral APA </w:t>
      </w:r>
      <w:proofErr w:type="spellStart"/>
      <w:r w:rsidRPr="006F5530">
        <w:rPr>
          <w:rFonts w:ascii="Verdana" w:hAnsi="Verdana"/>
          <w:sz w:val="18"/>
          <w:szCs w:val="18"/>
          <w:lang w:val="en-US"/>
        </w:rPr>
        <w:t>programme</w:t>
      </w:r>
      <w:proofErr w:type="spellEnd"/>
      <w:r w:rsidRPr="006F5530">
        <w:rPr>
          <w:rFonts w:ascii="Verdana" w:hAnsi="Verdana"/>
          <w:sz w:val="18"/>
          <w:szCs w:val="18"/>
          <w:lang w:val="en-US"/>
        </w:rPr>
        <w:t xml:space="preserve"> while another does not, although both States maintain unilateral APA </w:t>
      </w:r>
      <w:proofErr w:type="spellStart"/>
      <w:r w:rsidRPr="006F5530">
        <w:rPr>
          <w:rFonts w:ascii="Verdana" w:hAnsi="Verdana"/>
          <w:sz w:val="18"/>
          <w:szCs w:val="18"/>
          <w:lang w:val="en-US"/>
        </w:rPr>
        <w:t>programmes</w:t>
      </w:r>
      <w:proofErr w:type="spellEnd"/>
      <w:r w:rsidRPr="006F5530">
        <w:rPr>
          <w:rFonts w:ascii="Verdana" w:hAnsi="Verdana"/>
          <w:sz w:val="18"/>
          <w:szCs w:val="18"/>
          <w:lang w:val="en-US"/>
        </w:rPr>
        <w:t xml:space="preserve"> and have concluded a tax treaty. In such circumstances, a coordinated unilateral APA may still offer practical benefits and contribute to greater certainty where Article II.1 is not available.</w:t>
      </w:r>
      <w:r w:rsidR="00CD0FD4">
        <w:rPr>
          <w:rFonts w:ascii="Verdana" w:hAnsi="Verdana"/>
          <w:sz w:val="18"/>
          <w:szCs w:val="18"/>
          <w:lang w:val="en-US"/>
        </w:rPr>
        <w:t xml:space="preserve"> </w:t>
      </w:r>
    </w:p>
    <w:p w:rsidR="00CD0FD4" w:rsidP="006F5530" w:rsidRDefault="00CD0FD4" w14:paraId="5292644C" w14:textId="77777777">
      <w:pPr>
        <w:pStyle w:val="Geenafstand"/>
        <w:jc w:val="both"/>
        <w:rPr>
          <w:rFonts w:ascii="Verdana" w:hAnsi="Verdana"/>
          <w:sz w:val="18"/>
          <w:szCs w:val="18"/>
          <w:lang w:val="en-US"/>
        </w:rPr>
      </w:pPr>
    </w:p>
    <w:p w:rsidRPr="006F5530" w:rsidR="006F5530" w:rsidP="006F5530" w:rsidRDefault="006F5530" w14:paraId="29521230" w14:textId="77777777">
      <w:pPr>
        <w:pStyle w:val="Geenafstand"/>
        <w:jc w:val="both"/>
        <w:rPr>
          <w:rFonts w:ascii="Verdana" w:hAnsi="Verdana"/>
          <w:sz w:val="18"/>
          <w:szCs w:val="18"/>
          <w:lang w:val="en-US"/>
        </w:rPr>
      </w:pPr>
      <w:r w:rsidRPr="006F5530">
        <w:rPr>
          <w:rFonts w:ascii="Verdana" w:hAnsi="Verdana"/>
          <w:sz w:val="18"/>
          <w:szCs w:val="18"/>
          <w:lang w:val="en-US"/>
        </w:rPr>
        <w:t>The Netherlands also observes that the rationale underlying this provision could potentially be relevant in relation to advance rulings outside the transfer pricing context. Where Article II.2 is not applicable, coordinated unilateral approaches could similarly contribute to consistency and reduce the risk of information mismatches.</w:t>
      </w:r>
    </w:p>
    <w:p w:rsidRPr="003F5D70" w:rsidR="001C1BDD" w:rsidP="00E24466" w:rsidRDefault="001C1BDD" w14:paraId="0F239C89" w14:textId="77777777">
      <w:pPr>
        <w:pStyle w:val="Geenafstand"/>
        <w:jc w:val="both"/>
        <w:rPr>
          <w:rFonts w:ascii="Verdana" w:hAnsi="Verdana"/>
          <w:sz w:val="18"/>
          <w:szCs w:val="18"/>
          <w:lang w:val="en-US"/>
        </w:rPr>
      </w:pPr>
    </w:p>
    <w:p w:rsidRPr="003F5D70" w:rsidR="000A6E51" w:rsidP="00E24466" w:rsidRDefault="000A6E51" w14:paraId="3E10FBF4" w14:textId="77777777">
      <w:pPr>
        <w:pStyle w:val="Geenafstand"/>
        <w:jc w:val="both"/>
        <w:rPr>
          <w:rFonts w:ascii="Verdana" w:hAnsi="Verdana"/>
          <w:b/>
          <w:bCs/>
          <w:sz w:val="18"/>
          <w:szCs w:val="18"/>
          <w:lang w:val="en-US"/>
        </w:rPr>
      </w:pPr>
    </w:p>
    <w:p w:rsidRPr="003F5D70" w:rsidR="000A6E51" w:rsidP="00E24466" w:rsidRDefault="000A6E51" w14:paraId="34ABBA82" w14:textId="1024E03D">
      <w:pPr>
        <w:pStyle w:val="Geenafstand"/>
        <w:jc w:val="both"/>
        <w:rPr>
          <w:rFonts w:ascii="Verdana" w:hAnsi="Verdana"/>
          <w:sz w:val="18"/>
          <w:szCs w:val="18"/>
          <w:u w:val="single"/>
          <w:lang w:val="en-US"/>
        </w:rPr>
      </w:pPr>
      <w:r w:rsidRPr="003F5D70">
        <w:rPr>
          <w:rFonts w:ascii="Verdana" w:hAnsi="Verdana"/>
          <w:sz w:val="18"/>
          <w:szCs w:val="18"/>
          <w:u w:val="single"/>
          <w:lang w:val="en-US"/>
        </w:rPr>
        <w:t>Paragraph 5</w:t>
      </w:r>
    </w:p>
    <w:p w:rsidRPr="006F5530" w:rsidR="006F5530" w:rsidP="006F5530" w:rsidRDefault="006F5530" w14:paraId="01D29971" w14:textId="77777777">
      <w:pPr>
        <w:pStyle w:val="Geenafstand"/>
        <w:jc w:val="both"/>
        <w:rPr>
          <w:rFonts w:ascii="Verdana" w:hAnsi="Verdana"/>
          <w:sz w:val="18"/>
          <w:szCs w:val="18"/>
          <w:lang w:val="en-US"/>
        </w:rPr>
      </w:pPr>
      <w:r w:rsidRPr="006F5530">
        <w:rPr>
          <w:rFonts w:ascii="Verdana" w:hAnsi="Verdana"/>
          <w:sz w:val="18"/>
          <w:szCs w:val="18"/>
          <w:lang w:val="en-US"/>
        </w:rPr>
        <w:t>The final sentence refers to domestic law and administrative practice relating to the processing of unilateral APA requests. As this appears to relate primarily to the admissibility and acceptance phase, the Netherlands wonders whether it may fit more naturally within paragraph 2.</w:t>
      </w:r>
    </w:p>
    <w:p w:rsidRPr="003F5D70" w:rsidR="001C1BDD" w:rsidP="00E24466" w:rsidRDefault="001C1BDD" w14:paraId="490E8364" w14:textId="77777777">
      <w:pPr>
        <w:pStyle w:val="Geenafstand"/>
        <w:jc w:val="both"/>
        <w:rPr>
          <w:rFonts w:ascii="Verdana" w:hAnsi="Verdana"/>
          <w:sz w:val="18"/>
          <w:szCs w:val="18"/>
          <w:lang w:val="en-US"/>
        </w:rPr>
      </w:pPr>
    </w:p>
    <w:p w:rsidRPr="003F5D70" w:rsidR="001C1BDD" w:rsidP="00E24466" w:rsidRDefault="001C1BDD" w14:paraId="661B5BC6" w14:textId="3211578B">
      <w:pPr>
        <w:pStyle w:val="Geenafstand"/>
        <w:jc w:val="both"/>
        <w:rPr>
          <w:rFonts w:ascii="Verdana" w:hAnsi="Verdana"/>
          <w:b/>
          <w:bCs/>
          <w:sz w:val="18"/>
          <w:szCs w:val="18"/>
          <w:lang w:val="en-US"/>
        </w:rPr>
      </w:pPr>
      <w:r w:rsidRPr="003F5D70">
        <w:rPr>
          <w:rFonts w:ascii="Verdana" w:hAnsi="Verdana"/>
          <w:b/>
          <w:bCs/>
          <w:sz w:val="18"/>
          <w:szCs w:val="18"/>
          <w:lang w:val="en-US"/>
        </w:rPr>
        <w:t>Article II.4 – Cooperative compliance arrangements</w:t>
      </w:r>
    </w:p>
    <w:p w:rsidRPr="003F5D70" w:rsidR="001C1BDD" w:rsidP="00E24466" w:rsidRDefault="00276EC1" w14:paraId="77818DC5" w14:textId="22B677B1">
      <w:pPr>
        <w:pStyle w:val="Geenafstand"/>
        <w:jc w:val="both"/>
        <w:rPr>
          <w:rFonts w:ascii="Verdana" w:hAnsi="Verdana"/>
          <w:sz w:val="18"/>
          <w:szCs w:val="18"/>
          <w:u w:val="single"/>
          <w:lang w:val="en-US"/>
        </w:rPr>
      </w:pPr>
      <w:r w:rsidRPr="003F5D70">
        <w:rPr>
          <w:rFonts w:ascii="Verdana" w:hAnsi="Verdana"/>
          <w:sz w:val="18"/>
          <w:szCs w:val="18"/>
          <w:u w:val="single"/>
          <w:lang w:val="en-US"/>
        </w:rPr>
        <w:t>Scope</w:t>
      </w:r>
    </w:p>
    <w:p w:rsidR="00EC2895" w:rsidP="00E24466" w:rsidRDefault="00EC2895" w14:paraId="5A3ECB0F" w14:textId="7F2042F3">
      <w:pPr>
        <w:pStyle w:val="Geenafstand"/>
        <w:jc w:val="both"/>
        <w:rPr>
          <w:rFonts w:ascii="Verdana" w:hAnsi="Verdana"/>
          <w:sz w:val="18"/>
          <w:szCs w:val="18"/>
          <w:lang w:val="en-US"/>
        </w:rPr>
      </w:pPr>
      <w:r w:rsidRPr="003F5D70">
        <w:rPr>
          <w:rFonts w:ascii="Verdana" w:hAnsi="Verdana"/>
          <w:sz w:val="18"/>
          <w:szCs w:val="18"/>
          <w:lang w:val="en-US"/>
        </w:rPr>
        <w:t xml:space="preserve">While we understand the rationale for including this article in the draft protocol, </w:t>
      </w:r>
      <w:r w:rsidRPr="003F5D70" w:rsidR="003F5D70">
        <w:rPr>
          <w:rFonts w:ascii="Verdana" w:hAnsi="Verdana"/>
          <w:sz w:val="18"/>
          <w:szCs w:val="18"/>
          <w:lang w:val="en-US"/>
        </w:rPr>
        <w:t xml:space="preserve">it is our understanding that cooperative compliance programs generally concern the application of domestic legislation and </w:t>
      </w:r>
      <w:r w:rsidR="006F5530">
        <w:rPr>
          <w:rFonts w:ascii="Verdana" w:hAnsi="Verdana"/>
          <w:sz w:val="18"/>
          <w:szCs w:val="18"/>
          <w:lang w:val="en-US"/>
        </w:rPr>
        <w:t>are typically</w:t>
      </w:r>
      <w:r w:rsidRPr="003F5D70" w:rsidR="003F5D70">
        <w:rPr>
          <w:rFonts w:ascii="Verdana" w:hAnsi="Verdana"/>
          <w:sz w:val="18"/>
          <w:szCs w:val="18"/>
          <w:lang w:val="en-US"/>
        </w:rPr>
        <w:t xml:space="preserve"> operated between the taxpayer and the tax administration of the state concerned. </w:t>
      </w:r>
    </w:p>
    <w:p w:rsidRPr="003F5D70" w:rsidR="00CD0FD4" w:rsidP="00E24466" w:rsidRDefault="00CD0FD4" w14:paraId="6853C8C8" w14:textId="77777777">
      <w:pPr>
        <w:pStyle w:val="Geenafstand"/>
        <w:jc w:val="both"/>
        <w:rPr>
          <w:rFonts w:ascii="Verdana" w:hAnsi="Verdana"/>
          <w:sz w:val="18"/>
          <w:szCs w:val="18"/>
          <w:lang w:val="en-US"/>
        </w:rPr>
      </w:pPr>
    </w:p>
    <w:p w:rsidRPr="006F5530" w:rsidR="006F5530" w:rsidP="006F5530" w:rsidRDefault="006F5530" w14:paraId="1706A6C6" w14:textId="77777777">
      <w:pPr>
        <w:pStyle w:val="Geenafstand"/>
        <w:jc w:val="both"/>
        <w:rPr>
          <w:rFonts w:ascii="Verdana" w:hAnsi="Verdana"/>
          <w:sz w:val="18"/>
          <w:szCs w:val="18"/>
          <w:lang w:val="en-US"/>
        </w:rPr>
      </w:pPr>
      <w:r w:rsidRPr="006F5530">
        <w:rPr>
          <w:rFonts w:ascii="Verdana" w:hAnsi="Verdana"/>
          <w:sz w:val="18"/>
          <w:szCs w:val="18"/>
          <w:lang w:val="en-US"/>
        </w:rPr>
        <w:t>To better understand the intended operation of this provision, the Netherlands would welcome further clarification regarding the types of cases that would be suitable for an international cooperative compliance arrangement and how such arrangements would interact with the mechanisms provided in Articles II.1, II.2 and II.3.</w:t>
      </w:r>
    </w:p>
    <w:p w:rsidRPr="003F5D70" w:rsidR="003F5D70" w:rsidP="00E24466" w:rsidRDefault="003F5D70" w14:paraId="5F0516A1" w14:textId="77777777">
      <w:pPr>
        <w:pStyle w:val="Geenafstand"/>
        <w:jc w:val="both"/>
        <w:rPr>
          <w:rFonts w:ascii="Verdana" w:hAnsi="Verdana"/>
          <w:sz w:val="18"/>
          <w:szCs w:val="18"/>
          <w:lang w:val="en-US"/>
        </w:rPr>
      </w:pPr>
    </w:p>
    <w:p w:rsidR="00CD0FD4" w:rsidP="00E24466" w:rsidRDefault="00CD0FD4" w14:paraId="4A58C9C7" w14:textId="77777777">
      <w:pPr>
        <w:pStyle w:val="Geenafstand"/>
        <w:jc w:val="both"/>
        <w:rPr>
          <w:rFonts w:ascii="Verdana" w:hAnsi="Verdana"/>
          <w:sz w:val="18"/>
          <w:szCs w:val="18"/>
          <w:u w:val="single"/>
          <w:lang w:val="en-US"/>
        </w:rPr>
      </w:pPr>
    </w:p>
    <w:p w:rsidR="003F5D70" w:rsidP="00E24466" w:rsidRDefault="003F5D70" w14:paraId="5DBBE02E" w14:textId="07FE859F">
      <w:pPr>
        <w:pStyle w:val="Geenafstand"/>
        <w:jc w:val="both"/>
        <w:rPr>
          <w:rFonts w:ascii="Verdana" w:hAnsi="Verdana"/>
          <w:sz w:val="18"/>
          <w:szCs w:val="18"/>
          <w:lang w:val="en-US"/>
        </w:rPr>
      </w:pPr>
      <w:r>
        <w:rPr>
          <w:rFonts w:ascii="Verdana" w:hAnsi="Verdana"/>
          <w:sz w:val="18"/>
          <w:szCs w:val="18"/>
          <w:u w:val="single"/>
          <w:lang w:val="en-US"/>
        </w:rPr>
        <w:t>Competent authorities v tax administrations</w:t>
      </w:r>
      <w:r w:rsidRPr="003F5D70">
        <w:rPr>
          <w:rFonts w:ascii="Verdana" w:hAnsi="Verdana"/>
          <w:sz w:val="18"/>
          <w:szCs w:val="18"/>
          <w:lang w:val="en-US"/>
        </w:rPr>
        <w:t xml:space="preserve"> </w:t>
      </w:r>
    </w:p>
    <w:p w:rsidRPr="006F5530" w:rsidR="006F5530" w:rsidP="006F5530" w:rsidRDefault="006F5530" w14:paraId="55CF0F75" w14:textId="408FCC1C">
      <w:pPr>
        <w:pStyle w:val="Geenafstand"/>
        <w:jc w:val="both"/>
        <w:rPr>
          <w:rFonts w:ascii="Verdana" w:hAnsi="Verdana"/>
          <w:sz w:val="18"/>
          <w:szCs w:val="18"/>
          <w:lang w:val="en-US"/>
        </w:rPr>
      </w:pPr>
      <w:r w:rsidRPr="006F5530">
        <w:rPr>
          <w:rFonts w:ascii="Verdana" w:hAnsi="Verdana"/>
          <w:sz w:val="18"/>
          <w:szCs w:val="18"/>
          <w:lang w:val="en-US"/>
        </w:rPr>
        <w:t>The Netherlands notes that cooperative compliance programs are generally administered by tax administrations rather than competent authorities. While competent authorities may play a coordinating role in international arrangements, States may designate different agencies or departments for this purpose.</w:t>
      </w:r>
      <w:r>
        <w:rPr>
          <w:rFonts w:ascii="Verdana" w:hAnsi="Verdana"/>
          <w:sz w:val="18"/>
          <w:szCs w:val="18"/>
          <w:lang w:val="en-US"/>
        </w:rPr>
        <w:t xml:space="preserve"> </w:t>
      </w:r>
      <w:r w:rsidRPr="006F5530">
        <w:rPr>
          <w:rFonts w:ascii="Verdana" w:hAnsi="Verdana"/>
          <w:sz w:val="18"/>
          <w:szCs w:val="18"/>
          <w:lang w:val="en-US"/>
        </w:rPr>
        <w:t xml:space="preserve">In this regard, consideration could be given to referring to “Parties” </w:t>
      </w:r>
      <w:r w:rsidRPr="006F5530">
        <w:rPr>
          <w:rFonts w:ascii="Verdana" w:hAnsi="Verdana"/>
          <w:sz w:val="18"/>
          <w:szCs w:val="18"/>
          <w:lang w:val="en-US"/>
        </w:rPr>
        <w:lastRenderedPageBreak/>
        <w:t>rather than “competent authorities,” thereby preserving flexibility for States in determining the appropriate institutional arrangements.</w:t>
      </w:r>
    </w:p>
    <w:p w:rsidRPr="003F5D70" w:rsidR="006F5530" w:rsidP="00E24466" w:rsidRDefault="006F5530" w14:paraId="14060E96" w14:textId="77777777">
      <w:pPr>
        <w:pStyle w:val="Geenafstand"/>
        <w:jc w:val="both"/>
        <w:rPr>
          <w:rFonts w:ascii="Verdana" w:hAnsi="Verdana"/>
          <w:sz w:val="18"/>
          <w:szCs w:val="18"/>
          <w:lang w:val="en-US"/>
        </w:rPr>
      </w:pPr>
    </w:p>
    <w:p w:rsidRPr="003F5D70" w:rsidR="003F5D70" w:rsidP="003F5D70" w:rsidRDefault="003F5D70" w14:paraId="681B2C8A" w14:textId="111987ED">
      <w:pPr>
        <w:pStyle w:val="Geenafstand"/>
        <w:jc w:val="both"/>
        <w:rPr>
          <w:rFonts w:ascii="Verdana" w:hAnsi="Verdana"/>
          <w:b/>
          <w:bCs/>
          <w:sz w:val="18"/>
          <w:szCs w:val="18"/>
          <w:lang w:val="en-US"/>
        </w:rPr>
      </w:pPr>
      <w:r w:rsidRPr="003F5D70">
        <w:rPr>
          <w:rFonts w:ascii="Verdana" w:hAnsi="Verdana"/>
          <w:b/>
          <w:bCs/>
          <w:sz w:val="18"/>
          <w:szCs w:val="18"/>
          <w:lang w:val="en-US"/>
        </w:rPr>
        <w:t>Article II.5 – Simultaneous tax audits</w:t>
      </w:r>
      <w:r w:rsidR="00DE26F1">
        <w:rPr>
          <w:rFonts w:ascii="Verdana" w:hAnsi="Verdana"/>
          <w:b/>
          <w:bCs/>
          <w:sz w:val="18"/>
          <w:szCs w:val="18"/>
          <w:lang w:val="en-US"/>
        </w:rPr>
        <w:t xml:space="preserve"> and Article II.6 Joint audits</w:t>
      </w:r>
    </w:p>
    <w:p w:rsidRPr="003F5D70" w:rsidR="003F5D70" w:rsidP="003F5D70" w:rsidRDefault="003F5D70" w14:paraId="2AF18E05" w14:textId="2875F9DD">
      <w:pPr>
        <w:pStyle w:val="Geenafstand"/>
        <w:jc w:val="both"/>
        <w:rPr>
          <w:rFonts w:ascii="Verdana" w:hAnsi="Verdana"/>
          <w:sz w:val="18"/>
          <w:szCs w:val="18"/>
          <w:u w:val="single"/>
          <w:lang w:val="en-US"/>
        </w:rPr>
      </w:pPr>
      <w:r>
        <w:rPr>
          <w:rFonts w:ascii="Verdana" w:hAnsi="Verdana"/>
          <w:sz w:val="18"/>
          <w:szCs w:val="18"/>
          <w:u w:val="single"/>
          <w:lang w:val="en-US"/>
        </w:rPr>
        <w:t>Competent authorities v tax administrations</w:t>
      </w:r>
    </w:p>
    <w:p w:rsidRPr="006F5530" w:rsidR="006F5530" w:rsidP="006F5530" w:rsidRDefault="006F5530" w14:paraId="61868D1D" w14:textId="77777777">
      <w:pPr>
        <w:pStyle w:val="Geenafstand"/>
        <w:jc w:val="both"/>
        <w:rPr>
          <w:rFonts w:ascii="Verdana" w:hAnsi="Verdana"/>
          <w:sz w:val="18"/>
          <w:szCs w:val="18"/>
          <w:lang w:val="en-US"/>
        </w:rPr>
      </w:pPr>
      <w:r w:rsidRPr="006F5530">
        <w:rPr>
          <w:rFonts w:ascii="Verdana" w:hAnsi="Verdana"/>
          <w:sz w:val="18"/>
          <w:szCs w:val="18"/>
          <w:lang w:val="en-US"/>
        </w:rPr>
        <w:t>The Netherlands notes that audit activities are ordinarily carried out by tax administrations. Accordingly, it may be preferable to refer to the “tax administration of a Party” rather than the competent authority. This observation applies equally to Article II.6.</w:t>
      </w:r>
    </w:p>
    <w:p w:rsidR="00F815D2" w:rsidP="003F5D70" w:rsidRDefault="00F815D2" w14:paraId="1FD7CF3F" w14:textId="77777777">
      <w:pPr>
        <w:pStyle w:val="Geenafstand"/>
        <w:jc w:val="both"/>
        <w:rPr>
          <w:rFonts w:ascii="Verdana" w:hAnsi="Verdana"/>
          <w:sz w:val="18"/>
          <w:szCs w:val="18"/>
          <w:lang w:val="en-US"/>
        </w:rPr>
      </w:pPr>
    </w:p>
    <w:p w:rsidR="00F815D2" w:rsidP="003F5D70" w:rsidRDefault="00F815D2" w14:paraId="024C2ABE" w14:textId="3AA271DD">
      <w:pPr>
        <w:pStyle w:val="Geenafstand"/>
        <w:jc w:val="both"/>
        <w:rPr>
          <w:rFonts w:ascii="Verdana" w:hAnsi="Verdana"/>
          <w:sz w:val="18"/>
          <w:szCs w:val="18"/>
          <w:u w:val="single"/>
          <w:lang w:val="en-US"/>
        </w:rPr>
      </w:pPr>
      <w:r>
        <w:rPr>
          <w:rFonts w:ascii="Verdana" w:hAnsi="Verdana"/>
          <w:sz w:val="18"/>
          <w:szCs w:val="18"/>
          <w:u w:val="single"/>
          <w:lang w:val="en-US"/>
        </w:rPr>
        <w:t>Paragraph 2</w:t>
      </w:r>
    </w:p>
    <w:p w:rsidRPr="006F5530" w:rsidR="006F5530" w:rsidP="006F5530" w:rsidRDefault="006F5530" w14:paraId="0F7C4302" w14:textId="77777777">
      <w:pPr>
        <w:pStyle w:val="Geenafstand"/>
        <w:jc w:val="both"/>
        <w:rPr>
          <w:rFonts w:ascii="Verdana" w:hAnsi="Verdana"/>
          <w:sz w:val="18"/>
          <w:szCs w:val="18"/>
          <w:lang w:val="en-US"/>
        </w:rPr>
      </w:pPr>
      <w:r w:rsidRPr="006F5530">
        <w:rPr>
          <w:rFonts w:ascii="Verdana" w:hAnsi="Verdana"/>
          <w:sz w:val="18"/>
          <w:szCs w:val="18"/>
          <w:lang w:val="en-US"/>
        </w:rPr>
        <w:t>The Netherlands understands the intention of the final sentence of paragraph 2. To avoid any possible ambiguity, consideration could be given to clarifying that the restriction relates specifically to audit activities undertaken as part of the proposed simultaneous tax audit, rather than to all audit activities that may otherwise be permitted under domestic law.</w:t>
      </w:r>
    </w:p>
    <w:p w:rsidR="00A7323C" w:rsidP="003F5D70" w:rsidRDefault="00A7323C" w14:paraId="7D3E078C" w14:textId="77777777">
      <w:pPr>
        <w:pStyle w:val="Geenafstand"/>
        <w:jc w:val="both"/>
        <w:rPr>
          <w:rFonts w:ascii="Verdana" w:hAnsi="Verdana"/>
          <w:sz w:val="18"/>
          <w:szCs w:val="18"/>
          <w:lang w:val="en-US"/>
        </w:rPr>
      </w:pPr>
    </w:p>
    <w:p w:rsidR="00A7323C" w:rsidP="003F5D70" w:rsidRDefault="00A7323C" w14:paraId="5CE695C8" w14:textId="4C652EE3">
      <w:pPr>
        <w:pStyle w:val="Geenafstand"/>
        <w:jc w:val="both"/>
        <w:rPr>
          <w:rFonts w:ascii="Verdana" w:hAnsi="Verdana"/>
          <w:b/>
          <w:bCs/>
          <w:sz w:val="18"/>
          <w:szCs w:val="18"/>
          <w:lang w:val="en-US"/>
        </w:rPr>
      </w:pPr>
      <w:r>
        <w:rPr>
          <w:rFonts w:ascii="Verdana" w:hAnsi="Verdana"/>
          <w:b/>
          <w:bCs/>
          <w:sz w:val="18"/>
          <w:szCs w:val="18"/>
          <w:lang w:val="en-US"/>
        </w:rPr>
        <w:t>Article II.7 – Relationship with other mechanisms and domestic procedures</w:t>
      </w:r>
    </w:p>
    <w:p w:rsidR="006F5530" w:rsidP="003F5D70" w:rsidRDefault="00A7323C" w14:paraId="23745947" w14:textId="77777777">
      <w:pPr>
        <w:pStyle w:val="Geenafstand"/>
        <w:jc w:val="both"/>
        <w:rPr>
          <w:rFonts w:ascii="Verdana" w:hAnsi="Verdana"/>
          <w:sz w:val="18"/>
          <w:szCs w:val="18"/>
          <w:lang w:val="en-US"/>
        </w:rPr>
      </w:pPr>
      <w:r>
        <w:rPr>
          <w:rFonts w:ascii="Verdana" w:hAnsi="Verdana"/>
          <w:sz w:val="18"/>
          <w:szCs w:val="18"/>
          <w:lang w:val="en-US"/>
        </w:rPr>
        <w:t>With reference to the suggestion for articles II.4 and II.5, if also the terms “Party” and “tax administrations” are being referred to, th</w:t>
      </w:r>
      <w:r w:rsidR="006F5530">
        <w:rPr>
          <w:rFonts w:ascii="Verdana" w:hAnsi="Verdana"/>
          <w:sz w:val="18"/>
          <w:szCs w:val="18"/>
          <w:lang w:val="en-US"/>
        </w:rPr>
        <w:t xml:space="preserve">e Netherlands suggests Article II.7 is updated accordingly to maintain consistency throughout the Protocol. </w:t>
      </w:r>
    </w:p>
    <w:p w:rsidR="00A7323C" w:rsidP="003F5D70" w:rsidRDefault="00A7323C" w14:paraId="5C21579D" w14:textId="77777777">
      <w:pPr>
        <w:pStyle w:val="Geenafstand"/>
        <w:jc w:val="both"/>
        <w:rPr>
          <w:rFonts w:ascii="Verdana" w:hAnsi="Verdana"/>
          <w:sz w:val="18"/>
          <w:szCs w:val="18"/>
          <w:lang w:val="en-US"/>
        </w:rPr>
      </w:pPr>
    </w:p>
    <w:p w:rsidR="00A7323C" w:rsidP="003F5D70" w:rsidRDefault="00A7323C" w14:paraId="393BBB7D" w14:textId="7F45B50F">
      <w:pPr>
        <w:pStyle w:val="Geenafstand"/>
        <w:jc w:val="both"/>
        <w:rPr>
          <w:rFonts w:ascii="Verdana" w:hAnsi="Verdana"/>
          <w:b/>
          <w:bCs/>
          <w:sz w:val="18"/>
          <w:szCs w:val="18"/>
          <w:lang w:val="en-US"/>
        </w:rPr>
      </w:pPr>
      <w:r>
        <w:rPr>
          <w:rFonts w:ascii="Verdana" w:hAnsi="Verdana"/>
          <w:b/>
          <w:bCs/>
          <w:sz w:val="18"/>
          <w:szCs w:val="18"/>
          <w:lang w:val="en-US"/>
        </w:rPr>
        <w:t xml:space="preserve">Article II.8 </w:t>
      </w:r>
      <w:r w:rsidR="00987568">
        <w:rPr>
          <w:rFonts w:ascii="Verdana" w:hAnsi="Verdana"/>
          <w:b/>
          <w:bCs/>
          <w:sz w:val="18"/>
          <w:szCs w:val="18"/>
          <w:lang w:val="en-US"/>
        </w:rPr>
        <w:t>–</w:t>
      </w:r>
      <w:r>
        <w:rPr>
          <w:rFonts w:ascii="Verdana" w:hAnsi="Verdana"/>
          <w:b/>
          <w:bCs/>
          <w:sz w:val="18"/>
          <w:szCs w:val="18"/>
          <w:lang w:val="en-US"/>
        </w:rPr>
        <w:t xml:space="preserve"> </w:t>
      </w:r>
      <w:r w:rsidR="00987568">
        <w:rPr>
          <w:rFonts w:ascii="Verdana" w:hAnsi="Verdana"/>
          <w:b/>
          <w:bCs/>
          <w:sz w:val="18"/>
          <w:szCs w:val="18"/>
          <w:lang w:val="en-US"/>
        </w:rPr>
        <w:t>Common rules for taxpayer-initiated mechanisms</w:t>
      </w:r>
    </w:p>
    <w:p w:rsidR="00987568" w:rsidP="003F5D70" w:rsidRDefault="00987568" w14:paraId="05231C1C" w14:textId="29176F8C">
      <w:pPr>
        <w:pStyle w:val="Geenafstand"/>
        <w:jc w:val="both"/>
        <w:rPr>
          <w:rFonts w:ascii="Verdana" w:hAnsi="Verdana"/>
          <w:sz w:val="18"/>
          <w:szCs w:val="18"/>
          <w:u w:val="single"/>
          <w:lang w:val="en-US"/>
        </w:rPr>
      </w:pPr>
      <w:r w:rsidRPr="00987568">
        <w:rPr>
          <w:rFonts w:ascii="Verdana" w:hAnsi="Verdana"/>
          <w:sz w:val="18"/>
          <w:szCs w:val="18"/>
          <w:u w:val="single"/>
          <w:lang w:val="en-US"/>
        </w:rPr>
        <w:t>Paragraph 1</w:t>
      </w:r>
    </w:p>
    <w:p w:rsidRPr="006F5530" w:rsidR="006F5530" w:rsidP="006F5530" w:rsidRDefault="006F5530" w14:paraId="7EFBF5AA" w14:textId="38F28B6C">
      <w:pPr>
        <w:pStyle w:val="Geenafstand"/>
        <w:jc w:val="both"/>
        <w:rPr>
          <w:rFonts w:ascii="Verdana" w:hAnsi="Verdana"/>
          <w:sz w:val="18"/>
          <w:szCs w:val="18"/>
          <w:lang w:val="en-US"/>
        </w:rPr>
      </w:pPr>
      <w:r w:rsidRPr="006F5530">
        <w:rPr>
          <w:rFonts w:ascii="Verdana" w:hAnsi="Verdana"/>
          <w:sz w:val="18"/>
          <w:szCs w:val="18"/>
          <w:lang w:val="en-US"/>
        </w:rPr>
        <w:t xml:space="preserve">The Netherlands would appreciate further clarification regarding the concept of “cost recovery” in the context of dispute prevention mechanisms, including whether this refers to administrative fees, reimbursement of costs, or another form of </w:t>
      </w:r>
      <w:r>
        <w:rPr>
          <w:rFonts w:ascii="Verdana" w:hAnsi="Verdana"/>
          <w:sz w:val="18"/>
          <w:szCs w:val="18"/>
          <w:lang w:val="en-US"/>
        </w:rPr>
        <w:t>recovery of costs</w:t>
      </w:r>
      <w:r w:rsidRPr="006F5530">
        <w:rPr>
          <w:rFonts w:ascii="Verdana" w:hAnsi="Verdana"/>
          <w:sz w:val="18"/>
          <w:szCs w:val="18"/>
          <w:lang w:val="en-US"/>
        </w:rPr>
        <w:t>.</w:t>
      </w:r>
    </w:p>
    <w:p w:rsidR="006F5530" w:rsidP="003F5D70" w:rsidRDefault="006F5530" w14:paraId="3D624B9F" w14:textId="77777777">
      <w:pPr>
        <w:pStyle w:val="Geenafstand"/>
        <w:jc w:val="both"/>
        <w:rPr>
          <w:rFonts w:ascii="Verdana" w:hAnsi="Verdana"/>
          <w:sz w:val="18"/>
          <w:szCs w:val="18"/>
          <w:lang w:val="en-US"/>
        </w:rPr>
      </w:pPr>
    </w:p>
    <w:p w:rsidR="00987568" w:rsidP="003F5D70" w:rsidRDefault="00987568" w14:paraId="340029AD" w14:textId="205D4A3F">
      <w:pPr>
        <w:pStyle w:val="Geenafstand"/>
        <w:jc w:val="both"/>
        <w:rPr>
          <w:rFonts w:ascii="Verdana" w:hAnsi="Verdana"/>
          <w:sz w:val="18"/>
          <w:szCs w:val="18"/>
          <w:u w:val="single"/>
          <w:lang w:val="en-US"/>
        </w:rPr>
      </w:pPr>
      <w:r>
        <w:rPr>
          <w:rFonts w:ascii="Verdana" w:hAnsi="Verdana"/>
          <w:sz w:val="18"/>
          <w:szCs w:val="18"/>
          <w:u w:val="single"/>
          <w:lang w:val="en-US"/>
        </w:rPr>
        <w:t>Paragraph 2</w:t>
      </w:r>
    </w:p>
    <w:p w:rsidR="006F5530" w:rsidP="006F5530" w:rsidRDefault="006F5530" w14:paraId="01981BAA" w14:textId="77777777">
      <w:pPr>
        <w:pStyle w:val="Geenafstand"/>
        <w:jc w:val="both"/>
        <w:rPr>
          <w:rFonts w:ascii="Verdana" w:hAnsi="Verdana"/>
          <w:sz w:val="18"/>
          <w:szCs w:val="18"/>
          <w:lang w:val="en-US"/>
        </w:rPr>
      </w:pPr>
      <w:r w:rsidRPr="006F5530">
        <w:rPr>
          <w:rFonts w:ascii="Verdana" w:hAnsi="Verdana"/>
          <w:sz w:val="18"/>
          <w:szCs w:val="18"/>
          <w:lang w:val="en-US"/>
        </w:rPr>
        <w:t xml:space="preserve">The Netherlands recognizes the objective of this provision but observes that certain concepts may benefit from further clarification to promote consistent application. </w:t>
      </w:r>
      <w:proofErr w:type="gramStart"/>
      <w:r w:rsidRPr="006F5530">
        <w:rPr>
          <w:rFonts w:ascii="Verdana" w:hAnsi="Verdana"/>
          <w:sz w:val="18"/>
          <w:szCs w:val="18"/>
          <w:lang w:val="en-US"/>
        </w:rPr>
        <w:t>In particular, additional</w:t>
      </w:r>
      <w:proofErr w:type="gramEnd"/>
      <w:r w:rsidRPr="006F5530">
        <w:rPr>
          <w:rFonts w:ascii="Verdana" w:hAnsi="Verdana"/>
          <w:sz w:val="18"/>
          <w:szCs w:val="18"/>
          <w:lang w:val="en-US"/>
        </w:rPr>
        <w:t xml:space="preserve"> guidance regarding the meaning of “sufficiently in advance” and “reasonable opportunity” would be helpful.</w:t>
      </w:r>
    </w:p>
    <w:p w:rsidRPr="006F5530" w:rsidR="006F5530" w:rsidP="006F5530" w:rsidRDefault="006F5530" w14:paraId="1332EECE" w14:textId="77777777">
      <w:pPr>
        <w:pStyle w:val="Geenafstand"/>
        <w:jc w:val="both"/>
        <w:rPr>
          <w:rFonts w:ascii="Verdana" w:hAnsi="Verdana"/>
          <w:sz w:val="18"/>
          <w:szCs w:val="18"/>
          <w:lang w:val="en-US"/>
        </w:rPr>
      </w:pPr>
    </w:p>
    <w:p w:rsidRPr="006F5530" w:rsidR="006F5530" w:rsidP="006F5530" w:rsidRDefault="006F5530" w14:paraId="4369F3EB" w14:textId="77777777">
      <w:pPr>
        <w:pStyle w:val="Geenafstand"/>
        <w:jc w:val="both"/>
        <w:rPr>
          <w:rFonts w:ascii="Verdana" w:hAnsi="Verdana"/>
          <w:sz w:val="18"/>
          <w:szCs w:val="18"/>
          <w:lang w:val="en-US"/>
        </w:rPr>
      </w:pPr>
      <w:r w:rsidRPr="006F5530">
        <w:rPr>
          <w:rFonts w:ascii="Verdana" w:hAnsi="Verdana"/>
          <w:sz w:val="18"/>
          <w:szCs w:val="18"/>
          <w:lang w:val="en-US"/>
        </w:rPr>
        <w:t>The Netherlands also notes that Articles II.1 through II.4 contain indicative review periods. Clarification regarding the interaction between those timeframes and the concepts used in paragraphs 2 and 3 may contribute to greater certainty and consistency.</w:t>
      </w:r>
    </w:p>
    <w:p w:rsidR="005331A0" w:rsidP="003F5D70" w:rsidRDefault="005331A0" w14:paraId="1C3997FE" w14:textId="77777777">
      <w:pPr>
        <w:pStyle w:val="Geenafstand"/>
        <w:jc w:val="both"/>
        <w:rPr>
          <w:rFonts w:ascii="Verdana" w:hAnsi="Verdana"/>
          <w:sz w:val="18"/>
          <w:szCs w:val="18"/>
          <w:lang w:val="en-US"/>
        </w:rPr>
      </w:pPr>
    </w:p>
    <w:p w:rsidR="005331A0" w:rsidP="003F5D70" w:rsidRDefault="005331A0" w14:paraId="5F5859BA" w14:textId="25645DF9">
      <w:pPr>
        <w:pStyle w:val="Geenafstand"/>
        <w:jc w:val="both"/>
        <w:rPr>
          <w:rFonts w:ascii="Verdana" w:hAnsi="Verdana"/>
          <w:sz w:val="18"/>
          <w:szCs w:val="18"/>
          <w:u w:val="single"/>
          <w:lang w:val="en-US"/>
        </w:rPr>
      </w:pPr>
      <w:r>
        <w:rPr>
          <w:rFonts w:ascii="Verdana" w:hAnsi="Verdana"/>
          <w:sz w:val="18"/>
          <w:szCs w:val="18"/>
          <w:u w:val="single"/>
          <w:lang w:val="en-US"/>
        </w:rPr>
        <w:t>Paragraph 5</w:t>
      </w:r>
    </w:p>
    <w:p w:rsidR="00242FF6" w:rsidP="00242FF6" w:rsidRDefault="00242FF6" w14:paraId="186CD297" w14:textId="77777777">
      <w:pPr>
        <w:pStyle w:val="Geenafstand"/>
        <w:jc w:val="both"/>
        <w:rPr>
          <w:rFonts w:ascii="Verdana" w:hAnsi="Verdana"/>
          <w:sz w:val="18"/>
          <w:szCs w:val="18"/>
          <w:lang w:val="en-GB"/>
        </w:rPr>
      </w:pPr>
      <w:r w:rsidRPr="00CD0FD4">
        <w:rPr>
          <w:rFonts w:ascii="Verdana" w:hAnsi="Verdana"/>
          <w:sz w:val="18"/>
          <w:szCs w:val="18"/>
          <w:lang w:val="en-GB"/>
        </w:rPr>
        <w:t>The Netherlands acknowledges that resource constraints can affect the use of dispute prevention mechanisms. However, applying these constraints on a case-by-case basis is less desirable than making a general decision not to use a mechanism.</w:t>
      </w:r>
    </w:p>
    <w:p w:rsidRPr="00CD0FD4" w:rsidR="00CD0FD4" w:rsidP="00242FF6" w:rsidRDefault="00CD0FD4" w14:paraId="60BE5F5F" w14:textId="77777777">
      <w:pPr>
        <w:pStyle w:val="Geenafstand"/>
        <w:jc w:val="both"/>
        <w:rPr>
          <w:rFonts w:ascii="Verdana" w:hAnsi="Verdana"/>
          <w:sz w:val="18"/>
          <w:szCs w:val="18"/>
          <w:lang w:val="en-GB"/>
        </w:rPr>
      </w:pPr>
    </w:p>
    <w:p w:rsidRPr="00CD0FD4" w:rsidR="00242FF6" w:rsidP="00242FF6" w:rsidRDefault="00242FF6" w14:paraId="21D7B76F" w14:textId="62704034">
      <w:pPr>
        <w:pStyle w:val="Geenafstand"/>
        <w:jc w:val="both"/>
        <w:rPr>
          <w:rFonts w:ascii="Verdana" w:hAnsi="Verdana"/>
          <w:sz w:val="18"/>
          <w:szCs w:val="18"/>
          <w:lang w:val="en-GB"/>
        </w:rPr>
      </w:pPr>
      <w:r w:rsidRPr="00CD0FD4">
        <w:rPr>
          <w:rFonts w:ascii="Verdana" w:hAnsi="Verdana"/>
          <w:sz w:val="18"/>
          <w:szCs w:val="18"/>
          <w:lang w:val="en-GB"/>
        </w:rPr>
        <w:t xml:space="preserve">Regarding the final sentence, while we support avoiding resource allocation to cases </w:t>
      </w:r>
      <w:r w:rsidR="00CD0FD4">
        <w:rPr>
          <w:rFonts w:ascii="Verdana" w:hAnsi="Verdana"/>
          <w:sz w:val="18"/>
          <w:szCs w:val="18"/>
          <w:lang w:val="en-GB"/>
        </w:rPr>
        <w:t>concerning</w:t>
      </w:r>
      <w:r w:rsidRPr="00CD0FD4">
        <w:rPr>
          <w:rFonts w:ascii="Verdana" w:hAnsi="Verdana"/>
          <w:sz w:val="18"/>
          <w:szCs w:val="18"/>
          <w:lang w:val="en-GB"/>
        </w:rPr>
        <w:t xml:space="preserve"> anti-abuse provisions, the rule could also exclude genuine requests, such as those involving limitation-on-benefits provisions. Such cases may still qualify for MAP under current treaty practice.</w:t>
      </w:r>
    </w:p>
    <w:p w:rsidR="00CB7784" w:rsidP="003F5D70" w:rsidRDefault="00CB7784" w14:paraId="3789D774" w14:textId="77777777">
      <w:pPr>
        <w:pStyle w:val="Geenafstand"/>
        <w:jc w:val="both"/>
        <w:rPr>
          <w:rFonts w:ascii="Verdana" w:hAnsi="Verdana"/>
          <w:sz w:val="18"/>
          <w:szCs w:val="18"/>
          <w:lang w:val="en-US"/>
        </w:rPr>
      </w:pPr>
    </w:p>
    <w:p w:rsidR="00CB7784" w:rsidP="003F5D70" w:rsidRDefault="00CB7784" w14:paraId="373E4B61" w14:textId="739CC9F1">
      <w:pPr>
        <w:pStyle w:val="Geenafstand"/>
        <w:jc w:val="both"/>
        <w:rPr>
          <w:rFonts w:ascii="Verdana" w:hAnsi="Verdana"/>
          <w:sz w:val="18"/>
          <w:szCs w:val="18"/>
          <w:u w:val="single"/>
          <w:lang w:val="en-US"/>
        </w:rPr>
      </w:pPr>
      <w:r>
        <w:rPr>
          <w:rFonts w:ascii="Verdana" w:hAnsi="Verdana"/>
          <w:sz w:val="18"/>
          <w:szCs w:val="18"/>
          <w:u w:val="single"/>
          <w:lang w:val="en-US"/>
        </w:rPr>
        <w:t>Paragraph 7</w:t>
      </w:r>
    </w:p>
    <w:p w:rsidRPr="006F5530" w:rsidR="006F5530" w:rsidP="006F5530" w:rsidRDefault="006F5530" w14:paraId="737F09BD" w14:textId="69AA8E12">
      <w:pPr>
        <w:pStyle w:val="Geenafstand"/>
        <w:jc w:val="both"/>
        <w:rPr>
          <w:rFonts w:ascii="Verdana" w:hAnsi="Verdana"/>
          <w:sz w:val="18"/>
          <w:szCs w:val="18"/>
          <w:lang w:val="en-US"/>
        </w:rPr>
      </w:pPr>
      <w:r w:rsidRPr="006F5530">
        <w:rPr>
          <w:rFonts w:ascii="Verdana" w:hAnsi="Verdana"/>
          <w:sz w:val="18"/>
          <w:szCs w:val="18"/>
          <w:lang w:val="en-US"/>
        </w:rPr>
        <w:t xml:space="preserve">The Netherlands supports the objective of </w:t>
      </w:r>
      <w:r>
        <w:rPr>
          <w:rFonts w:ascii="Verdana" w:hAnsi="Verdana"/>
          <w:sz w:val="18"/>
          <w:szCs w:val="18"/>
          <w:lang w:val="en-US"/>
        </w:rPr>
        <w:t>concluding</w:t>
      </w:r>
      <w:r w:rsidRPr="006F5530">
        <w:rPr>
          <w:rFonts w:ascii="Verdana" w:hAnsi="Verdana"/>
          <w:sz w:val="18"/>
          <w:szCs w:val="18"/>
          <w:lang w:val="en-US"/>
        </w:rPr>
        <w:t xml:space="preserve"> cases within a reasonable timeframe </w:t>
      </w:r>
      <w:proofErr w:type="gramStart"/>
      <w:r w:rsidRPr="006F5530">
        <w:rPr>
          <w:rFonts w:ascii="Verdana" w:hAnsi="Verdana"/>
          <w:sz w:val="18"/>
          <w:szCs w:val="18"/>
          <w:lang w:val="en-US"/>
        </w:rPr>
        <w:t>in order to</w:t>
      </w:r>
      <w:proofErr w:type="gramEnd"/>
      <w:r w:rsidRPr="006F5530">
        <w:rPr>
          <w:rFonts w:ascii="Verdana" w:hAnsi="Verdana"/>
          <w:sz w:val="18"/>
          <w:szCs w:val="18"/>
          <w:lang w:val="en-US"/>
        </w:rPr>
        <w:t xml:space="preserve"> provide certainty for both taxpayers and administrations. While the proposed period of 24 months may prove challenging in some circumstances, the Netherlands welcomes the fact that the provision is framed as a best-efforts commitment rather than a mandatory deadline.</w:t>
      </w:r>
    </w:p>
    <w:p w:rsidR="006F5530" w:rsidP="003F5D70" w:rsidRDefault="006F5530" w14:paraId="1858EF14" w14:textId="77777777">
      <w:pPr>
        <w:pStyle w:val="Geenafstand"/>
        <w:jc w:val="both"/>
        <w:rPr>
          <w:rFonts w:ascii="Verdana" w:hAnsi="Verdana"/>
          <w:sz w:val="18"/>
          <w:szCs w:val="18"/>
          <w:u w:val="single"/>
          <w:lang w:val="en-US"/>
        </w:rPr>
      </w:pPr>
    </w:p>
    <w:p w:rsidR="00CB7784" w:rsidP="003F5D70" w:rsidRDefault="00CB7784" w14:paraId="44946EDD" w14:textId="4F194AD7">
      <w:pPr>
        <w:pStyle w:val="Geenafstand"/>
        <w:jc w:val="both"/>
        <w:rPr>
          <w:rFonts w:ascii="Verdana" w:hAnsi="Verdana"/>
          <w:sz w:val="18"/>
          <w:szCs w:val="18"/>
          <w:u w:val="single"/>
          <w:lang w:val="en-US"/>
        </w:rPr>
      </w:pPr>
      <w:r>
        <w:rPr>
          <w:rFonts w:ascii="Verdana" w:hAnsi="Verdana"/>
          <w:sz w:val="18"/>
          <w:szCs w:val="18"/>
          <w:u w:val="single"/>
          <w:lang w:val="en-US"/>
        </w:rPr>
        <w:t xml:space="preserve">Paragraph 8 </w:t>
      </w:r>
    </w:p>
    <w:p w:rsidRPr="006F5530" w:rsidR="006F5530" w:rsidP="006F5530" w:rsidRDefault="006F5530" w14:paraId="5B72DCFD" w14:textId="77777777">
      <w:pPr>
        <w:pStyle w:val="Geenafstand"/>
        <w:jc w:val="both"/>
        <w:rPr>
          <w:rFonts w:ascii="Verdana" w:hAnsi="Verdana"/>
          <w:sz w:val="18"/>
          <w:szCs w:val="18"/>
          <w:lang w:val="en-US"/>
        </w:rPr>
      </w:pPr>
      <w:r w:rsidRPr="006F5530">
        <w:rPr>
          <w:rFonts w:ascii="Verdana" w:hAnsi="Verdana"/>
          <w:sz w:val="18"/>
          <w:szCs w:val="18"/>
          <w:lang w:val="en-US"/>
        </w:rPr>
        <w:t>The Netherlands understands the first sentence to mean that an arrangement or ruling becomes effective only where it is accepted by the taxpayer in accordance with the legal or administrative requirements of the participating States. The Netherlands would welcome confirmation that this interpretation is intended, as such acceptance is an important feature of existing APA practice</w:t>
      </w:r>
    </w:p>
    <w:p w:rsidR="007F5A9E" w:rsidP="00C15C86" w:rsidRDefault="007F5A9E" w14:paraId="1AFBD11A" w14:textId="77777777">
      <w:pPr>
        <w:jc w:val="center"/>
        <w:rPr>
          <w:rFonts w:ascii="Verdana" w:hAnsi="Verdana"/>
          <w:b/>
          <w:bCs/>
          <w:sz w:val="18"/>
          <w:szCs w:val="18"/>
          <w:u w:val="single"/>
          <w:lang w:val="en-US"/>
        </w:rPr>
      </w:pPr>
    </w:p>
    <w:p w:rsidR="00CD0FD4" w:rsidRDefault="00CD0FD4" w14:paraId="6A4D0E5D" w14:textId="77777777">
      <w:pPr>
        <w:rPr>
          <w:rFonts w:ascii="Verdana" w:hAnsi="Verdana"/>
          <w:b/>
          <w:bCs/>
          <w:sz w:val="18"/>
          <w:szCs w:val="18"/>
          <w:u w:val="single"/>
          <w:lang w:val="en-US"/>
        </w:rPr>
      </w:pPr>
      <w:r>
        <w:rPr>
          <w:rFonts w:ascii="Verdana" w:hAnsi="Verdana"/>
          <w:b/>
          <w:bCs/>
          <w:sz w:val="18"/>
          <w:szCs w:val="18"/>
          <w:u w:val="single"/>
          <w:lang w:val="en-US"/>
        </w:rPr>
        <w:br w:type="page"/>
      </w:r>
    </w:p>
    <w:p w:rsidR="00C15C86" w:rsidP="00C15C86" w:rsidRDefault="00C15C86" w14:paraId="07B5287C" w14:textId="0301775E">
      <w:pPr>
        <w:jc w:val="center"/>
        <w:rPr>
          <w:rFonts w:ascii="Verdana" w:hAnsi="Verdana"/>
          <w:b/>
          <w:bCs/>
          <w:sz w:val="18"/>
          <w:szCs w:val="18"/>
          <w:u w:val="single"/>
          <w:lang w:val="en-US"/>
        </w:rPr>
      </w:pPr>
      <w:r>
        <w:rPr>
          <w:rFonts w:ascii="Verdana" w:hAnsi="Verdana"/>
          <w:b/>
          <w:bCs/>
          <w:sz w:val="18"/>
          <w:szCs w:val="18"/>
          <w:u w:val="single"/>
          <w:lang w:val="en-US"/>
        </w:rPr>
        <w:lastRenderedPageBreak/>
        <w:t>Chapter I</w:t>
      </w:r>
      <w:r w:rsidR="002B10EC">
        <w:rPr>
          <w:rFonts w:ascii="Verdana" w:hAnsi="Verdana"/>
          <w:b/>
          <w:bCs/>
          <w:sz w:val="18"/>
          <w:szCs w:val="18"/>
          <w:u w:val="single"/>
          <w:lang w:val="en-US"/>
        </w:rPr>
        <w:t>I</w:t>
      </w:r>
      <w:r>
        <w:rPr>
          <w:rFonts w:ascii="Verdana" w:hAnsi="Verdana"/>
          <w:b/>
          <w:bCs/>
          <w:sz w:val="18"/>
          <w:szCs w:val="18"/>
          <w:u w:val="single"/>
          <w:lang w:val="en-US"/>
        </w:rPr>
        <w:t>I – Resolution of tax disputes</w:t>
      </w:r>
    </w:p>
    <w:p w:rsidR="002B10EC" w:rsidP="00C15C86" w:rsidRDefault="002B10EC" w14:paraId="1F11F66A" w14:textId="77777777">
      <w:pPr>
        <w:pStyle w:val="Geenafstand"/>
        <w:jc w:val="both"/>
        <w:rPr>
          <w:rFonts w:ascii="Verdana" w:hAnsi="Verdana"/>
          <w:b/>
          <w:bCs/>
          <w:sz w:val="18"/>
          <w:szCs w:val="18"/>
          <w:lang w:val="en-US"/>
        </w:rPr>
      </w:pPr>
      <w:r>
        <w:rPr>
          <w:rFonts w:ascii="Verdana" w:hAnsi="Verdana"/>
          <w:b/>
          <w:bCs/>
          <w:sz w:val="18"/>
          <w:szCs w:val="18"/>
          <w:lang w:val="en-US"/>
        </w:rPr>
        <w:t>General</w:t>
      </w:r>
    </w:p>
    <w:p w:rsidRPr="002B10EC" w:rsidR="002B10EC" w:rsidP="00C15C86" w:rsidRDefault="00C53988" w14:paraId="678FB801" w14:textId="401774B3">
      <w:pPr>
        <w:pStyle w:val="Geenafstand"/>
        <w:jc w:val="both"/>
        <w:rPr>
          <w:rFonts w:ascii="Verdana" w:hAnsi="Verdana"/>
          <w:sz w:val="18"/>
          <w:szCs w:val="18"/>
          <w:lang w:val="en-US"/>
        </w:rPr>
      </w:pPr>
      <w:r w:rsidRPr="00C53988">
        <w:rPr>
          <w:rFonts w:ascii="Verdana" w:hAnsi="Verdana"/>
          <w:sz w:val="18"/>
          <w:szCs w:val="18"/>
          <w:lang w:val="en-US"/>
        </w:rPr>
        <w:t xml:space="preserve">The Netherlands notes that Chapter III envisages the establishment, by the Meeting of the Parties, of rosters of mediators, conciliators and arbitrators. To better understand the practical operation of these mechanisms, the Netherlands would welcome further clarification </w:t>
      </w:r>
      <w:r w:rsidR="002B10EC">
        <w:rPr>
          <w:rFonts w:ascii="Verdana" w:hAnsi="Verdana"/>
          <w:sz w:val="18"/>
          <w:szCs w:val="18"/>
          <w:lang w:val="en-US"/>
        </w:rPr>
        <w:t xml:space="preserve">how this system would work and </w:t>
      </w:r>
      <w:proofErr w:type="gramStart"/>
      <w:r w:rsidR="002B10EC">
        <w:rPr>
          <w:rFonts w:ascii="Verdana" w:hAnsi="Verdana"/>
          <w:sz w:val="18"/>
          <w:szCs w:val="18"/>
          <w:lang w:val="en-US"/>
        </w:rPr>
        <w:t>on the basis of</w:t>
      </w:r>
      <w:proofErr w:type="gramEnd"/>
      <w:r w:rsidR="002B10EC">
        <w:rPr>
          <w:rFonts w:ascii="Verdana" w:hAnsi="Verdana"/>
          <w:sz w:val="18"/>
          <w:szCs w:val="18"/>
          <w:lang w:val="en-US"/>
        </w:rPr>
        <w:t xml:space="preserve"> what rules such roster would be established.</w:t>
      </w:r>
    </w:p>
    <w:p w:rsidR="002B10EC" w:rsidP="00C15C86" w:rsidRDefault="002B10EC" w14:paraId="14B8984D" w14:textId="77777777">
      <w:pPr>
        <w:pStyle w:val="Geenafstand"/>
        <w:jc w:val="both"/>
        <w:rPr>
          <w:rFonts w:ascii="Verdana" w:hAnsi="Verdana"/>
          <w:b/>
          <w:bCs/>
          <w:sz w:val="18"/>
          <w:szCs w:val="18"/>
          <w:lang w:val="en-US"/>
        </w:rPr>
      </w:pPr>
    </w:p>
    <w:p w:rsidR="00C15C86" w:rsidP="00C15C86" w:rsidRDefault="00C15C86" w14:paraId="32F6A48D" w14:textId="0F92FB1F">
      <w:pPr>
        <w:pStyle w:val="Geenafstand"/>
        <w:jc w:val="both"/>
        <w:rPr>
          <w:rFonts w:ascii="Verdana" w:hAnsi="Verdana"/>
          <w:b/>
          <w:bCs/>
          <w:sz w:val="18"/>
          <w:szCs w:val="18"/>
          <w:lang w:val="en-US"/>
        </w:rPr>
      </w:pPr>
      <w:r>
        <w:rPr>
          <w:rFonts w:ascii="Verdana" w:hAnsi="Verdana"/>
          <w:b/>
          <w:bCs/>
          <w:sz w:val="18"/>
          <w:szCs w:val="18"/>
          <w:lang w:val="en-US"/>
        </w:rPr>
        <w:t>Article III.1 – Mutual agreement procedure</w:t>
      </w:r>
    </w:p>
    <w:p w:rsidR="00C15C86" w:rsidP="005F17FF" w:rsidRDefault="00C15C86" w14:paraId="74173C03" w14:textId="69E773B0">
      <w:pPr>
        <w:pStyle w:val="Geenafstand"/>
        <w:jc w:val="both"/>
        <w:rPr>
          <w:rFonts w:ascii="Verdana" w:hAnsi="Verdana"/>
          <w:sz w:val="18"/>
          <w:szCs w:val="18"/>
          <w:u w:val="single"/>
          <w:lang w:val="en-US"/>
        </w:rPr>
      </w:pPr>
      <w:r>
        <w:rPr>
          <w:rFonts w:ascii="Verdana" w:hAnsi="Verdana"/>
          <w:sz w:val="18"/>
          <w:szCs w:val="18"/>
          <w:u w:val="single"/>
          <w:lang w:val="en-US"/>
        </w:rPr>
        <w:t>Paragraph 1</w:t>
      </w:r>
    </w:p>
    <w:p w:rsidRPr="00C53988" w:rsidR="00C53988" w:rsidP="00C53988" w:rsidRDefault="00C53988" w14:paraId="7BA41845" w14:textId="787C9BA5">
      <w:pPr>
        <w:pStyle w:val="Geenafstand"/>
        <w:jc w:val="both"/>
        <w:rPr>
          <w:rFonts w:ascii="Verdana" w:hAnsi="Verdana"/>
          <w:sz w:val="18"/>
          <w:szCs w:val="18"/>
          <w:lang w:val="en-US"/>
        </w:rPr>
      </w:pPr>
      <w:r w:rsidRPr="00C53988">
        <w:rPr>
          <w:rFonts w:ascii="Verdana" w:hAnsi="Verdana"/>
          <w:sz w:val="18"/>
          <w:szCs w:val="18"/>
          <w:lang w:val="en-US"/>
        </w:rPr>
        <w:t>The Netherlands understands that paragraph 1 is modelled on Article 25(1) of the UN Model Tax Convention and therefore contemplates that a request for mutual agreement procedure (MAP) assistance is submitted to the competent authority of the State of residence of the person concerned.</w:t>
      </w:r>
    </w:p>
    <w:p w:rsidR="00C53988" w:rsidP="00C53988" w:rsidRDefault="00C53988" w14:paraId="1BAB6ABE" w14:textId="77777777">
      <w:pPr>
        <w:pStyle w:val="Geenafstand"/>
        <w:jc w:val="both"/>
        <w:rPr>
          <w:rFonts w:ascii="Verdana" w:hAnsi="Verdana"/>
          <w:sz w:val="18"/>
          <w:szCs w:val="18"/>
          <w:lang w:val="en-US"/>
        </w:rPr>
      </w:pPr>
    </w:p>
    <w:p w:rsidR="00C53988" w:rsidP="00C53988" w:rsidRDefault="00C53988" w14:paraId="61441377" w14:textId="60EDBE53">
      <w:pPr>
        <w:pStyle w:val="Geenafstand"/>
        <w:jc w:val="both"/>
        <w:rPr>
          <w:rFonts w:ascii="Verdana" w:hAnsi="Verdana"/>
          <w:sz w:val="18"/>
          <w:szCs w:val="18"/>
          <w:lang w:val="en-US"/>
        </w:rPr>
      </w:pPr>
      <w:r w:rsidRPr="00C53988">
        <w:rPr>
          <w:rFonts w:ascii="Verdana" w:hAnsi="Verdana"/>
          <w:sz w:val="18"/>
          <w:szCs w:val="18"/>
          <w:lang w:val="en-US"/>
        </w:rPr>
        <w:t xml:space="preserve">The Netherlands notes that a significant number of bilateral tax treaties include an alternative formulation allowing taxpayers to submit a MAP request to </w:t>
      </w:r>
      <w:proofErr w:type="gramStart"/>
      <w:r w:rsidRPr="00C53988">
        <w:rPr>
          <w:rFonts w:ascii="Verdana" w:hAnsi="Verdana"/>
          <w:sz w:val="18"/>
          <w:szCs w:val="18"/>
          <w:lang w:val="en-US"/>
        </w:rPr>
        <w:t>either competent</w:t>
      </w:r>
      <w:proofErr w:type="gramEnd"/>
      <w:r w:rsidRPr="00C53988">
        <w:rPr>
          <w:rFonts w:ascii="Verdana" w:hAnsi="Verdana"/>
          <w:sz w:val="18"/>
          <w:szCs w:val="18"/>
          <w:lang w:val="en-US"/>
        </w:rPr>
        <w:t xml:space="preserve"> authority. Consideration could therefore be given to providing States with the option to apply a similar approach under the Protocol.</w:t>
      </w:r>
    </w:p>
    <w:p w:rsidRPr="00C53988" w:rsidR="00C53988" w:rsidP="00C53988" w:rsidRDefault="00C53988" w14:paraId="1D324A5F" w14:textId="77777777">
      <w:pPr>
        <w:pStyle w:val="Geenafstand"/>
        <w:jc w:val="both"/>
        <w:rPr>
          <w:rFonts w:ascii="Verdana" w:hAnsi="Verdana"/>
          <w:sz w:val="18"/>
          <w:szCs w:val="18"/>
          <w:lang w:val="en-US"/>
        </w:rPr>
      </w:pPr>
    </w:p>
    <w:p w:rsidR="00C53988" w:rsidP="00C53988" w:rsidRDefault="00C53988" w14:paraId="0BAB9493" w14:textId="77777777">
      <w:pPr>
        <w:pStyle w:val="Geenafstand"/>
        <w:jc w:val="both"/>
        <w:rPr>
          <w:rFonts w:ascii="Verdana" w:hAnsi="Verdana"/>
          <w:sz w:val="18"/>
          <w:szCs w:val="18"/>
          <w:lang w:val="en-US"/>
        </w:rPr>
      </w:pPr>
      <w:r w:rsidRPr="00C53988">
        <w:rPr>
          <w:rFonts w:ascii="Verdana" w:hAnsi="Verdana"/>
          <w:sz w:val="18"/>
          <w:szCs w:val="18"/>
          <w:lang w:val="en-US"/>
        </w:rPr>
        <w:t>In addition, the Netherlands would appreciate clarification as to whether the inclusion of such an alternative provision would be regarded as constituting a substantially comparable mechanism for purposes of Article V.2.</w:t>
      </w:r>
    </w:p>
    <w:p w:rsidRPr="00C53988" w:rsidR="00C53988" w:rsidP="00C53988" w:rsidRDefault="00C53988" w14:paraId="2249D6BB" w14:textId="77777777">
      <w:pPr>
        <w:pStyle w:val="Geenafstand"/>
        <w:jc w:val="both"/>
        <w:rPr>
          <w:rFonts w:ascii="Verdana" w:hAnsi="Verdana"/>
          <w:sz w:val="18"/>
          <w:szCs w:val="18"/>
          <w:lang w:val="en-US"/>
        </w:rPr>
      </w:pPr>
    </w:p>
    <w:p w:rsidRPr="00C53988" w:rsidR="00C53988" w:rsidP="00C53988" w:rsidRDefault="00C53988" w14:paraId="506F84CC" w14:textId="77777777">
      <w:pPr>
        <w:pStyle w:val="Geenafstand"/>
        <w:jc w:val="both"/>
        <w:rPr>
          <w:rFonts w:ascii="Verdana" w:hAnsi="Verdana"/>
          <w:sz w:val="18"/>
          <w:szCs w:val="18"/>
          <w:lang w:val="en-US"/>
        </w:rPr>
      </w:pPr>
      <w:r w:rsidRPr="00C53988">
        <w:rPr>
          <w:rFonts w:ascii="Verdana" w:hAnsi="Verdana"/>
          <w:sz w:val="18"/>
          <w:szCs w:val="18"/>
          <w:lang w:val="en-US"/>
        </w:rPr>
        <w:t>The Netherlands would also welcome further guidance regarding the extent to which the Commentaries to Article 25 of the UN and OECD Model Tax Conventions may serve as interpretative guidance where the provisions of Article III.1 correspond closely to those treaty provisions.</w:t>
      </w:r>
    </w:p>
    <w:p w:rsidR="00C53988" w:rsidP="005F17FF" w:rsidRDefault="00C53988" w14:paraId="083BDD43" w14:textId="77777777">
      <w:pPr>
        <w:pStyle w:val="Geenafstand"/>
        <w:jc w:val="both"/>
        <w:rPr>
          <w:rFonts w:ascii="Verdana" w:hAnsi="Verdana"/>
          <w:sz w:val="18"/>
          <w:szCs w:val="18"/>
          <w:lang w:val="en-US"/>
        </w:rPr>
      </w:pPr>
    </w:p>
    <w:p w:rsidR="005F17FF" w:rsidP="005F17FF" w:rsidRDefault="005F17FF" w14:paraId="3C35A211" w14:textId="54D7E54E">
      <w:pPr>
        <w:pStyle w:val="Geenafstand"/>
        <w:jc w:val="both"/>
        <w:rPr>
          <w:rFonts w:ascii="Verdana" w:hAnsi="Verdana"/>
          <w:sz w:val="18"/>
          <w:szCs w:val="18"/>
          <w:u w:val="single"/>
          <w:lang w:val="en-US"/>
        </w:rPr>
      </w:pPr>
      <w:r>
        <w:rPr>
          <w:rFonts w:ascii="Verdana" w:hAnsi="Verdana"/>
          <w:sz w:val="18"/>
          <w:szCs w:val="18"/>
          <w:u w:val="single"/>
          <w:lang w:val="en-US"/>
        </w:rPr>
        <w:t xml:space="preserve">Paragraph </w:t>
      </w:r>
      <w:r w:rsidR="00C10D19">
        <w:rPr>
          <w:rFonts w:ascii="Verdana" w:hAnsi="Verdana"/>
          <w:sz w:val="18"/>
          <w:szCs w:val="18"/>
          <w:u w:val="single"/>
          <w:lang w:val="en-US"/>
        </w:rPr>
        <w:t>3</w:t>
      </w:r>
    </w:p>
    <w:p w:rsidRPr="00C53988" w:rsidR="00C53988" w:rsidP="00C53988" w:rsidRDefault="00C53988" w14:paraId="0E77653E" w14:textId="52600136">
      <w:pPr>
        <w:pStyle w:val="Geenafstand"/>
        <w:jc w:val="both"/>
        <w:rPr>
          <w:rFonts w:ascii="Verdana" w:hAnsi="Verdana"/>
          <w:sz w:val="18"/>
          <w:szCs w:val="18"/>
          <w:lang w:val="en-US"/>
        </w:rPr>
      </w:pPr>
      <w:r w:rsidRPr="00C53988">
        <w:rPr>
          <w:rFonts w:ascii="Verdana" w:hAnsi="Verdana"/>
          <w:sz w:val="18"/>
          <w:szCs w:val="18"/>
          <w:lang w:val="en-US"/>
        </w:rPr>
        <w:t>The Netherlands observes that, under the BEPS Action 14 minimum standard, competent authorities may either consult with or notify the other competent authority where they consider an objection raised in a MAP request not to be justified.</w:t>
      </w:r>
      <w:r>
        <w:rPr>
          <w:rFonts w:ascii="Verdana" w:hAnsi="Verdana"/>
          <w:sz w:val="18"/>
          <w:szCs w:val="18"/>
          <w:lang w:val="en-US"/>
        </w:rPr>
        <w:t xml:space="preserve"> </w:t>
      </w:r>
      <w:r w:rsidRPr="00C53988">
        <w:rPr>
          <w:rFonts w:ascii="Verdana" w:hAnsi="Verdana"/>
          <w:sz w:val="18"/>
          <w:szCs w:val="18"/>
          <w:lang w:val="en-US"/>
        </w:rPr>
        <w:t xml:space="preserve">Under the current drafting of paragraph 3, consultation appears to be required in all cases. While the Netherlands appreciates the objective of promoting cooperation and consistency, it would welcome further clarification regarding the rationale for adopting an approach </w:t>
      </w:r>
      <w:r>
        <w:rPr>
          <w:rFonts w:ascii="Verdana" w:hAnsi="Verdana"/>
          <w:sz w:val="18"/>
          <w:szCs w:val="18"/>
          <w:lang w:val="en-US"/>
        </w:rPr>
        <w:t>deviating from this</w:t>
      </w:r>
      <w:r w:rsidRPr="00C53988">
        <w:rPr>
          <w:rFonts w:ascii="Verdana" w:hAnsi="Verdana"/>
          <w:sz w:val="18"/>
          <w:szCs w:val="18"/>
          <w:lang w:val="en-US"/>
        </w:rPr>
        <w:t xml:space="preserve"> standard and that may </w:t>
      </w:r>
      <w:r>
        <w:rPr>
          <w:rFonts w:ascii="Verdana" w:hAnsi="Verdana"/>
          <w:sz w:val="18"/>
          <w:szCs w:val="18"/>
          <w:lang w:val="en-US"/>
        </w:rPr>
        <w:t xml:space="preserve">also </w:t>
      </w:r>
      <w:r w:rsidRPr="00C53988">
        <w:rPr>
          <w:rFonts w:ascii="Verdana" w:hAnsi="Verdana"/>
          <w:sz w:val="18"/>
          <w:szCs w:val="18"/>
          <w:lang w:val="en-US"/>
        </w:rPr>
        <w:t xml:space="preserve">not fully align with </w:t>
      </w:r>
      <w:r>
        <w:rPr>
          <w:rFonts w:ascii="Verdana" w:hAnsi="Verdana"/>
          <w:sz w:val="18"/>
          <w:szCs w:val="18"/>
          <w:lang w:val="en-US"/>
        </w:rPr>
        <w:t xml:space="preserve">established </w:t>
      </w:r>
      <w:r w:rsidRPr="00C53988">
        <w:rPr>
          <w:rFonts w:ascii="Verdana" w:hAnsi="Verdana"/>
          <w:sz w:val="18"/>
          <w:szCs w:val="18"/>
          <w:lang w:val="en-US"/>
        </w:rPr>
        <w:t xml:space="preserve">domestic practices of </w:t>
      </w:r>
      <w:r>
        <w:rPr>
          <w:rFonts w:ascii="Verdana" w:hAnsi="Verdana"/>
          <w:sz w:val="18"/>
          <w:szCs w:val="18"/>
          <w:lang w:val="en-US"/>
        </w:rPr>
        <w:t>s</w:t>
      </w:r>
      <w:r w:rsidRPr="00C53988">
        <w:rPr>
          <w:rFonts w:ascii="Verdana" w:hAnsi="Verdana"/>
          <w:sz w:val="18"/>
          <w:szCs w:val="18"/>
          <w:lang w:val="en-US"/>
        </w:rPr>
        <w:t>tates.</w:t>
      </w:r>
    </w:p>
    <w:p w:rsidR="005F17FF" w:rsidP="005F17FF" w:rsidRDefault="005F17FF" w14:paraId="2BE75A0E" w14:textId="77777777">
      <w:pPr>
        <w:pStyle w:val="Geenafstand"/>
        <w:jc w:val="both"/>
        <w:rPr>
          <w:rFonts w:ascii="Verdana" w:hAnsi="Verdana"/>
          <w:sz w:val="18"/>
          <w:szCs w:val="18"/>
          <w:lang w:val="en-US"/>
        </w:rPr>
      </w:pPr>
    </w:p>
    <w:p w:rsidR="005F17FF" w:rsidP="005F17FF" w:rsidRDefault="005F17FF" w14:paraId="7F8110E9" w14:textId="7823CFF1">
      <w:pPr>
        <w:pStyle w:val="Geenafstand"/>
        <w:jc w:val="both"/>
        <w:rPr>
          <w:rFonts w:ascii="Verdana" w:hAnsi="Verdana"/>
          <w:sz w:val="18"/>
          <w:szCs w:val="18"/>
          <w:u w:val="single"/>
          <w:lang w:val="en-US"/>
        </w:rPr>
      </w:pPr>
      <w:r>
        <w:rPr>
          <w:rFonts w:ascii="Verdana" w:hAnsi="Verdana"/>
          <w:sz w:val="18"/>
          <w:szCs w:val="18"/>
          <w:u w:val="single"/>
          <w:lang w:val="en-US"/>
        </w:rPr>
        <w:t xml:space="preserve">Paragraph </w:t>
      </w:r>
      <w:r w:rsidR="00C10D19">
        <w:rPr>
          <w:rFonts w:ascii="Verdana" w:hAnsi="Verdana"/>
          <w:sz w:val="18"/>
          <w:szCs w:val="18"/>
          <w:u w:val="single"/>
          <w:lang w:val="en-US"/>
        </w:rPr>
        <w:t>4</w:t>
      </w:r>
    </w:p>
    <w:p w:rsidR="00C53988" w:rsidP="00C53988" w:rsidRDefault="00C53988" w14:paraId="77115A0B" w14:textId="27BD5495">
      <w:pPr>
        <w:pStyle w:val="Geenafstand"/>
        <w:jc w:val="both"/>
        <w:rPr>
          <w:rFonts w:ascii="Verdana" w:hAnsi="Verdana"/>
          <w:sz w:val="18"/>
          <w:szCs w:val="18"/>
          <w:lang w:val="en-US"/>
        </w:rPr>
      </w:pPr>
      <w:r w:rsidRPr="00C53988">
        <w:rPr>
          <w:rFonts w:ascii="Verdana" w:hAnsi="Verdana"/>
          <w:sz w:val="18"/>
          <w:szCs w:val="18"/>
          <w:lang w:val="en-US"/>
        </w:rPr>
        <w:t>The Netherlands would appreciate further clarification regarding the purpose and intended application of this paragraph.</w:t>
      </w:r>
      <w:r>
        <w:rPr>
          <w:rFonts w:ascii="Verdana" w:hAnsi="Verdana"/>
          <w:sz w:val="18"/>
          <w:szCs w:val="18"/>
          <w:lang w:val="en-US"/>
        </w:rPr>
        <w:t xml:space="preserve"> </w:t>
      </w:r>
      <w:r w:rsidRPr="00C53988">
        <w:rPr>
          <w:rFonts w:ascii="Verdana" w:hAnsi="Verdana"/>
          <w:sz w:val="18"/>
          <w:szCs w:val="18"/>
          <w:lang w:val="en-US"/>
        </w:rPr>
        <w:t xml:space="preserve">Based on </w:t>
      </w:r>
      <w:r>
        <w:rPr>
          <w:rFonts w:ascii="Verdana" w:hAnsi="Verdana"/>
          <w:sz w:val="18"/>
          <w:szCs w:val="18"/>
          <w:lang w:val="en-US"/>
        </w:rPr>
        <w:t xml:space="preserve">our </w:t>
      </w:r>
      <w:r w:rsidRPr="00C53988">
        <w:rPr>
          <w:rFonts w:ascii="Verdana" w:hAnsi="Verdana"/>
          <w:sz w:val="18"/>
          <w:szCs w:val="18"/>
          <w:lang w:val="en-US"/>
        </w:rPr>
        <w:t xml:space="preserve">experience, </w:t>
      </w:r>
      <w:r>
        <w:rPr>
          <w:rFonts w:ascii="Verdana" w:hAnsi="Verdana"/>
          <w:sz w:val="18"/>
          <w:szCs w:val="18"/>
          <w:lang w:val="en-US"/>
        </w:rPr>
        <w:t>we have not encountered any</w:t>
      </w:r>
      <w:r w:rsidRPr="00C53988">
        <w:rPr>
          <w:rFonts w:ascii="Verdana" w:hAnsi="Verdana"/>
          <w:sz w:val="18"/>
          <w:szCs w:val="18"/>
          <w:lang w:val="en-US"/>
        </w:rPr>
        <w:t xml:space="preserve"> situations in which constitutional limitations have prevented either the consideration of a case under MAP or the implementation of an agreement reached by competent authorities. Additional explanation concerning the situations that this provision seeks to address would therefore be helpful.</w:t>
      </w:r>
    </w:p>
    <w:p w:rsidR="00C53988" w:rsidP="00C53988" w:rsidRDefault="00C53988" w14:paraId="54CE3A39" w14:textId="77777777">
      <w:pPr>
        <w:pStyle w:val="Geenafstand"/>
        <w:jc w:val="both"/>
        <w:rPr>
          <w:rFonts w:ascii="Verdana" w:hAnsi="Verdana"/>
          <w:sz w:val="18"/>
          <w:szCs w:val="18"/>
          <w:lang w:val="en-US"/>
        </w:rPr>
      </w:pPr>
    </w:p>
    <w:p w:rsidR="00722688" w:rsidP="005F17FF" w:rsidRDefault="00722688" w14:paraId="40CDA517" w14:textId="2FF5ECEE">
      <w:pPr>
        <w:pStyle w:val="Geenafstand"/>
        <w:jc w:val="both"/>
        <w:rPr>
          <w:rFonts w:ascii="Verdana" w:hAnsi="Verdana"/>
          <w:sz w:val="18"/>
          <w:szCs w:val="18"/>
          <w:u w:val="single"/>
          <w:lang w:val="en-US"/>
        </w:rPr>
      </w:pPr>
      <w:r>
        <w:rPr>
          <w:rFonts w:ascii="Verdana" w:hAnsi="Verdana"/>
          <w:sz w:val="18"/>
          <w:szCs w:val="18"/>
          <w:u w:val="single"/>
          <w:lang w:val="en-US"/>
        </w:rPr>
        <w:t xml:space="preserve">Paragraph </w:t>
      </w:r>
      <w:r w:rsidR="00C10D19">
        <w:rPr>
          <w:rFonts w:ascii="Verdana" w:hAnsi="Verdana"/>
          <w:sz w:val="18"/>
          <w:szCs w:val="18"/>
          <w:u w:val="single"/>
          <w:lang w:val="en-US"/>
        </w:rPr>
        <w:t>11</w:t>
      </w:r>
    </w:p>
    <w:p w:rsidR="002B10EC" w:rsidP="005F17FF" w:rsidRDefault="00242FF6" w14:paraId="18F3A00C" w14:textId="74E915EB">
      <w:pPr>
        <w:pStyle w:val="Geenafstand"/>
        <w:jc w:val="both"/>
        <w:rPr>
          <w:rFonts w:ascii="Verdana" w:hAnsi="Verdana"/>
          <w:sz w:val="18"/>
          <w:szCs w:val="18"/>
          <w:lang w:val="en-US"/>
        </w:rPr>
      </w:pPr>
      <w:r w:rsidRPr="00CD0FD4">
        <w:rPr>
          <w:rFonts w:ascii="Verdana" w:hAnsi="Verdana"/>
          <w:sz w:val="18"/>
          <w:szCs w:val="18"/>
          <w:lang w:val="en-GB"/>
        </w:rPr>
        <w:t xml:space="preserve">In practice, decisions on MAP-request admissibility and whether an objection is justified are usually made at the same stage. The Netherlands suggests considering a single indicative timeframe instead of two periods. More generally, we are cautious about procedural timelines unless clearly intended as guidance, not obligations. With that clarification, a three-month review period and 24 months to resolve a MAP case are suitable indicative timeframes and align with international standards. </w:t>
      </w:r>
    </w:p>
    <w:p w:rsidR="00CD0FD4" w:rsidP="005F17FF" w:rsidRDefault="00CD0FD4" w14:paraId="23640CEA" w14:textId="77777777">
      <w:pPr>
        <w:pStyle w:val="Geenafstand"/>
        <w:jc w:val="both"/>
        <w:rPr>
          <w:rFonts w:ascii="Verdana" w:hAnsi="Verdana"/>
          <w:b/>
          <w:bCs/>
          <w:sz w:val="18"/>
          <w:szCs w:val="18"/>
          <w:lang w:val="en-US"/>
        </w:rPr>
      </w:pPr>
    </w:p>
    <w:p w:rsidR="002B10EC" w:rsidP="005F17FF" w:rsidRDefault="002B10EC" w14:paraId="3EE4B008" w14:textId="3CFBCFEA">
      <w:pPr>
        <w:pStyle w:val="Geenafstand"/>
        <w:jc w:val="both"/>
        <w:rPr>
          <w:rFonts w:ascii="Verdana" w:hAnsi="Verdana"/>
          <w:b/>
          <w:bCs/>
          <w:sz w:val="18"/>
          <w:szCs w:val="18"/>
          <w:lang w:val="en-US"/>
        </w:rPr>
      </w:pPr>
      <w:r>
        <w:rPr>
          <w:rFonts w:ascii="Verdana" w:hAnsi="Verdana"/>
          <w:b/>
          <w:bCs/>
          <w:sz w:val="18"/>
          <w:szCs w:val="18"/>
          <w:lang w:val="en-US"/>
        </w:rPr>
        <w:t>Article III.3</w:t>
      </w:r>
      <w:r w:rsidR="003F2910">
        <w:rPr>
          <w:rFonts w:ascii="Verdana" w:hAnsi="Verdana"/>
          <w:b/>
          <w:bCs/>
          <w:sz w:val="18"/>
          <w:szCs w:val="18"/>
          <w:lang w:val="en-US"/>
        </w:rPr>
        <w:t xml:space="preserve"> – Arbitration </w:t>
      </w:r>
    </w:p>
    <w:p w:rsidR="002B10EC" w:rsidP="005F17FF" w:rsidRDefault="002B10EC" w14:paraId="3A4D43A9" w14:textId="6530FD0E">
      <w:pPr>
        <w:pStyle w:val="Geenafstand"/>
        <w:jc w:val="both"/>
        <w:rPr>
          <w:rFonts w:ascii="Verdana" w:hAnsi="Verdana"/>
          <w:sz w:val="18"/>
          <w:szCs w:val="18"/>
          <w:u w:val="single"/>
          <w:lang w:val="en-US"/>
        </w:rPr>
      </w:pPr>
      <w:r>
        <w:rPr>
          <w:rFonts w:ascii="Verdana" w:hAnsi="Verdana"/>
          <w:sz w:val="18"/>
          <w:szCs w:val="18"/>
          <w:u w:val="single"/>
          <w:lang w:val="en-US"/>
        </w:rPr>
        <w:t>General</w:t>
      </w:r>
    </w:p>
    <w:p w:rsidR="003F2910" w:rsidP="005F17FF" w:rsidRDefault="00242FF6" w14:paraId="55BBBA35" w14:textId="2951FA1E">
      <w:pPr>
        <w:pStyle w:val="Geenafstand"/>
        <w:jc w:val="both"/>
        <w:rPr>
          <w:rFonts w:ascii="Verdana" w:hAnsi="Verdana"/>
          <w:sz w:val="18"/>
          <w:szCs w:val="18"/>
          <w:lang w:val="en-US"/>
        </w:rPr>
      </w:pPr>
      <w:r w:rsidRPr="00CD0FD4">
        <w:rPr>
          <w:rFonts w:ascii="Verdana" w:hAnsi="Verdana"/>
          <w:sz w:val="18"/>
          <w:szCs w:val="18"/>
          <w:lang w:val="en-GB"/>
        </w:rPr>
        <w:t>Article III.3's arbitration provisions are more detailed than those in the UN and OECD Model Conventions, but less prescriptive than the Multilateral Instrument. While the article covers many elements, some details are left to agreement between competent authorities, or—if no agreement—the rules set by the Meeting of the Parties apply. The Netherlands requests clarification on the form and content of these supplementary rules, and how they relate to the procedural provisions already in the article.</w:t>
      </w:r>
    </w:p>
    <w:p w:rsidR="00CD0FD4" w:rsidP="005F17FF" w:rsidRDefault="00CD0FD4" w14:paraId="3BFEF2E6" w14:textId="77777777">
      <w:pPr>
        <w:pStyle w:val="Geenafstand"/>
        <w:jc w:val="both"/>
        <w:rPr>
          <w:rFonts w:ascii="Verdana" w:hAnsi="Verdana"/>
          <w:sz w:val="18"/>
          <w:szCs w:val="18"/>
          <w:u w:val="single"/>
          <w:lang w:val="en-US"/>
        </w:rPr>
      </w:pPr>
    </w:p>
    <w:p w:rsidR="002B10EC" w:rsidP="005F17FF" w:rsidRDefault="002B10EC" w14:paraId="0CA3D86A" w14:textId="1A6BFE14">
      <w:pPr>
        <w:pStyle w:val="Geenafstand"/>
        <w:jc w:val="both"/>
        <w:rPr>
          <w:rFonts w:ascii="Verdana" w:hAnsi="Verdana"/>
          <w:sz w:val="18"/>
          <w:szCs w:val="18"/>
          <w:u w:val="single"/>
          <w:lang w:val="en-US"/>
        </w:rPr>
      </w:pPr>
      <w:r>
        <w:rPr>
          <w:rFonts w:ascii="Verdana" w:hAnsi="Verdana"/>
          <w:sz w:val="18"/>
          <w:szCs w:val="18"/>
          <w:u w:val="single"/>
          <w:lang w:val="en-US"/>
        </w:rPr>
        <w:t xml:space="preserve">Paragraph </w:t>
      </w:r>
      <w:r w:rsidR="003F2910">
        <w:rPr>
          <w:rFonts w:ascii="Verdana" w:hAnsi="Verdana"/>
          <w:sz w:val="18"/>
          <w:szCs w:val="18"/>
          <w:u w:val="single"/>
          <w:lang w:val="en-US"/>
        </w:rPr>
        <w:t>9</w:t>
      </w:r>
    </w:p>
    <w:p w:rsidRPr="00C53988" w:rsidR="00C53988" w:rsidP="00C53988" w:rsidRDefault="00C53988" w14:paraId="2543B6F2" w14:textId="6A9A1957">
      <w:pPr>
        <w:pStyle w:val="Geenafstand"/>
        <w:jc w:val="both"/>
        <w:rPr>
          <w:rFonts w:ascii="Verdana" w:hAnsi="Verdana"/>
          <w:sz w:val="18"/>
          <w:szCs w:val="18"/>
          <w:lang w:val="en-US"/>
        </w:rPr>
      </w:pPr>
      <w:r w:rsidRPr="00C53988">
        <w:rPr>
          <w:rFonts w:ascii="Verdana" w:hAnsi="Verdana"/>
          <w:sz w:val="18"/>
          <w:szCs w:val="18"/>
          <w:lang w:val="en-US"/>
        </w:rPr>
        <w:t>The Netherlands notes that paragraph 1 makes arbitration available in respect of any unresolved issue, where the relevant conditions have been met.</w:t>
      </w:r>
      <w:r>
        <w:rPr>
          <w:rFonts w:ascii="Verdana" w:hAnsi="Verdana"/>
          <w:sz w:val="18"/>
          <w:szCs w:val="18"/>
          <w:lang w:val="en-US"/>
        </w:rPr>
        <w:t xml:space="preserve"> </w:t>
      </w:r>
      <w:r w:rsidRPr="00C53988">
        <w:rPr>
          <w:rFonts w:ascii="Verdana" w:hAnsi="Verdana"/>
          <w:sz w:val="18"/>
          <w:szCs w:val="18"/>
          <w:lang w:val="en-US"/>
        </w:rPr>
        <w:t>Paragraph 9, however, appears to contemplate situations in which an arbitration decision addresses only certain unresolved issues. As arbitration generally represents the final stage of the dispute resolution process, the Netherlands would welcome further clarification regarding the circumstances in which only part of the unresolved matters would be submitted to, or resolved through, arbitration.</w:t>
      </w:r>
    </w:p>
    <w:p w:rsidR="00976173" w:rsidP="00976173" w:rsidRDefault="00976173" w14:paraId="4C9BDFD5" w14:textId="3B692552">
      <w:pPr>
        <w:pStyle w:val="Geenafstand"/>
        <w:jc w:val="both"/>
        <w:rPr>
          <w:rFonts w:ascii="Verdana" w:hAnsi="Verdana"/>
          <w:b/>
          <w:bCs/>
          <w:sz w:val="18"/>
          <w:szCs w:val="18"/>
          <w:lang w:val="en-US"/>
        </w:rPr>
      </w:pPr>
      <w:r>
        <w:rPr>
          <w:rFonts w:ascii="Verdana" w:hAnsi="Verdana"/>
          <w:b/>
          <w:bCs/>
          <w:sz w:val="18"/>
          <w:szCs w:val="18"/>
          <w:lang w:val="en-US"/>
        </w:rPr>
        <w:lastRenderedPageBreak/>
        <w:t>Article III.4 - R</w:t>
      </w:r>
      <w:r w:rsidRPr="00976173">
        <w:rPr>
          <w:rFonts w:ascii="Verdana" w:hAnsi="Verdana"/>
          <w:b/>
          <w:bCs/>
          <w:sz w:val="18"/>
          <w:szCs w:val="18"/>
          <w:lang w:val="en-US"/>
        </w:rPr>
        <w:t>ules applicable to the mediator, conciliator or arbitrator</w:t>
      </w:r>
    </w:p>
    <w:p w:rsidR="00976173" w:rsidP="00976173" w:rsidRDefault="00976173" w14:paraId="0D46CDF6" w14:textId="069611F7">
      <w:pPr>
        <w:pStyle w:val="Geenafstand"/>
        <w:jc w:val="both"/>
        <w:rPr>
          <w:rFonts w:ascii="Verdana" w:hAnsi="Verdana"/>
          <w:sz w:val="18"/>
          <w:szCs w:val="18"/>
          <w:u w:val="single"/>
          <w:lang w:val="en-US"/>
        </w:rPr>
      </w:pPr>
      <w:r>
        <w:rPr>
          <w:rFonts w:ascii="Verdana" w:hAnsi="Verdana"/>
          <w:sz w:val="18"/>
          <w:szCs w:val="18"/>
          <w:u w:val="single"/>
          <w:lang w:val="en-US"/>
        </w:rPr>
        <w:t>Paragraph 2</w:t>
      </w:r>
    </w:p>
    <w:p w:rsidR="00C53988" w:rsidP="00957C9E" w:rsidRDefault="00C53988" w14:paraId="72A5AE7B" w14:textId="136D176B">
      <w:pPr>
        <w:pStyle w:val="Geenafstand"/>
        <w:jc w:val="both"/>
        <w:rPr>
          <w:rFonts w:ascii="Verdana" w:hAnsi="Verdana"/>
          <w:sz w:val="18"/>
          <w:szCs w:val="18"/>
          <w:lang w:val="en-US"/>
        </w:rPr>
      </w:pPr>
      <w:r w:rsidRPr="00957C9E">
        <w:rPr>
          <w:rFonts w:ascii="Verdana" w:hAnsi="Verdana"/>
          <w:sz w:val="18"/>
          <w:szCs w:val="18"/>
          <w:lang w:val="en-US"/>
        </w:rPr>
        <w:t>The Netherlands notes that, under existing international arbitration mechanisms, each competent authority appoints one arbitrator, while those arbitrators jointly appoint a chairperson. Although all arbitrators are expected to satisfy independence and impartiality requirements, the appointing authorities generally retain discretion regarding the selection of suitable candidates.</w:t>
      </w:r>
      <w:r w:rsidR="00957C9E">
        <w:rPr>
          <w:rFonts w:ascii="Verdana" w:hAnsi="Verdana"/>
          <w:sz w:val="18"/>
          <w:szCs w:val="18"/>
          <w:lang w:val="en-US"/>
        </w:rPr>
        <w:t xml:space="preserve"> </w:t>
      </w:r>
      <w:r w:rsidRPr="00957C9E">
        <w:rPr>
          <w:rFonts w:ascii="Verdana" w:hAnsi="Verdana"/>
          <w:sz w:val="18"/>
          <w:szCs w:val="18"/>
          <w:lang w:val="en-US"/>
        </w:rPr>
        <w:t>In practice, this framework does not necessarily preclude an arbitrator from being a national or resident of the appointing State, while the chairperson is typically selected from a third jurisdiction.</w:t>
      </w:r>
    </w:p>
    <w:p w:rsidRPr="00957C9E" w:rsidR="00957C9E" w:rsidP="00957C9E" w:rsidRDefault="00957C9E" w14:paraId="2E75E797" w14:textId="77777777">
      <w:pPr>
        <w:pStyle w:val="Geenafstand"/>
        <w:jc w:val="both"/>
        <w:rPr>
          <w:rFonts w:ascii="Verdana" w:hAnsi="Verdana"/>
          <w:sz w:val="18"/>
          <w:szCs w:val="18"/>
          <w:lang w:val="en-US"/>
        </w:rPr>
      </w:pPr>
    </w:p>
    <w:p w:rsidR="00C53988" w:rsidP="00957C9E" w:rsidRDefault="00C53988" w14:paraId="5923A615" w14:textId="77777777">
      <w:pPr>
        <w:pStyle w:val="Geenafstand"/>
        <w:jc w:val="both"/>
        <w:rPr>
          <w:rFonts w:ascii="Verdana" w:hAnsi="Verdana"/>
          <w:sz w:val="18"/>
          <w:szCs w:val="18"/>
          <w:lang w:val="en-US"/>
        </w:rPr>
      </w:pPr>
      <w:r w:rsidRPr="00957C9E">
        <w:rPr>
          <w:rFonts w:ascii="Verdana" w:hAnsi="Verdana"/>
          <w:sz w:val="18"/>
          <w:szCs w:val="18"/>
          <w:lang w:val="en-US"/>
        </w:rPr>
        <w:t>The Netherlands therefore wonders whether the requirement in subparagraph (a) is necessary in relation to the two arbitrators initially appointed by the competent authorities, particularly given the safeguards already provided through the roster system and applicable independence requirements.</w:t>
      </w:r>
    </w:p>
    <w:p w:rsidRPr="00957C9E" w:rsidR="00957C9E" w:rsidP="00957C9E" w:rsidRDefault="00957C9E" w14:paraId="0BD2770E" w14:textId="77777777">
      <w:pPr>
        <w:pStyle w:val="Geenafstand"/>
        <w:jc w:val="both"/>
        <w:rPr>
          <w:rFonts w:ascii="Verdana" w:hAnsi="Verdana"/>
          <w:sz w:val="18"/>
          <w:szCs w:val="18"/>
          <w:lang w:val="en-US"/>
        </w:rPr>
      </w:pPr>
    </w:p>
    <w:p w:rsidRPr="00957C9E" w:rsidR="00C53988" w:rsidP="00957C9E" w:rsidRDefault="00C53988" w14:paraId="47A76824" w14:textId="204C0B34">
      <w:pPr>
        <w:pStyle w:val="Geenafstand"/>
        <w:jc w:val="both"/>
        <w:rPr>
          <w:rFonts w:ascii="Verdana" w:hAnsi="Verdana"/>
          <w:sz w:val="18"/>
          <w:szCs w:val="18"/>
          <w:lang w:val="en-US"/>
        </w:rPr>
      </w:pPr>
      <w:r w:rsidRPr="00957C9E">
        <w:rPr>
          <w:rFonts w:ascii="Verdana" w:hAnsi="Verdana"/>
          <w:sz w:val="18"/>
          <w:szCs w:val="18"/>
          <w:lang w:val="en-US"/>
        </w:rPr>
        <w:t xml:space="preserve">With respect to subparagraph (b), the Netherlands suggests </w:t>
      </w:r>
      <w:r w:rsidR="00957C9E">
        <w:rPr>
          <w:rFonts w:ascii="Verdana" w:hAnsi="Verdana"/>
          <w:sz w:val="18"/>
          <w:szCs w:val="18"/>
          <w:lang w:val="en-US"/>
        </w:rPr>
        <w:t>that</w:t>
      </w:r>
      <w:r w:rsidRPr="00957C9E">
        <w:rPr>
          <w:rFonts w:ascii="Verdana" w:hAnsi="Verdana"/>
          <w:sz w:val="18"/>
          <w:szCs w:val="18"/>
          <w:lang w:val="en-US"/>
        </w:rPr>
        <w:t xml:space="preserve"> the provision also expressly encompass</w:t>
      </w:r>
      <w:r w:rsidR="00957C9E">
        <w:rPr>
          <w:rFonts w:ascii="Verdana" w:hAnsi="Verdana"/>
          <w:sz w:val="18"/>
          <w:szCs w:val="18"/>
          <w:lang w:val="en-US"/>
        </w:rPr>
        <w:t>es</w:t>
      </w:r>
      <w:r w:rsidRPr="00957C9E">
        <w:rPr>
          <w:rFonts w:ascii="Verdana" w:hAnsi="Verdana"/>
          <w:sz w:val="18"/>
          <w:szCs w:val="18"/>
          <w:lang w:val="en-US"/>
        </w:rPr>
        <w:t xml:space="preserve"> individuals who currently work, or have previously worked, for the competent authority concerned.</w:t>
      </w:r>
    </w:p>
    <w:p w:rsidR="00C53988" w:rsidP="00976173" w:rsidRDefault="00C53988" w14:paraId="36E04220" w14:textId="77777777">
      <w:pPr>
        <w:pStyle w:val="Geenafstand"/>
        <w:jc w:val="both"/>
        <w:rPr>
          <w:rFonts w:ascii="Verdana" w:hAnsi="Verdana"/>
          <w:sz w:val="18"/>
          <w:szCs w:val="18"/>
          <w:lang w:val="en-US"/>
        </w:rPr>
      </w:pPr>
    </w:p>
    <w:p w:rsidR="00F67CC5" w:rsidP="00976173" w:rsidRDefault="00F67CC5" w14:paraId="5655AB64" w14:textId="7A85A43E">
      <w:pPr>
        <w:pStyle w:val="Geenafstand"/>
        <w:jc w:val="both"/>
        <w:rPr>
          <w:rFonts w:ascii="Verdana" w:hAnsi="Verdana"/>
          <w:sz w:val="18"/>
          <w:szCs w:val="18"/>
          <w:u w:val="single"/>
          <w:lang w:val="en-US"/>
        </w:rPr>
      </w:pPr>
      <w:r>
        <w:rPr>
          <w:rFonts w:ascii="Verdana" w:hAnsi="Verdana"/>
          <w:sz w:val="18"/>
          <w:szCs w:val="18"/>
          <w:u w:val="single"/>
          <w:lang w:val="en-US"/>
        </w:rPr>
        <w:t>Paragraph 4</w:t>
      </w:r>
    </w:p>
    <w:p w:rsidRPr="00957C9E" w:rsidR="00C53988" w:rsidP="00957C9E" w:rsidRDefault="00F67CC5" w14:paraId="4F403484" w14:textId="67A68946">
      <w:pPr>
        <w:pStyle w:val="Geenafstand"/>
        <w:jc w:val="both"/>
        <w:rPr>
          <w:rFonts w:ascii="Verdana" w:hAnsi="Verdana"/>
          <w:sz w:val="18"/>
          <w:szCs w:val="18"/>
          <w:lang w:val="en-US"/>
        </w:rPr>
      </w:pPr>
      <w:r>
        <w:rPr>
          <w:rFonts w:ascii="Verdana" w:hAnsi="Verdana"/>
          <w:sz w:val="18"/>
          <w:szCs w:val="18"/>
          <w:lang w:val="en-US"/>
        </w:rPr>
        <w:t xml:space="preserve">While </w:t>
      </w:r>
      <w:r w:rsidR="00957C9E">
        <w:rPr>
          <w:rFonts w:ascii="Verdana" w:hAnsi="Verdana"/>
          <w:sz w:val="18"/>
          <w:szCs w:val="18"/>
          <w:lang w:val="en-US"/>
        </w:rPr>
        <w:t xml:space="preserve">the Netherlands </w:t>
      </w:r>
      <w:r>
        <w:rPr>
          <w:rFonts w:ascii="Verdana" w:hAnsi="Verdana"/>
          <w:sz w:val="18"/>
          <w:szCs w:val="18"/>
          <w:lang w:val="en-US"/>
        </w:rPr>
        <w:t>subscribe</w:t>
      </w:r>
      <w:r w:rsidR="00957C9E">
        <w:rPr>
          <w:rFonts w:ascii="Verdana" w:hAnsi="Verdana"/>
          <w:sz w:val="18"/>
          <w:szCs w:val="18"/>
          <w:lang w:val="en-US"/>
        </w:rPr>
        <w:t>s</w:t>
      </w:r>
      <w:r>
        <w:rPr>
          <w:rFonts w:ascii="Verdana" w:hAnsi="Verdana"/>
          <w:sz w:val="18"/>
          <w:szCs w:val="18"/>
          <w:lang w:val="en-US"/>
        </w:rPr>
        <w:t xml:space="preserve"> to the replacement rule in this paragraph</w:t>
      </w:r>
      <w:r w:rsidR="00957C9E">
        <w:rPr>
          <w:rFonts w:ascii="Verdana" w:hAnsi="Verdana"/>
          <w:sz w:val="18"/>
          <w:szCs w:val="18"/>
          <w:lang w:val="en-US"/>
        </w:rPr>
        <w:t xml:space="preserve">. </w:t>
      </w:r>
      <w:r w:rsidRPr="00957C9E" w:rsidR="00C53988">
        <w:rPr>
          <w:rFonts w:ascii="Verdana" w:hAnsi="Verdana"/>
          <w:sz w:val="18"/>
          <w:szCs w:val="18"/>
          <w:lang w:val="en-US"/>
        </w:rPr>
        <w:t>It would, however, be helpful to clarify how this provision is intended to operate where the individual requiring replacement is the chairperson or third arbitrator, who would ordinarily have been appointed by the other arbitrators rather than by the competent authorities themselves.</w:t>
      </w:r>
    </w:p>
    <w:p w:rsidR="00C53988" w:rsidP="00976173" w:rsidRDefault="00C53988" w14:paraId="7629E3D6" w14:textId="77777777">
      <w:pPr>
        <w:pStyle w:val="Geenafstand"/>
        <w:jc w:val="both"/>
        <w:rPr>
          <w:rFonts w:ascii="Verdana" w:hAnsi="Verdana"/>
          <w:sz w:val="18"/>
          <w:szCs w:val="18"/>
          <w:lang w:val="en-US"/>
        </w:rPr>
      </w:pPr>
    </w:p>
    <w:p w:rsidR="005D4C72" w:rsidP="00976173" w:rsidRDefault="005D4C72" w14:paraId="5A32B3A8" w14:textId="4E0608D4">
      <w:pPr>
        <w:pStyle w:val="Geenafstand"/>
        <w:jc w:val="both"/>
        <w:rPr>
          <w:rFonts w:ascii="Verdana" w:hAnsi="Verdana"/>
          <w:b/>
          <w:bCs/>
          <w:sz w:val="18"/>
          <w:szCs w:val="18"/>
          <w:lang w:val="en-US"/>
        </w:rPr>
      </w:pPr>
      <w:r>
        <w:rPr>
          <w:rFonts w:ascii="Verdana" w:hAnsi="Verdana"/>
          <w:b/>
          <w:bCs/>
          <w:sz w:val="18"/>
          <w:szCs w:val="18"/>
          <w:lang w:val="en-US"/>
        </w:rPr>
        <w:t>Article III.5 – Fees, remuneration and expenses</w:t>
      </w:r>
    </w:p>
    <w:p w:rsidRPr="00957C9E" w:rsidR="00C53988" w:rsidP="00957C9E" w:rsidRDefault="00C53988" w14:paraId="2CDC71D5" w14:textId="1C1E61C2">
      <w:pPr>
        <w:pStyle w:val="Geenafstand"/>
        <w:jc w:val="both"/>
        <w:rPr>
          <w:rFonts w:ascii="Verdana" w:hAnsi="Verdana"/>
          <w:sz w:val="18"/>
          <w:szCs w:val="18"/>
          <w:lang w:val="en-US"/>
        </w:rPr>
      </w:pPr>
      <w:r w:rsidRPr="00957C9E">
        <w:rPr>
          <w:rFonts w:ascii="Verdana" w:hAnsi="Verdana"/>
          <w:sz w:val="18"/>
          <w:szCs w:val="18"/>
          <w:lang w:val="en-US"/>
        </w:rPr>
        <w:t>The Netherlands would appreciate further clarification regarding the meaning of the phrase:</w:t>
      </w:r>
      <w:r w:rsidR="00957C9E">
        <w:rPr>
          <w:rFonts w:ascii="Verdana" w:hAnsi="Verdana"/>
          <w:sz w:val="18"/>
          <w:szCs w:val="18"/>
          <w:lang w:val="en-US"/>
        </w:rPr>
        <w:t xml:space="preserve"> </w:t>
      </w:r>
      <w:r w:rsidRPr="00957C9E">
        <w:rPr>
          <w:rFonts w:ascii="Verdana" w:hAnsi="Verdana"/>
          <w:sz w:val="18"/>
          <w:szCs w:val="18"/>
          <w:lang w:val="en-US"/>
        </w:rPr>
        <w:t>"shall take into account the need to ensure equitable access to the mechanisms."</w:t>
      </w:r>
      <w:r w:rsidR="00957C9E">
        <w:rPr>
          <w:rFonts w:ascii="Verdana" w:hAnsi="Verdana"/>
          <w:sz w:val="18"/>
          <w:szCs w:val="18"/>
          <w:lang w:val="en-US"/>
        </w:rPr>
        <w:t xml:space="preserve"> </w:t>
      </w:r>
      <w:proofErr w:type="gramStart"/>
      <w:r w:rsidRPr="00957C9E">
        <w:rPr>
          <w:rFonts w:ascii="Verdana" w:hAnsi="Verdana"/>
          <w:sz w:val="18"/>
          <w:szCs w:val="18"/>
          <w:lang w:val="en-US"/>
        </w:rPr>
        <w:t>In particular, additional</w:t>
      </w:r>
      <w:proofErr w:type="gramEnd"/>
      <w:r w:rsidRPr="00957C9E">
        <w:rPr>
          <w:rFonts w:ascii="Verdana" w:hAnsi="Verdana"/>
          <w:sz w:val="18"/>
          <w:szCs w:val="18"/>
          <w:lang w:val="en-US"/>
        </w:rPr>
        <w:t xml:space="preserve"> guidance on how this consideration is intended to operate in practice, including whether it is aimed at addressing cost allocation, taxpayer access or broader procedural fairness considerations, would be welcomed.</w:t>
      </w:r>
    </w:p>
    <w:p w:rsidR="005D4C72" w:rsidP="00501A28" w:rsidRDefault="005D4C72" w14:paraId="089586EE" w14:textId="06D203FB">
      <w:pPr>
        <w:rPr>
          <w:rFonts w:ascii="Verdana" w:hAnsi="Verdana"/>
          <w:sz w:val="18"/>
          <w:szCs w:val="18"/>
          <w:lang w:val="en-US"/>
        </w:rPr>
      </w:pPr>
    </w:p>
    <w:p w:rsidR="005D4C72" w:rsidP="005D4C72" w:rsidRDefault="005D4C72" w14:paraId="11E7E660" w14:textId="7C2ECD1F">
      <w:pPr>
        <w:pStyle w:val="Geenafstand"/>
        <w:jc w:val="center"/>
        <w:rPr>
          <w:rFonts w:ascii="Verdana" w:hAnsi="Verdana"/>
          <w:b/>
          <w:bCs/>
          <w:sz w:val="18"/>
          <w:szCs w:val="18"/>
          <w:u w:val="single"/>
          <w:lang w:val="en-US"/>
        </w:rPr>
      </w:pPr>
      <w:r w:rsidRPr="005D4C72">
        <w:rPr>
          <w:rFonts w:ascii="Verdana" w:hAnsi="Verdana"/>
          <w:b/>
          <w:bCs/>
          <w:sz w:val="18"/>
          <w:szCs w:val="18"/>
          <w:u w:val="single"/>
          <w:lang w:val="en-US"/>
        </w:rPr>
        <w:t>Chapter IV</w:t>
      </w:r>
      <w:r w:rsidR="00FD561F">
        <w:rPr>
          <w:rFonts w:ascii="Verdana" w:hAnsi="Verdana"/>
          <w:b/>
          <w:bCs/>
          <w:sz w:val="18"/>
          <w:szCs w:val="18"/>
          <w:u w:val="single"/>
          <w:lang w:val="en-US"/>
        </w:rPr>
        <w:t xml:space="preserve"> – C</w:t>
      </w:r>
      <w:r w:rsidRPr="005D4C72">
        <w:rPr>
          <w:rFonts w:ascii="Verdana" w:hAnsi="Verdana"/>
          <w:b/>
          <w:bCs/>
          <w:sz w:val="18"/>
          <w:szCs w:val="18"/>
          <w:u w:val="single"/>
          <w:lang w:val="en-US"/>
        </w:rPr>
        <w:t>onsultations in the absence of an applicable tax instrument</w:t>
      </w:r>
    </w:p>
    <w:p w:rsidR="005D4C72" w:rsidP="005D4C72" w:rsidRDefault="005D4C72" w14:paraId="413CD386" w14:textId="77777777">
      <w:pPr>
        <w:pStyle w:val="Geenafstand"/>
        <w:jc w:val="center"/>
        <w:rPr>
          <w:rFonts w:ascii="Verdana" w:hAnsi="Verdana"/>
          <w:b/>
          <w:bCs/>
          <w:sz w:val="18"/>
          <w:szCs w:val="18"/>
          <w:u w:val="single"/>
          <w:lang w:val="en-US"/>
        </w:rPr>
      </w:pPr>
    </w:p>
    <w:p w:rsidRPr="00501A28" w:rsidR="00501A28" w:rsidP="00501A28" w:rsidRDefault="00172CA7" w14:paraId="4FAB4F82" w14:textId="5237B0D8">
      <w:pPr>
        <w:pStyle w:val="Geenafstand"/>
        <w:jc w:val="both"/>
        <w:rPr>
          <w:rFonts w:ascii="Verdana" w:hAnsi="Verdana"/>
          <w:sz w:val="18"/>
          <w:szCs w:val="18"/>
          <w:lang w:val="en-US"/>
        </w:rPr>
      </w:pPr>
      <w:r w:rsidRPr="00CD0FD4">
        <w:rPr>
          <w:rFonts w:ascii="Verdana" w:hAnsi="Verdana"/>
          <w:sz w:val="18"/>
          <w:szCs w:val="18"/>
          <w:lang w:val="en-GB"/>
        </w:rPr>
        <w:t>The Netherlands welcomes this provision as it offers a useful framework for addressing double taxation where no tax treaty exists. It can also support cooperation when authorities need to verify facts under domestic law.</w:t>
      </w:r>
    </w:p>
    <w:p w:rsidR="00C53988" w:rsidP="00501A28" w:rsidRDefault="00C53988" w14:paraId="54E25567" w14:textId="2B5E17FD">
      <w:pPr>
        <w:pStyle w:val="Geenafstand"/>
        <w:jc w:val="both"/>
        <w:rPr>
          <w:rFonts w:ascii="Verdana" w:hAnsi="Verdana"/>
          <w:sz w:val="18"/>
          <w:szCs w:val="18"/>
          <w:lang w:val="en-US"/>
        </w:rPr>
      </w:pPr>
      <w:r w:rsidRPr="00501A28">
        <w:rPr>
          <w:rFonts w:ascii="Verdana" w:hAnsi="Verdana"/>
          <w:sz w:val="18"/>
          <w:szCs w:val="18"/>
          <w:lang w:val="en-US"/>
        </w:rPr>
        <w:t>The Netherlands notes that the mechanism is initiated by the authorities concerned rather than at the request of a taxpayer. This feature appears to provide an appropriate safeguard, ensuring that consultations are undertaken only where both sides consider them appropriate and useful in the specific circumstances of a case.</w:t>
      </w:r>
    </w:p>
    <w:p w:rsidRPr="00501A28" w:rsidR="00501A28" w:rsidP="00501A28" w:rsidRDefault="00501A28" w14:paraId="2EFFEE1A" w14:textId="77777777">
      <w:pPr>
        <w:pStyle w:val="Geenafstand"/>
        <w:jc w:val="both"/>
        <w:rPr>
          <w:rFonts w:ascii="Verdana" w:hAnsi="Verdana"/>
          <w:sz w:val="18"/>
          <w:szCs w:val="18"/>
          <w:lang w:val="en-US"/>
        </w:rPr>
      </w:pPr>
    </w:p>
    <w:p w:rsidR="00FD561F" w:rsidP="005D4C72" w:rsidRDefault="00242FF6" w14:paraId="06237495" w14:textId="2C98EF2A">
      <w:pPr>
        <w:pStyle w:val="Geenafstand"/>
        <w:jc w:val="both"/>
        <w:rPr>
          <w:rFonts w:ascii="Verdana" w:hAnsi="Verdana"/>
          <w:sz w:val="18"/>
          <w:szCs w:val="18"/>
          <w:lang w:val="en-US"/>
        </w:rPr>
      </w:pPr>
      <w:r w:rsidRPr="00CD0FD4">
        <w:rPr>
          <w:rFonts w:ascii="Verdana" w:hAnsi="Verdana"/>
          <w:sz w:val="18"/>
          <w:szCs w:val="18"/>
          <w:lang w:val="en-GB"/>
        </w:rPr>
        <w:t>However, in the absence of a tax treaty, a competent authority may not always be designated. We suggest referring more broadly to the relevant tax administration or the Parties themselves to allow greater flexibility in such cases.</w:t>
      </w:r>
    </w:p>
    <w:p w:rsidR="00501A28" w:rsidP="005D4C72" w:rsidRDefault="00501A28" w14:paraId="4EBC4D66" w14:textId="77777777">
      <w:pPr>
        <w:pStyle w:val="Geenafstand"/>
        <w:jc w:val="both"/>
        <w:rPr>
          <w:rFonts w:ascii="Verdana" w:hAnsi="Verdana"/>
          <w:sz w:val="18"/>
          <w:szCs w:val="18"/>
          <w:lang w:val="en-US"/>
        </w:rPr>
      </w:pPr>
    </w:p>
    <w:p w:rsidR="00CD0FD4" w:rsidP="005D4C72" w:rsidRDefault="00CD0FD4" w14:paraId="76FF840F" w14:textId="77777777">
      <w:pPr>
        <w:pStyle w:val="Geenafstand"/>
        <w:jc w:val="both"/>
        <w:rPr>
          <w:rFonts w:ascii="Verdana" w:hAnsi="Verdana"/>
          <w:sz w:val="18"/>
          <w:szCs w:val="18"/>
          <w:lang w:val="en-US"/>
        </w:rPr>
      </w:pPr>
    </w:p>
    <w:p w:rsidRPr="00FD561F" w:rsidR="005D4C72" w:rsidP="00FD561F" w:rsidRDefault="00FD561F" w14:paraId="0162F242" w14:textId="312F4904">
      <w:pPr>
        <w:pStyle w:val="Geenafstand"/>
        <w:jc w:val="center"/>
        <w:rPr>
          <w:rFonts w:ascii="Verdana" w:hAnsi="Verdana"/>
          <w:b/>
          <w:bCs/>
          <w:sz w:val="18"/>
          <w:szCs w:val="18"/>
          <w:u w:val="single"/>
          <w:lang w:val="en-US"/>
        </w:rPr>
      </w:pPr>
      <w:r w:rsidRPr="00FD561F">
        <w:rPr>
          <w:rFonts w:ascii="Verdana" w:hAnsi="Verdana"/>
          <w:b/>
          <w:bCs/>
          <w:sz w:val="18"/>
          <w:szCs w:val="18"/>
          <w:u w:val="single"/>
          <w:lang w:val="en-US"/>
        </w:rPr>
        <w:t xml:space="preserve">Chapter V </w:t>
      </w:r>
      <w:r>
        <w:rPr>
          <w:rFonts w:ascii="Verdana" w:hAnsi="Verdana"/>
          <w:b/>
          <w:bCs/>
          <w:sz w:val="18"/>
          <w:szCs w:val="18"/>
          <w:u w:val="single"/>
          <w:lang w:val="en-US"/>
        </w:rPr>
        <w:t xml:space="preserve">– Reservations </w:t>
      </w:r>
    </w:p>
    <w:p w:rsidR="00FD561F" w:rsidP="00FD561F" w:rsidRDefault="00FD561F" w14:paraId="32EBFBCB" w14:textId="77777777">
      <w:pPr>
        <w:pStyle w:val="Geenafstand"/>
        <w:jc w:val="both"/>
        <w:rPr>
          <w:rFonts w:ascii="Verdana" w:hAnsi="Verdana"/>
          <w:b/>
          <w:bCs/>
          <w:sz w:val="18"/>
          <w:szCs w:val="18"/>
          <w:u w:val="single"/>
          <w:lang w:val="en-US"/>
        </w:rPr>
      </w:pPr>
    </w:p>
    <w:p w:rsidR="00FD561F" w:rsidP="00FD561F" w:rsidRDefault="00FD561F" w14:paraId="2D171826" w14:textId="4ACD67F5">
      <w:pPr>
        <w:pStyle w:val="Geenafstand"/>
        <w:jc w:val="both"/>
        <w:rPr>
          <w:rFonts w:ascii="Verdana" w:hAnsi="Verdana"/>
          <w:b/>
          <w:bCs/>
          <w:sz w:val="18"/>
          <w:szCs w:val="18"/>
          <w:u w:val="single"/>
          <w:lang w:val="en-US"/>
        </w:rPr>
      </w:pPr>
      <w:r w:rsidRPr="00FD561F">
        <w:rPr>
          <w:rFonts w:ascii="Verdana" w:hAnsi="Verdana"/>
          <w:b/>
          <w:bCs/>
          <w:sz w:val="18"/>
          <w:szCs w:val="18"/>
          <w:u w:val="single"/>
          <w:lang w:val="en-US"/>
        </w:rPr>
        <w:t xml:space="preserve">Article </w:t>
      </w:r>
      <w:r>
        <w:rPr>
          <w:rFonts w:ascii="Verdana" w:hAnsi="Verdana"/>
          <w:b/>
          <w:bCs/>
          <w:sz w:val="18"/>
          <w:szCs w:val="18"/>
          <w:u w:val="single"/>
          <w:lang w:val="en-US"/>
        </w:rPr>
        <w:t>V.2 – A</w:t>
      </w:r>
      <w:r w:rsidRPr="00FD561F">
        <w:rPr>
          <w:rFonts w:ascii="Verdana" w:hAnsi="Verdana"/>
          <w:b/>
          <w:bCs/>
          <w:sz w:val="18"/>
          <w:szCs w:val="18"/>
          <w:u w:val="single"/>
          <w:lang w:val="en-US"/>
        </w:rPr>
        <w:t>pplication in relation to other instruments</w:t>
      </w:r>
    </w:p>
    <w:p w:rsidR="00C53988" w:rsidP="00341D63" w:rsidRDefault="00C53988" w14:paraId="36F13932" w14:textId="34190563">
      <w:pPr>
        <w:pStyle w:val="Geenafstand"/>
        <w:jc w:val="both"/>
        <w:rPr>
          <w:rFonts w:ascii="Verdana" w:hAnsi="Verdana"/>
          <w:sz w:val="18"/>
          <w:szCs w:val="18"/>
          <w:lang w:val="en-US"/>
        </w:rPr>
      </w:pPr>
      <w:r w:rsidRPr="00341D63">
        <w:rPr>
          <w:rFonts w:ascii="Verdana" w:hAnsi="Verdana"/>
          <w:sz w:val="18"/>
          <w:szCs w:val="18"/>
          <w:lang w:val="en-US"/>
        </w:rPr>
        <w:t>The Netherlands supports Alternative A, as it appears to offer participating States an appropriate degree of flexibility in determining the interaction between the Protocol and existing international instruments.</w:t>
      </w:r>
      <w:r w:rsidR="00341D63">
        <w:rPr>
          <w:rFonts w:ascii="Verdana" w:hAnsi="Verdana"/>
          <w:sz w:val="18"/>
          <w:szCs w:val="18"/>
          <w:lang w:val="en-US"/>
        </w:rPr>
        <w:t xml:space="preserve"> </w:t>
      </w:r>
      <w:r w:rsidRPr="00341D63">
        <w:rPr>
          <w:rFonts w:ascii="Verdana" w:hAnsi="Verdana"/>
          <w:sz w:val="18"/>
          <w:szCs w:val="18"/>
          <w:lang w:val="en-US"/>
        </w:rPr>
        <w:t xml:space="preserve">More generally, the Netherlands notes that, within the current treaty landscape, mutual agreement procedures and arbitration provisions are typically the principal dispute resolution mechanisms already addressed within bilateral treaties. Accordingly, Chapter V may be expected to have </w:t>
      </w:r>
      <w:proofErr w:type="gramStart"/>
      <w:r w:rsidRPr="00341D63">
        <w:rPr>
          <w:rFonts w:ascii="Verdana" w:hAnsi="Verdana"/>
          <w:sz w:val="18"/>
          <w:szCs w:val="18"/>
          <w:lang w:val="en-US"/>
        </w:rPr>
        <w:t>particular relevance</w:t>
      </w:r>
      <w:proofErr w:type="gramEnd"/>
      <w:r w:rsidRPr="00341D63">
        <w:rPr>
          <w:rFonts w:ascii="Verdana" w:hAnsi="Verdana"/>
          <w:sz w:val="18"/>
          <w:szCs w:val="18"/>
          <w:lang w:val="en-US"/>
        </w:rPr>
        <w:t xml:space="preserve"> in relation to those provisions.</w:t>
      </w:r>
    </w:p>
    <w:p w:rsidRPr="00341D63" w:rsidR="00341D63" w:rsidP="00341D63" w:rsidRDefault="00341D63" w14:paraId="2AB859F3" w14:textId="77777777">
      <w:pPr>
        <w:pStyle w:val="Geenafstand"/>
        <w:jc w:val="both"/>
        <w:rPr>
          <w:rFonts w:ascii="Verdana" w:hAnsi="Verdana"/>
          <w:sz w:val="18"/>
          <w:szCs w:val="18"/>
          <w:lang w:val="en-US"/>
        </w:rPr>
      </w:pPr>
    </w:p>
    <w:p w:rsidR="00C53988" w:rsidP="00341D63" w:rsidRDefault="00341D63" w14:paraId="78CB3B0B" w14:textId="317E0491">
      <w:pPr>
        <w:pStyle w:val="Geenafstand"/>
        <w:jc w:val="both"/>
        <w:rPr>
          <w:rFonts w:ascii="Verdana" w:hAnsi="Verdana"/>
          <w:sz w:val="18"/>
          <w:szCs w:val="18"/>
          <w:lang w:val="en-US"/>
        </w:rPr>
      </w:pPr>
      <w:r>
        <w:rPr>
          <w:rFonts w:ascii="Verdana" w:hAnsi="Verdana"/>
          <w:sz w:val="18"/>
          <w:szCs w:val="18"/>
          <w:lang w:val="en-US"/>
        </w:rPr>
        <w:t>Further, t</w:t>
      </w:r>
      <w:r w:rsidRPr="00341D63" w:rsidR="00C53988">
        <w:rPr>
          <w:rFonts w:ascii="Verdana" w:hAnsi="Verdana"/>
          <w:sz w:val="18"/>
          <w:szCs w:val="18"/>
          <w:lang w:val="en-US"/>
        </w:rPr>
        <w:t xml:space="preserve">he Netherlands would welcome </w:t>
      </w:r>
      <w:r>
        <w:rPr>
          <w:rFonts w:ascii="Verdana" w:hAnsi="Verdana"/>
          <w:sz w:val="18"/>
          <w:szCs w:val="18"/>
          <w:lang w:val="en-US"/>
        </w:rPr>
        <w:t>a</w:t>
      </w:r>
      <w:r w:rsidRPr="00341D63" w:rsidR="00C53988">
        <w:rPr>
          <w:rFonts w:ascii="Verdana" w:hAnsi="Verdana"/>
          <w:sz w:val="18"/>
          <w:szCs w:val="18"/>
          <w:lang w:val="en-US"/>
        </w:rPr>
        <w:t xml:space="preserve"> clarification regarding paragraph 4.</w:t>
      </w:r>
      <w:r>
        <w:rPr>
          <w:rFonts w:ascii="Verdana" w:hAnsi="Verdana"/>
          <w:sz w:val="18"/>
          <w:szCs w:val="18"/>
          <w:lang w:val="en-US"/>
        </w:rPr>
        <w:t xml:space="preserve"> </w:t>
      </w:r>
      <w:r w:rsidRPr="00341D63" w:rsidR="00C53988">
        <w:rPr>
          <w:rFonts w:ascii="Verdana" w:hAnsi="Verdana"/>
          <w:sz w:val="18"/>
          <w:szCs w:val="18"/>
          <w:lang w:val="en-US"/>
        </w:rPr>
        <w:t xml:space="preserve">While the inclusion of this provision is understandable within the broader structure of Article V.2, </w:t>
      </w:r>
      <w:proofErr w:type="gramStart"/>
      <w:r w:rsidRPr="00341D63" w:rsidR="00C53988">
        <w:rPr>
          <w:rFonts w:ascii="Verdana" w:hAnsi="Verdana"/>
          <w:sz w:val="18"/>
          <w:szCs w:val="18"/>
          <w:lang w:val="en-US"/>
        </w:rPr>
        <w:t>a number of</w:t>
      </w:r>
      <w:proofErr w:type="gramEnd"/>
      <w:r w:rsidRPr="00341D63" w:rsidR="00C53988">
        <w:rPr>
          <w:rFonts w:ascii="Verdana" w:hAnsi="Verdana"/>
          <w:sz w:val="18"/>
          <w:szCs w:val="18"/>
          <w:lang w:val="en-US"/>
        </w:rPr>
        <w:t xml:space="preserve"> concepts would benefit from additional guidance, including</w:t>
      </w:r>
      <w:r>
        <w:rPr>
          <w:rFonts w:ascii="Verdana" w:hAnsi="Verdana"/>
          <w:sz w:val="18"/>
          <w:szCs w:val="18"/>
          <w:lang w:val="en-US"/>
        </w:rPr>
        <w:t xml:space="preserve"> </w:t>
      </w:r>
      <w:r w:rsidRPr="00341D63" w:rsidR="00C53988">
        <w:rPr>
          <w:rFonts w:ascii="Verdana" w:hAnsi="Verdana"/>
          <w:sz w:val="18"/>
          <w:szCs w:val="18"/>
          <w:lang w:val="en-US"/>
        </w:rPr>
        <w:t>"substantially comparable framework"</w:t>
      </w:r>
      <w:r>
        <w:rPr>
          <w:rFonts w:ascii="Verdana" w:hAnsi="Verdana"/>
          <w:sz w:val="18"/>
          <w:szCs w:val="18"/>
          <w:lang w:val="en-US"/>
        </w:rPr>
        <w:t xml:space="preserve">, </w:t>
      </w:r>
      <w:r w:rsidRPr="00341D63" w:rsidR="00C53988">
        <w:rPr>
          <w:rFonts w:ascii="Verdana" w:hAnsi="Verdana"/>
          <w:sz w:val="18"/>
          <w:szCs w:val="18"/>
          <w:lang w:val="en-US"/>
        </w:rPr>
        <w:t>"substantially comparable level of protection"</w:t>
      </w:r>
      <w:r>
        <w:rPr>
          <w:rFonts w:ascii="Verdana" w:hAnsi="Verdana"/>
          <w:sz w:val="18"/>
          <w:szCs w:val="18"/>
          <w:lang w:val="en-US"/>
        </w:rPr>
        <w:t xml:space="preserve">, </w:t>
      </w:r>
      <w:r w:rsidRPr="00341D63" w:rsidR="00C53988">
        <w:rPr>
          <w:rFonts w:ascii="Verdana" w:hAnsi="Verdana"/>
          <w:sz w:val="18"/>
          <w:szCs w:val="18"/>
          <w:lang w:val="en-US"/>
        </w:rPr>
        <w:t>"safeguards"</w:t>
      </w:r>
      <w:r>
        <w:rPr>
          <w:rFonts w:ascii="Verdana" w:hAnsi="Verdana"/>
          <w:sz w:val="18"/>
          <w:szCs w:val="18"/>
          <w:lang w:val="en-US"/>
        </w:rPr>
        <w:t xml:space="preserve"> </w:t>
      </w:r>
      <w:r w:rsidRPr="00341D63" w:rsidR="00C53988">
        <w:rPr>
          <w:rFonts w:ascii="Verdana" w:hAnsi="Verdana"/>
          <w:sz w:val="18"/>
          <w:szCs w:val="18"/>
          <w:lang w:val="en-US"/>
        </w:rPr>
        <w:t>and</w:t>
      </w:r>
      <w:r>
        <w:rPr>
          <w:rFonts w:ascii="Verdana" w:hAnsi="Verdana"/>
          <w:sz w:val="18"/>
          <w:szCs w:val="18"/>
          <w:lang w:val="en-US"/>
        </w:rPr>
        <w:t xml:space="preserve"> </w:t>
      </w:r>
      <w:r w:rsidRPr="00341D63" w:rsidR="00C53988">
        <w:rPr>
          <w:rFonts w:ascii="Verdana" w:hAnsi="Verdana"/>
          <w:sz w:val="18"/>
          <w:szCs w:val="18"/>
          <w:lang w:val="en-US"/>
        </w:rPr>
        <w:t>"legal effects".</w:t>
      </w:r>
    </w:p>
    <w:p w:rsidRPr="00341D63" w:rsidR="00341D63" w:rsidP="00341D63" w:rsidRDefault="00341D63" w14:paraId="05A31CF9" w14:textId="77777777">
      <w:pPr>
        <w:pStyle w:val="Geenafstand"/>
        <w:jc w:val="both"/>
        <w:rPr>
          <w:rFonts w:ascii="Verdana" w:hAnsi="Verdana"/>
          <w:sz w:val="18"/>
          <w:szCs w:val="18"/>
          <w:lang w:val="en-US"/>
        </w:rPr>
      </w:pPr>
    </w:p>
    <w:p w:rsidRPr="00341D63" w:rsidR="00C53988" w:rsidP="00341D63" w:rsidRDefault="00C53988" w14:paraId="27A5168D" w14:textId="23D8E42C">
      <w:pPr>
        <w:pStyle w:val="Geenafstand"/>
        <w:jc w:val="both"/>
        <w:rPr>
          <w:rFonts w:ascii="Verdana" w:hAnsi="Verdana"/>
          <w:sz w:val="18"/>
          <w:szCs w:val="18"/>
          <w:lang w:val="en-US"/>
        </w:rPr>
      </w:pPr>
      <w:r w:rsidRPr="00341D63">
        <w:rPr>
          <w:rFonts w:ascii="Verdana" w:hAnsi="Verdana"/>
          <w:sz w:val="18"/>
          <w:szCs w:val="18"/>
          <w:lang w:val="en-US"/>
        </w:rPr>
        <w:t xml:space="preserve">For example, it would be helpful to understand whether </w:t>
      </w:r>
      <w:proofErr w:type="gramStart"/>
      <w:r w:rsidRPr="00341D63">
        <w:rPr>
          <w:rFonts w:ascii="Verdana" w:hAnsi="Verdana"/>
          <w:sz w:val="18"/>
          <w:szCs w:val="18"/>
          <w:lang w:val="en-US"/>
        </w:rPr>
        <w:t>a MAP</w:t>
      </w:r>
      <w:proofErr w:type="gramEnd"/>
      <w:r w:rsidRPr="00341D63">
        <w:rPr>
          <w:rFonts w:ascii="Verdana" w:hAnsi="Verdana"/>
          <w:sz w:val="18"/>
          <w:szCs w:val="18"/>
          <w:lang w:val="en-US"/>
        </w:rPr>
        <w:t xml:space="preserve"> provision modelled </w:t>
      </w:r>
      <w:r w:rsidR="00864635">
        <w:rPr>
          <w:rFonts w:ascii="Verdana" w:hAnsi="Verdana"/>
          <w:sz w:val="18"/>
          <w:szCs w:val="18"/>
          <w:lang w:val="en-US"/>
        </w:rPr>
        <w:t>after</w:t>
      </w:r>
      <w:r w:rsidRPr="00341D63">
        <w:rPr>
          <w:rFonts w:ascii="Verdana" w:hAnsi="Verdana"/>
          <w:sz w:val="18"/>
          <w:szCs w:val="18"/>
          <w:lang w:val="en-US"/>
        </w:rPr>
        <w:t xml:space="preserve"> Article 25 of the UN or OECD Model Tax Convention would generally be regarded as constituting a substantially comparable framework for the purposes of the Protocol.</w:t>
      </w:r>
    </w:p>
    <w:p w:rsidR="00864635" w:rsidP="00341D63" w:rsidRDefault="00864635" w14:paraId="35230704" w14:textId="77777777">
      <w:pPr>
        <w:pStyle w:val="Geenafstand"/>
        <w:jc w:val="both"/>
        <w:rPr>
          <w:rFonts w:ascii="Verdana" w:hAnsi="Verdana"/>
          <w:sz w:val="18"/>
          <w:szCs w:val="18"/>
          <w:lang w:val="en-US"/>
        </w:rPr>
      </w:pPr>
    </w:p>
    <w:p w:rsidR="00C53988" w:rsidP="00341D63" w:rsidRDefault="00C53988" w14:paraId="1BA38B24" w14:textId="7059E67A">
      <w:pPr>
        <w:pStyle w:val="Geenafstand"/>
        <w:jc w:val="both"/>
        <w:rPr>
          <w:rFonts w:ascii="Verdana" w:hAnsi="Verdana"/>
          <w:sz w:val="18"/>
          <w:szCs w:val="18"/>
          <w:lang w:val="en-US"/>
        </w:rPr>
      </w:pPr>
      <w:r w:rsidRPr="00341D63">
        <w:rPr>
          <w:rFonts w:ascii="Verdana" w:hAnsi="Verdana"/>
          <w:sz w:val="18"/>
          <w:szCs w:val="18"/>
          <w:lang w:val="en-US"/>
        </w:rPr>
        <w:lastRenderedPageBreak/>
        <w:t>The Netherlands would also welcome clarification regarding the practical operation of Article V.2, including whether a central mechanism, database or publicly available reference source is envisaged to assist States and taxpayers in identifying</w:t>
      </w:r>
      <w:r w:rsidR="00864635">
        <w:rPr>
          <w:rFonts w:ascii="Verdana" w:hAnsi="Verdana"/>
          <w:sz w:val="18"/>
          <w:szCs w:val="18"/>
          <w:lang w:val="en-US"/>
        </w:rPr>
        <w:t xml:space="preserve"> </w:t>
      </w:r>
      <w:r w:rsidRPr="00341D63">
        <w:rPr>
          <w:rFonts w:ascii="Verdana" w:hAnsi="Verdana"/>
          <w:sz w:val="18"/>
          <w:szCs w:val="18"/>
          <w:lang w:val="en-US"/>
        </w:rPr>
        <w:t>treaties that are considered to provide substantially comparable mechanisms</w:t>
      </w:r>
      <w:r w:rsidR="00864635">
        <w:rPr>
          <w:rFonts w:ascii="Verdana" w:hAnsi="Verdana"/>
          <w:sz w:val="18"/>
          <w:szCs w:val="18"/>
          <w:lang w:val="en-US"/>
        </w:rPr>
        <w:t xml:space="preserve"> and </w:t>
      </w:r>
      <w:r w:rsidRPr="00341D63">
        <w:rPr>
          <w:rFonts w:ascii="Verdana" w:hAnsi="Verdana"/>
          <w:sz w:val="18"/>
          <w:szCs w:val="18"/>
          <w:lang w:val="en-US"/>
        </w:rPr>
        <w:t xml:space="preserve">situations in which the provisions of the Protocol </w:t>
      </w:r>
      <w:r w:rsidR="00864635">
        <w:rPr>
          <w:rFonts w:ascii="Verdana" w:hAnsi="Verdana"/>
          <w:sz w:val="18"/>
          <w:szCs w:val="18"/>
          <w:lang w:val="en-US"/>
        </w:rPr>
        <w:t xml:space="preserve">are </w:t>
      </w:r>
      <w:r w:rsidRPr="00341D63">
        <w:rPr>
          <w:rFonts w:ascii="Verdana" w:hAnsi="Verdana"/>
          <w:sz w:val="18"/>
          <w:szCs w:val="18"/>
          <w:lang w:val="en-US"/>
        </w:rPr>
        <w:t>applicable.</w:t>
      </w:r>
    </w:p>
    <w:p w:rsidRPr="00341D63" w:rsidR="00864635" w:rsidP="00341D63" w:rsidRDefault="00864635" w14:paraId="451F6E91" w14:textId="77777777">
      <w:pPr>
        <w:pStyle w:val="Geenafstand"/>
        <w:jc w:val="both"/>
        <w:rPr>
          <w:rFonts w:ascii="Verdana" w:hAnsi="Verdana"/>
          <w:sz w:val="18"/>
          <w:szCs w:val="18"/>
          <w:lang w:val="en-US"/>
        </w:rPr>
      </w:pPr>
    </w:p>
    <w:p w:rsidR="00C53988" w:rsidP="000A6E51" w:rsidRDefault="00C53988" w14:paraId="6B59E2A0" w14:textId="77777777">
      <w:pPr>
        <w:pStyle w:val="Geenafstand"/>
        <w:jc w:val="center"/>
        <w:rPr>
          <w:rFonts w:ascii="Verdana" w:hAnsi="Verdana"/>
          <w:b/>
          <w:bCs/>
          <w:sz w:val="18"/>
          <w:szCs w:val="18"/>
          <w:u w:val="single"/>
          <w:lang w:val="en-US"/>
        </w:rPr>
      </w:pPr>
    </w:p>
    <w:p w:rsidRPr="003F5D70" w:rsidR="00223270" w:rsidP="000A6E51" w:rsidRDefault="00223270" w14:paraId="1E6609B4" w14:textId="27F8CCB1">
      <w:pPr>
        <w:pStyle w:val="Geenafstand"/>
        <w:jc w:val="center"/>
        <w:rPr>
          <w:rFonts w:ascii="Verdana" w:hAnsi="Verdana"/>
          <w:b/>
          <w:bCs/>
          <w:sz w:val="18"/>
          <w:szCs w:val="18"/>
          <w:u w:val="single"/>
          <w:lang w:val="en-US"/>
        </w:rPr>
      </w:pPr>
      <w:r w:rsidRPr="003F5D70">
        <w:rPr>
          <w:rFonts w:ascii="Verdana" w:hAnsi="Verdana"/>
          <w:b/>
          <w:bCs/>
          <w:sz w:val="18"/>
          <w:szCs w:val="18"/>
          <w:u w:val="single"/>
          <w:lang w:val="en-US"/>
        </w:rPr>
        <w:t>Chapter VII – Other provisions</w:t>
      </w:r>
    </w:p>
    <w:p w:rsidRPr="003F5D70" w:rsidR="000A6E51" w:rsidP="00223270" w:rsidRDefault="000A6E51" w14:paraId="25DD562D" w14:textId="77777777">
      <w:pPr>
        <w:pStyle w:val="Geenafstand"/>
        <w:jc w:val="both"/>
        <w:rPr>
          <w:rFonts w:ascii="Verdana" w:hAnsi="Verdana"/>
          <w:sz w:val="18"/>
          <w:szCs w:val="18"/>
          <w:lang w:val="en-US"/>
        </w:rPr>
      </w:pPr>
    </w:p>
    <w:p w:rsidRPr="00C53988" w:rsidR="00C53988" w:rsidP="00C53988" w:rsidRDefault="00C53988" w14:paraId="00B728F7" w14:textId="3FAFB436">
      <w:pPr>
        <w:pStyle w:val="Geenafstand"/>
        <w:jc w:val="both"/>
        <w:rPr>
          <w:rFonts w:ascii="Verdana" w:hAnsi="Verdana"/>
          <w:sz w:val="18"/>
          <w:szCs w:val="18"/>
          <w:lang w:val="en-US"/>
        </w:rPr>
      </w:pPr>
      <w:r w:rsidRPr="00C53988">
        <w:rPr>
          <w:rFonts w:ascii="Verdana" w:hAnsi="Verdana"/>
          <w:sz w:val="18"/>
          <w:szCs w:val="18"/>
          <w:lang w:val="en-US"/>
        </w:rPr>
        <w:t>The Netherlands notes that information exchanged under the Protocol may</w:t>
      </w:r>
      <w:r w:rsidR="00FC674C">
        <w:rPr>
          <w:rFonts w:ascii="Verdana" w:hAnsi="Verdana"/>
          <w:sz w:val="18"/>
          <w:szCs w:val="18"/>
          <w:lang w:val="en-US"/>
        </w:rPr>
        <w:t xml:space="preserve"> be handled</w:t>
      </w:r>
      <w:r w:rsidRPr="00C53988">
        <w:rPr>
          <w:rFonts w:ascii="Verdana" w:hAnsi="Verdana"/>
          <w:sz w:val="18"/>
          <w:szCs w:val="18"/>
          <w:lang w:val="en-US"/>
        </w:rPr>
        <w:t xml:space="preserve"> by either the competent authority or the tax administration.</w:t>
      </w:r>
      <w:r>
        <w:rPr>
          <w:rFonts w:ascii="Verdana" w:hAnsi="Verdana"/>
          <w:sz w:val="18"/>
          <w:szCs w:val="18"/>
          <w:lang w:val="en-US"/>
        </w:rPr>
        <w:t xml:space="preserve"> </w:t>
      </w:r>
      <w:r w:rsidRPr="00C53988">
        <w:rPr>
          <w:rFonts w:ascii="Verdana" w:hAnsi="Verdana"/>
          <w:sz w:val="18"/>
          <w:szCs w:val="18"/>
          <w:lang w:val="en-US"/>
        </w:rPr>
        <w:t xml:space="preserve">To reflect these operational realities, </w:t>
      </w:r>
      <w:r w:rsidR="00FC674C">
        <w:rPr>
          <w:rFonts w:ascii="Verdana" w:hAnsi="Verdana"/>
          <w:sz w:val="18"/>
          <w:szCs w:val="18"/>
          <w:lang w:val="en-US"/>
        </w:rPr>
        <w:t xml:space="preserve">we suggest </w:t>
      </w:r>
      <w:proofErr w:type="gramStart"/>
      <w:r w:rsidR="00FC674C">
        <w:rPr>
          <w:rFonts w:ascii="Verdana" w:hAnsi="Verdana"/>
          <w:sz w:val="18"/>
          <w:szCs w:val="18"/>
          <w:lang w:val="en-US"/>
        </w:rPr>
        <w:t>to add</w:t>
      </w:r>
      <w:proofErr w:type="gramEnd"/>
      <w:r w:rsidR="00FC674C">
        <w:rPr>
          <w:rFonts w:ascii="Verdana" w:hAnsi="Verdana"/>
          <w:sz w:val="18"/>
          <w:szCs w:val="18"/>
          <w:lang w:val="en-US"/>
        </w:rPr>
        <w:t xml:space="preserve"> explicit reference to</w:t>
      </w:r>
      <w:r w:rsidRPr="00C53988">
        <w:rPr>
          <w:rFonts w:ascii="Verdana" w:hAnsi="Verdana"/>
          <w:sz w:val="18"/>
          <w:szCs w:val="18"/>
          <w:lang w:val="en-US"/>
        </w:rPr>
        <w:t xml:space="preserve"> "tax administration" in paragraph 3</w:t>
      </w:r>
      <w:r w:rsidR="00FC674C">
        <w:rPr>
          <w:rFonts w:ascii="Verdana" w:hAnsi="Verdana"/>
          <w:sz w:val="18"/>
          <w:szCs w:val="18"/>
          <w:lang w:val="en-US"/>
        </w:rPr>
        <w:t>.</w:t>
      </w:r>
    </w:p>
    <w:p w:rsidRPr="003F5D70" w:rsidR="00C53988" w:rsidP="00223270" w:rsidRDefault="00C53988" w14:paraId="2166A919" w14:textId="77777777">
      <w:pPr>
        <w:pStyle w:val="Geenafstand"/>
        <w:jc w:val="both"/>
        <w:rPr>
          <w:rFonts w:ascii="Verdana" w:hAnsi="Verdana"/>
          <w:sz w:val="18"/>
          <w:szCs w:val="18"/>
          <w:lang w:val="en-US"/>
        </w:rPr>
      </w:pPr>
    </w:p>
    <w:p w:rsidRPr="003F5D70" w:rsidR="00223270" w:rsidP="00E24466" w:rsidRDefault="00223270" w14:paraId="6F01F1CB" w14:textId="77777777">
      <w:pPr>
        <w:pStyle w:val="Geenafstand"/>
        <w:jc w:val="both"/>
        <w:rPr>
          <w:rFonts w:ascii="Verdana" w:hAnsi="Verdana"/>
          <w:b/>
          <w:bCs/>
          <w:sz w:val="18"/>
          <w:szCs w:val="18"/>
          <w:lang w:val="en-US"/>
        </w:rPr>
      </w:pPr>
      <w:bookmarkStart w:name="_Hlk156417371" w:id="1"/>
      <w:bookmarkEnd w:id="1"/>
    </w:p>
    <w:sectPr w:rsidRPr="003F5D70" w:rsidR="00223270" w:rsidSect="000B75B8">
      <w:pgSz w:w="11906" w:h="16838"/>
      <w:pgMar w:top="1560" w:right="1440" w:bottom="709"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75322" w14:textId="77777777" w:rsidR="00554764" w:rsidRDefault="00554764" w:rsidP="00EE3BF3">
      <w:pPr>
        <w:spacing w:after="0" w:line="240" w:lineRule="auto"/>
      </w:pPr>
      <w:r>
        <w:separator/>
      </w:r>
    </w:p>
  </w:endnote>
  <w:endnote w:type="continuationSeparator" w:id="0">
    <w:p w14:paraId="1202F2B9" w14:textId="77777777" w:rsidR="00554764" w:rsidRDefault="00554764" w:rsidP="00EE3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809B4" w14:textId="77777777" w:rsidR="00554764" w:rsidRDefault="00554764" w:rsidP="00EE3BF3">
      <w:pPr>
        <w:spacing w:after="0" w:line="240" w:lineRule="auto"/>
      </w:pPr>
      <w:r>
        <w:separator/>
      </w:r>
    </w:p>
  </w:footnote>
  <w:footnote w:type="continuationSeparator" w:id="0">
    <w:p w14:paraId="18DCDA45" w14:textId="77777777" w:rsidR="00554764" w:rsidRDefault="00554764" w:rsidP="00EE3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4596"/>
    <w:multiLevelType w:val="hybridMultilevel"/>
    <w:tmpl w:val="D7649D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A1521B"/>
    <w:multiLevelType w:val="hybridMultilevel"/>
    <w:tmpl w:val="D090BF20"/>
    <w:lvl w:ilvl="0" w:tplc="BCD24996">
      <w:start w:val="1"/>
      <w:numFmt w:val="decimal"/>
      <w:pStyle w:val="Para"/>
      <w:lvlText w:val="%1."/>
      <w:lvlJc w:val="left"/>
      <w:pPr>
        <w:tabs>
          <w:tab w:val="num" w:pos="720"/>
        </w:tabs>
        <w:ind w:left="0" w:firstLine="0"/>
      </w:pPr>
      <w:rPr>
        <w:rFonts w:hint="default"/>
        <w:b w:val="0"/>
        <w:bCs/>
        <w:i w:val="0"/>
        <w:iCs/>
      </w:rPr>
    </w:lvl>
    <w:lvl w:ilvl="1" w:tplc="6E284E60">
      <w:numFmt w:val="bullet"/>
      <w:lvlText w:val="•"/>
      <w:lvlJc w:val="left"/>
      <w:pPr>
        <w:ind w:left="2120" w:hanging="360"/>
      </w:pPr>
      <w:rPr>
        <w:rFonts w:ascii="Arial Narrow" w:eastAsia="MS Mincho" w:hAnsi="Arial Narrow" w:cstheme="minorBidi" w:hint="default"/>
      </w:r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76726A"/>
    <w:multiLevelType w:val="hybridMultilevel"/>
    <w:tmpl w:val="79729880"/>
    <w:lvl w:ilvl="0" w:tplc="D9AAEAE0">
      <w:start w:val="1"/>
      <w:numFmt w:val="bullet"/>
      <w:pStyle w:val="BulletedList"/>
      <w:lvlText w:val=""/>
      <w:lvlJc w:val="left"/>
      <w:pPr>
        <w:ind w:left="680" w:hanging="340"/>
      </w:pPr>
      <w:rPr>
        <w:rFonts w:ascii="Symbol" w:hAnsi="Symbol" w:hint="default"/>
        <w:color w:val="4472C4"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767E1F4F"/>
    <w:multiLevelType w:val="hybridMultilevel"/>
    <w:tmpl w:val="8CA658A8"/>
    <w:lvl w:ilvl="0" w:tplc="87AAEE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5252908">
    <w:abstractNumId w:val="3"/>
    <w:lvlOverride w:ilvl="0">
      <w:startOverride w:val="1"/>
    </w:lvlOverride>
  </w:num>
  <w:num w:numId="2" w16cid:durableId="381176054">
    <w:abstractNumId w:val="1"/>
  </w:num>
  <w:num w:numId="3" w16cid:durableId="981883341">
    <w:abstractNumId w:val="4"/>
  </w:num>
  <w:num w:numId="4" w16cid:durableId="1252737637">
    <w:abstractNumId w:val="2"/>
  </w:num>
  <w:num w:numId="5" w16cid:durableId="127054870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6CB"/>
    <w:rsid w:val="00000854"/>
    <w:rsid w:val="0000213C"/>
    <w:rsid w:val="00004AFF"/>
    <w:rsid w:val="00004F09"/>
    <w:rsid w:val="000113DB"/>
    <w:rsid w:val="00012B80"/>
    <w:rsid w:val="00020BE1"/>
    <w:rsid w:val="000217D4"/>
    <w:rsid w:val="00022041"/>
    <w:rsid w:val="00026DC4"/>
    <w:rsid w:val="000313FF"/>
    <w:rsid w:val="00034965"/>
    <w:rsid w:val="00037E30"/>
    <w:rsid w:val="00040A4B"/>
    <w:rsid w:val="00041512"/>
    <w:rsid w:val="000419EA"/>
    <w:rsid w:val="0004243B"/>
    <w:rsid w:val="0004543F"/>
    <w:rsid w:val="00045AC1"/>
    <w:rsid w:val="000555ED"/>
    <w:rsid w:val="0005595E"/>
    <w:rsid w:val="000628A5"/>
    <w:rsid w:val="000633BB"/>
    <w:rsid w:val="00066B1B"/>
    <w:rsid w:val="00066F3A"/>
    <w:rsid w:val="00071993"/>
    <w:rsid w:val="00072505"/>
    <w:rsid w:val="0007274B"/>
    <w:rsid w:val="00072F98"/>
    <w:rsid w:val="0007458E"/>
    <w:rsid w:val="00076C38"/>
    <w:rsid w:val="00076FDB"/>
    <w:rsid w:val="00082D1B"/>
    <w:rsid w:val="00083333"/>
    <w:rsid w:val="00085A82"/>
    <w:rsid w:val="00086EDA"/>
    <w:rsid w:val="00090117"/>
    <w:rsid w:val="000948B0"/>
    <w:rsid w:val="00096AE5"/>
    <w:rsid w:val="00096CAE"/>
    <w:rsid w:val="000972B2"/>
    <w:rsid w:val="000A26C3"/>
    <w:rsid w:val="000A29AE"/>
    <w:rsid w:val="000A6A2D"/>
    <w:rsid w:val="000A6E51"/>
    <w:rsid w:val="000A7CDA"/>
    <w:rsid w:val="000B002B"/>
    <w:rsid w:val="000B0767"/>
    <w:rsid w:val="000B098B"/>
    <w:rsid w:val="000B0DFB"/>
    <w:rsid w:val="000B1E32"/>
    <w:rsid w:val="000B439F"/>
    <w:rsid w:val="000B4518"/>
    <w:rsid w:val="000B51C3"/>
    <w:rsid w:val="000B60E5"/>
    <w:rsid w:val="000B6813"/>
    <w:rsid w:val="000B75B8"/>
    <w:rsid w:val="000C02DD"/>
    <w:rsid w:val="000C65ED"/>
    <w:rsid w:val="000C747E"/>
    <w:rsid w:val="000D23CB"/>
    <w:rsid w:val="000E0CEF"/>
    <w:rsid w:val="000E0CF6"/>
    <w:rsid w:val="000E19FD"/>
    <w:rsid w:val="000E35AC"/>
    <w:rsid w:val="000F0CE6"/>
    <w:rsid w:val="000F1325"/>
    <w:rsid w:val="000F3836"/>
    <w:rsid w:val="000F7D41"/>
    <w:rsid w:val="001002D5"/>
    <w:rsid w:val="00100DB7"/>
    <w:rsid w:val="0010116D"/>
    <w:rsid w:val="00101E1D"/>
    <w:rsid w:val="00102163"/>
    <w:rsid w:val="001049FD"/>
    <w:rsid w:val="00105AAD"/>
    <w:rsid w:val="001123F2"/>
    <w:rsid w:val="00112841"/>
    <w:rsid w:val="00113424"/>
    <w:rsid w:val="00117B30"/>
    <w:rsid w:val="00120CB1"/>
    <w:rsid w:val="00123854"/>
    <w:rsid w:val="001273F8"/>
    <w:rsid w:val="001325EF"/>
    <w:rsid w:val="00133DEF"/>
    <w:rsid w:val="00134840"/>
    <w:rsid w:val="00140778"/>
    <w:rsid w:val="00142D22"/>
    <w:rsid w:val="00143CDB"/>
    <w:rsid w:val="00146A9E"/>
    <w:rsid w:val="00152B40"/>
    <w:rsid w:val="00157D77"/>
    <w:rsid w:val="001604EC"/>
    <w:rsid w:val="00165462"/>
    <w:rsid w:val="00170548"/>
    <w:rsid w:val="00171038"/>
    <w:rsid w:val="00172CA7"/>
    <w:rsid w:val="00177041"/>
    <w:rsid w:val="001776AB"/>
    <w:rsid w:val="00177EB1"/>
    <w:rsid w:val="0018070B"/>
    <w:rsid w:val="0018307F"/>
    <w:rsid w:val="00186155"/>
    <w:rsid w:val="00194011"/>
    <w:rsid w:val="00195084"/>
    <w:rsid w:val="00197BAA"/>
    <w:rsid w:val="001A597A"/>
    <w:rsid w:val="001A5A6A"/>
    <w:rsid w:val="001B03D9"/>
    <w:rsid w:val="001B6A3D"/>
    <w:rsid w:val="001B7EDD"/>
    <w:rsid w:val="001C1BDD"/>
    <w:rsid w:val="001C277B"/>
    <w:rsid w:val="001C64F3"/>
    <w:rsid w:val="001D0966"/>
    <w:rsid w:val="001D7F9F"/>
    <w:rsid w:val="001E13A1"/>
    <w:rsid w:val="001E26EF"/>
    <w:rsid w:val="001E2B37"/>
    <w:rsid w:val="001F110E"/>
    <w:rsid w:val="001F2BD6"/>
    <w:rsid w:val="001F3880"/>
    <w:rsid w:val="001F5533"/>
    <w:rsid w:val="001F65EB"/>
    <w:rsid w:val="001F6F53"/>
    <w:rsid w:val="001F7979"/>
    <w:rsid w:val="00202D90"/>
    <w:rsid w:val="00204AD1"/>
    <w:rsid w:val="00206B95"/>
    <w:rsid w:val="00210E9E"/>
    <w:rsid w:val="00212C48"/>
    <w:rsid w:val="002143BE"/>
    <w:rsid w:val="00215ADE"/>
    <w:rsid w:val="00223270"/>
    <w:rsid w:val="00225C58"/>
    <w:rsid w:val="00226ADA"/>
    <w:rsid w:val="002321B0"/>
    <w:rsid w:val="00232FA7"/>
    <w:rsid w:val="00236AA3"/>
    <w:rsid w:val="002374D4"/>
    <w:rsid w:val="00241279"/>
    <w:rsid w:val="00242F1F"/>
    <w:rsid w:val="00242FF6"/>
    <w:rsid w:val="002502E0"/>
    <w:rsid w:val="0025070D"/>
    <w:rsid w:val="00252BC3"/>
    <w:rsid w:val="00254E70"/>
    <w:rsid w:val="0025701C"/>
    <w:rsid w:val="0026311C"/>
    <w:rsid w:val="002634BA"/>
    <w:rsid w:val="00265E91"/>
    <w:rsid w:val="002673E3"/>
    <w:rsid w:val="0027004C"/>
    <w:rsid w:val="00276734"/>
    <w:rsid w:val="00276EC1"/>
    <w:rsid w:val="00284AE6"/>
    <w:rsid w:val="00285E02"/>
    <w:rsid w:val="002878C3"/>
    <w:rsid w:val="00290452"/>
    <w:rsid w:val="00290A1B"/>
    <w:rsid w:val="00293814"/>
    <w:rsid w:val="00293B2F"/>
    <w:rsid w:val="002941BA"/>
    <w:rsid w:val="002941E3"/>
    <w:rsid w:val="00295276"/>
    <w:rsid w:val="0029630F"/>
    <w:rsid w:val="002964D9"/>
    <w:rsid w:val="002A18F3"/>
    <w:rsid w:val="002A196A"/>
    <w:rsid w:val="002A2E0E"/>
    <w:rsid w:val="002A7DBF"/>
    <w:rsid w:val="002B0747"/>
    <w:rsid w:val="002B10EC"/>
    <w:rsid w:val="002B14EA"/>
    <w:rsid w:val="002B1D4C"/>
    <w:rsid w:val="002B41E2"/>
    <w:rsid w:val="002B6BB1"/>
    <w:rsid w:val="002C0DC9"/>
    <w:rsid w:val="002C4FD5"/>
    <w:rsid w:val="002C6D80"/>
    <w:rsid w:val="002C70D1"/>
    <w:rsid w:val="002C7252"/>
    <w:rsid w:val="002D2A97"/>
    <w:rsid w:val="002D2E92"/>
    <w:rsid w:val="002D551D"/>
    <w:rsid w:val="002D57D1"/>
    <w:rsid w:val="002F567F"/>
    <w:rsid w:val="002F599B"/>
    <w:rsid w:val="002F59B2"/>
    <w:rsid w:val="002F5A75"/>
    <w:rsid w:val="002F7304"/>
    <w:rsid w:val="00300088"/>
    <w:rsid w:val="0030200A"/>
    <w:rsid w:val="00303FC4"/>
    <w:rsid w:val="003052F1"/>
    <w:rsid w:val="003062CD"/>
    <w:rsid w:val="00311DCB"/>
    <w:rsid w:val="00313873"/>
    <w:rsid w:val="00315920"/>
    <w:rsid w:val="003216DE"/>
    <w:rsid w:val="0032512E"/>
    <w:rsid w:val="003272AB"/>
    <w:rsid w:val="0033128A"/>
    <w:rsid w:val="00333593"/>
    <w:rsid w:val="003374CF"/>
    <w:rsid w:val="00340795"/>
    <w:rsid w:val="003419EB"/>
    <w:rsid w:val="00341D63"/>
    <w:rsid w:val="0034466C"/>
    <w:rsid w:val="00346022"/>
    <w:rsid w:val="00346116"/>
    <w:rsid w:val="003503BD"/>
    <w:rsid w:val="00354B46"/>
    <w:rsid w:val="0035502F"/>
    <w:rsid w:val="00355985"/>
    <w:rsid w:val="00355E63"/>
    <w:rsid w:val="00362C6D"/>
    <w:rsid w:val="00362CB6"/>
    <w:rsid w:val="00376AE9"/>
    <w:rsid w:val="0037717C"/>
    <w:rsid w:val="00381BBC"/>
    <w:rsid w:val="00381CDD"/>
    <w:rsid w:val="0038210F"/>
    <w:rsid w:val="0038572D"/>
    <w:rsid w:val="003872B7"/>
    <w:rsid w:val="003877FC"/>
    <w:rsid w:val="00390B7E"/>
    <w:rsid w:val="00391303"/>
    <w:rsid w:val="003B0918"/>
    <w:rsid w:val="003B1795"/>
    <w:rsid w:val="003B256A"/>
    <w:rsid w:val="003B2BEA"/>
    <w:rsid w:val="003B4419"/>
    <w:rsid w:val="003C0692"/>
    <w:rsid w:val="003C3D61"/>
    <w:rsid w:val="003C3D94"/>
    <w:rsid w:val="003C537F"/>
    <w:rsid w:val="003D02E5"/>
    <w:rsid w:val="003D09CB"/>
    <w:rsid w:val="003D109E"/>
    <w:rsid w:val="003D181B"/>
    <w:rsid w:val="003D34F3"/>
    <w:rsid w:val="003D4A0C"/>
    <w:rsid w:val="003D4FA8"/>
    <w:rsid w:val="003D7FD4"/>
    <w:rsid w:val="003E3B32"/>
    <w:rsid w:val="003E494A"/>
    <w:rsid w:val="003F1531"/>
    <w:rsid w:val="003F2910"/>
    <w:rsid w:val="003F5C8A"/>
    <w:rsid w:val="003F5D70"/>
    <w:rsid w:val="004003DC"/>
    <w:rsid w:val="00400750"/>
    <w:rsid w:val="00404075"/>
    <w:rsid w:val="00406834"/>
    <w:rsid w:val="004073DF"/>
    <w:rsid w:val="0041252E"/>
    <w:rsid w:val="00416363"/>
    <w:rsid w:val="00416A21"/>
    <w:rsid w:val="0041710F"/>
    <w:rsid w:val="0041780E"/>
    <w:rsid w:val="00420B21"/>
    <w:rsid w:val="00424224"/>
    <w:rsid w:val="00425718"/>
    <w:rsid w:val="004271D2"/>
    <w:rsid w:val="0043028B"/>
    <w:rsid w:val="00430B03"/>
    <w:rsid w:val="0043591B"/>
    <w:rsid w:val="00436597"/>
    <w:rsid w:val="00443FDC"/>
    <w:rsid w:val="00444469"/>
    <w:rsid w:val="004445ED"/>
    <w:rsid w:val="00445F32"/>
    <w:rsid w:val="00446280"/>
    <w:rsid w:val="0044669A"/>
    <w:rsid w:val="00446C0C"/>
    <w:rsid w:val="00450EE3"/>
    <w:rsid w:val="0046682F"/>
    <w:rsid w:val="004723C5"/>
    <w:rsid w:val="004745CA"/>
    <w:rsid w:val="0047710F"/>
    <w:rsid w:val="00480643"/>
    <w:rsid w:val="004934DD"/>
    <w:rsid w:val="004945C2"/>
    <w:rsid w:val="00495808"/>
    <w:rsid w:val="004A042D"/>
    <w:rsid w:val="004A68A7"/>
    <w:rsid w:val="004A6B0E"/>
    <w:rsid w:val="004B61D6"/>
    <w:rsid w:val="004C0B0D"/>
    <w:rsid w:val="004C0B22"/>
    <w:rsid w:val="004C217C"/>
    <w:rsid w:val="004C250D"/>
    <w:rsid w:val="004D06AC"/>
    <w:rsid w:val="004D08ED"/>
    <w:rsid w:val="004D0C69"/>
    <w:rsid w:val="004D27C6"/>
    <w:rsid w:val="004D34F1"/>
    <w:rsid w:val="004D3A2D"/>
    <w:rsid w:val="004D3F15"/>
    <w:rsid w:val="004D4E0D"/>
    <w:rsid w:val="004D6DA1"/>
    <w:rsid w:val="004E0335"/>
    <w:rsid w:val="004E2B00"/>
    <w:rsid w:val="004E66C5"/>
    <w:rsid w:val="004F1B6A"/>
    <w:rsid w:val="004F2152"/>
    <w:rsid w:val="004F3DFD"/>
    <w:rsid w:val="00501A28"/>
    <w:rsid w:val="00502903"/>
    <w:rsid w:val="005032E7"/>
    <w:rsid w:val="00506D73"/>
    <w:rsid w:val="005070CA"/>
    <w:rsid w:val="00514697"/>
    <w:rsid w:val="00515005"/>
    <w:rsid w:val="0051675E"/>
    <w:rsid w:val="00517181"/>
    <w:rsid w:val="00517CAD"/>
    <w:rsid w:val="005204C9"/>
    <w:rsid w:val="00522874"/>
    <w:rsid w:val="005331A0"/>
    <w:rsid w:val="00533F9C"/>
    <w:rsid w:val="00535C26"/>
    <w:rsid w:val="00537FBF"/>
    <w:rsid w:val="00544421"/>
    <w:rsid w:val="00547ABB"/>
    <w:rsid w:val="00551FD7"/>
    <w:rsid w:val="00554764"/>
    <w:rsid w:val="0055591B"/>
    <w:rsid w:val="00561CB6"/>
    <w:rsid w:val="00563210"/>
    <w:rsid w:val="00564069"/>
    <w:rsid w:val="00564E92"/>
    <w:rsid w:val="00566205"/>
    <w:rsid w:val="00571A6A"/>
    <w:rsid w:val="00573E20"/>
    <w:rsid w:val="00584D5A"/>
    <w:rsid w:val="00590330"/>
    <w:rsid w:val="0059074D"/>
    <w:rsid w:val="00590C75"/>
    <w:rsid w:val="00594C62"/>
    <w:rsid w:val="005A0D02"/>
    <w:rsid w:val="005B326E"/>
    <w:rsid w:val="005B60EA"/>
    <w:rsid w:val="005B6845"/>
    <w:rsid w:val="005B7F6F"/>
    <w:rsid w:val="005C4FAC"/>
    <w:rsid w:val="005C766F"/>
    <w:rsid w:val="005C77A8"/>
    <w:rsid w:val="005D24E0"/>
    <w:rsid w:val="005D26EE"/>
    <w:rsid w:val="005D3F3C"/>
    <w:rsid w:val="005D49E0"/>
    <w:rsid w:val="005D4C72"/>
    <w:rsid w:val="005D5A40"/>
    <w:rsid w:val="005D6514"/>
    <w:rsid w:val="005E27BD"/>
    <w:rsid w:val="005E3316"/>
    <w:rsid w:val="005E401C"/>
    <w:rsid w:val="005E756B"/>
    <w:rsid w:val="005E776E"/>
    <w:rsid w:val="005F17FF"/>
    <w:rsid w:val="005F20CE"/>
    <w:rsid w:val="005F22CD"/>
    <w:rsid w:val="005F2688"/>
    <w:rsid w:val="005F3180"/>
    <w:rsid w:val="005F347A"/>
    <w:rsid w:val="005F4585"/>
    <w:rsid w:val="005F6128"/>
    <w:rsid w:val="005F791B"/>
    <w:rsid w:val="00600BBF"/>
    <w:rsid w:val="00602681"/>
    <w:rsid w:val="006066C3"/>
    <w:rsid w:val="006128A1"/>
    <w:rsid w:val="00612958"/>
    <w:rsid w:val="006234CE"/>
    <w:rsid w:val="0062764B"/>
    <w:rsid w:val="00632C62"/>
    <w:rsid w:val="00632E6E"/>
    <w:rsid w:val="0063547C"/>
    <w:rsid w:val="006546A9"/>
    <w:rsid w:val="00656800"/>
    <w:rsid w:val="00662339"/>
    <w:rsid w:val="00665189"/>
    <w:rsid w:val="00666CC0"/>
    <w:rsid w:val="00667E12"/>
    <w:rsid w:val="00671322"/>
    <w:rsid w:val="006801A7"/>
    <w:rsid w:val="0068199B"/>
    <w:rsid w:val="00685E1F"/>
    <w:rsid w:val="0068797A"/>
    <w:rsid w:val="00690850"/>
    <w:rsid w:val="0069390E"/>
    <w:rsid w:val="006956EB"/>
    <w:rsid w:val="006970BC"/>
    <w:rsid w:val="00697418"/>
    <w:rsid w:val="006A1655"/>
    <w:rsid w:val="006A6348"/>
    <w:rsid w:val="006B09C5"/>
    <w:rsid w:val="006B7BF5"/>
    <w:rsid w:val="006C5977"/>
    <w:rsid w:val="006C6D5F"/>
    <w:rsid w:val="006D1478"/>
    <w:rsid w:val="006D43C2"/>
    <w:rsid w:val="006D4FBF"/>
    <w:rsid w:val="006D65CE"/>
    <w:rsid w:val="006E28E3"/>
    <w:rsid w:val="006E36AF"/>
    <w:rsid w:val="006E3853"/>
    <w:rsid w:val="006E3C34"/>
    <w:rsid w:val="006E5599"/>
    <w:rsid w:val="006E7E6F"/>
    <w:rsid w:val="006F2054"/>
    <w:rsid w:val="006F359A"/>
    <w:rsid w:val="006F5530"/>
    <w:rsid w:val="006F622D"/>
    <w:rsid w:val="00701DDB"/>
    <w:rsid w:val="007034B1"/>
    <w:rsid w:val="00706790"/>
    <w:rsid w:val="007101AB"/>
    <w:rsid w:val="007120A4"/>
    <w:rsid w:val="00715DC8"/>
    <w:rsid w:val="00716943"/>
    <w:rsid w:val="007173D7"/>
    <w:rsid w:val="00722688"/>
    <w:rsid w:val="007251E2"/>
    <w:rsid w:val="00725473"/>
    <w:rsid w:val="00727143"/>
    <w:rsid w:val="0073154C"/>
    <w:rsid w:val="00731D12"/>
    <w:rsid w:val="00732247"/>
    <w:rsid w:val="00732A41"/>
    <w:rsid w:val="0073510B"/>
    <w:rsid w:val="00736244"/>
    <w:rsid w:val="007375A1"/>
    <w:rsid w:val="00742066"/>
    <w:rsid w:val="0074214F"/>
    <w:rsid w:val="00750E80"/>
    <w:rsid w:val="00751C41"/>
    <w:rsid w:val="007524CE"/>
    <w:rsid w:val="007557FB"/>
    <w:rsid w:val="00757991"/>
    <w:rsid w:val="007601FB"/>
    <w:rsid w:val="007633D0"/>
    <w:rsid w:val="00766B7C"/>
    <w:rsid w:val="00770E8D"/>
    <w:rsid w:val="00772719"/>
    <w:rsid w:val="00774B7A"/>
    <w:rsid w:val="00777A94"/>
    <w:rsid w:val="00780E5B"/>
    <w:rsid w:val="00785D7A"/>
    <w:rsid w:val="00786827"/>
    <w:rsid w:val="0078756B"/>
    <w:rsid w:val="00791F9A"/>
    <w:rsid w:val="007A18E8"/>
    <w:rsid w:val="007B2449"/>
    <w:rsid w:val="007B2C32"/>
    <w:rsid w:val="007B4122"/>
    <w:rsid w:val="007B778D"/>
    <w:rsid w:val="007C17DA"/>
    <w:rsid w:val="007C2E60"/>
    <w:rsid w:val="007C3A7C"/>
    <w:rsid w:val="007D40F0"/>
    <w:rsid w:val="007D6A48"/>
    <w:rsid w:val="007E42D8"/>
    <w:rsid w:val="007E5E6A"/>
    <w:rsid w:val="007E69F7"/>
    <w:rsid w:val="007F1AA0"/>
    <w:rsid w:val="007F38D9"/>
    <w:rsid w:val="007F4183"/>
    <w:rsid w:val="007F50D4"/>
    <w:rsid w:val="007F5A9E"/>
    <w:rsid w:val="007F6708"/>
    <w:rsid w:val="0080073C"/>
    <w:rsid w:val="00801EB2"/>
    <w:rsid w:val="0080227A"/>
    <w:rsid w:val="00802BDD"/>
    <w:rsid w:val="00807D11"/>
    <w:rsid w:val="008102ED"/>
    <w:rsid w:val="00811C12"/>
    <w:rsid w:val="00816FFA"/>
    <w:rsid w:val="00822591"/>
    <w:rsid w:val="008243DD"/>
    <w:rsid w:val="008247AF"/>
    <w:rsid w:val="008262CB"/>
    <w:rsid w:val="00827A4F"/>
    <w:rsid w:val="00827CBE"/>
    <w:rsid w:val="0083386A"/>
    <w:rsid w:val="00834AB8"/>
    <w:rsid w:val="0083728A"/>
    <w:rsid w:val="00837ED4"/>
    <w:rsid w:val="00841275"/>
    <w:rsid w:val="00843044"/>
    <w:rsid w:val="00846670"/>
    <w:rsid w:val="0085233C"/>
    <w:rsid w:val="008537B5"/>
    <w:rsid w:val="00856609"/>
    <w:rsid w:val="0086262F"/>
    <w:rsid w:val="00863635"/>
    <w:rsid w:val="00864635"/>
    <w:rsid w:val="00865107"/>
    <w:rsid w:val="00867B3E"/>
    <w:rsid w:val="00872EE3"/>
    <w:rsid w:val="00875EF3"/>
    <w:rsid w:val="0087649D"/>
    <w:rsid w:val="00877B29"/>
    <w:rsid w:val="008808C4"/>
    <w:rsid w:val="00886A1D"/>
    <w:rsid w:val="008878F7"/>
    <w:rsid w:val="00894A2A"/>
    <w:rsid w:val="00894D89"/>
    <w:rsid w:val="0089701B"/>
    <w:rsid w:val="00897911"/>
    <w:rsid w:val="008A162A"/>
    <w:rsid w:val="008A222C"/>
    <w:rsid w:val="008A2A79"/>
    <w:rsid w:val="008A4321"/>
    <w:rsid w:val="008A6A84"/>
    <w:rsid w:val="008A6DAA"/>
    <w:rsid w:val="008C0FF8"/>
    <w:rsid w:val="008C4A1E"/>
    <w:rsid w:val="008C5AB5"/>
    <w:rsid w:val="008C60A9"/>
    <w:rsid w:val="008D0D91"/>
    <w:rsid w:val="008D163E"/>
    <w:rsid w:val="008D1B69"/>
    <w:rsid w:val="008D3114"/>
    <w:rsid w:val="008D319A"/>
    <w:rsid w:val="008D481E"/>
    <w:rsid w:val="008D7481"/>
    <w:rsid w:val="008D7830"/>
    <w:rsid w:val="008E074F"/>
    <w:rsid w:val="008E07E9"/>
    <w:rsid w:val="008E324C"/>
    <w:rsid w:val="008E7210"/>
    <w:rsid w:val="008F0139"/>
    <w:rsid w:val="008F47CC"/>
    <w:rsid w:val="008F4E74"/>
    <w:rsid w:val="008F6B63"/>
    <w:rsid w:val="008F6CD6"/>
    <w:rsid w:val="00904D2D"/>
    <w:rsid w:val="00907169"/>
    <w:rsid w:val="009105EA"/>
    <w:rsid w:val="00913A78"/>
    <w:rsid w:val="00914EEC"/>
    <w:rsid w:val="00914FFD"/>
    <w:rsid w:val="00921B7E"/>
    <w:rsid w:val="00922B78"/>
    <w:rsid w:val="00923D82"/>
    <w:rsid w:val="00933866"/>
    <w:rsid w:val="00941DFF"/>
    <w:rsid w:val="00943FD4"/>
    <w:rsid w:val="00945691"/>
    <w:rsid w:val="00946524"/>
    <w:rsid w:val="00950E0E"/>
    <w:rsid w:val="00951F3D"/>
    <w:rsid w:val="0095563F"/>
    <w:rsid w:val="00957C9E"/>
    <w:rsid w:val="009608BA"/>
    <w:rsid w:val="009625FE"/>
    <w:rsid w:val="00963470"/>
    <w:rsid w:val="00963F47"/>
    <w:rsid w:val="009646CB"/>
    <w:rsid w:val="00967E96"/>
    <w:rsid w:val="009725BB"/>
    <w:rsid w:val="00972709"/>
    <w:rsid w:val="00976173"/>
    <w:rsid w:val="009779A2"/>
    <w:rsid w:val="00981054"/>
    <w:rsid w:val="00981F43"/>
    <w:rsid w:val="009824E5"/>
    <w:rsid w:val="009853D3"/>
    <w:rsid w:val="00986B50"/>
    <w:rsid w:val="00987568"/>
    <w:rsid w:val="0099109D"/>
    <w:rsid w:val="0099566F"/>
    <w:rsid w:val="00997356"/>
    <w:rsid w:val="00997582"/>
    <w:rsid w:val="009A1D48"/>
    <w:rsid w:val="009A26C4"/>
    <w:rsid w:val="009B06D3"/>
    <w:rsid w:val="009B0783"/>
    <w:rsid w:val="009B6647"/>
    <w:rsid w:val="009C36F4"/>
    <w:rsid w:val="009C4A76"/>
    <w:rsid w:val="009D205B"/>
    <w:rsid w:val="009E1B99"/>
    <w:rsid w:val="009F344B"/>
    <w:rsid w:val="009F4ACD"/>
    <w:rsid w:val="00A0198C"/>
    <w:rsid w:val="00A01C36"/>
    <w:rsid w:val="00A01E38"/>
    <w:rsid w:val="00A03722"/>
    <w:rsid w:val="00A0608A"/>
    <w:rsid w:val="00A100B6"/>
    <w:rsid w:val="00A2091E"/>
    <w:rsid w:val="00A24EE0"/>
    <w:rsid w:val="00A26539"/>
    <w:rsid w:val="00A31FD4"/>
    <w:rsid w:val="00A338DC"/>
    <w:rsid w:val="00A343A6"/>
    <w:rsid w:val="00A3653A"/>
    <w:rsid w:val="00A36935"/>
    <w:rsid w:val="00A4634B"/>
    <w:rsid w:val="00A46FAE"/>
    <w:rsid w:val="00A5142E"/>
    <w:rsid w:val="00A53EAC"/>
    <w:rsid w:val="00A574F7"/>
    <w:rsid w:val="00A57A32"/>
    <w:rsid w:val="00A60C62"/>
    <w:rsid w:val="00A63727"/>
    <w:rsid w:val="00A65550"/>
    <w:rsid w:val="00A71CF5"/>
    <w:rsid w:val="00A7323C"/>
    <w:rsid w:val="00A73904"/>
    <w:rsid w:val="00A73FE8"/>
    <w:rsid w:val="00A7612E"/>
    <w:rsid w:val="00A8141A"/>
    <w:rsid w:val="00A82E4B"/>
    <w:rsid w:val="00A8380D"/>
    <w:rsid w:val="00A87369"/>
    <w:rsid w:val="00A9424B"/>
    <w:rsid w:val="00A96F7F"/>
    <w:rsid w:val="00AA5858"/>
    <w:rsid w:val="00AA668C"/>
    <w:rsid w:val="00AB16E1"/>
    <w:rsid w:val="00AC302F"/>
    <w:rsid w:val="00AC387F"/>
    <w:rsid w:val="00AC3A73"/>
    <w:rsid w:val="00AC599C"/>
    <w:rsid w:val="00AD0798"/>
    <w:rsid w:val="00AD1194"/>
    <w:rsid w:val="00AD6A20"/>
    <w:rsid w:val="00AE1B12"/>
    <w:rsid w:val="00AE1CFE"/>
    <w:rsid w:val="00AE49AF"/>
    <w:rsid w:val="00AF1AC4"/>
    <w:rsid w:val="00AF3873"/>
    <w:rsid w:val="00AF4F78"/>
    <w:rsid w:val="00AF645B"/>
    <w:rsid w:val="00AF7614"/>
    <w:rsid w:val="00AF7627"/>
    <w:rsid w:val="00AF7861"/>
    <w:rsid w:val="00B00536"/>
    <w:rsid w:val="00B0287E"/>
    <w:rsid w:val="00B04E35"/>
    <w:rsid w:val="00B06CC9"/>
    <w:rsid w:val="00B07DAC"/>
    <w:rsid w:val="00B14BFB"/>
    <w:rsid w:val="00B162A8"/>
    <w:rsid w:val="00B20D83"/>
    <w:rsid w:val="00B23F5E"/>
    <w:rsid w:val="00B26602"/>
    <w:rsid w:val="00B2747D"/>
    <w:rsid w:val="00B31475"/>
    <w:rsid w:val="00B35727"/>
    <w:rsid w:val="00B37EBD"/>
    <w:rsid w:val="00B424C6"/>
    <w:rsid w:val="00B45213"/>
    <w:rsid w:val="00B46B63"/>
    <w:rsid w:val="00B54689"/>
    <w:rsid w:val="00B55D29"/>
    <w:rsid w:val="00B60853"/>
    <w:rsid w:val="00B61511"/>
    <w:rsid w:val="00B6535E"/>
    <w:rsid w:val="00B67531"/>
    <w:rsid w:val="00B70745"/>
    <w:rsid w:val="00B72B9D"/>
    <w:rsid w:val="00B7474F"/>
    <w:rsid w:val="00B74FA3"/>
    <w:rsid w:val="00B76821"/>
    <w:rsid w:val="00B837E5"/>
    <w:rsid w:val="00B86C2A"/>
    <w:rsid w:val="00B8740A"/>
    <w:rsid w:val="00B94116"/>
    <w:rsid w:val="00B94929"/>
    <w:rsid w:val="00B95CC7"/>
    <w:rsid w:val="00B9706B"/>
    <w:rsid w:val="00B97240"/>
    <w:rsid w:val="00BA3E64"/>
    <w:rsid w:val="00BA6611"/>
    <w:rsid w:val="00BA6DF6"/>
    <w:rsid w:val="00BA7862"/>
    <w:rsid w:val="00BB0807"/>
    <w:rsid w:val="00BB0C61"/>
    <w:rsid w:val="00BB2A19"/>
    <w:rsid w:val="00BB46C6"/>
    <w:rsid w:val="00BC1D88"/>
    <w:rsid w:val="00BC1EB3"/>
    <w:rsid w:val="00BC6F18"/>
    <w:rsid w:val="00BD215F"/>
    <w:rsid w:val="00BD5323"/>
    <w:rsid w:val="00BD59C3"/>
    <w:rsid w:val="00BE5E54"/>
    <w:rsid w:val="00BF1FAA"/>
    <w:rsid w:val="00BF21AA"/>
    <w:rsid w:val="00BF4F7A"/>
    <w:rsid w:val="00BF7240"/>
    <w:rsid w:val="00C00554"/>
    <w:rsid w:val="00C02DB3"/>
    <w:rsid w:val="00C03626"/>
    <w:rsid w:val="00C03D2A"/>
    <w:rsid w:val="00C053F5"/>
    <w:rsid w:val="00C10D19"/>
    <w:rsid w:val="00C14B3C"/>
    <w:rsid w:val="00C15C86"/>
    <w:rsid w:val="00C16800"/>
    <w:rsid w:val="00C21073"/>
    <w:rsid w:val="00C21DBF"/>
    <w:rsid w:val="00C27B62"/>
    <w:rsid w:val="00C36733"/>
    <w:rsid w:val="00C437D3"/>
    <w:rsid w:val="00C502F4"/>
    <w:rsid w:val="00C53988"/>
    <w:rsid w:val="00C63871"/>
    <w:rsid w:val="00C6745B"/>
    <w:rsid w:val="00C71123"/>
    <w:rsid w:val="00C74BBE"/>
    <w:rsid w:val="00C760AC"/>
    <w:rsid w:val="00C770B3"/>
    <w:rsid w:val="00C7747E"/>
    <w:rsid w:val="00C818EF"/>
    <w:rsid w:val="00C82BE5"/>
    <w:rsid w:val="00C8669F"/>
    <w:rsid w:val="00C86E0B"/>
    <w:rsid w:val="00C916FA"/>
    <w:rsid w:val="00C91BEE"/>
    <w:rsid w:val="00C93E7F"/>
    <w:rsid w:val="00C94ECB"/>
    <w:rsid w:val="00C967D0"/>
    <w:rsid w:val="00CA0AE4"/>
    <w:rsid w:val="00CA1176"/>
    <w:rsid w:val="00CA2B23"/>
    <w:rsid w:val="00CB3FDD"/>
    <w:rsid w:val="00CB7618"/>
    <w:rsid w:val="00CB7784"/>
    <w:rsid w:val="00CB7B0E"/>
    <w:rsid w:val="00CC0099"/>
    <w:rsid w:val="00CC135A"/>
    <w:rsid w:val="00CC3681"/>
    <w:rsid w:val="00CC4E41"/>
    <w:rsid w:val="00CC76C7"/>
    <w:rsid w:val="00CC7B7F"/>
    <w:rsid w:val="00CC7C8C"/>
    <w:rsid w:val="00CD0FD4"/>
    <w:rsid w:val="00CD5892"/>
    <w:rsid w:val="00CD62DC"/>
    <w:rsid w:val="00CE1948"/>
    <w:rsid w:val="00CE26D9"/>
    <w:rsid w:val="00CE47CA"/>
    <w:rsid w:val="00CF1551"/>
    <w:rsid w:val="00CF16D8"/>
    <w:rsid w:val="00CF3341"/>
    <w:rsid w:val="00CF3815"/>
    <w:rsid w:val="00D00A72"/>
    <w:rsid w:val="00D014A0"/>
    <w:rsid w:val="00D026EC"/>
    <w:rsid w:val="00D029A7"/>
    <w:rsid w:val="00D04A83"/>
    <w:rsid w:val="00D073F4"/>
    <w:rsid w:val="00D108DC"/>
    <w:rsid w:val="00D17E03"/>
    <w:rsid w:val="00D232C8"/>
    <w:rsid w:val="00D239E7"/>
    <w:rsid w:val="00D23D84"/>
    <w:rsid w:val="00D307B4"/>
    <w:rsid w:val="00D413EC"/>
    <w:rsid w:val="00D41AA0"/>
    <w:rsid w:val="00D43A33"/>
    <w:rsid w:val="00D44186"/>
    <w:rsid w:val="00D50C20"/>
    <w:rsid w:val="00D524AA"/>
    <w:rsid w:val="00D52E82"/>
    <w:rsid w:val="00D62E68"/>
    <w:rsid w:val="00D636EB"/>
    <w:rsid w:val="00D6508C"/>
    <w:rsid w:val="00D67EEC"/>
    <w:rsid w:val="00D706B5"/>
    <w:rsid w:val="00D70883"/>
    <w:rsid w:val="00D74247"/>
    <w:rsid w:val="00D75CE9"/>
    <w:rsid w:val="00D80FFD"/>
    <w:rsid w:val="00D84ABF"/>
    <w:rsid w:val="00D84E31"/>
    <w:rsid w:val="00D90012"/>
    <w:rsid w:val="00D902C0"/>
    <w:rsid w:val="00D914D9"/>
    <w:rsid w:val="00D9419D"/>
    <w:rsid w:val="00D948A0"/>
    <w:rsid w:val="00D97F06"/>
    <w:rsid w:val="00DA2981"/>
    <w:rsid w:val="00DA307D"/>
    <w:rsid w:val="00DA6EB2"/>
    <w:rsid w:val="00DB0B80"/>
    <w:rsid w:val="00DB25DF"/>
    <w:rsid w:val="00DB2966"/>
    <w:rsid w:val="00DB4F90"/>
    <w:rsid w:val="00DB5C2C"/>
    <w:rsid w:val="00DB71D8"/>
    <w:rsid w:val="00DC19F1"/>
    <w:rsid w:val="00DC3991"/>
    <w:rsid w:val="00DD3004"/>
    <w:rsid w:val="00DD391A"/>
    <w:rsid w:val="00DD543B"/>
    <w:rsid w:val="00DD5749"/>
    <w:rsid w:val="00DE1D37"/>
    <w:rsid w:val="00DE1E64"/>
    <w:rsid w:val="00DE26F1"/>
    <w:rsid w:val="00DE339B"/>
    <w:rsid w:val="00DE459F"/>
    <w:rsid w:val="00DE7BBA"/>
    <w:rsid w:val="00DF38AB"/>
    <w:rsid w:val="00DF4578"/>
    <w:rsid w:val="00DF6B13"/>
    <w:rsid w:val="00DF7096"/>
    <w:rsid w:val="00DF7EA5"/>
    <w:rsid w:val="00E04DCD"/>
    <w:rsid w:val="00E06CD5"/>
    <w:rsid w:val="00E0736A"/>
    <w:rsid w:val="00E103B3"/>
    <w:rsid w:val="00E10B7C"/>
    <w:rsid w:val="00E117AB"/>
    <w:rsid w:val="00E12BD4"/>
    <w:rsid w:val="00E12F58"/>
    <w:rsid w:val="00E1421E"/>
    <w:rsid w:val="00E14994"/>
    <w:rsid w:val="00E2049E"/>
    <w:rsid w:val="00E2306E"/>
    <w:rsid w:val="00E24466"/>
    <w:rsid w:val="00E32253"/>
    <w:rsid w:val="00E33634"/>
    <w:rsid w:val="00E3515F"/>
    <w:rsid w:val="00E37ACE"/>
    <w:rsid w:val="00E42EE4"/>
    <w:rsid w:val="00E4512B"/>
    <w:rsid w:val="00E4739F"/>
    <w:rsid w:val="00E47BFE"/>
    <w:rsid w:val="00E52D53"/>
    <w:rsid w:val="00E57189"/>
    <w:rsid w:val="00E6086D"/>
    <w:rsid w:val="00E64B4D"/>
    <w:rsid w:val="00E6643A"/>
    <w:rsid w:val="00E678B4"/>
    <w:rsid w:val="00E67C1B"/>
    <w:rsid w:val="00E7100C"/>
    <w:rsid w:val="00E72B07"/>
    <w:rsid w:val="00E73218"/>
    <w:rsid w:val="00E75636"/>
    <w:rsid w:val="00E77E7E"/>
    <w:rsid w:val="00E82F53"/>
    <w:rsid w:val="00E84CA7"/>
    <w:rsid w:val="00E85672"/>
    <w:rsid w:val="00E9044B"/>
    <w:rsid w:val="00E90C0A"/>
    <w:rsid w:val="00E91806"/>
    <w:rsid w:val="00E91DFC"/>
    <w:rsid w:val="00E97989"/>
    <w:rsid w:val="00EA216C"/>
    <w:rsid w:val="00EA2466"/>
    <w:rsid w:val="00EA4A4F"/>
    <w:rsid w:val="00EA7FF7"/>
    <w:rsid w:val="00EB0FBE"/>
    <w:rsid w:val="00EB586D"/>
    <w:rsid w:val="00EC0D7B"/>
    <w:rsid w:val="00EC2895"/>
    <w:rsid w:val="00ED1A9A"/>
    <w:rsid w:val="00ED267F"/>
    <w:rsid w:val="00ED3A16"/>
    <w:rsid w:val="00ED614A"/>
    <w:rsid w:val="00ED636C"/>
    <w:rsid w:val="00ED7186"/>
    <w:rsid w:val="00ED7BE8"/>
    <w:rsid w:val="00EE05E3"/>
    <w:rsid w:val="00EE1C50"/>
    <w:rsid w:val="00EE2303"/>
    <w:rsid w:val="00EE28DF"/>
    <w:rsid w:val="00EE39D3"/>
    <w:rsid w:val="00EE3BF3"/>
    <w:rsid w:val="00EE4D5E"/>
    <w:rsid w:val="00EE5357"/>
    <w:rsid w:val="00EE79FA"/>
    <w:rsid w:val="00EF2D32"/>
    <w:rsid w:val="00EF593C"/>
    <w:rsid w:val="00EF6A9D"/>
    <w:rsid w:val="00F00471"/>
    <w:rsid w:val="00F00C4C"/>
    <w:rsid w:val="00F15D54"/>
    <w:rsid w:val="00F1608A"/>
    <w:rsid w:val="00F208AA"/>
    <w:rsid w:val="00F27103"/>
    <w:rsid w:val="00F40A7D"/>
    <w:rsid w:val="00F40B82"/>
    <w:rsid w:val="00F4305E"/>
    <w:rsid w:val="00F442D7"/>
    <w:rsid w:val="00F449A3"/>
    <w:rsid w:val="00F50190"/>
    <w:rsid w:val="00F51902"/>
    <w:rsid w:val="00F5288D"/>
    <w:rsid w:val="00F55411"/>
    <w:rsid w:val="00F567B9"/>
    <w:rsid w:val="00F57262"/>
    <w:rsid w:val="00F57880"/>
    <w:rsid w:val="00F602E1"/>
    <w:rsid w:val="00F67CC5"/>
    <w:rsid w:val="00F7064F"/>
    <w:rsid w:val="00F719A3"/>
    <w:rsid w:val="00F77CB0"/>
    <w:rsid w:val="00F80919"/>
    <w:rsid w:val="00F815D2"/>
    <w:rsid w:val="00F8161C"/>
    <w:rsid w:val="00F86307"/>
    <w:rsid w:val="00F86AFB"/>
    <w:rsid w:val="00F90515"/>
    <w:rsid w:val="00F91D2A"/>
    <w:rsid w:val="00F96CD3"/>
    <w:rsid w:val="00F978B9"/>
    <w:rsid w:val="00F97BDB"/>
    <w:rsid w:val="00FA5640"/>
    <w:rsid w:val="00FA7522"/>
    <w:rsid w:val="00FA783D"/>
    <w:rsid w:val="00FB24AA"/>
    <w:rsid w:val="00FB4496"/>
    <w:rsid w:val="00FB7BA7"/>
    <w:rsid w:val="00FC04FE"/>
    <w:rsid w:val="00FC30C2"/>
    <w:rsid w:val="00FC5241"/>
    <w:rsid w:val="00FC674C"/>
    <w:rsid w:val="00FC796A"/>
    <w:rsid w:val="00FD1A4A"/>
    <w:rsid w:val="00FD2161"/>
    <w:rsid w:val="00FD561F"/>
    <w:rsid w:val="00FD6467"/>
    <w:rsid w:val="00FD7039"/>
    <w:rsid w:val="00FE02DD"/>
    <w:rsid w:val="00FE04BD"/>
    <w:rsid w:val="00FE3855"/>
    <w:rsid w:val="00FE5331"/>
    <w:rsid w:val="00FF0478"/>
    <w:rsid w:val="00FF3F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90078"/>
  <w15:docId w15:val="{E5FD0B08-7290-4E1F-A82D-5A41558D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3B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3B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9646CB"/>
    <w:pPr>
      <w:spacing w:after="0" w:line="240" w:lineRule="auto"/>
    </w:pPr>
  </w:style>
  <w:style w:type="character" w:customStyle="1" w:styleId="Kop1Char">
    <w:name w:val="Kop 1 Char"/>
    <w:basedOn w:val="Standaardalinea-lettertype"/>
    <w:link w:val="Kop1"/>
    <w:uiPriority w:val="9"/>
    <w:rsid w:val="00EE3BF3"/>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EE3BF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E3BF3"/>
  </w:style>
  <w:style w:type="paragraph" w:styleId="Voettekst">
    <w:name w:val="footer"/>
    <w:basedOn w:val="Standaard"/>
    <w:link w:val="VoettekstChar"/>
    <w:uiPriority w:val="99"/>
    <w:unhideWhenUsed/>
    <w:rsid w:val="00EE3BF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E3BF3"/>
  </w:style>
  <w:style w:type="character" w:customStyle="1" w:styleId="Kop2Char">
    <w:name w:val="Kop 2 Char"/>
    <w:basedOn w:val="Standaardalinea-lettertype"/>
    <w:link w:val="Kop2"/>
    <w:uiPriority w:val="9"/>
    <w:rsid w:val="00EE3BF3"/>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EE3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E06CD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E06CD5"/>
    <w:pPr>
      <w:autoSpaceDE w:val="0"/>
      <w:autoSpaceDN w:val="0"/>
      <w:adjustRightInd w:val="0"/>
      <w:spacing w:after="0" w:line="240" w:lineRule="auto"/>
    </w:pPr>
    <w:rPr>
      <w:rFonts w:ascii="Times New Roman" w:hAnsi="Times New Roman" w:cs="Times New Roman"/>
      <w:color w:val="000000"/>
      <w:sz w:val="24"/>
      <w:szCs w:val="24"/>
    </w:rPr>
  </w:style>
  <w:style w:type="table" w:styleId="Lijsttabel3-Accent1">
    <w:name w:val="List Table 3 Accent 1"/>
    <w:basedOn w:val="Standaardtabel"/>
    <w:uiPriority w:val="48"/>
    <w:rsid w:val="00E47BF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Lijstalinea">
    <w:name w:val="List Paragraph"/>
    <w:basedOn w:val="Standaard"/>
    <w:uiPriority w:val="34"/>
    <w:qFormat/>
    <w:rsid w:val="00E47BFE"/>
    <w:pPr>
      <w:ind w:left="720"/>
      <w:contextualSpacing/>
    </w:pPr>
  </w:style>
  <w:style w:type="character" w:styleId="Hyperlink">
    <w:name w:val="Hyperlink"/>
    <w:basedOn w:val="Standaardalinea-lettertype"/>
    <w:uiPriority w:val="99"/>
    <w:unhideWhenUsed/>
    <w:rsid w:val="004F1B6A"/>
    <w:rPr>
      <w:color w:val="0563C1" w:themeColor="hyperlink"/>
      <w:u w:val="single"/>
    </w:rPr>
  </w:style>
  <w:style w:type="character" w:styleId="Onopgelostemelding">
    <w:name w:val="Unresolved Mention"/>
    <w:basedOn w:val="Standaardalinea-lettertype"/>
    <w:uiPriority w:val="99"/>
    <w:semiHidden/>
    <w:unhideWhenUsed/>
    <w:rsid w:val="004F1B6A"/>
    <w:rPr>
      <w:color w:val="605E5C"/>
      <w:shd w:val="clear" w:color="auto" w:fill="E1DFDD"/>
    </w:rPr>
  </w:style>
  <w:style w:type="paragraph" w:styleId="Voetnoottekst">
    <w:name w:val="footnote text"/>
    <w:basedOn w:val="Standaard"/>
    <w:link w:val="VoetnoottekstChar"/>
    <w:uiPriority w:val="99"/>
    <w:semiHidden/>
    <w:unhideWhenUsed/>
    <w:rsid w:val="00DF6B1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F6B13"/>
    <w:rPr>
      <w:sz w:val="20"/>
      <w:szCs w:val="20"/>
    </w:rPr>
  </w:style>
  <w:style w:type="character" w:styleId="Voetnootmarkering">
    <w:name w:val="footnote reference"/>
    <w:basedOn w:val="Standaardalinea-lettertype"/>
    <w:uiPriority w:val="99"/>
    <w:semiHidden/>
    <w:unhideWhenUsed/>
    <w:rsid w:val="00DF6B13"/>
    <w:rPr>
      <w:vertAlign w:val="superscript"/>
    </w:rPr>
  </w:style>
  <w:style w:type="character" w:customStyle="1" w:styleId="GeenafstandChar">
    <w:name w:val="Geen afstand Char"/>
    <w:basedOn w:val="Standaardalinea-lettertype"/>
    <w:link w:val="Geenafstand"/>
    <w:uiPriority w:val="3"/>
    <w:rsid w:val="00AC302F"/>
  </w:style>
  <w:style w:type="paragraph" w:customStyle="1" w:styleId="BulletedList">
    <w:name w:val="Bulleted List"/>
    <w:link w:val="BulletedListChar"/>
    <w:uiPriority w:val="12"/>
    <w:qFormat/>
    <w:rsid w:val="007F1AA0"/>
    <w:pPr>
      <w:numPr>
        <w:numId w:val="1"/>
      </w:numPr>
      <w:spacing w:after="60" w:line="260" w:lineRule="exact"/>
      <w:jc w:val="both"/>
    </w:pPr>
    <w:rPr>
      <w:rFonts w:eastAsia="MS Mincho"/>
      <w:color w:val="000000" w:themeColor="text1"/>
      <w:sz w:val="20"/>
      <w:lang w:val="en-GB"/>
    </w:rPr>
  </w:style>
  <w:style w:type="character" w:customStyle="1" w:styleId="BulletedListChar">
    <w:name w:val="Bulleted List Char"/>
    <w:basedOn w:val="Standaardalinea-lettertype"/>
    <w:link w:val="BulletedList"/>
    <w:uiPriority w:val="12"/>
    <w:rsid w:val="007F1AA0"/>
    <w:rPr>
      <w:rFonts w:eastAsia="MS Mincho"/>
      <w:color w:val="000000" w:themeColor="text1"/>
      <w:sz w:val="20"/>
      <w:lang w:val="en-GB"/>
    </w:rPr>
  </w:style>
  <w:style w:type="paragraph" w:customStyle="1" w:styleId="Para">
    <w:name w:val="Para #"/>
    <w:link w:val="ParaChar"/>
    <w:uiPriority w:val="4"/>
    <w:qFormat/>
    <w:rsid w:val="005B7F6F"/>
    <w:pPr>
      <w:numPr>
        <w:numId w:val="2"/>
      </w:numPr>
      <w:spacing w:before="120" w:after="120" w:line="260" w:lineRule="atLeast"/>
      <w:jc w:val="both"/>
    </w:pPr>
    <w:rPr>
      <w:rFonts w:eastAsia="MS Mincho"/>
      <w:sz w:val="20"/>
      <w:lang w:val="en-GB"/>
    </w:rPr>
  </w:style>
  <w:style w:type="character" w:customStyle="1" w:styleId="ParaChar">
    <w:name w:val="Para # Char"/>
    <w:basedOn w:val="Standaardalinea-lettertype"/>
    <w:link w:val="Para"/>
    <w:uiPriority w:val="4"/>
    <w:qFormat/>
    <w:rsid w:val="005B7F6F"/>
    <w:rPr>
      <w:rFonts w:eastAsia="MS Mincho"/>
      <w:sz w:val="20"/>
      <w:lang w:val="en-GB"/>
    </w:rPr>
  </w:style>
  <w:style w:type="paragraph" w:customStyle="1" w:styleId="Para0">
    <w:name w:val="Para"/>
    <w:link w:val="ParaChar0"/>
    <w:uiPriority w:val="4"/>
    <w:qFormat/>
    <w:rsid w:val="00CF16D8"/>
    <w:pPr>
      <w:spacing w:before="120" w:after="120" w:line="260" w:lineRule="atLeast"/>
      <w:jc w:val="both"/>
    </w:pPr>
    <w:rPr>
      <w:rFonts w:eastAsia="MS Mincho"/>
      <w:color w:val="000000" w:themeColor="text1"/>
      <w:sz w:val="20"/>
      <w:lang w:val="en-GB"/>
    </w:rPr>
  </w:style>
  <w:style w:type="character" w:customStyle="1" w:styleId="ParaChar0">
    <w:name w:val="Para Char"/>
    <w:basedOn w:val="Standaardalinea-lettertype"/>
    <w:link w:val="Para0"/>
    <w:uiPriority w:val="4"/>
    <w:rsid w:val="00CF16D8"/>
    <w:rPr>
      <w:rFonts w:eastAsia="MS Mincho"/>
      <w:color w:val="000000" w:themeColor="text1"/>
      <w:sz w:val="20"/>
      <w:lang w:val="en-GB"/>
    </w:rPr>
  </w:style>
  <w:style w:type="character" w:styleId="Verwijzingopmerking">
    <w:name w:val="annotation reference"/>
    <w:basedOn w:val="Standaardalinea-lettertype"/>
    <w:uiPriority w:val="99"/>
    <w:semiHidden/>
    <w:unhideWhenUsed/>
    <w:rsid w:val="00987568"/>
    <w:rPr>
      <w:sz w:val="16"/>
      <w:szCs w:val="16"/>
    </w:rPr>
  </w:style>
  <w:style w:type="paragraph" w:styleId="Tekstopmerking">
    <w:name w:val="annotation text"/>
    <w:basedOn w:val="Standaard"/>
    <w:link w:val="TekstopmerkingChar"/>
    <w:uiPriority w:val="99"/>
    <w:unhideWhenUsed/>
    <w:rsid w:val="00987568"/>
    <w:pPr>
      <w:spacing w:after="0" w:line="240" w:lineRule="auto"/>
    </w:pPr>
    <w:rPr>
      <w:rFonts w:ascii="Times New Roman" w:eastAsia="Times New Roman" w:hAnsi="Times New Roman" w:cs="Times New Roman"/>
      <w:sz w:val="20"/>
      <w:szCs w:val="20"/>
      <w:lang w:val="en-US"/>
    </w:rPr>
  </w:style>
  <w:style w:type="character" w:customStyle="1" w:styleId="TekstopmerkingChar">
    <w:name w:val="Tekst opmerking Char"/>
    <w:basedOn w:val="Standaardalinea-lettertype"/>
    <w:link w:val="Tekstopmerking"/>
    <w:uiPriority w:val="99"/>
    <w:rsid w:val="00987568"/>
    <w:rPr>
      <w:rFonts w:ascii="Times New Roman" w:eastAsia="Times New Roman" w:hAnsi="Times New Roman" w:cs="Times New Roman"/>
      <w:sz w:val="20"/>
      <w:szCs w:val="20"/>
      <w:lang w:val="en-US"/>
    </w:rPr>
  </w:style>
  <w:style w:type="paragraph" w:customStyle="1" w:styleId="Lijstbullet">
    <w:name w:val="Lijst bullet"/>
    <w:basedOn w:val="Standaard"/>
    <w:uiPriority w:val="2"/>
    <w:qFormat/>
    <w:rsid w:val="00F57880"/>
    <w:pPr>
      <w:numPr>
        <w:numId w:val="4"/>
      </w:numPr>
      <w:tabs>
        <w:tab w:val="left" w:pos="227"/>
      </w:tabs>
      <w:spacing w:after="0" w:line="240" w:lineRule="auto"/>
      <w:ind w:left="227" w:hanging="227"/>
    </w:pPr>
    <w:rPr>
      <w:rFonts w:ascii="Times New Roman" w:eastAsia="Times New Roman" w:hAnsi="Times New Roman" w:cs="Times New Roman"/>
      <w:sz w:val="24"/>
      <w:szCs w:val="24"/>
      <w:lang w:val="en-US"/>
    </w:rPr>
  </w:style>
  <w:style w:type="paragraph" w:styleId="Revisie">
    <w:name w:val="Revision"/>
    <w:hidden/>
    <w:uiPriority w:val="99"/>
    <w:semiHidden/>
    <w:rsid w:val="00E77E7E"/>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7375A1"/>
    <w:pPr>
      <w:spacing w:after="160"/>
    </w:pPr>
    <w:rPr>
      <w:rFonts w:asciiTheme="minorHAnsi" w:eastAsiaTheme="minorHAnsi" w:hAnsiTheme="minorHAnsi" w:cstheme="minorBidi"/>
      <w:b/>
      <w:bCs/>
      <w:lang w:val="nl-NL"/>
    </w:rPr>
  </w:style>
  <w:style w:type="character" w:customStyle="1" w:styleId="OnderwerpvanopmerkingChar">
    <w:name w:val="Onderwerp van opmerking Char"/>
    <w:basedOn w:val="TekstopmerkingChar"/>
    <w:link w:val="Onderwerpvanopmerking"/>
    <w:uiPriority w:val="99"/>
    <w:semiHidden/>
    <w:rsid w:val="007375A1"/>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230431">
      <w:bodyDiv w:val="1"/>
      <w:marLeft w:val="0"/>
      <w:marRight w:val="0"/>
      <w:marTop w:val="0"/>
      <w:marBottom w:val="0"/>
      <w:divBdr>
        <w:top w:val="none" w:sz="0" w:space="0" w:color="auto"/>
        <w:left w:val="none" w:sz="0" w:space="0" w:color="auto"/>
        <w:bottom w:val="none" w:sz="0" w:space="0" w:color="auto"/>
        <w:right w:val="none" w:sz="0" w:space="0" w:color="auto"/>
      </w:divBdr>
      <w:divsChild>
        <w:div w:id="1036587777">
          <w:marLeft w:val="0"/>
          <w:marRight w:val="0"/>
          <w:marTop w:val="0"/>
          <w:marBottom w:val="0"/>
          <w:divBdr>
            <w:top w:val="single" w:sz="2" w:space="0" w:color="4E4E4E"/>
            <w:left w:val="single" w:sz="2" w:space="0" w:color="4E4E4E"/>
            <w:bottom w:val="single" w:sz="2" w:space="0" w:color="4E4E4E"/>
            <w:right w:val="single" w:sz="2" w:space="0" w:color="4E4E4E"/>
          </w:divBdr>
          <w:divsChild>
            <w:div w:id="380515176">
              <w:marLeft w:val="0"/>
              <w:marRight w:val="0"/>
              <w:marTop w:val="0"/>
              <w:marBottom w:val="0"/>
              <w:divBdr>
                <w:top w:val="single" w:sz="2" w:space="0" w:color="4E4E4E"/>
                <w:left w:val="single" w:sz="2" w:space="0" w:color="4E4E4E"/>
                <w:bottom w:val="single" w:sz="2" w:space="0" w:color="4E4E4E"/>
                <w:right w:val="single" w:sz="2" w:space="0" w:color="4E4E4E"/>
              </w:divBdr>
              <w:divsChild>
                <w:div w:id="910165290">
                  <w:marLeft w:val="0"/>
                  <w:marRight w:val="0"/>
                  <w:marTop w:val="0"/>
                  <w:marBottom w:val="0"/>
                  <w:divBdr>
                    <w:top w:val="single" w:sz="2" w:space="0" w:color="4E4E4E"/>
                    <w:left w:val="single" w:sz="2" w:space="0" w:color="4E4E4E"/>
                    <w:bottom w:val="single" w:sz="2" w:space="0" w:color="4E4E4E"/>
                    <w:right w:val="single" w:sz="2" w:space="0" w:color="4E4E4E"/>
                  </w:divBdr>
                  <w:divsChild>
                    <w:div w:id="259487427">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 w:id="967777634">
      <w:bodyDiv w:val="1"/>
      <w:marLeft w:val="0"/>
      <w:marRight w:val="0"/>
      <w:marTop w:val="0"/>
      <w:marBottom w:val="0"/>
      <w:divBdr>
        <w:top w:val="none" w:sz="0" w:space="0" w:color="auto"/>
        <w:left w:val="none" w:sz="0" w:space="0" w:color="auto"/>
        <w:bottom w:val="none" w:sz="0" w:space="0" w:color="auto"/>
        <w:right w:val="none" w:sz="0" w:space="0" w:color="auto"/>
      </w:divBdr>
    </w:div>
    <w:div w:id="1546139031">
      <w:bodyDiv w:val="1"/>
      <w:marLeft w:val="0"/>
      <w:marRight w:val="0"/>
      <w:marTop w:val="0"/>
      <w:marBottom w:val="0"/>
      <w:divBdr>
        <w:top w:val="none" w:sz="0" w:space="0" w:color="auto"/>
        <w:left w:val="none" w:sz="0" w:space="0" w:color="auto"/>
        <w:bottom w:val="none" w:sz="0" w:space="0" w:color="auto"/>
        <w:right w:val="none" w:sz="0" w:space="0" w:color="auto"/>
      </w:divBdr>
    </w:div>
    <w:div w:id="1932423814">
      <w:bodyDiv w:val="1"/>
      <w:marLeft w:val="0"/>
      <w:marRight w:val="0"/>
      <w:marTop w:val="0"/>
      <w:marBottom w:val="0"/>
      <w:divBdr>
        <w:top w:val="none" w:sz="0" w:space="0" w:color="auto"/>
        <w:left w:val="none" w:sz="0" w:space="0" w:color="auto"/>
        <w:bottom w:val="none" w:sz="0" w:space="0" w:color="auto"/>
        <w:right w:val="none" w:sz="0" w:space="0" w:color="auto"/>
      </w:divBdr>
      <w:divsChild>
        <w:div w:id="563569420">
          <w:marLeft w:val="0"/>
          <w:marRight w:val="0"/>
          <w:marTop w:val="0"/>
          <w:marBottom w:val="0"/>
          <w:divBdr>
            <w:top w:val="single" w:sz="2" w:space="0" w:color="4E4E4E"/>
            <w:left w:val="single" w:sz="2" w:space="0" w:color="4E4E4E"/>
            <w:bottom w:val="single" w:sz="2" w:space="0" w:color="4E4E4E"/>
            <w:right w:val="single" w:sz="2" w:space="0" w:color="4E4E4E"/>
          </w:divBdr>
          <w:divsChild>
            <w:div w:id="1451048531">
              <w:marLeft w:val="0"/>
              <w:marRight w:val="0"/>
              <w:marTop w:val="0"/>
              <w:marBottom w:val="0"/>
              <w:divBdr>
                <w:top w:val="single" w:sz="2" w:space="0" w:color="4E4E4E"/>
                <w:left w:val="single" w:sz="2" w:space="0" w:color="4E4E4E"/>
                <w:bottom w:val="single" w:sz="2" w:space="0" w:color="4E4E4E"/>
                <w:right w:val="single" w:sz="2" w:space="0" w:color="4E4E4E"/>
              </w:divBdr>
              <w:divsChild>
                <w:div w:id="492766003">
                  <w:marLeft w:val="0"/>
                  <w:marRight w:val="0"/>
                  <w:marTop w:val="0"/>
                  <w:marBottom w:val="0"/>
                  <w:divBdr>
                    <w:top w:val="single" w:sz="2" w:space="0" w:color="4E4E4E"/>
                    <w:left w:val="single" w:sz="2" w:space="0" w:color="4E4E4E"/>
                    <w:bottom w:val="single" w:sz="2" w:space="0" w:color="4E4E4E"/>
                    <w:right w:val="single" w:sz="2" w:space="0" w:color="4E4E4E"/>
                  </w:divBdr>
                  <w:divsChild>
                    <w:div w:id="247736987">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3241</ap:Words>
  <ap:Characters>17827</ap:Characters>
  <ap:DocSecurity>0</ap:DocSecurity>
  <ap:Lines>148</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2024-08-08T05:40:00.0000000Z</lastPrinted>
  <dcterms:created xsi:type="dcterms:W3CDTF">2026-09-04T13:25:00.0000000Z</dcterms:created>
  <dcterms:modified xsi:type="dcterms:W3CDTF">2026-09-04T13:25:00.0000000Z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2026-08-20T10:04:14Z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aaca9105-0401-45e6-89ee-cbc42b045266</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ies>
</file>