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61E61" w:rsidR="131E4B03" w:rsidP="001E3F00" w:rsidRDefault="56651732" w14:paraId="2C291DA4" w14:textId="7A873C4D">
      <w:pPr>
        <w:pStyle w:val="Kop2"/>
        <w:spacing w:before="0" w:line="240" w:lineRule="atLeast"/>
        <w:rPr>
          <w:rFonts w:ascii="Verdana" w:hAnsi="Verdana" w:eastAsia="Verdana" w:cs="Verdana"/>
          <w:color w:val="4471C4"/>
          <w:sz w:val="24"/>
          <w:szCs w:val="24"/>
        </w:rPr>
      </w:pPr>
      <w:bookmarkStart w:name="_Hlk190874508" w:id="0"/>
      <w:bookmarkEnd w:id="0"/>
      <w:r w:rsidRPr="00A61E61">
        <w:rPr>
          <w:rFonts w:ascii="Verdana" w:hAnsi="Verdana" w:eastAsia="Verdana" w:cs="Verdana"/>
          <w:color w:val="4471C4"/>
          <w:sz w:val="24"/>
          <w:szCs w:val="24"/>
        </w:rPr>
        <w:t xml:space="preserve">Geannoteerde agenda Eurogroep en </w:t>
      </w:r>
      <w:r w:rsidR="00151E94">
        <w:rPr>
          <w:rFonts w:ascii="Verdana" w:hAnsi="Verdana" w:eastAsia="Verdana" w:cs="Verdana"/>
          <w:color w:val="4471C4"/>
          <w:sz w:val="24"/>
          <w:szCs w:val="24"/>
        </w:rPr>
        <w:t xml:space="preserve">informele </w:t>
      </w:r>
      <w:r w:rsidRPr="00A61E61">
        <w:rPr>
          <w:rFonts w:ascii="Verdana" w:hAnsi="Verdana" w:eastAsia="Verdana" w:cs="Verdana"/>
          <w:color w:val="4471C4"/>
          <w:sz w:val="24"/>
          <w:szCs w:val="24"/>
        </w:rPr>
        <w:t xml:space="preserve">Ecofinraad </w:t>
      </w:r>
      <w:r w:rsidR="00151E94">
        <w:rPr>
          <w:rFonts w:ascii="Verdana" w:hAnsi="Verdana" w:eastAsia="Verdana" w:cs="Verdana"/>
          <w:color w:val="4471C4"/>
          <w:sz w:val="24"/>
          <w:szCs w:val="24"/>
        </w:rPr>
        <w:t xml:space="preserve">18 en 19 september </w:t>
      </w:r>
      <w:r w:rsidRPr="00A61E61">
        <w:rPr>
          <w:rFonts w:ascii="Verdana" w:hAnsi="Verdana" w:eastAsia="Verdana" w:cs="Verdana"/>
          <w:color w:val="4471C4"/>
          <w:sz w:val="24"/>
          <w:szCs w:val="24"/>
        </w:rPr>
        <w:t>2026</w:t>
      </w:r>
    </w:p>
    <w:p w:rsidR="006C3DEE" w:rsidP="001E3F00" w:rsidRDefault="006C3DEE" w14:paraId="765BE2C2" w14:textId="77777777">
      <w:pPr>
        <w:spacing w:after="0" w:line="240" w:lineRule="atLeast"/>
        <w:rPr>
          <w:rFonts w:ascii="Verdana" w:hAnsi="Verdana"/>
          <w:sz w:val="24"/>
          <w:szCs w:val="24"/>
        </w:rPr>
      </w:pPr>
    </w:p>
    <w:p w:rsidRPr="00B01F7C" w:rsidR="006C3DEE" w:rsidP="001E3F00" w:rsidRDefault="520BECAD" w14:paraId="1C875FC5" w14:textId="7AA2E6A5">
      <w:pPr>
        <w:spacing w:after="0" w:line="240" w:lineRule="atLeast"/>
        <w:rPr>
          <w:rFonts w:ascii="Verdana" w:hAnsi="Verdana"/>
          <w:sz w:val="24"/>
          <w:szCs w:val="24"/>
        </w:rPr>
      </w:pPr>
      <w:r w:rsidRPr="00A61E61">
        <w:rPr>
          <w:rFonts w:ascii="Verdana" w:hAnsi="Verdana" w:eastAsia="Verdana" w:cs="Verdana"/>
          <w:color w:val="4471C4"/>
          <w:sz w:val="24"/>
          <w:szCs w:val="24"/>
        </w:rPr>
        <w:t>Eurogroep</w:t>
      </w:r>
      <w:r w:rsidR="00B465BF">
        <w:rPr>
          <w:rFonts w:ascii="Verdana" w:hAnsi="Verdana" w:eastAsia="Verdana" w:cs="Verdana"/>
          <w:color w:val="4471C4"/>
          <w:sz w:val="24"/>
          <w:szCs w:val="24"/>
        </w:rPr>
        <w:t xml:space="preserve"> i</w:t>
      </w:r>
      <w:r w:rsidRPr="00B10B31" w:rsidR="00B465BF">
        <w:rPr>
          <w:rFonts w:ascii="Verdana" w:hAnsi="Verdana" w:eastAsia="Verdana" w:cs="Verdana"/>
          <w:color w:val="4471C4"/>
          <w:sz w:val="24"/>
          <w:szCs w:val="24"/>
        </w:rPr>
        <w:t xml:space="preserve">n </w:t>
      </w:r>
      <w:proofErr w:type="spellStart"/>
      <w:r w:rsidRPr="00B10B31" w:rsidR="00B465BF">
        <w:rPr>
          <w:rFonts w:ascii="Verdana" w:hAnsi="Verdana" w:eastAsia="Verdana" w:cs="Verdana"/>
          <w:color w:val="4471C4"/>
          <w:sz w:val="24"/>
          <w:szCs w:val="24"/>
        </w:rPr>
        <w:t>inclusive</w:t>
      </w:r>
      <w:proofErr w:type="spellEnd"/>
      <w:r w:rsidRPr="00B10B31" w:rsidR="00B465BF">
        <w:rPr>
          <w:rFonts w:ascii="Verdana" w:hAnsi="Verdana" w:eastAsia="Verdana" w:cs="Verdana"/>
          <w:color w:val="4471C4"/>
          <w:sz w:val="24"/>
          <w:szCs w:val="24"/>
        </w:rPr>
        <w:t xml:space="preserve"> </w:t>
      </w:r>
      <w:r w:rsidR="00B465BF">
        <w:rPr>
          <w:rFonts w:ascii="Verdana" w:hAnsi="Verdana" w:eastAsia="Verdana" w:cs="Verdana"/>
          <w:color w:val="4471C4"/>
          <w:sz w:val="24"/>
          <w:szCs w:val="24"/>
        </w:rPr>
        <w:t>format</w:t>
      </w:r>
    </w:p>
    <w:p w:rsidRPr="00426318" w:rsidR="00C00F7E" w:rsidP="001E3F00" w:rsidRDefault="00C00F7E" w14:paraId="7A9774F5" w14:textId="77777777">
      <w:pPr>
        <w:spacing w:after="0" w:line="240" w:lineRule="atLeast"/>
        <w:rPr>
          <w:rFonts w:ascii="Verdana" w:hAnsi="Verdana"/>
          <w:bCs/>
          <w:sz w:val="18"/>
          <w:szCs w:val="18"/>
        </w:rPr>
      </w:pPr>
      <w:r w:rsidRPr="00426318">
        <w:rPr>
          <w:rFonts w:ascii="Verdana" w:hAnsi="Verdana"/>
          <w:b/>
          <w:bCs/>
          <w:sz w:val="18"/>
          <w:szCs w:val="18"/>
        </w:rPr>
        <w:t>Agendaonderwerp</w:t>
      </w:r>
      <w:r w:rsidRPr="00426318">
        <w:rPr>
          <w:rFonts w:ascii="Verdana" w:hAnsi="Verdana"/>
          <w:bCs/>
          <w:sz w:val="18"/>
          <w:szCs w:val="18"/>
        </w:rPr>
        <w:t>: Recente economische ontwikkelingen</w:t>
      </w:r>
    </w:p>
    <w:p w:rsidRPr="00426318" w:rsidR="00C00F7E" w:rsidP="001E3F00" w:rsidRDefault="00C00F7E" w14:paraId="1F6ED211" w14:textId="77777777">
      <w:pPr>
        <w:pStyle w:val="Plattetekst"/>
        <w:spacing w:after="0" w:line="240" w:lineRule="atLeast"/>
        <w:rPr>
          <w:rFonts w:ascii="Verdana" w:hAnsi="Verdana" w:cs="Arial"/>
          <w:sz w:val="18"/>
          <w:szCs w:val="18"/>
        </w:rPr>
      </w:pPr>
      <w:r w:rsidRPr="00426318">
        <w:rPr>
          <w:rFonts w:ascii="Verdana" w:hAnsi="Verdana" w:cs="Arial"/>
          <w:b/>
          <w:bCs/>
          <w:sz w:val="18"/>
          <w:szCs w:val="18"/>
        </w:rPr>
        <w:t xml:space="preserve">Document: </w:t>
      </w:r>
      <w:r w:rsidRPr="00426318">
        <w:rPr>
          <w:rFonts w:ascii="Verdana" w:hAnsi="Verdana" w:cs="Arial"/>
          <w:bCs/>
          <w:sz w:val="18"/>
          <w:szCs w:val="18"/>
        </w:rPr>
        <w:t>N.v.t.</w:t>
      </w:r>
    </w:p>
    <w:p w:rsidRPr="00426318" w:rsidR="00C00F7E" w:rsidP="001E3F00" w:rsidRDefault="00C00F7E" w14:paraId="797DA1C6" w14:textId="77777777">
      <w:pPr>
        <w:pStyle w:val="Plattetekst"/>
        <w:spacing w:after="0" w:line="240" w:lineRule="atLeast"/>
        <w:rPr>
          <w:rFonts w:ascii="Verdana" w:hAnsi="Verdana" w:cs="Arial"/>
          <w:sz w:val="18"/>
          <w:szCs w:val="18"/>
        </w:rPr>
      </w:pPr>
      <w:r w:rsidRPr="00426318">
        <w:rPr>
          <w:rFonts w:ascii="Verdana" w:hAnsi="Verdana" w:cs="Arial"/>
          <w:b/>
          <w:bCs/>
          <w:sz w:val="18"/>
          <w:szCs w:val="18"/>
        </w:rPr>
        <w:t xml:space="preserve">Aard bespreking: </w:t>
      </w:r>
      <w:r w:rsidRPr="00426318">
        <w:rPr>
          <w:rFonts w:ascii="Verdana" w:hAnsi="Verdana" w:cs="Arial"/>
          <w:bCs/>
          <w:sz w:val="18"/>
          <w:szCs w:val="18"/>
        </w:rPr>
        <w:t>Gedachtewisseling</w:t>
      </w:r>
    </w:p>
    <w:p w:rsidRPr="00426318" w:rsidR="00C00F7E" w:rsidP="001E3F00" w:rsidRDefault="00C00F7E" w14:paraId="63B433B2" w14:textId="77777777">
      <w:pPr>
        <w:pStyle w:val="Plattetekst"/>
        <w:spacing w:after="0" w:line="240" w:lineRule="atLeast"/>
        <w:rPr>
          <w:rFonts w:ascii="Verdana" w:hAnsi="Verdana" w:cs="Arial"/>
          <w:bCs/>
          <w:sz w:val="18"/>
          <w:szCs w:val="18"/>
        </w:rPr>
      </w:pPr>
      <w:r w:rsidRPr="00426318">
        <w:rPr>
          <w:rFonts w:ascii="Verdana" w:hAnsi="Verdana" w:cs="Arial"/>
          <w:b/>
          <w:bCs/>
          <w:sz w:val="18"/>
          <w:szCs w:val="18"/>
        </w:rPr>
        <w:t xml:space="preserve">Besluitvormingsprocedure: </w:t>
      </w:r>
      <w:r w:rsidRPr="00426318">
        <w:rPr>
          <w:rFonts w:ascii="Verdana" w:hAnsi="Verdana" w:cs="Arial"/>
          <w:bCs/>
          <w:sz w:val="18"/>
          <w:szCs w:val="18"/>
        </w:rPr>
        <w:t>N.v.t.</w:t>
      </w:r>
    </w:p>
    <w:p w:rsidRPr="00426318" w:rsidR="00C00F7E" w:rsidP="001E3F00" w:rsidRDefault="00C00F7E" w14:paraId="13301CCB" w14:textId="77777777">
      <w:pPr>
        <w:pStyle w:val="Plattetekst"/>
        <w:spacing w:after="0" w:line="240" w:lineRule="atLeast"/>
        <w:rPr>
          <w:rFonts w:ascii="Verdana" w:hAnsi="Verdana"/>
          <w:bCs/>
          <w:sz w:val="18"/>
          <w:szCs w:val="18"/>
        </w:rPr>
      </w:pPr>
      <w:r w:rsidRPr="00426318">
        <w:rPr>
          <w:rFonts w:ascii="Verdana" w:hAnsi="Verdana" w:eastAsia="Calibri" w:cs="Arial"/>
          <w:b/>
          <w:bCs/>
          <w:sz w:val="18"/>
          <w:szCs w:val="18"/>
        </w:rPr>
        <w:t>Toelichting:</w:t>
      </w:r>
    </w:p>
    <w:p w:rsidR="00C00F7E" w:rsidP="001E3F00" w:rsidRDefault="00C00F7E" w14:paraId="58E2C5DA" w14:textId="7F70DF60">
      <w:pPr>
        <w:spacing w:after="0" w:line="240" w:lineRule="atLeast"/>
        <w:rPr>
          <w:rFonts w:ascii="Verdana" w:hAnsi="Verdana"/>
          <w:sz w:val="18"/>
          <w:szCs w:val="18"/>
        </w:rPr>
      </w:pPr>
      <w:r w:rsidRPr="00426318">
        <w:rPr>
          <w:rFonts w:ascii="Verdana" w:hAnsi="Verdana"/>
          <w:sz w:val="18"/>
          <w:szCs w:val="18"/>
        </w:rPr>
        <w:t xml:space="preserve">De </w:t>
      </w:r>
      <w:r w:rsidR="001E3F00">
        <w:rPr>
          <w:rFonts w:ascii="Verdana" w:hAnsi="Verdana"/>
          <w:sz w:val="18"/>
          <w:szCs w:val="18"/>
        </w:rPr>
        <w:t xml:space="preserve">Eurogroep </w:t>
      </w:r>
      <w:r w:rsidRPr="00426318">
        <w:rPr>
          <w:rFonts w:ascii="Verdana" w:hAnsi="Verdana"/>
          <w:sz w:val="18"/>
          <w:szCs w:val="18"/>
        </w:rPr>
        <w:t xml:space="preserve">zal </w:t>
      </w:r>
      <w:r w:rsidR="001E3F00">
        <w:rPr>
          <w:rFonts w:ascii="Verdana" w:hAnsi="Verdana"/>
          <w:sz w:val="18"/>
          <w:szCs w:val="18"/>
        </w:rPr>
        <w:t>van gedachte</w:t>
      </w:r>
      <w:r w:rsidR="0078462E">
        <w:rPr>
          <w:rFonts w:ascii="Verdana" w:hAnsi="Verdana"/>
          <w:sz w:val="18"/>
          <w:szCs w:val="18"/>
        </w:rPr>
        <w:t>n</w:t>
      </w:r>
      <w:r w:rsidR="001E3F00">
        <w:rPr>
          <w:rFonts w:ascii="Verdana" w:hAnsi="Verdana"/>
          <w:sz w:val="18"/>
          <w:szCs w:val="18"/>
        </w:rPr>
        <w:t xml:space="preserve"> wisselen over recente economische ontwikkelingen en </w:t>
      </w:r>
      <w:r w:rsidRPr="00426318">
        <w:rPr>
          <w:rFonts w:ascii="Verdana" w:hAnsi="Verdana"/>
          <w:sz w:val="18"/>
          <w:szCs w:val="18"/>
        </w:rPr>
        <w:t>zich waarschijnlijk richten op de economische gevolgen van de onrust in het Midden-Oosten. Olie- en gasprijzen zijn (verder) opgelopen als gevolg van het uitblijven van perspectief op een verbetering van de situatie in het Midden-Oosten. De inflatie (HICP) in de eurozone steeg licht naar 2,9% in juli</w:t>
      </w:r>
      <w:r w:rsidR="00B74F4F">
        <w:rPr>
          <w:rFonts w:ascii="Verdana" w:hAnsi="Verdana"/>
          <w:sz w:val="18"/>
          <w:szCs w:val="18"/>
        </w:rPr>
        <w:t xml:space="preserve"> en werd</w:t>
      </w:r>
      <w:r w:rsidRPr="00426318">
        <w:rPr>
          <w:rFonts w:ascii="Verdana" w:hAnsi="Verdana"/>
          <w:sz w:val="18"/>
          <w:szCs w:val="18"/>
        </w:rPr>
        <w:t xml:space="preserve"> vooral gedreven door een stijging van de energieprijzen. Ook zijn rentes op langlopende staatsobligaties opgelopen naar niveaus die sinds de eurocrisis niet zijn gezien. Financiële markten krijgen een stijgend aanbod van schuldpapier te verwerken, als gevolg van hoge begrotingstekorten en omvangrijke AI-gerelateerde investeringen. Hieraan gerelateerd nemen zorgen van financiële markten over de hoogte van schuldniveaus toe. Hoge renteniveaus verhogen de rentekosten van de overheid, wat het lastig maakt om begrotingstekorten terug te dringen en/of de begrotingsruimte voor andere uitgaven vermindert. </w:t>
      </w:r>
    </w:p>
    <w:p w:rsidRPr="00426318" w:rsidR="001E3F00" w:rsidP="001E3F00" w:rsidRDefault="001E3F00" w14:paraId="03332B1B" w14:textId="77777777">
      <w:pPr>
        <w:spacing w:after="0" w:line="240" w:lineRule="atLeast"/>
        <w:rPr>
          <w:rFonts w:ascii="Verdana" w:hAnsi="Verdana"/>
          <w:sz w:val="18"/>
          <w:szCs w:val="18"/>
        </w:rPr>
      </w:pPr>
    </w:p>
    <w:p w:rsidR="7AAA6FEB" w:rsidP="001E3F00" w:rsidRDefault="00C00F7E" w14:paraId="105706A0" w14:textId="0ECD307D">
      <w:pPr>
        <w:spacing w:after="0" w:line="240" w:lineRule="atLeast"/>
        <w:rPr>
          <w:rFonts w:ascii="Verdana" w:hAnsi="Verdana"/>
          <w:sz w:val="18"/>
          <w:szCs w:val="18"/>
        </w:rPr>
      </w:pPr>
      <w:r w:rsidRPr="00426318">
        <w:rPr>
          <w:rFonts w:ascii="Verdana" w:hAnsi="Verdana"/>
          <w:sz w:val="18"/>
          <w:szCs w:val="18"/>
        </w:rPr>
        <w:t>Het kabinet blijft aandacht houden voor de houdbaarheid van overheidsfinanciën en benadrukt het belang van het terugdringen van hoge begrotingstekorten en oplopende publieke schuldniveaus. Ook vindt het kabinet het van belang dat lidstaten hervormingen doorvoeren om hun duurzame groeipotentieel te verhogen.</w:t>
      </w:r>
    </w:p>
    <w:p w:rsidRPr="00A61E61" w:rsidR="00151E94" w:rsidP="001E3F00" w:rsidRDefault="00151E94" w14:paraId="2A295994" w14:textId="77777777">
      <w:pPr>
        <w:spacing w:after="0" w:line="240" w:lineRule="atLeast"/>
        <w:rPr>
          <w:rFonts w:ascii="Verdana" w:hAnsi="Verdana"/>
          <w:sz w:val="18"/>
          <w:szCs w:val="18"/>
        </w:rPr>
      </w:pPr>
    </w:p>
    <w:p w:rsidRPr="003F64AB" w:rsidR="00BB7EB6" w:rsidP="001E3F00" w:rsidRDefault="00BB7EB6" w14:paraId="27EAEE22" w14:textId="77777777">
      <w:pPr>
        <w:spacing w:after="0" w:line="240" w:lineRule="atLeast"/>
        <w:rPr>
          <w:rFonts w:ascii="Verdana" w:hAnsi="Verdana"/>
          <w:b/>
          <w:bCs/>
          <w:sz w:val="18"/>
          <w:szCs w:val="18"/>
        </w:rPr>
      </w:pPr>
      <w:r>
        <w:rPr>
          <w:rFonts w:ascii="Verdana" w:hAnsi="Verdana"/>
          <w:b/>
          <w:bCs/>
          <w:sz w:val="18"/>
          <w:szCs w:val="18"/>
        </w:rPr>
        <w:t xml:space="preserve">Agendaonderwerp: </w:t>
      </w:r>
      <w:r w:rsidRPr="003F64AB">
        <w:rPr>
          <w:rFonts w:ascii="Verdana" w:hAnsi="Verdana"/>
          <w:sz w:val="18"/>
          <w:szCs w:val="18"/>
        </w:rPr>
        <w:t>Arbeidsproductiviteit en economische groei in de eurozone</w:t>
      </w:r>
    </w:p>
    <w:p w:rsidRPr="008C4F88" w:rsidR="00BB7EB6" w:rsidP="001E3F00" w:rsidRDefault="00BB7EB6" w14:paraId="7ABE47AB" w14:textId="77777777">
      <w:pPr>
        <w:spacing w:after="0" w:line="240" w:lineRule="atLeast"/>
        <w:rPr>
          <w:rFonts w:ascii="Verdana" w:hAnsi="Verdana" w:cs="Arial"/>
          <w:sz w:val="18"/>
          <w:szCs w:val="18"/>
        </w:rPr>
      </w:pPr>
      <w:r w:rsidRPr="008C4F88">
        <w:rPr>
          <w:rFonts w:ascii="Verdana" w:hAnsi="Verdana" w:cs="Arial"/>
          <w:b/>
          <w:bCs/>
          <w:sz w:val="18"/>
          <w:szCs w:val="18"/>
        </w:rPr>
        <w:t xml:space="preserve">Document: </w:t>
      </w:r>
      <w:r>
        <w:rPr>
          <w:rFonts w:ascii="Verdana" w:hAnsi="Verdana" w:cs="Arial"/>
          <w:bCs/>
          <w:sz w:val="18"/>
          <w:szCs w:val="18"/>
        </w:rPr>
        <w:t>N</w:t>
      </w:r>
      <w:r w:rsidRPr="008C4F88">
        <w:rPr>
          <w:rFonts w:ascii="Verdana" w:hAnsi="Verdana" w:cs="Arial"/>
          <w:bCs/>
          <w:sz w:val="18"/>
          <w:szCs w:val="18"/>
        </w:rPr>
        <w:t>.v.t.</w:t>
      </w:r>
    </w:p>
    <w:p w:rsidRPr="008C4F88" w:rsidR="00BB7EB6" w:rsidP="001E3F00" w:rsidRDefault="00BB7EB6" w14:paraId="70D06999" w14:textId="77777777">
      <w:pPr>
        <w:spacing w:after="0" w:line="240" w:lineRule="atLeast"/>
        <w:rPr>
          <w:rFonts w:ascii="Verdana" w:hAnsi="Verdana" w:cs="Arial"/>
          <w:sz w:val="18"/>
          <w:szCs w:val="18"/>
        </w:rPr>
      </w:pPr>
      <w:r w:rsidRPr="008C4F88">
        <w:rPr>
          <w:rFonts w:ascii="Verdana" w:hAnsi="Verdana" w:cs="Arial"/>
          <w:b/>
          <w:bCs/>
          <w:sz w:val="18"/>
          <w:szCs w:val="18"/>
        </w:rPr>
        <w:t xml:space="preserve">Aard bespreking: </w:t>
      </w:r>
      <w:r>
        <w:rPr>
          <w:rFonts w:ascii="Verdana" w:hAnsi="Verdana" w:cs="Arial"/>
          <w:bCs/>
          <w:sz w:val="18"/>
          <w:szCs w:val="18"/>
        </w:rPr>
        <w:t>Gedachtewisseling</w:t>
      </w:r>
    </w:p>
    <w:p w:rsidRPr="008C4F88" w:rsidR="00BB7EB6" w:rsidP="001E3F00" w:rsidRDefault="00BB7EB6" w14:paraId="067003CD" w14:textId="77777777">
      <w:pPr>
        <w:spacing w:after="0" w:line="240" w:lineRule="atLeast"/>
        <w:rPr>
          <w:rFonts w:ascii="Verdana" w:hAnsi="Verdana" w:cs="Arial"/>
          <w:bCs/>
          <w:sz w:val="18"/>
          <w:szCs w:val="18"/>
        </w:rPr>
      </w:pPr>
      <w:r w:rsidRPr="008C4F88">
        <w:rPr>
          <w:rFonts w:ascii="Verdana" w:hAnsi="Verdana" w:cs="Arial"/>
          <w:b/>
          <w:bCs/>
          <w:sz w:val="18"/>
          <w:szCs w:val="18"/>
        </w:rPr>
        <w:t xml:space="preserve">Besluitvormingsprocedure: </w:t>
      </w:r>
      <w:r>
        <w:rPr>
          <w:rFonts w:ascii="Verdana" w:hAnsi="Verdana" w:cs="Arial"/>
          <w:bCs/>
          <w:sz w:val="18"/>
          <w:szCs w:val="18"/>
        </w:rPr>
        <w:t>N</w:t>
      </w:r>
      <w:r w:rsidRPr="008C4F88">
        <w:rPr>
          <w:rFonts w:ascii="Verdana" w:hAnsi="Verdana" w:cs="Arial"/>
          <w:bCs/>
          <w:sz w:val="18"/>
          <w:szCs w:val="18"/>
        </w:rPr>
        <w:t>.v.t.</w:t>
      </w:r>
    </w:p>
    <w:p w:rsidRPr="008C4F88" w:rsidR="00BB7EB6" w:rsidP="001E3F00" w:rsidRDefault="00BB7EB6" w14:paraId="124E94A2" w14:textId="77777777">
      <w:pPr>
        <w:spacing w:after="0" w:line="240" w:lineRule="atLeast"/>
        <w:rPr>
          <w:rFonts w:ascii="Verdana" w:hAnsi="Verdana"/>
          <w:bCs/>
          <w:sz w:val="18"/>
          <w:szCs w:val="18"/>
        </w:rPr>
      </w:pPr>
      <w:r w:rsidRPr="008C4F88">
        <w:rPr>
          <w:rFonts w:ascii="Verdana" w:hAnsi="Verdana" w:eastAsia="Calibri" w:cs="Arial"/>
          <w:b/>
          <w:bCs/>
          <w:sz w:val="18"/>
          <w:szCs w:val="18"/>
        </w:rPr>
        <w:t>Toelichting:</w:t>
      </w:r>
    </w:p>
    <w:p w:rsidRPr="003F64AB" w:rsidR="00BB7EB6" w:rsidP="001E3F00" w:rsidRDefault="00BB7EB6" w14:paraId="6BA8D76D" w14:textId="5C2FCA59">
      <w:pPr>
        <w:spacing w:after="0" w:line="240" w:lineRule="atLeast"/>
        <w:rPr>
          <w:rFonts w:ascii="Verdana" w:hAnsi="Verdana" w:eastAsia="Calibri" w:cs="Times New Roman"/>
          <w:sz w:val="18"/>
          <w:szCs w:val="18"/>
        </w:rPr>
      </w:pPr>
      <w:r w:rsidRPr="003F64AB">
        <w:rPr>
          <w:rFonts w:ascii="Verdana" w:hAnsi="Verdana" w:eastAsia="Calibri" w:cs="Times New Roman"/>
          <w:sz w:val="18"/>
          <w:szCs w:val="18"/>
        </w:rPr>
        <w:t>De Eurogroep zal van gedachten wisselen over de productiviteitsontwikkeling en economische groei in de eurozone. In de meest recente raming van de Europese Commissie (Lenteraming van 22 mei jl.</w:t>
      </w:r>
      <w:r w:rsidRPr="002A06E9">
        <w:rPr>
          <w:rFonts w:ascii="Verdana" w:hAnsi="Verdana" w:eastAsia="Calibri" w:cs="Times New Roman"/>
          <w:sz w:val="18"/>
          <w:szCs w:val="18"/>
          <w:vertAlign w:val="superscript"/>
        </w:rPr>
        <w:footnoteReference w:id="2"/>
      </w:r>
      <w:r w:rsidRPr="003F64AB">
        <w:rPr>
          <w:rFonts w:ascii="Verdana" w:hAnsi="Verdana" w:eastAsia="Calibri" w:cs="Times New Roman"/>
          <w:sz w:val="18"/>
          <w:szCs w:val="18"/>
        </w:rPr>
        <w:t>) voorziet de Commissie een economische groei in de eurozone van 0,9% bbp in 2026 en 1,2% bbp in 2027. De Commissie wijst daarbij op neerwaartse risico’s door geopolitieke onzekerheid en scenario’s waardoor energieprijzen verder kunnen stijgen, economische groei beperkter kan zijn en begrotingstekorten kunnen oplopen.</w:t>
      </w:r>
    </w:p>
    <w:p w:rsidRPr="003F64AB" w:rsidR="00BB7EB6" w:rsidP="001E3F00" w:rsidRDefault="00BB7EB6" w14:paraId="475D62DD" w14:textId="77777777">
      <w:pPr>
        <w:spacing w:after="0" w:line="240" w:lineRule="atLeast"/>
        <w:rPr>
          <w:rFonts w:ascii="Verdana" w:hAnsi="Verdana" w:eastAsia="Calibri" w:cs="Times New Roman"/>
          <w:sz w:val="18"/>
          <w:szCs w:val="18"/>
        </w:rPr>
      </w:pPr>
    </w:p>
    <w:p w:rsidRPr="003F64AB" w:rsidR="00BB7EB6" w:rsidP="001E3F00" w:rsidRDefault="00BB7EB6" w14:paraId="64A69246" w14:textId="77777777">
      <w:pPr>
        <w:spacing w:after="0" w:line="240" w:lineRule="atLeast"/>
        <w:rPr>
          <w:rFonts w:ascii="Verdana" w:hAnsi="Verdana" w:eastAsia="Calibri" w:cs="Times New Roman"/>
          <w:sz w:val="18"/>
          <w:szCs w:val="18"/>
        </w:rPr>
      </w:pPr>
      <w:r w:rsidRPr="003F64AB">
        <w:rPr>
          <w:rFonts w:ascii="Verdana" w:hAnsi="Verdana" w:eastAsia="Calibri" w:cs="Times New Roman"/>
          <w:sz w:val="18"/>
          <w:szCs w:val="18"/>
        </w:rPr>
        <w:t>De potentiële economische groei van veel Europese lidstaten is in de afgelopen decennia afgenomen. Daarnaast ziet de OESO dat de recente economische groei in 2026 voornamelijk wordt gedreven door een toename van het arbeidsaanbod, en niet door een stijging van de arbeidsproductiviteit.</w:t>
      </w:r>
      <w:r w:rsidRPr="002A06E9">
        <w:rPr>
          <w:rFonts w:ascii="Verdana" w:hAnsi="Verdana" w:eastAsia="Calibri" w:cs="Times New Roman"/>
          <w:sz w:val="18"/>
          <w:szCs w:val="18"/>
          <w:vertAlign w:val="superscript"/>
        </w:rPr>
        <w:footnoteReference w:id="3"/>
      </w:r>
      <w:r w:rsidRPr="002A06E9">
        <w:rPr>
          <w:rFonts w:ascii="Verdana" w:hAnsi="Verdana" w:eastAsia="Calibri" w:cs="Times New Roman"/>
          <w:sz w:val="18"/>
          <w:szCs w:val="18"/>
          <w:vertAlign w:val="superscript"/>
        </w:rPr>
        <w:t xml:space="preserve"> </w:t>
      </w:r>
      <w:r w:rsidRPr="003F64AB">
        <w:rPr>
          <w:rFonts w:ascii="Verdana" w:hAnsi="Verdana" w:eastAsia="Calibri" w:cs="Times New Roman"/>
          <w:sz w:val="18"/>
          <w:szCs w:val="18"/>
        </w:rPr>
        <w:t>Deze ontwikkeling past in de bredere trend waarin de arbeidsproductiviteitsgroei in Europa achterblijft bij die van andere grote economieën. Het verhogen van de arbeidsproductiviteit is voor Europa zeker ook van belang door de negatieve impact van vergrijzing op de potentiële economische groei. De adoptie van AI biedt kansen om het economische groeipotentieel te verhogen.</w:t>
      </w:r>
    </w:p>
    <w:p w:rsidRPr="003F64AB" w:rsidR="00BB7EB6" w:rsidP="001E3F00" w:rsidRDefault="00BB7EB6" w14:paraId="65466709" w14:textId="77777777">
      <w:pPr>
        <w:spacing w:after="0" w:line="240" w:lineRule="atLeast"/>
        <w:rPr>
          <w:rFonts w:ascii="Verdana" w:hAnsi="Verdana" w:eastAsia="Calibri" w:cs="Times New Roman"/>
          <w:sz w:val="18"/>
          <w:szCs w:val="18"/>
        </w:rPr>
      </w:pPr>
    </w:p>
    <w:p w:rsidRPr="003F64AB" w:rsidR="00BB7EB6" w:rsidP="001E3F00" w:rsidRDefault="00F37A12" w14:paraId="58EBBBC7" w14:textId="6896D3D9">
      <w:pPr>
        <w:spacing w:after="0" w:line="240" w:lineRule="atLeast"/>
        <w:rPr>
          <w:rFonts w:ascii="Verdana" w:hAnsi="Verdana" w:eastAsia="Calibri" w:cs="Times New Roman"/>
          <w:sz w:val="18"/>
          <w:szCs w:val="18"/>
        </w:rPr>
      </w:pPr>
      <w:r>
        <w:rPr>
          <w:rFonts w:ascii="Verdana" w:hAnsi="Verdana" w:eastAsia="Calibri" w:cs="Times New Roman"/>
          <w:sz w:val="18"/>
          <w:szCs w:val="18"/>
        </w:rPr>
        <w:t>Het kabinet</w:t>
      </w:r>
      <w:r w:rsidRPr="003F64AB" w:rsidR="00BB7EB6">
        <w:rPr>
          <w:rFonts w:ascii="Verdana" w:hAnsi="Verdana" w:eastAsia="Calibri" w:cs="Times New Roman"/>
          <w:sz w:val="18"/>
          <w:szCs w:val="18"/>
        </w:rPr>
        <w:t xml:space="preserve"> vindt het belangrijk dat lidstaten structurele hervormingen doorvoeren om hun groeipotentieel te vergroten. Daarnaast heeft </w:t>
      </w:r>
      <w:r>
        <w:rPr>
          <w:rFonts w:ascii="Verdana" w:hAnsi="Verdana" w:eastAsia="Calibri" w:cs="Times New Roman"/>
          <w:sz w:val="18"/>
          <w:szCs w:val="18"/>
        </w:rPr>
        <w:t>het kabinet</w:t>
      </w:r>
      <w:r w:rsidRPr="003F64AB" w:rsidR="00BB7EB6">
        <w:rPr>
          <w:rFonts w:ascii="Verdana" w:hAnsi="Verdana" w:eastAsia="Calibri" w:cs="Times New Roman"/>
          <w:sz w:val="18"/>
          <w:szCs w:val="18"/>
        </w:rPr>
        <w:t xml:space="preserve"> zelf een tweede productiviteitsagenda aangenomen en zet hierbij in op onderwijs, arbeidsmarkt en innovatie.</w:t>
      </w:r>
      <w:r w:rsidRPr="002A06E9" w:rsidR="00BB7EB6">
        <w:rPr>
          <w:rFonts w:ascii="Verdana" w:hAnsi="Verdana" w:eastAsia="Calibri" w:cs="Times New Roman"/>
          <w:sz w:val="18"/>
          <w:szCs w:val="18"/>
          <w:vertAlign w:val="superscript"/>
        </w:rPr>
        <w:footnoteReference w:id="4"/>
      </w:r>
      <w:r w:rsidRPr="003F64AB" w:rsidR="00BB7EB6">
        <w:rPr>
          <w:rFonts w:ascii="Verdana" w:hAnsi="Verdana" w:eastAsia="Calibri" w:cs="Times New Roman"/>
          <w:sz w:val="18"/>
          <w:szCs w:val="18"/>
        </w:rPr>
        <w:t xml:space="preserve"> Binnen de Europese Unie kan het verder verdiepen van de interne markt en de ontwikkeling van de </w:t>
      </w:r>
      <w:proofErr w:type="spellStart"/>
      <w:r w:rsidRPr="003F64AB" w:rsidR="00BB7EB6">
        <w:rPr>
          <w:rFonts w:ascii="Verdana" w:hAnsi="Verdana" w:eastAsia="Calibri" w:cs="Times New Roman"/>
          <w:sz w:val="18"/>
          <w:szCs w:val="18"/>
        </w:rPr>
        <w:t>Savings</w:t>
      </w:r>
      <w:proofErr w:type="spellEnd"/>
      <w:r w:rsidRPr="003F64AB" w:rsidR="00BB7EB6">
        <w:rPr>
          <w:rFonts w:ascii="Verdana" w:hAnsi="Verdana" w:eastAsia="Calibri" w:cs="Times New Roman"/>
          <w:sz w:val="18"/>
          <w:szCs w:val="18"/>
        </w:rPr>
        <w:t xml:space="preserve"> </w:t>
      </w:r>
      <w:proofErr w:type="spellStart"/>
      <w:r w:rsidRPr="003F64AB" w:rsidR="00BB7EB6">
        <w:rPr>
          <w:rFonts w:ascii="Verdana" w:hAnsi="Verdana" w:eastAsia="Calibri" w:cs="Times New Roman"/>
          <w:sz w:val="18"/>
          <w:szCs w:val="18"/>
        </w:rPr>
        <w:t>and</w:t>
      </w:r>
      <w:proofErr w:type="spellEnd"/>
      <w:r w:rsidRPr="003F64AB" w:rsidR="00BB7EB6">
        <w:rPr>
          <w:rFonts w:ascii="Verdana" w:hAnsi="Verdana" w:eastAsia="Calibri" w:cs="Times New Roman"/>
          <w:sz w:val="18"/>
          <w:szCs w:val="18"/>
        </w:rPr>
        <w:t xml:space="preserve"> Investment </w:t>
      </w:r>
      <w:r w:rsidRPr="003F64AB" w:rsidR="00BB7EB6">
        <w:rPr>
          <w:rFonts w:ascii="Verdana" w:hAnsi="Verdana" w:eastAsia="Calibri" w:cs="Times New Roman"/>
          <w:sz w:val="18"/>
          <w:szCs w:val="18"/>
        </w:rPr>
        <w:lastRenderedPageBreak/>
        <w:t xml:space="preserve">Union het eenvoudiger maken voor innovatieve bedrijven om door te groeien op de Europese markt, en zo bijdragen aan hogere productiviteit en potentiële groei. </w:t>
      </w:r>
    </w:p>
    <w:p w:rsidR="006C3DEE" w:rsidP="001E3F00" w:rsidRDefault="006C3DEE" w14:paraId="5B176296" w14:textId="77777777">
      <w:pPr>
        <w:spacing w:after="0" w:line="240" w:lineRule="atLeast"/>
        <w:rPr>
          <w:rFonts w:ascii="Verdana" w:hAnsi="Verdana" w:eastAsia="Verdana" w:cs="Verdana"/>
          <w:color w:val="4471C4"/>
          <w:sz w:val="24"/>
          <w:szCs w:val="24"/>
        </w:rPr>
      </w:pPr>
    </w:p>
    <w:p w:rsidRPr="0043715A" w:rsidR="0043715A" w:rsidP="0043715A" w:rsidRDefault="0043715A" w14:paraId="56AF5018" w14:textId="77777777">
      <w:pPr>
        <w:spacing w:after="0" w:line="240" w:lineRule="atLeast"/>
        <w:rPr>
          <w:rFonts w:ascii="Verdana" w:hAnsi="Verdana" w:eastAsia="Calibri" w:cs="Times New Roman"/>
          <w:sz w:val="18"/>
          <w:szCs w:val="18"/>
        </w:rPr>
      </w:pPr>
      <w:r w:rsidRPr="0043715A">
        <w:rPr>
          <w:rFonts w:ascii="Verdana" w:hAnsi="Verdana" w:eastAsia="Calibri" w:cs="Times New Roman"/>
          <w:b/>
          <w:bCs/>
          <w:sz w:val="18"/>
          <w:szCs w:val="18"/>
        </w:rPr>
        <w:t>Agendaonderwerp</w:t>
      </w:r>
      <w:r w:rsidRPr="0043715A">
        <w:rPr>
          <w:rFonts w:ascii="Verdana" w:hAnsi="Verdana" w:eastAsia="Calibri" w:cs="Times New Roman"/>
          <w:sz w:val="18"/>
          <w:szCs w:val="18"/>
        </w:rPr>
        <w:t xml:space="preserve">: Gedachtewisseling met de voorzitter van de </w:t>
      </w:r>
      <w:proofErr w:type="gramStart"/>
      <w:r w:rsidRPr="0043715A">
        <w:rPr>
          <w:rFonts w:ascii="Verdana" w:hAnsi="Verdana" w:eastAsia="Calibri" w:cs="Times New Roman"/>
          <w:sz w:val="18"/>
          <w:szCs w:val="18"/>
        </w:rPr>
        <w:t>ECON commissie</w:t>
      </w:r>
      <w:proofErr w:type="gramEnd"/>
      <w:r w:rsidRPr="0043715A">
        <w:rPr>
          <w:rFonts w:ascii="Verdana" w:hAnsi="Verdana" w:eastAsia="Calibri" w:cs="Times New Roman"/>
          <w:sz w:val="18"/>
          <w:szCs w:val="18"/>
        </w:rPr>
        <w:t xml:space="preserve"> van het Europees Parlement over o.a. macro-economische ontwikkelingen. </w:t>
      </w:r>
    </w:p>
    <w:p w:rsidRPr="0043715A" w:rsidR="0043715A" w:rsidP="0043715A" w:rsidRDefault="0043715A" w14:paraId="1EA08B40" w14:textId="77777777">
      <w:pPr>
        <w:spacing w:after="0" w:line="240" w:lineRule="atLeast"/>
        <w:rPr>
          <w:rFonts w:ascii="Verdana" w:hAnsi="Verdana" w:eastAsia="Calibri" w:cs="Times New Roman"/>
          <w:sz w:val="18"/>
          <w:szCs w:val="18"/>
        </w:rPr>
      </w:pPr>
      <w:r w:rsidRPr="0043715A">
        <w:rPr>
          <w:rFonts w:ascii="Verdana" w:hAnsi="Verdana" w:eastAsia="Calibri" w:cs="Times New Roman"/>
          <w:b/>
          <w:bCs/>
          <w:sz w:val="18"/>
          <w:szCs w:val="18"/>
        </w:rPr>
        <w:t>Document</w:t>
      </w:r>
      <w:r w:rsidRPr="0043715A">
        <w:rPr>
          <w:rFonts w:ascii="Verdana" w:hAnsi="Verdana" w:eastAsia="Calibri" w:cs="Times New Roman"/>
          <w:sz w:val="18"/>
          <w:szCs w:val="18"/>
        </w:rPr>
        <w:t xml:space="preserve">: N.v.t. </w:t>
      </w:r>
    </w:p>
    <w:p w:rsidRPr="0043715A" w:rsidR="0043715A" w:rsidP="0043715A" w:rsidRDefault="0043715A" w14:paraId="100AEA9F" w14:textId="77777777">
      <w:pPr>
        <w:spacing w:after="0" w:line="240" w:lineRule="atLeast"/>
        <w:rPr>
          <w:rFonts w:ascii="Verdana" w:hAnsi="Verdana" w:eastAsia="Calibri" w:cs="Times New Roman"/>
          <w:sz w:val="18"/>
          <w:szCs w:val="18"/>
        </w:rPr>
      </w:pPr>
      <w:r w:rsidRPr="0043715A">
        <w:rPr>
          <w:rFonts w:ascii="Verdana" w:hAnsi="Verdana" w:eastAsia="Calibri" w:cs="Times New Roman"/>
          <w:b/>
          <w:bCs/>
          <w:sz w:val="18"/>
          <w:szCs w:val="18"/>
        </w:rPr>
        <w:t>Aard bespreking</w:t>
      </w:r>
      <w:r w:rsidRPr="0043715A">
        <w:rPr>
          <w:rFonts w:ascii="Verdana" w:hAnsi="Verdana" w:eastAsia="Calibri" w:cs="Times New Roman"/>
          <w:sz w:val="18"/>
          <w:szCs w:val="18"/>
        </w:rPr>
        <w:t xml:space="preserve">: Gedachtewisseling </w:t>
      </w:r>
    </w:p>
    <w:p w:rsidRPr="0043715A" w:rsidR="0043715A" w:rsidP="0043715A" w:rsidRDefault="0043715A" w14:paraId="0DD79D79" w14:textId="77777777">
      <w:pPr>
        <w:spacing w:after="0" w:line="240" w:lineRule="atLeast"/>
        <w:rPr>
          <w:rFonts w:ascii="Verdana" w:hAnsi="Verdana" w:eastAsia="Calibri" w:cs="Times New Roman"/>
          <w:sz w:val="18"/>
          <w:szCs w:val="18"/>
        </w:rPr>
      </w:pPr>
      <w:r w:rsidRPr="0043715A">
        <w:rPr>
          <w:rFonts w:ascii="Verdana" w:hAnsi="Verdana" w:eastAsia="Calibri" w:cs="Times New Roman"/>
          <w:b/>
          <w:bCs/>
          <w:sz w:val="18"/>
          <w:szCs w:val="18"/>
        </w:rPr>
        <w:t>Besluitvormingsprocedure</w:t>
      </w:r>
      <w:r w:rsidRPr="0043715A">
        <w:rPr>
          <w:rFonts w:ascii="Verdana" w:hAnsi="Verdana" w:eastAsia="Calibri" w:cs="Times New Roman"/>
          <w:sz w:val="18"/>
          <w:szCs w:val="18"/>
        </w:rPr>
        <w:t xml:space="preserve">: N.v.t. </w:t>
      </w:r>
    </w:p>
    <w:p w:rsidRPr="0043715A" w:rsidR="0043715A" w:rsidP="0043715A" w:rsidRDefault="0043715A" w14:paraId="23C0D7EB" w14:textId="77777777">
      <w:pPr>
        <w:spacing w:after="0" w:line="240" w:lineRule="atLeast"/>
        <w:rPr>
          <w:rFonts w:ascii="Verdana" w:hAnsi="Verdana" w:eastAsia="Calibri" w:cs="Times New Roman"/>
          <w:sz w:val="18"/>
          <w:szCs w:val="18"/>
        </w:rPr>
      </w:pPr>
      <w:r w:rsidRPr="0043715A">
        <w:rPr>
          <w:rFonts w:ascii="Verdana" w:hAnsi="Verdana" w:eastAsia="Calibri" w:cs="Times New Roman"/>
          <w:b/>
          <w:bCs/>
          <w:sz w:val="18"/>
          <w:szCs w:val="18"/>
        </w:rPr>
        <w:t>Toelichting</w:t>
      </w:r>
      <w:r w:rsidRPr="0043715A">
        <w:rPr>
          <w:rFonts w:ascii="Verdana" w:hAnsi="Verdana" w:eastAsia="Calibri" w:cs="Times New Roman"/>
          <w:sz w:val="18"/>
          <w:szCs w:val="18"/>
        </w:rPr>
        <w:t xml:space="preserve">: </w:t>
      </w:r>
    </w:p>
    <w:p w:rsidR="00193F84" w:rsidP="001E3F00" w:rsidRDefault="0043715A" w14:paraId="110E012E" w14:textId="5695F193">
      <w:pPr>
        <w:spacing w:after="0" w:line="240" w:lineRule="atLeast"/>
        <w:rPr>
          <w:rFonts w:ascii="Verdana" w:hAnsi="Verdana" w:eastAsia="Calibri" w:cs="Times New Roman"/>
          <w:sz w:val="18"/>
          <w:szCs w:val="18"/>
        </w:rPr>
      </w:pPr>
      <w:r w:rsidRPr="0043715A">
        <w:rPr>
          <w:rFonts w:ascii="Verdana" w:hAnsi="Verdana" w:eastAsia="Calibri" w:cs="Times New Roman"/>
          <w:sz w:val="18"/>
          <w:szCs w:val="18"/>
        </w:rPr>
        <w:t xml:space="preserve">De Eurogroep en de voorzitter van het Comité van Economische en Monetaire Aangelegenheden (ECON) van het Europees Parlement, Aurore </w:t>
      </w:r>
      <w:proofErr w:type="spellStart"/>
      <w:r w:rsidRPr="0043715A">
        <w:rPr>
          <w:rFonts w:ascii="Verdana" w:hAnsi="Verdana" w:eastAsia="Calibri" w:cs="Times New Roman"/>
          <w:sz w:val="18"/>
          <w:szCs w:val="18"/>
        </w:rPr>
        <w:t>Lalucq</w:t>
      </w:r>
      <w:proofErr w:type="spellEnd"/>
      <w:r w:rsidRPr="0043715A">
        <w:rPr>
          <w:rFonts w:ascii="Verdana" w:hAnsi="Verdana" w:eastAsia="Calibri" w:cs="Times New Roman"/>
          <w:sz w:val="18"/>
          <w:szCs w:val="18"/>
        </w:rPr>
        <w:t xml:space="preserve">, zullen van gedachten wisselen over de huidige macro-economische ontwikkelingen in de eurozone. </w:t>
      </w:r>
    </w:p>
    <w:p w:rsidRPr="0043715A" w:rsidR="0043715A" w:rsidP="001E3F00" w:rsidRDefault="0043715A" w14:paraId="2095C04B" w14:textId="77777777">
      <w:pPr>
        <w:spacing w:after="0" w:line="240" w:lineRule="atLeast"/>
        <w:rPr>
          <w:rFonts w:ascii="Verdana" w:hAnsi="Verdana" w:eastAsia="Calibri" w:cs="Times New Roman"/>
          <w:sz w:val="18"/>
          <w:szCs w:val="18"/>
        </w:rPr>
      </w:pPr>
    </w:p>
    <w:p w:rsidR="7AAA6FEB" w:rsidP="001E3F00" w:rsidRDefault="00151E94" w14:paraId="5A37A6EB" w14:textId="37B0356E">
      <w:pPr>
        <w:spacing w:after="0" w:line="240" w:lineRule="atLeast"/>
        <w:rPr>
          <w:rFonts w:ascii="Verdana" w:hAnsi="Verdana" w:eastAsia="Verdana" w:cs="Verdana"/>
          <w:color w:val="4471C4"/>
          <w:sz w:val="24"/>
          <w:szCs w:val="24"/>
        </w:rPr>
      </w:pPr>
      <w:r w:rsidRPr="00C76A5C">
        <w:rPr>
          <w:rFonts w:ascii="Verdana" w:hAnsi="Verdana" w:eastAsia="Verdana" w:cs="Verdana"/>
          <w:color w:val="4471C4"/>
          <w:sz w:val="24"/>
          <w:szCs w:val="24"/>
        </w:rPr>
        <w:t xml:space="preserve">Informele </w:t>
      </w:r>
      <w:proofErr w:type="spellStart"/>
      <w:r w:rsidRPr="00C76A5C" w:rsidR="56651732">
        <w:rPr>
          <w:rFonts w:ascii="Verdana" w:hAnsi="Verdana" w:eastAsia="Verdana" w:cs="Verdana"/>
          <w:color w:val="4471C4"/>
          <w:sz w:val="24"/>
          <w:szCs w:val="24"/>
        </w:rPr>
        <w:t>Ecofin</w:t>
      </w:r>
      <w:proofErr w:type="spellEnd"/>
    </w:p>
    <w:p w:rsidRPr="00C76A5C" w:rsidR="00DD1E5A" w:rsidP="001E3F00" w:rsidRDefault="28801DC1" w14:paraId="54F88427" w14:textId="376573C7">
      <w:pPr>
        <w:spacing w:after="0" w:line="240" w:lineRule="atLeast"/>
        <w:rPr>
          <w:rFonts w:ascii="Verdana" w:hAnsi="Verdana" w:eastAsia="Calibri" w:cs="Times New Roman"/>
          <w:sz w:val="18"/>
          <w:szCs w:val="18"/>
        </w:rPr>
      </w:pPr>
      <w:r w:rsidRPr="00C76A5C">
        <w:rPr>
          <w:rFonts w:ascii="Verdana" w:hAnsi="Verdana" w:eastAsia="Calibri" w:cs="Times New Roman"/>
          <w:b/>
          <w:bCs/>
          <w:sz w:val="18"/>
          <w:szCs w:val="18"/>
        </w:rPr>
        <w:t>Agendaonderwerp:</w:t>
      </w:r>
      <w:r w:rsidRPr="00C76A5C">
        <w:rPr>
          <w:rFonts w:ascii="Verdana" w:hAnsi="Verdana" w:eastAsia="Calibri" w:cs="Times New Roman"/>
          <w:sz w:val="18"/>
          <w:szCs w:val="18"/>
        </w:rPr>
        <w:t xml:space="preserve"> </w:t>
      </w:r>
      <w:r w:rsidRPr="00C76A5C" w:rsidR="00C76A5C">
        <w:rPr>
          <w:rFonts w:ascii="Verdana" w:hAnsi="Verdana" w:eastAsia="Calibri" w:cs="Times New Roman"/>
          <w:sz w:val="18"/>
          <w:szCs w:val="18"/>
        </w:rPr>
        <w:t>Concurrentievermogen Euro</w:t>
      </w:r>
      <w:r w:rsidR="00C76A5C">
        <w:rPr>
          <w:rFonts w:ascii="Verdana" w:hAnsi="Verdana" w:eastAsia="Calibri" w:cs="Times New Roman"/>
          <w:sz w:val="18"/>
          <w:szCs w:val="18"/>
        </w:rPr>
        <w:t xml:space="preserve">pese bankensector </w:t>
      </w:r>
    </w:p>
    <w:p w:rsidRPr="00655DDB" w:rsidR="00655DDB" w:rsidP="001E3F00" w:rsidRDefault="00655DDB" w14:paraId="606C6BE5" w14:textId="77777777">
      <w:pPr>
        <w:spacing w:after="0" w:line="240" w:lineRule="atLeast"/>
        <w:rPr>
          <w:rFonts w:ascii="Verdana" w:hAnsi="Verdana" w:eastAsia="Times New Roman" w:cs="Arial"/>
          <w:sz w:val="18"/>
          <w:szCs w:val="18"/>
          <w:lang w:eastAsia="nl-NL"/>
        </w:rPr>
      </w:pPr>
      <w:r w:rsidRPr="00655DDB">
        <w:rPr>
          <w:rFonts w:ascii="Verdana" w:hAnsi="Verdana" w:eastAsia="Times New Roman" w:cs="Arial"/>
          <w:b/>
          <w:bCs/>
          <w:sz w:val="18"/>
          <w:szCs w:val="18"/>
          <w:lang w:eastAsia="nl-NL"/>
        </w:rPr>
        <w:t xml:space="preserve">Document: </w:t>
      </w:r>
      <w:r w:rsidRPr="00655DDB">
        <w:rPr>
          <w:rFonts w:ascii="Verdana" w:hAnsi="Verdana" w:eastAsia="Times New Roman" w:cs="Arial"/>
          <w:sz w:val="18"/>
          <w:szCs w:val="18"/>
          <w:lang w:eastAsia="nl-NL"/>
        </w:rPr>
        <w:t xml:space="preserve">Mededeling over het concurrentievermogen van de bankensector en de eengemaakte markt voor bankdiensten </w:t>
      </w:r>
      <w:hyperlink w:history="1" r:id="rId7">
        <w:r w:rsidRPr="00655DDB">
          <w:rPr>
            <w:rFonts w:ascii="Verdana" w:hAnsi="Verdana" w:eastAsia="Times New Roman" w:cs="Arial"/>
            <w:color w:val="0000FF"/>
            <w:sz w:val="18"/>
            <w:szCs w:val="18"/>
            <w:u w:val="single"/>
            <w:lang w:eastAsia="nl-NL"/>
          </w:rPr>
          <w:t>https://eur-lex.europa.eu/legal-content/NL/TXT/HTML/?uri=CELEX:52026DC0615</w:t>
        </w:r>
      </w:hyperlink>
      <w:r w:rsidRPr="00655DDB">
        <w:rPr>
          <w:rFonts w:ascii="Verdana" w:hAnsi="Verdana" w:eastAsia="Times New Roman" w:cs="Arial"/>
          <w:sz w:val="18"/>
          <w:szCs w:val="18"/>
          <w:lang w:eastAsia="nl-NL"/>
        </w:rPr>
        <w:t xml:space="preserve"> </w:t>
      </w:r>
    </w:p>
    <w:p w:rsidRPr="00655DDB" w:rsidR="00655DDB" w:rsidP="001E3F00" w:rsidRDefault="00655DDB" w14:paraId="3A740C34" w14:textId="77777777">
      <w:pPr>
        <w:spacing w:after="0" w:line="240" w:lineRule="atLeast"/>
        <w:rPr>
          <w:rFonts w:ascii="Verdana" w:hAnsi="Verdana" w:eastAsia="Times New Roman" w:cs="Arial"/>
          <w:sz w:val="18"/>
          <w:szCs w:val="18"/>
          <w:lang w:eastAsia="nl-NL"/>
        </w:rPr>
      </w:pPr>
      <w:r w:rsidRPr="00655DDB">
        <w:rPr>
          <w:rFonts w:ascii="Verdana" w:hAnsi="Verdana" w:eastAsia="Times New Roman" w:cs="Arial"/>
          <w:b/>
          <w:bCs/>
          <w:sz w:val="18"/>
          <w:szCs w:val="18"/>
          <w:lang w:eastAsia="nl-NL"/>
        </w:rPr>
        <w:t xml:space="preserve">Aard bespreking: </w:t>
      </w:r>
      <w:r w:rsidRPr="00655DDB">
        <w:rPr>
          <w:rFonts w:ascii="Verdana" w:hAnsi="Verdana" w:eastAsia="Times New Roman" w:cs="Arial"/>
          <w:sz w:val="18"/>
          <w:szCs w:val="18"/>
          <w:lang w:eastAsia="nl-NL"/>
        </w:rPr>
        <w:t xml:space="preserve">Gedachtewisseling </w:t>
      </w:r>
    </w:p>
    <w:p w:rsidRPr="00655DDB" w:rsidR="00655DDB" w:rsidP="001E3F00" w:rsidRDefault="00655DDB" w14:paraId="110502D5" w14:textId="77777777">
      <w:pPr>
        <w:spacing w:after="0" w:line="240" w:lineRule="atLeast"/>
        <w:rPr>
          <w:rFonts w:ascii="Verdana" w:hAnsi="Verdana" w:eastAsia="Times New Roman" w:cs="Arial"/>
          <w:bCs/>
          <w:sz w:val="18"/>
          <w:szCs w:val="18"/>
          <w:lang w:eastAsia="nl-NL"/>
        </w:rPr>
      </w:pPr>
      <w:r w:rsidRPr="00655DDB">
        <w:rPr>
          <w:rFonts w:ascii="Verdana" w:hAnsi="Verdana" w:eastAsia="Times New Roman" w:cs="Arial"/>
          <w:b/>
          <w:bCs/>
          <w:sz w:val="18"/>
          <w:szCs w:val="18"/>
          <w:lang w:eastAsia="nl-NL"/>
        </w:rPr>
        <w:t xml:space="preserve">Besluitvormingsprocedure: </w:t>
      </w:r>
      <w:r w:rsidRPr="00655DDB">
        <w:rPr>
          <w:rFonts w:ascii="Verdana" w:hAnsi="Verdana" w:eastAsia="Times New Roman" w:cs="Arial"/>
          <w:bCs/>
          <w:sz w:val="18"/>
          <w:szCs w:val="18"/>
          <w:lang w:eastAsia="nl-NL"/>
        </w:rPr>
        <w:t>N.v.t.</w:t>
      </w:r>
    </w:p>
    <w:p w:rsidR="00DD1E5A" w:rsidP="001E3F00" w:rsidRDefault="520BECAD" w14:paraId="255740CB" w14:textId="77777777">
      <w:pPr>
        <w:spacing w:after="0" w:line="240" w:lineRule="atLeast"/>
        <w:rPr>
          <w:rFonts w:ascii="Verdana" w:hAnsi="Verdana" w:eastAsia="Calibri" w:cs="Arial"/>
          <w:b/>
          <w:bCs/>
          <w:sz w:val="18"/>
          <w:szCs w:val="18"/>
          <w:lang w:eastAsia="nl-NL"/>
        </w:rPr>
      </w:pPr>
      <w:r w:rsidRPr="00A61E61">
        <w:rPr>
          <w:rFonts w:ascii="Verdana" w:hAnsi="Verdana" w:eastAsia="Calibri" w:cs="Arial"/>
          <w:b/>
          <w:bCs/>
          <w:sz w:val="18"/>
          <w:szCs w:val="18"/>
          <w:lang w:eastAsia="nl-NL"/>
        </w:rPr>
        <w:t>Toelichting:</w:t>
      </w:r>
    </w:p>
    <w:p w:rsidRPr="00655DDB" w:rsidR="00655DDB" w:rsidP="001E3F00" w:rsidRDefault="001E3F00" w14:paraId="38D0C884" w14:textId="66233A15">
      <w:pPr>
        <w:spacing w:after="0" w:line="240" w:lineRule="atLeast"/>
        <w:rPr>
          <w:rFonts w:ascii="Verdana" w:hAnsi="Verdana" w:eastAsia="Calibri" w:cs="Arial"/>
          <w:sz w:val="18"/>
          <w:szCs w:val="18"/>
          <w:lang w:eastAsia="nl-NL"/>
        </w:rPr>
      </w:pPr>
      <w:r>
        <w:rPr>
          <w:rFonts w:ascii="Verdana" w:hAnsi="Verdana" w:eastAsia="Calibri" w:cs="Arial"/>
          <w:sz w:val="18"/>
          <w:szCs w:val="18"/>
          <w:lang w:eastAsia="nl-NL"/>
        </w:rPr>
        <w:t xml:space="preserve">Tijdens de informele Ecofinraad </w:t>
      </w:r>
      <w:r w:rsidRPr="00655DDB" w:rsidR="00655DDB">
        <w:rPr>
          <w:rFonts w:ascii="Verdana" w:hAnsi="Verdana" w:eastAsia="Calibri" w:cs="Arial"/>
          <w:sz w:val="18"/>
          <w:szCs w:val="18"/>
          <w:lang w:eastAsia="nl-NL"/>
        </w:rPr>
        <w:t xml:space="preserve">zal een eerste, informele gedachtewisseling </w:t>
      </w:r>
      <w:r>
        <w:rPr>
          <w:rFonts w:ascii="Verdana" w:hAnsi="Verdana" w:eastAsia="Calibri" w:cs="Arial"/>
          <w:sz w:val="18"/>
          <w:szCs w:val="18"/>
          <w:lang w:eastAsia="nl-NL"/>
        </w:rPr>
        <w:t>plaatsvinden</w:t>
      </w:r>
      <w:r w:rsidRPr="00655DDB" w:rsidR="00655DDB">
        <w:rPr>
          <w:rFonts w:ascii="Verdana" w:hAnsi="Verdana" w:eastAsia="Calibri" w:cs="Arial"/>
          <w:sz w:val="18"/>
          <w:szCs w:val="18"/>
          <w:lang w:eastAsia="nl-NL"/>
        </w:rPr>
        <w:t xml:space="preserve"> over de recente </w:t>
      </w:r>
      <w:r w:rsidR="00C76A5C">
        <w:rPr>
          <w:rFonts w:ascii="Verdana" w:hAnsi="Verdana" w:eastAsia="Calibri" w:cs="Arial"/>
          <w:sz w:val="18"/>
          <w:szCs w:val="18"/>
          <w:lang w:eastAsia="nl-NL"/>
        </w:rPr>
        <w:t>m</w:t>
      </w:r>
      <w:r w:rsidRPr="00655DDB" w:rsidR="00655DDB">
        <w:rPr>
          <w:rFonts w:ascii="Verdana" w:hAnsi="Verdana" w:eastAsia="Calibri" w:cs="Arial"/>
          <w:sz w:val="18"/>
          <w:szCs w:val="18"/>
          <w:lang w:eastAsia="nl-NL"/>
        </w:rPr>
        <w:t xml:space="preserve">ededeling van de Europese </w:t>
      </w:r>
      <w:r>
        <w:rPr>
          <w:rFonts w:ascii="Verdana" w:hAnsi="Verdana" w:eastAsia="Calibri" w:cs="Arial"/>
          <w:sz w:val="18"/>
          <w:szCs w:val="18"/>
          <w:lang w:eastAsia="nl-NL"/>
        </w:rPr>
        <w:t>C</w:t>
      </w:r>
      <w:r w:rsidRPr="00655DDB" w:rsidR="00655DDB">
        <w:rPr>
          <w:rFonts w:ascii="Verdana" w:hAnsi="Verdana" w:eastAsia="Calibri" w:cs="Arial"/>
          <w:sz w:val="18"/>
          <w:szCs w:val="18"/>
          <w:lang w:eastAsia="nl-NL"/>
        </w:rPr>
        <w:t xml:space="preserve">ommissie over het concurrentievermogen van de bankensector, die op 17 juli 2026 is gepubliceerd. Het doel van deze Mededeling is om het concurrentievermogen van banken te versterken zodat zij beter in staat zijn bij te dragen aan de financiering van de Europese economie. De mededeling geeft richting aan gedetailleerde wetsvoorstellen die de </w:t>
      </w:r>
      <w:r>
        <w:rPr>
          <w:rFonts w:ascii="Verdana" w:hAnsi="Verdana" w:eastAsia="Calibri" w:cs="Arial"/>
          <w:sz w:val="18"/>
          <w:szCs w:val="18"/>
          <w:lang w:eastAsia="nl-NL"/>
        </w:rPr>
        <w:t xml:space="preserve">Europese </w:t>
      </w:r>
      <w:r w:rsidRPr="00655DDB" w:rsidR="00655DDB">
        <w:rPr>
          <w:rFonts w:ascii="Verdana" w:hAnsi="Verdana" w:eastAsia="Calibri" w:cs="Arial"/>
          <w:sz w:val="18"/>
          <w:szCs w:val="18"/>
          <w:lang w:eastAsia="nl-NL"/>
        </w:rPr>
        <w:t>Commissie naar verwachting in het eerste kwartaal van 2027 zal publiceren.</w:t>
      </w:r>
    </w:p>
    <w:p w:rsidRPr="00655DDB" w:rsidR="00655DDB" w:rsidP="001E3F00" w:rsidRDefault="00655DDB" w14:paraId="3CA95375" w14:textId="77777777">
      <w:pPr>
        <w:spacing w:after="0" w:line="240" w:lineRule="atLeast"/>
        <w:rPr>
          <w:rFonts w:ascii="Verdana" w:hAnsi="Verdana" w:eastAsia="Calibri" w:cs="Arial"/>
          <w:sz w:val="18"/>
          <w:szCs w:val="18"/>
          <w:lang w:eastAsia="nl-NL"/>
        </w:rPr>
      </w:pPr>
    </w:p>
    <w:p w:rsidRPr="00655DDB" w:rsidR="00655DDB" w:rsidP="001E3F00" w:rsidRDefault="00655DDB" w14:paraId="46F391BC" w14:textId="77777777">
      <w:pPr>
        <w:spacing w:after="0" w:line="240" w:lineRule="atLeast"/>
        <w:rPr>
          <w:rFonts w:ascii="Verdana" w:hAnsi="Verdana" w:eastAsia="Calibri" w:cs="Arial"/>
          <w:sz w:val="18"/>
          <w:szCs w:val="18"/>
          <w:lang w:eastAsia="nl-NL"/>
        </w:rPr>
      </w:pPr>
      <w:r w:rsidRPr="00655DDB">
        <w:rPr>
          <w:rFonts w:ascii="Verdana" w:hAnsi="Verdana" w:eastAsia="Calibri" w:cs="Arial"/>
          <w:sz w:val="18"/>
          <w:szCs w:val="18"/>
          <w:lang w:eastAsia="nl-NL"/>
        </w:rPr>
        <w:t>De Europese Commissie benoemt in de mededeling drie uitdagingen voor de bankensector: 1) fragmentatie, waardoor de voordelen van grensoverschrijdend bankenverkeer onvoldoende van de grond komen, 2) de implementatie van internationale Bazel-standaarden voor Europese banken, waarbij beter rekening gehouden kan worden met de specifieke kenmerken van de Europese Unie en met proportionaliteit en 3) de complexiteit van de regelgeving. In de mededeling kondigt de Commissie aan welke voornemens ze heeft om deze uitdagingen te adresseren.</w:t>
      </w:r>
    </w:p>
    <w:p w:rsidRPr="00655DDB" w:rsidR="00655DDB" w:rsidP="001E3F00" w:rsidRDefault="00655DDB" w14:paraId="092AB829" w14:textId="77777777">
      <w:pPr>
        <w:spacing w:after="0" w:line="240" w:lineRule="atLeast"/>
        <w:rPr>
          <w:rFonts w:ascii="Verdana" w:hAnsi="Verdana" w:eastAsia="Calibri" w:cs="Arial"/>
          <w:sz w:val="18"/>
          <w:szCs w:val="18"/>
          <w:lang w:eastAsia="nl-NL"/>
        </w:rPr>
      </w:pPr>
    </w:p>
    <w:p w:rsidRPr="00655DDB" w:rsidR="00655DDB" w:rsidP="001E3F00" w:rsidRDefault="00655DDB" w14:paraId="46E7AEB9" w14:textId="46B61241">
      <w:pPr>
        <w:spacing w:after="0" w:line="240" w:lineRule="atLeast"/>
        <w:rPr>
          <w:rFonts w:ascii="Verdana" w:hAnsi="Verdana" w:eastAsia="Calibri" w:cs="Arial"/>
          <w:sz w:val="18"/>
          <w:szCs w:val="18"/>
          <w:lang w:eastAsia="nl-NL"/>
        </w:rPr>
      </w:pPr>
      <w:r w:rsidRPr="00655DDB">
        <w:rPr>
          <w:rFonts w:ascii="Verdana" w:hAnsi="Verdana" w:eastAsia="Calibri" w:cs="Arial"/>
          <w:sz w:val="18"/>
          <w:szCs w:val="18"/>
          <w:lang w:eastAsia="nl-NL"/>
        </w:rPr>
        <w:t xml:space="preserve">Het kabinet verwelkomt de </w:t>
      </w:r>
      <w:r w:rsidR="00C76A5C">
        <w:rPr>
          <w:rFonts w:ascii="Verdana" w:hAnsi="Verdana" w:eastAsia="Calibri" w:cs="Arial"/>
          <w:sz w:val="18"/>
          <w:szCs w:val="18"/>
          <w:lang w:eastAsia="nl-NL"/>
        </w:rPr>
        <w:t>m</w:t>
      </w:r>
      <w:r w:rsidRPr="00655DDB">
        <w:rPr>
          <w:rFonts w:ascii="Verdana" w:hAnsi="Verdana" w:eastAsia="Calibri" w:cs="Arial"/>
          <w:sz w:val="18"/>
          <w:szCs w:val="18"/>
          <w:lang w:eastAsia="nl-NL"/>
        </w:rPr>
        <w:t>ededeling en heeft eerder zijn inzet gedeeld met de Europese Commissie door samen met de Nederlandsche Bank te reageren op de consultatie.</w:t>
      </w:r>
      <w:r w:rsidRPr="008169F4" w:rsidR="00193F84">
        <w:rPr>
          <w:rFonts w:ascii="Verdana" w:hAnsi="Verdana" w:eastAsia="Calibri" w:cs="Times New Roman"/>
          <w:sz w:val="18"/>
          <w:szCs w:val="18"/>
          <w:vertAlign w:val="superscript"/>
        </w:rPr>
        <w:footnoteReference w:id="5"/>
      </w:r>
      <w:r w:rsidRPr="008169F4" w:rsidR="00193F84">
        <w:rPr>
          <w:rFonts w:ascii="Verdana" w:hAnsi="Verdana" w:eastAsia="Calibri" w:cs="Times New Roman"/>
          <w:sz w:val="18"/>
          <w:szCs w:val="18"/>
        </w:rPr>
        <w:t xml:space="preserve"> </w:t>
      </w:r>
      <w:r w:rsidRPr="00655DDB">
        <w:rPr>
          <w:rFonts w:ascii="Verdana" w:hAnsi="Verdana" w:eastAsia="Calibri" w:cs="Arial"/>
          <w:sz w:val="18"/>
          <w:szCs w:val="18"/>
          <w:lang w:eastAsia="nl-NL"/>
        </w:rPr>
        <w:t xml:space="preserve">Het kabinet is van mening dat het concurrentievermogen van banken met name verbeterd kan worden door de interne markt voor bankdiensten te versterken en regelgeving te versimpelen en </w:t>
      </w:r>
      <w:r w:rsidR="00374B64">
        <w:rPr>
          <w:rFonts w:ascii="Verdana" w:hAnsi="Verdana" w:eastAsia="Calibri" w:cs="Arial"/>
          <w:sz w:val="18"/>
          <w:szCs w:val="18"/>
          <w:lang w:eastAsia="nl-NL"/>
        </w:rPr>
        <w:t xml:space="preserve">te </w:t>
      </w:r>
      <w:r w:rsidRPr="00655DDB">
        <w:rPr>
          <w:rFonts w:ascii="Verdana" w:hAnsi="Verdana" w:eastAsia="Calibri" w:cs="Arial"/>
          <w:sz w:val="18"/>
          <w:szCs w:val="18"/>
          <w:lang w:eastAsia="nl-NL"/>
        </w:rPr>
        <w:t>harmoniseren. Om de interne markt te versterken ziet het kabinet kansen door stappen te zetten richting vervolmaking van de bankenunie. Dit is ook onderdeel van het coalitieakkoord. Een vervolmaakte bankenunie zorgt ervoor dat banken beter kunnen concurreren op de Europese markt en dat de toegang tot financiering in Europa verbetert. Het kabinet vindt het belangrijk dat voorstellen voor een Europees depositogarantiestelsel samengaan met voorstellen die de verwevenheid tussen overheden en banken aanpakken.</w:t>
      </w:r>
    </w:p>
    <w:p w:rsidRPr="00655DDB" w:rsidR="00655DDB" w:rsidP="001E3F00" w:rsidRDefault="00655DDB" w14:paraId="4126C107" w14:textId="77777777">
      <w:pPr>
        <w:spacing w:after="0" w:line="240" w:lineRule="atLeast"/>
        <w:rPr>
          <w:rFonts w:ascii="Verdana" w:hAnsi="Verdana" w:eastAsia="Calibri" w:cs="Arial"/>
          <w:sz w:val="18"/>
          <w:szCs w:val="18"/>
          <w:lang w:eastAsia="nl-NL"/>
        </w:rPr>
      </w:pPr>
    </w:p>
    <w:p w:rsidRPr="00655DDB" w:rsidR="00655DDB" w:rsidP="001E3F00" w:rsidRDefault="00655DDB" w14:paraId="06C810DF" w14:textId="77777777">
      <w:pPr>
        <w:spacing w:after="0" w:line="240" w:lineRule="atLeast"/>
        <w:rPr>
          <w:rFonts w:ascii="Verdana" w:hAnsi="Verdana" w:eastAsia="Calibri" w:cs="Arial"/>
          <w:sz w:val="18"/>
          <w:szCs w:val="18"/>
          <w:lang w:eastAsia="nl-NL"/>
        </w:rPr>
      </w:pPr>
      <w:r w:rsidRPr="00655DDB">
        <w:rPr>
          <w:rFonts w:ascii="Verdana" w:hAnsi="Verdana" w:eastAsia="Calibri" w:cs="Arial"/>
          <w:sz w:val="18"/>
          <w:szCs w:val="18"/>
          <w:lang w:eastAsia="nl-NL"/>
        </w:rPr>
        <w:t>Het kabinet hecht daarnaast groot belang aan de versimpeling van bankregelgeving en vindt het goed dat de Europese Commissie voorstellen gaat doen om complexiteit weg te nemen. Belangrijke uitgangspunten voor het kabinet daarbij zijn het belang van een internationaal gelijk speelveld en behoud van internationale standaarden en de weerbaarheid van de financiële sector. Zo zet het kabinet zich in voor versimpeling en harmonisatie van buffervereisten. Ook is het kabinet voorstander van het beter laten aansluiten van Europese resolutievereisten bij internationale standaarden. Binnenkort deelt het kabinet het BNC-fiche met de Tweede Kamer, waarin een meer gedetailleerde beoordeling van de Commissievoorstellen staat.</w:t>
      </w:r>
    </w:p>
    <w:p w:rsidRPr="00655DDB" w:rsidR="00655DDB" w:rsidP="001E3F00" w:rsidRDefault="00655DDB" w14:paraId="443C00FF" w14:textId="77777777">
      <w:pPr>
        <w:spacing w:after="0" w:line="240" w:lineRule="atLeast"/>
        <w:rPr>
          <w:rFonts w:ascii="Verdana" w:hAnsi="Verdana" w:eastAsia="Calibri" w:cs="Arial"/>
          <w:sz w:val="18"/>
          <w:szCs w:val="18"/>
          <w:lang w:eastAsia="nl-NL"/>
        </w:rPr>
      </w:pPr>
    </w:p>
    <w:p w:rsidR="00B465BF" w:rsidP="001E3F00" w:rsidRDefault="00655DDB" w14:paraId="0FB600EA" w14:textId="4CFF0323">
      <w:pPr>
        <w:spacing w:after="0" w:line="240" w:lineRule="atLeast"/>
        <w:rPr>
          <w:rFonts w:ascii="Verdana" w:hAnsi="Verdana" w:eastAsia="Calibri" w:cs="Arial"/>
          <w:b/>
          <w:bCs/>
          <w:sz w:val="18"/>
          <w:szCs w:val="18"/>
          <w:lang w:eastAsia="nl-NL"/>
        </w:rPr>
      </w:pPr>
      <w:r w:rsidRPr="00655DDB">
        <w:rPr>
          <w:rFonts w:ascii="Verdana" w:hAnsi="Verdana" w:eastAsia="Calibri" w:cs="Arial"/>
          <w:sz w:val="18"/>
          <w:szCs w:val="18"/>
          <w:lang w:eastAsia="nl-NL"/>
        </w:rPr>
        <w:t>Het verbeteren van het concurrentievermogen van de Europese bankensector is voor veel Europese lidstaten een belangrijk thema. Er lijkt brede steun voor voorstellen om de bankenregelgeving te versimpelen, al verschillen lidstaten naar verwachting in de mate waarin eisen van het raamwerk ook versoepeld moeten worden. Op het gebied van integratie van de Europese markt is er naar verwachting verdeeldheid over de voorstellen om kapitaal en liquiditeit vrijer in te zetten binnen een internationaal opererende bankengroep en over de voorwaarden voor stappen richting een Europees depositogarantiestelsel.</w:t>
      </w:r>
    </w:p>
    <w:p w:rsidR="00B465BF" w:rsidP="001E3F00" w:rsidRDefault="00B465BF" w14:paraId="487FE34F" w14:textId="77777777">
      <w:pPr>
        <w:spacing w:after="0" w:line="240" w:lineRule="atLeast"/>
        <w:rPr>
          <w:rFonts w:ascii="Verdana" w:hAnsi="Verdana" w:eastAsia="Calibri" w:cs="Arial"/>
          <w:b/>
          <w:bCs/>
          <w:sz w:val="18"/>
          <w:szCs w:val="18"/>
          <w:lang w:eastAsia="nl-NL"/>
        </w:rPr>
      </w:pPr>
    </w:p>
    <w:p w:rsidRPr="00A61E61" w:rsidR="00B465BF" w:rsidP="001E3F00" w:rsidRDefault="00B465BF" w14:paraId="5B17E1CB" w14:textId="2691D4C7">
      <w:pPr>
        <w:spacing w:after="0" w:line="240" w:lineRule="atLeast"/>
        <w:rPr>
          <w:rFonts w:ascii="Verdana" w:hAnsi="Verdana" w:eastAsia="Calibri" w:cs="Times New Roman"/>
          <w:sz w:val="18"/>
          <w:szCs w:val="18"/>
        </w:rPr>
      </w:pPr>
      <w:r w:rsidRPr="28801DC1">
        <w:rPr>
          <w:rFonts w:ascii="Verdana" w:hAnsi="Verdana" w:eastAsia="Calibri" w:cs="Times New Roman"/>
          <w:b/>
          <w:bCs/>
          <w:sz w:val="18"/>
          <w:szCs w:val="18"/>
        </w:rPr>
        <w:t>Agendaonderwerp:</w:t>
      </w:r>
      <w:r w:rsidRPr="28801DC1">
        <w:rPr>
          <w:rFonts w:ascii="Verdana" w:hAnsi="Verdana" w:eastAsia="Calibri" w:cs="Times New Roman"/>
          <w:sz w:val="18"/>
          <w:szCs w:val="18"/>
        </w:rPr>
        <w:t xml:space="preserve"> </w:t>
      </w:r>
      <w:r>
        <w:rPr>
          <w:rFonts w:ascii="Verdana" w:hAnsi="Verdana" w:eastAsia="Calibri" w:cs="Times New Roman"/>
          <w:sz w:val="18"/>
          <w:szCs w:val="18"/>
        </w:rPr>
        <w:t xml:space="preserve">Technologische verandering in het internationale betalingsverkeer </w:t>
      </w:r>
    </w:p>
    <w:p w:rsidRPr="00F37A12" w:rsidR="00B465BF" w:rsidP="001E3F00" w:rsidRDefault="00B465BF" w14:paraId="3E3E19BD" w14:textId="04A81671">
      <w:pPr>
        <w:spacing w:after="0" w:line="240" w:lineRule="atLeast"/>
        <w:rPr>
          <w:rFonts w:ascii="Verdana" w:hAnsi="Verdana" w:eastAsia="Times New Roman" w:cs="Arial"/>
          <w:sz w:val="18"/>
          <w:szCs w:val="18"/>
          <w:lang w:eastAsia="nl-NL"/>
        </w:rPr>
      </w:pPr>
      <w:r w:rsidRPr="00A61E61">
        <w:rPr>
          <w:rFonts w:ascii="Verdana" w:hAnsi="Verdana" w:eastAsia="Times New Roman" w:cs="Arial"/>
          <w:b/>
          <w:bCs/>
          <w:sz w:val="18"/>
          <w:szCs w:val="18"/>
          <w:lang w:eastAsia="nl-NL"/>
        </w:rPr>
        <w:t xml:space="preserve">Document: </w:t>
      </w:r>
      <w:r w:rsidR="00F37A12">
        <w:rPr>
          <w:rFonts w:ascii="Verdana" w:hAnsi="Verdana" w:eastAsia="Times New Roman" w:cs="Arial"/>
          <w:sz w:val="18"/>
          <w:szCs w:val="18"/>
          <w:lang w:eastAsia="nl-NL"/>
        </w:rPr>
        <w:t xml:space="preserve">n.v.t. </w:t>
      </w:r>
    </w:p>
    <w:p w:rsidRPr="00F37A12" w:rsidR="00B465BF" w:rsidP="001E3F00" w:rsidRDefault="00B465BF" w14:paraId="6F6E3E33" w14:textId="588A93DA">
      <w:pPr>
        <w:spacing w:after="0" w:line="240" w:lineRule="atLeast"/>
        <w:rPr>
          <w:rFonts w:ascii="Verdana" w:hAnsi="Verdana" w:eastAsia="Times New Roman" w:cs="Arial"/>
          <w:sz w:val="18"/>
          <w:szCs w:val="18"/>
          <w:lang w:eastAsia="nl-NL"/>
        </w:rPr>
      </w:pPr>
      <w:r w:rsidRPr="00A61E61">
        <w:rPr>
          <w:rFonts w:ascii="Verdana" w:hAnsi="Verdana" w:eastAsia="Times New Roman" w:cs="Arial"/>
          <w:b/>
          <w:bCs/>
          <w:sz w:val="18"/>
          <w:szCs w:val="18"/>
          <w:lang w:eastAsia="nl-NL"/>
        </w:rPr>
        <w:t xml:space="preserve">Aard bespreking: </w:t>
      </w:r>
      <w:r w:rsidR="00F37A12">
        <w:rPr>
          <w:rFonts w:ascii="Verdana" w:hAnsi="Verdana" w:eastAsia="Times New Roman" w:cs="Arial"/>
          <w:sz w:val="18"/>
          <w:szCs w:val="18"/>
          <w:lang w:eastAsia="nl-NL"/>
        </w:rPr>
        <w:t>gedachtewisseling</w:t>
      </w:r>
    </w:p>
    <w:p w:rsidRPr="00F37A12" w:rsidR="00B465BF" w:rsidP="001E3F00" w:rsidRDefault="00B465BF" w14:paraId="735522DC" w14:textId="29B668D5">
      <w:pPr>
        <w:spacing w:after="0" w:line="240" w:lineRule="atLeast"/>
        <w:rPr>
          <w:rFonts w:ascii="Verdana" w:hAnsi="Verdana" w:eastAsia="Times New Roman" w:cs="Arial"/>
          <w:sz w:val="18"/>
          <w:szCs w:val="18"/>
          <w:lang w:eastAsia="nl-NL"/>
        </w:rPr>
      </w:pPr>
      <w:r w:rsidRPr="00A61E61">
        <w:rPr>
          <w:rFonts w:ascii="Verdana" w:hAnsi="Verdana" w:eastAsia="Times New Roman" w:cs="Arial"/>
          <w:b/>
          <w:bCs/>
          <w:sz w:val="18"/>
          <w:szCs w:val="18"/>
          <w:lang w:eastAsia="nl-NL"/>
        </w:rPr>
        <w:t xml:space="preserve">Besluitvormingsprocedure: </w:t>
      </w:r>
      <w:r w:rsidR="00F37A12">
        <w:rPr>
          <w:rFonts w:ascii="Verdana" w:hAnsi="Verdana" w:eastAsia="Times New Roman" w:cs="Arial"/>
          <w:sz w:val="18"/>
          <w:szCs w:val="18"/>
          <w:lang w:eastAsia="nl-NL"/>
        </w:rPr>
        <w:t xml:space="preserve">n.v.t. </w:t>
      </w:r>
    </w:p>
    <w:p w:rsidR="00122176" w:rsidP="001E3F00" w:rsidRDefault="00B465BF" w14:paraId="0CD2888E" w14:textId="0CD6AB58">
      <w:pPr>
        <w:spacing w:after="0" w:line="240" w:lineRule="atLeast"/>
        <w:rPr>
          <w:rFonts w:ascii="Verdana" w:hAnsi="Verdana" w:eastAsia="Calibri" w:cs="Arial"/>
          <w:b/>
          <w:bCs/>
          <w:sz w:val="18"/>
          <w:szCs w:val="18"/>
          <w:lang w:eastAsia="nl-NL"/>
        </w:rPr>
      </w:pPr>
      <w:r w:rsidRPr="00A61E61">
        <w:rPr>
          <w:rFonts w:ascii="Verdana" w:hAnsi="Verdana" w:eastAsia="Calibri" w:cs="Arial"/>
          <w:b/>
          <w:bCs/>
          <w:sz w:val="18"/>
          <w:szCs w:val="18"/>
          <w:lang w:eastAsia="nl-NL"/>
        </w:rPr>
        <w:t>Toelichting:</w:t>
      </w:r>
    </w:p>
    <w:p w:rsidRPr="00122176" w:rsidR="00122176" w:rsidP="001E3F00" w:rsidRDefault="001E3F00" w14:paraId="367DDB1A" w14:textId="4C46452B">
      <w:pPr>
        <w:spacing w:after="0" w:line="240" w:lineRule="atLeast"/>
        <w:rPr>
          <w:rFonts w:ascii="Verdana" w:hAnsi="Verdana" w:eastAsia="Times New Roman" w:cs="Times New Roman"/>
          <w:sz w:val="18"/>
          <w:szCs w:val="18"/>
          <w:lang w:eastAsia="nl-NL"/>
        </w:rPr>
      </w:pPr>
      <w:r>
        <w:rPr>
          <w:rFonts w:ascii="Verdana" w:hAnsi="Verdana" w:eastAsia="Times New Roman" w:cs="Times New Roman"/>
          <w:sz w:val="18"/>
          <w:szCs w:val="18"/>
          <w:lang w:eastAsia="nl-NL"/>
        </w:rPr>
        <w:t xml:space="preserve">Tijdens de informele Ecofinraad </w:t>
      </w:r>
      <w:r w:rsidRPr="00122176" w:rsidR="00122176">
        <w:rPr>
          <w:rFonts w:ascii="Verdana" w:hAnsi="Verdana" w:eastAsia="Times New Roman" w:cs="Times New Roman"/>
          <w:sz w:val="18"/>
          <w:szCs w:val="18"/>
          <w:lang w:eastAsia="nl-NL"/>
        </w:rPr>
        <w:t xml:space="preserve">zal gesproken worden over technologische veranderingen in het internationale betalingsverkeer met de CEO van de Ierse betaalinstelling </w:t>
      </w:r>
      <w:proofErr w:type="spellStart"/>
      <w:r w:rsidRPr="00122176" w:rsidR="00122176">
        <w:rPr>
          <w:rFonts w:ascii="Verdana" w:hAnsi="Verdana" w:eastAsia="Times New Roman" w:cs="Times New Roman"/>
          <w:sz w:val="18"/>
          <w:szCs w:val="18"/>
          <w:lang w:eastAsia="nl-NL"/>
        </w:rPr>
        <w:t>Stripe</w:t>
      </w:r>
      <w:proofErr w:type="spellEnd"/>
      <w:r w:rsidRPr="00122176" w:rsidR="00122176">
        <w:rPr>
          <w:rFonts w:ascii="Verdana" w:hAnsi="Verdana" w:eastAsia="Times New Roman" w:cs="Times New Roman"/>
          <w:sz w:val="18"/>
          <w:szCs w:val="18"/>
          <w:lang w:eastAsia="nl-NL"/>
        </w:rPr>
        <w:t xml:space="preserve">, Patrick </w:t>
      </w:r>
      <w:proofErr w:type="spellStart"/>
      <w:r w:rsidRPr="00122176" w:rsidR="00122176">
        <w:rPr>
          <w:rFonts w:ascii="Verdana" w:hAnsi="Verdana" w:eastAsia="Times New Roman" w:cs="Times New Roman"/>
          <w:sz w:val="18"/>
          <w:szCs w:val="18"/>
          <w:lang w:eastAsia="nl-NL"/>
        </w:rPr>
        <w:t>Collison</w:t>
      </w:r>
      <w:proofErr w:type="spellEnd"/>
      <w:r w:rsidRPr="00122176" w:rsidR="00122176">
        <w:rPr>
          <w:rFonts w:ascii="Verdana" w:hAnsi="Verdana" w:eastAsia="Times New Roman" w:cs="Times New Roman"/>
          <w:sz w:val="18"/>
          <w:szCs w:val="18"/>
          <w:lang w:eastAsia="nl-NL"/>
        </w:rPr>
        <w:t>. Daarnaast zal</w:t>
      </w:r>
      <w:r w:rsidR="00374B64">
        <w:rPr>
          <w:rFonts w:ascii="Verdana" w:hAnsi="Verdana" w:eastAsia="Times New Roman" w:cs="Times New Roman"/>
          <w:sz w:val="18"/>
          <w:szCs w:val="18"/>
          <w:lang w:eastAsia="nl-NL"/>
        </w:rPr>
        <w:t xml:space="preserve"> </w:t>
      </w:r>
      <w:r w:rsidR="00F37A12">
        <w:rPr>
          <w:rFonts w:ascii="Verdana" w:hAnsi="Verdana" w:eastAsia="Times New Roman" w:cs="Times New Roman"/>
          <w:sz w:val="18"/>
          <w:szCs w:val="18"/>
          <w:lang w:eastAsia="nl-NL"/>
        </w:rPr>
        <w:t xml:space="preserve">Pablo </w:t>
      </w:r>
      <w:proofErr w:type="spellStart"/>
      <w:r w:rsidR="00F37A12">
        <w:rPr>
          <w:rFonts w:ascii="Verdana" w:hAnsi="Verdana" w:eastAsia="Times New Roman" w:cs="Times New Roman"/>
          <w:sz w:val="18"/>
          <w:szCs w:val="18"/>
          <w:lang w:eastAsia="nl-NL"/>
        </w:rPr>
        <w:t>Hernàndez</w:t>
      </w:r>
      <w:proofErr w:type="spellEnd"/>
      <w:r w:rsidR="00F37A12">
        <w:rPr>
          <w:rFonts w:ascii="Verdana" w:hAnsi="Verdana" w:eastAsia="Times New Roman" w:cs="Times New Roman"/>
          <w:sz w:val="18"/>
          <w:szCs w:val="18"/>
          <w:lang w:eastAsia="nl-NL"/>
        </w:rPr>
        <w:t xml:space="preserve"> de </w:t>
      </w:r>
      <w:proofErr w:type="spellStart"/>
      <w:r w:rsidR="00F37A12">
        <w:rPr>
          <w:rFonts w:ascii="Verdana" w:hAnsi="Verdana" w:eastAsia="Times New Roman" w:cs="Times New Roman"/>
          <w:sz w:val="18"/>
          <w:szCs w:val="18"/>
          <w:lang w:eastAsia="nl-NL"/>
        </w:rPr>
        <w:t>Cos</w:t>
      </w:r>
      <w:proofErr w:type="spellEnd"/>
      <w:r w:rsidR="00F37A12">
        <w:rPr>
          <w:rFonts w:ascii="Verdana" w:hAnsi="Verdana" w:eastAsia="Times New Roman" w:cs="Times New Roman"/>
          <w:sz w:val="18"/>
          <w:szCs w:val="18"/>
          <w:lang w:eastAsia="nl-NL"/>
        </w:rPr>
        <w:t xml:space="preserve">, General Manager </w:t>
      </w:r>
      <w:r w:rsidRPr="00122176" w:rsidR="00122176">
        <w:rPr>
          <w:rFonts w:ascii="Verdana" w:hAnsi="Verdana" w:eastAsia="Times New Roman" w:cs="Times New Roman"/>
          <w:sz w:val="18"/>
          <w:szCs w:val="18"/>
          <w:lang w:eastAsia="nl-NL"/>
        </w:rPr>
        <w:t xml:space="preserve">Bank of International </w:t>
      </w:r>
      <w:proofErr w:type="spellStart"/>
      <w:r w:rsidRPr="00122176" w:rsidR="00122176">
        <w:rPr>
          <w:rFonts w:ascii="Verdana" w:hAnsi="Verdana" w:eastAsia="Times New Roman" w:cs="Times New Roman"/>
          <w:sz w:val="18"/>
          <w:szCs w:val="18"/>
          <w:lang w:eastAsia="nl-NL"/>
        </w:rPr>
        <w:t>Settlements</w:t>
      </w:r>
      <w:proofErr w:type="spellEnd"/>
      <w:r w:rsidR="00374B64">
        <w:rPr>
          <w:rFonts w:ascii="Verdana" w:hAnsi="Verdana" w:eastAsia="Times New Roman" w:cs="Times New Roman"/>
          <w:sz w:val="18"/>
          <w:szCs w:val="18"/>
          <w:lang w:eastAsia="nl-NL"/>
        </w:rPr>
        <w:t>, een presentatie geven.</w:t>
      </w:r>
    </w:p>
    <w:p w:rsidRPr="00122176" w:rsidR="00122176" w:rsidP="001E3F00" w:rsidRDefault="00122176" w14:paraId="154B3A0E" w14:textId="77777777">
      <w:pPr>
        <w:spacing w:after="0" w:line="240" w:lineRule="atLeast"/>
        <w:rPr>
          <w:rFonts w:ascii="Verdana" w:hAnsi="Verdana" w:eastAsia="Times New Roman" w:cs="Times New Roman"/>
          <w:sz w:val="18"/>
          <w:szCs w:val="18"/>
          <w:lang w:eastAsia="nl-NL"/>
        </w:rPr>
      </w:pPr>
    </w:p>
    <w:p w:rsidRPr="00122176" w:rsidR="00122176" w:rsidP="001E3F00" w:rsidRDefault="00122176" w14:paraId="01FEFB1D" w14:textId="3D7246B7">
      <w:pPr>
        <w:spacing w:after="0" w:line="240" w:lineRule="atLeast"/>
        <w:rPr>
          <w:rFonts w:ascii="Verdana" w:hAnsi="Verdana" w:eastAsia="Times New Roman" w:cs="Times New Roman"/>
          <w:sz w:val="18"/>
          <w:szCs w:val="18"/>
          <w:lang w:eastAsia="nl-NL"/>
        </w:rPr>
      </w:pPr>
      <w:r w:rsidRPr="00122176">
        <w:rPr>
          <w:rFonts w:ascii="Verdana" w:hAnsi="Verdana" w:eastAsia="Times New Roman" w:cs="Times New Roman"/>
          <w:sz w:val="18"/>
          <w:szCs w:val="18"/>
          <w:lang w:eastAsia="nl-NL"/>
        </w:rPr>
        <w:t xml:space="preserve">Tijdens de Eurogroep van </w:t>
      </w:r>
      <w:r w:rsidR="00374B64">
        <w:rPr>
          <w:rFonts w:ascii="Verdana" w:hAnsi="Verdana" w:eastAsia="Times New Roman" w:cs="Times New Roman"/>
          <w:sz w:val="18"/>
          <w:szCs w:val="18"/>
          <w:lang w:eastAsia="nl-NL"/>
        </w:rPr>
        <w:t xml:space="preserve">9 </w:t>
      </w:r>
      <w:r w:rsidRPr="00122176">
        <w:rPr>
          <w:rFonts w:ascii="Verdana" w:hAnsi="Verdana" w:eastAsia="Times New Roman" w:cs="Times New Roman"/>
          <w:sz w:val="18"/>
          <w:szCs w:val="18"/>
          <w:lang w:eastAsia="nl-NL"/>
        </w:rPr>
        <w:t xml:space="preserve">juli </w:t>
      </w:r>
      <w:r w:rsidR="00374B64">
        <w:rPr>
          <w:rFonts w:ascii="Verdana" w:hAnsi="Verdana" w:eastAsia="Times New Roman" w:cs="Times New Roman"/>
          <w:sz w:val="18"/>
          <w:szCs w:val="18"/>
          <w:lang w:eastAsia="nl-NL"/>
        </w:rPr>
        <w:t xml:space="preserve">jl. </w:t>
      </w:r>
      <w:r w:rsidR="001E3F00">
        <w:rPr>
          <w:rFonts w:ascii="Verdana" w:hAnsi="Verdana" w:eastAsia="Times New Roman" w:cs="Times New Roman"/>
          <w:sz w:val="18"/>
          <w:szCs w:val="18"/>
          <w:lang w:eastAsia="nl-NL"/>
        </w:rPr>
        <w:t xml:space="preserve">is een verklaring aangenomen over </w:t>
      </w:r>
      <w:r w:rsidRPr="001E3F00" w:rsidR="001E3F00">
        <w:rPr>
          <w:rFonts w:ascii="Verdana" w:hAnsi="Verdana" w:eastAsia="Times New Roman" w:cs="Times New Roman"/>
          <w:i/>
          <w:iCs/>
          <w:sz w:val="18"/>
          <w:szCs w:val="18"/>
          <w:lang w:eastAsia="nl-NL"/>
        </w:rPr>
        <w:t>digital finance</w:t>
      </w:r>
      <w:r w:rsidR="001E3F00">
        <w:rPr>
          <w:rFonts w:ascii="Verdana" w:hAnsi="Verdana" w:eastAsia="Times New Roman" w:cs="Times New Roman"/>
          <w:sz w:val="18"/>
          <w:szCs w:val="18"/>
          <w:lang w:eastAsia="nl-NL"/>
        </w:rPr>
        <w:t>.</w:t>
      </w:r>
      <w:r w:rsidR="001E3F00">
        <w:rPr>
          <w:rStyle w:val="Voetnootmarkering"/>
          <w:rFonts w:ascii="Verdana" w:hAnsi="Verdana" w:eastAsia="Times New Roman" w:cs="Times New Roman"/>
          <w:sz w:val="18"/>
          <w:szCs w:val="18"/>
          <w:lang w:eastAsia="nl-NL"/>
        </w:rPr>
        <w:footnoteReference w:id="6"/>
      </w:r>
      <w:r w:rsidRPr="00122176">
        <w:rPr>
          <w:rFonts w:ascii="Verdana" w:hAnsi="Verdana" w:eastAsia="Times New Roman" w:cs="Times New Roman"/>
          <w:sz w:val="18"/>
          <w:szCs w:val="18"/>
          <w:lang w:eastAsia="nl-NL"/>
        </w:rPr>
        <w:t xml:space="preserve"> In </w:t>
      </w:r>
      <w:r w:rsidR="001E3F00">
        <w:rPr>
          <w:rFonts w:ascii="Verdana" w:hAnsi="Verdana" w:eastAsia="Times New Roman" w:cs="Times New Roman"/>
          <w:sz w:val="18"/>
          <w:szCs w:val="18"/>
          <w:lang w:eastAsia="nl-NL"/>
        </w:rPr>
        <w:t>deze verklaring</w:t>
      </w:r>
      <w:r w:rsidRPr="00122176">
        <w:rPr>
          <w:rFonts w:ascii="Verdana" w:hAnsi="Verdana" w:eastAsia="Times New Roman" w:cs="Times New Roman"/>
          <w:sz w:val="18"/>
          <w:szCs w:val="18"/>
          <w:lang w:eastAsia="nl-NL"/>
        </w:rPr>
        <w:t xml:space="preserve"> worden de voordelen van </w:t>
      </w:r>
      <w:r w:rsidRPr="001E3F00">
        <w:rPr>
          <w:rFonts w:ascii="Verdana" w:hAnsi="Verdana" w:eastAsia="Times New Roman" w:cs="Times New Roman"/>
          <w:i/>
          <w:iCs/>
          <w:sz w:val="18"/>
          <w:szCs w:val="18"/>
          <w:lang w:eastAsia="nl-NL"/>
        </w:rPr>
        <w:t>digital finance</w:t>
      </w:r>
      <w:r w:rsidRPr="00122176">
        <w:rPr>
          <w:rFonts w:ascii="Verdana" w:hAnsi="Verdana" w:eastAsia="Times New Roman" w:cs="Times New Roman"/>
          <w:sz w:val="18"/>
          <w:szCs w:val="18"/>
          <w:lang w:eastAsia="nl-NL"/>
        </w:rPr>
        <w:t xml:space="preserve"> voor de Europese economie benadrukt, waaronder de bijdrage aan beter geïntegreerde financiële markten en een versterkt Europees concurrentievermogen. De </w:t>
      </w:r>
      <w:proofErr w:type="spellStart"/>
      <w:r w:rsidRPr="00122176">
        <w:rPr>
          <w:rFonts w:ascii="Verdana" w:hAnsi="Verdana" w:eastAsia="Times New Roman" w:cs="Times New Roman"/>
          <w:sz w:val="18"/>
          <w:szCs w:val="18"/>
          <w:lang w:eastAsia="nl-NL"/>
        </w:rPr>
        <w:t>retail</w:t>
      </w:r>
      <w:proofErr w:type="spellEnd"/>
      <w:r w:rsidRPr="00122176">
        <w:rPr>
          <w:rFonts w:ascii="Verdana" w:hAnsi="Verdana" w:eastAsia="Times New Roman" w:cs="Times New Roman"/>
          <w:sz w:val="18"/>
          <w:szCs w:val="18"/>
          <w:lang w:eastAsia="nl-NL"/>
        </w:rPr>
        <w:t xml:space="preserve">- en </w:t>
      </w:r>
      <w:proofErr w:type="spellStart"/>
      <w:r w:rsidRPr="00122176">
        <w:rPr>
          <w:rFonts w:ascii="Verdana" w:hAnsi="Verdana" w:eastAsia="Times New Roman" w:cs="Times New Roman"/>
          <w:sz w:val="18"/>
          <w:szCs w:val="18"/>
          <w:lang w:eastAsia="nl-NL"/>
        </w:rPr>
        <w:t>wholesale</w:t>
      </w:r>
      <w:proofErr w:type="spellEnd"/>
      <w:r w:rsidRPr="00122176">
        <w:rPr>
          <w:rFonts w:ascii="Verdana" w:hAnsi="Verdana" w:eastAsia="Times New Roman" w:cs="Times New Roman"/>
          <w:sz w:val="18"/>
          <w:szCs w:val="18"/>
          <w:lang w:eastAsia="nl-NL"/>
        </w:rPr>
        <w:t xml:space="preserve"> digitale euro wordt daarbij erkend als een belangrijke hoeksteen. Daarnaast wordt opgeroepen tot de ontwikkeling van gezamenlijke standaarden en interoperabiliteit op het gebied van </w:t>
      </w:r>
      <w:r w:rsidRPr="001E3F00">
        <w:rPr>
          <w:rFonts w:ascii="Verdana" w:hAnsi="Verdana" w:eastAsia="Times New Roman" w:cs="Times New Roman"/>
          <w:i/>
          <w:iCs/>
          <w:sz w:val="18"/>
          <w:szCs w:val="18"/>
          <w:lang w:eastAsia="nl-NL"/>
        </w:rPr>
        <w:t>digital finance</w:t>
      </w:r>
      <w:r w:rsidRPr="00122176">
        <w:rPr>
          <w:rFonts w:ascii="Verdana" w:hAnsi="Verdana" w:eastAsia="Times New Roman" w:cs="Times New Roman"/>
          <w:sz w:val="18"/>
          <w:szCs w:val="18"/>
          <w:lang w:eastAsia="nl-NL"/>
        </w:rPr>
        <w:t xml:space="preserve">, het bieden van juridische duidelijkheid waar nodig en het verder ontwikkelen en stimuleren van verschillende </w:t>
      </w:r>
      <w:proofErr w:type="spellStart"/>
      <w:r w:rsidRPr="00122176">
        <w:rPr>
          <w:rFonts w:ascii="Verdana" w:hAnsi="Verdana" w:eastAsia="Times New Roman" w:cs="Times New Roman"/>
          <w:sz w:val="18"/>
          <w:szCs w:val="18"/>
          <w:lang w:eastAsia="nl-NL"/>
        </w:rPr>
        <w:t>use</w:t>
      </w:r>
      <w:proofErr w:type="spellEnd"/>
      <w:r w:rsidRPr="00122176">
        <w:rPr>
          <w:rFonts w:ascii="Verdana" w:hAnsi="Verdana" w:eastAsia="Times New Roman" w:cs="Times New Roman"/>
          <w:sz w:val="18"/>
          <w:szCs w:val="18"/>
          <w:lang w:eastAsia="nl-NL"/>
        </w:rPr>
        <w:t xml:space="preserve"> cases.</w:t>
      </w:r>
    </w:p>
    <w:p w:rsidRPr="00122176" w:rsidR="00122176" w:rsidP="001E3F00" w:rsidRDefault="00122176" w14:paraId="2DF43AB6" w14:textId="77777777">
      <w:pPr>
        <w:spacing w:after="0" w:line="240" w:lineRule="atLeast"/>
        <w:rPr>
          <w:rFonts w:ascii="Verdana" w:hAnsi="Verdana" w:eastAsia="Times New Roman" w:cs="Times New Roman"/>
          <w:sz w:val="18"/>
          <w:szCs w:val="18"/>
          <w:lang w:eastAsia="nl-NL"/>
        </w:rPr>
      </w:pPr>
    </w:p>
    <w:p w:rsidRPr="00A61E61" w:rsidR="00122176" w:rsidP="001E3F00" w:rsidRDefault="00122176" w14:paraId="7C802A66" w14:textId="0A339B1C">
      <w:pPr>
        <w:spacing w:after="0" w:line="240" w:lineRule="atLeast"/>
        <w:rPr>
          <w:rFonts w:ascii="Verdana" w:hAnsi="Verdana" w:eastAsia="Times New Roman" w:cs="Times New Roman"/>
          <w:sz w:val="18"/>
          <w:szCs w:val="18"/>
          <w:lang w:eastAsia="nl-NL"/>
        </w:rPr>
      </w:pPr>
      <w:r w:rsidRPr="00122176">
        <w:rPr>
          <w:rFonts w:ascii="Verdana" w:hAnsi="Verdana" w:eastAsia="Times New Roman" w:cs="Times New Roman"/>
          <w:sz w:val="18"/>
          <w:szCs w:val="18"/>
          <w:lang w:eastAsia="nl-NL"/>
        </w:rPr>
        <w:t xml:space="preserve">Het kabinet heeft deze verklaring gesteund en vindt het belangrijk dat er Europees aandacht is voor de strategische positie ten aanzien van </w:t>
      </w:r>
      <w:r w:rsidRPr="001E3F00">
        <w:rPr>
          <w:rFonts w:ascii="Verdana" w:hAnsi="Verdana" w:eastAsia="Times New Roman" w:cs="Times New Roman"/>
          <w:i/>
          <w:iCs/>
          <w:sz w:val="18"/>
          <w:szCs w:val="18"/>
          <w:lang w:eastAsia="nl-NL"/>
        </w:rPr>
        <w:t>digital finance</w:t>
      </w:r>
      <w:r w:rsidRPr="00122176">
        <w:rPr>
          <w:rFonts w:ascii="Verdana" w:hAnsi="Verdana" w:eastAsia="Times New Roman" w:cs="Times New Roman"/>
          <w:sz w:val="18"/>
          <w:szCs w:val="18"/>
          <w:lang w:eastAsia="nl-NL"/>
        </w:rPr>
        <w:t xml:space="preserve"> in den brede. </w:t>
      </w:r>
      <w:r w:rsidRPr="001E3F00">
        <w:rPr>
          <w:rFonts w:ascii="Verdana" w:hAnsi="Verdana" w:eastAsia="Times New Roman" w:cs="Times New Roman"/>
          <w:i/>
          <w:iCs/>
          <w:sz w:val="18"/>
          <w:szCs w:val="18"/>
          <w:lang w:eastAsia="nl-NL"/>
        </w:rPr>
        <w:t>Digital finance</w:t>
      </w:r>
      <w:r w:rsidRPr="00122176">
        <w:rPr>
          <w:rFonts w:ascii="Verdana" w:hAnsi="Verdana" w:eastAsia="Times New Roman" w:cs="Times New Roman"/>
          <w:sz w:val="18"/>
          <w:szCs w:val="18"/>
          <w:lang w:eastAsia="nl-NL"/>
        </w:rPr>
        <w:t xml:space="preserve"> is kansrijk en kan bijdragen aan innovatie, integratie van Europese financiële markten en strategische autonomie. Europa moet internationaal competitief blijven op </w:t>
      </w:r>
      <w:r w:rsidRPr="001E3F00">
        <w:rPr>
          <w:rFonts w:ascii="Verdana" w:hAnsi="Verdana" w:eastAsia="Times New Roman" w:cs="Times New Roman"/>
          <w:i/>
          <w:iCs/>
          <w:sz w:val="18"/>
          <w:szCs w:val="18"/>
          <w:lang w:eastAsia="nl-NL"/>
        </w:rPr>
        <w:t>digital finance</w:t>
      </w:r>
      <w:r w:rsidRPr="00122176">
        <w:rPr>
          <w:rFonts w:ascii="Verdana" w:hAnsi="Verdana" w:eastAsia="Times New Roman" w:cs="Times New Roman"/>
          <w:sz w:val="18"/>
          <w:szCs w:val="18"/>
          <w:lang w:eastAsia="nl-NL"/>
        </w:rPr>
        <w:t xml:space="preserve">. Technologische veranderingen op gebied van internationaal betalingsverkeer is hier een onderdeel van. </w:t>
      </w:r>
      <w:r w:rsidR="00F37A12">
        <w:rPr>
          <w:rFonts w:ascii="Verdana" w:hAnsi="Verdana" w:eastAsia="Times New Roman" w:cs="Times New Roman"/>
          <w:sz w:val="18"/>
          <w:szCs w:val="18"/>
          <w:lang w:eastAsia="nl-NL"/>
        </w:rPr>
        <w:t>Het kabinet</w:t>
      </w:r>
      <w:r w:rsidRPr="00122176">
        <w:rPr>
          <w:rFonts w:ascii="Verdana" w:hAnsi="Verdana" w:eastAsia="Times New Roman" w:cs="Times New Roman"/>
          <w:sz w:val="18"/>
          <w:szCs w:val="18"/>
          <w:lang w:eastAsia="nl-NL"/>
        </w:rPr>
        <w:t xml:space="preserve"> zet ten aanzien van het betalingsverkeer in op het waarborgen van een veilig, betrouwbaar, efficiënt en toegankelijk betalingsverkeer, zowel nationaal als internationaal. Het Nederlandse beleid is er daarnaast op gericht om innovatie in de sector te stimuleren, waarbij consumentenbescherming en het waarborgen van privacy prioriteit hebben. Tot slot, is het ook bij </w:t>
      </w:r>
      <w:r w:rsidRPr="001E3F00">
        <w:rPr>
          <w:rFonts w:ascii="Verdana" w:hAnsi="Verdana" w:eastAsia="Times New Roman" w:cs="Times New Roman"/>
          <w:i/>
          <w:iCs/>
          <w:sz w:val="18"/>
          <w:szCs w:val="18"/>
          <w:lang w:eastAsia="nl-NL"/>
        </w:rPr>
        <w:t>digital finance</w:t>
      </w:r>
      <w:r w:rsidRPr="00122176">
        <w:rPr>
          <w:rFonts w:ascii="Verdana" w:hAnsi="Verdana" w:eastAsia="Times New Roman" w:cs="Times New Roman"/>
          <w:sz w:val="18"/>
          <w:szCs w:val="18"/>
          <w:lang w:eastAsia="nl-NL"/>
        </w:rPr>
        <w:t xml:space="preserve"> van belang dat de architectuur van het monetaire systeem met aan de basis de centrale bank behouden blijft.</w:t>
      </w:r>
    </w:p>
    <w:p w:rsidR="00B465BF" w:rsidP="001E3F00" w:rsidRDefault="00B465BF" w14:paraId="1BCA0CC7" w14:textId="77777777">
      <w:pPr>
        <w:spacing w:after="0" w:line="240" w:lineRule="atLeast"/>
        <w:rPr>
          <w:rFonts w:ascii="Verdana" w:hAnsi="Verdana" w:eastAsia="Times New Roman" w:cs="Times New Roman"/>
          <w:sz w:val="18"/>
          <w:szCs w:val="18"/>
          <w:lang w:eastAsia="nl-NL"/>
        </w:rPr>
      </w:pPr>
    </w:p>
    <w:p w:rsidRPr="00426318" w:rsidR="00C00F7E" w:rsidP="001E3F00" w:rsidRDefault="00C00F7E" w14:paraId="015B9554" w14:textId="77777777">
      <w:pPr>
        <w:spacing w:after="0" w:line="240" w:lineRule="atLeast"/>
        <w:rPr>
          <w:rFonts w:ascii="Verdana" w:hAnsi="Verdana"/>
          <w:bCs/>
          <w:sz w:val="18"/>
          <w:szCs w:val="18"/>
        </w:rPr>
      </w:pPr>
      <w:r w:rsidRPr="00426318">
        <w:rPr>
          <w:rFonts w:ascii="Verdana" w:hAnsi="Verdana"/>
          <w:b/>
          <w:bCs/>
          <w:sz w:val="18"/>
          <w:szCs w:val="18"/>
        </w:rPr>
        <w:t>Agendaonderwerp</w:t>
      </w:r>
      <w:r w:rsidRPr="00426318">
        <w:rPr>
          <w:rFonts w:ascii="Verdana" w:hAnsi="Verdana"/>
          <w:bCs/>
          <w:sz w:val="18"/>
          <w:szCs w:val="18"/>
        </w:rPr>
        <w:t>: De economische impact van AI</w:t>
      </w:r>
    </w:p>
    <w:p w:rsidRPr="00426318" w:rsidR="00C00F7E" w:rsidP="001E3F00" w:rsidRDefault="00C00F7E" w14:paraId="317C61B4" w14:textId="77777777">
      <w:pPr>
        <w:pStyle w:val="Plattetekst"/>
        <w:spacing w:after="0" w:line="240" w:lineRule="atLeast"/>
        <w:rPr>
          <w:rFonts w:ascii="Verdana" w:hAnsi="Verdana" w:cs="Arial"/>
          <w:sz w:val="18"/>
          <w:szCs w:val="18"/>
        </w:rPr>
      </w:pPr>
      <w:r w:rsidRPr="00426318">
        <w:rPr>
          <w:rFonts w:ascii="Verdana" w:hAnsi="Verdana" w:cs="Arial"/>
          <w:b/>
          <w:bCs/>
          <w:sz w:val="18"/>
          <w:szCs w:val="18"/>
        </w:rPr>
        <w:t xml:space="preserve">Document: </w:t>
      </w:r>
      <w:r w:rsidRPr="00426318">
        <w:rPr>
          <w:rFonts w:ascii="Verdana" w:hAnsi="Verdana" w:cs="Arial"/>
          <w:bCs/>
          <w:sz w:val="18"/>
          <w:szCs w:val="18"/>
        </w:rPr>
        <w:t>N.v.t.</w:t>
      </w:r>
    </w:p>
    <w:p w:rsidRPr="00426318" w:rsidR="00C00F7E" w:rsidP="001E3F00" w:rsidRDefault="00C00F7E" w14:paraId="0BBCF3FD" w14:textId="77777777">
      <w:pPr>
        <w:pStyle w:val="Plattetekst"/>
        <w:spacing w:after="0" w:line="240" w:lineRule="atLeast"/>
        <w:rPr>
          <w:rFonts w:ascii="Verdana" w:hAnsi="Verdana" w:cs="Arial"/>
          <w:sz w:val="18"/>
          <w:szCs w:val="18"/>
        </w:rPr>
      </w:pPr>
      <w:r w:rsidRPr="00426318">
        <w:rPr>
          <w:rFonts w:ascii="Verdana" w:hAnsi="Verdana" w:cs="Arial"/>
          <w:b/>
          <w:bCs/>
          <w:sz w:val="18"/>
          <w:szCs w:val="18"/>
        </w:rPr>
        <w:t xml:space="preserve">Aard bespreking: </w:t>
      </w:r>
      <w:r w:rsidRPr="00426318">
        <w:rPr>
          <w:rFonts w:ascii="Verdana" w:hAnsi="Verdana" w:cs="Arial"/>
          <w:bCs/>
          <w:sz w:val="18"/>
          <w:szCs w:val="18"/>
        </w:rPr>
        <w:t>Gedachtewisseling</w:t>
      </w:r>
    </w:p>
    <w:p w:rsidRPr="00426318" w:rsidR="00C00F7E" w:rsidP="001E3F00" w:rsidRDefault="00C00F7E" w14:paraId="6AE8D55C" w14:textId="77777777">
      <w:pPr>
        <w:pStyle w:val="Plattetekst"/>
        <w:spacing w:after="0" w:line="240" w:lineRule="atLeast"/>
        <w:rPr>
          <w:rFonts w:ascii="Verdana" w:hAnsi="Verdana" w:cs="Arial"/>
          <w:bCs/>
          <w:sz w:val="18"/>
          <w:szCs w:val="18"/>
        </w:rPr>
      </w:pPr>
      <w:r w:rsidRPr="00426318">
        <w:rPr>
          <w:rFonts w:ascii="Verdana" w:hAnsi="Verdana" w:cs="Arial"/>
          <w:b/>
          <w:bCs/>
          <w:sz w:val="18"/>
          <w:szCs w:val="18"/>
        </w:rPr>
        <w:t xml:space="preserve">Besluitvormingsprocedure: </w:t>
      </w:r>
      <w:r w:rsidRPr="00426318">
        <w:rPr>
          <w:rFonts w:ascii="Verdana" w:hAnsi="Verdana" w:cs="Arial"/>
          <w:bCs/>
          <w:sz w:val="18"/>
          <w:szCs w:val="18"/>
        </w:rPr>
        <w:t>N.v.t.</w:t>
      </w:r>
    </w:p>
    <w:p w:rsidRPr="00426318" w:rsidR="00C00F7E" w:rsidP="001E3F00" w:rsidRDefault="00C00F7E" w14:paraId="014E2592" w14:textId="77777777">
      <w:pPr>
        <w:pStyle w:val="Plattetekst"/>
        <w:spacing w:after="0" w:line="240" w:lineRule="atLeast"/>
        <w:rPr>
          <w:rFonts w:ascii="Verdana" w:hAnsi="Verdana"/>
          <w:bCs/>
          <w:sz w:val="18"/>
          <w:szCs w:val="18"/>
        </w:rPr>
      </w:pPr>
      <w:r w:rsidRPr="00426318">
        <w:rPr>
          <w:rFonts w:ascii="Verdana" w:hAnsi="Verdana" w:eastAsia="Calibri" w:cs="Arial"/>
          <w:b/>
          <w:bCs/>
          <w:sz w:val="18"/>
          <w:szCs w:val="18"/>
        </w:rPr>
        <w:t>Toelichting:</w:t>
      </w:r>
    </w:p>
    <w:p w:rsidRPr="00426318" w:rsidR="00C00F7E" w:rsidP="001E3F00" w:rsidRDefault="001E3F00" w14:paraId="6B7CA8D0" w14:textId="640FA316">
      <w:pPr>
        <w:spacing w:after="0" w:line="240" w:lineRule="atLeast"/>
        <w:rPr>
          <w:rFonts w:ascii="Verdana" w:hAnsi="Verdana"/>
          <w:sz w:val="18"/>
          <w:szCs w:val="18"/>
        </w:rPr>
      </w:pPr>
      <w:r>
        <w:rPr>
          <w:rFonts w:ascii="Verdana" w:hAnsi="Verdana"/>
          <w:sz w:val="18"/>
          <w:szCs w:val="18"/>
        </w:rPr>
        <w:t>Tijdens de informele Ecofinraad</w:t>
      </w:r>
      <w:r w:rsidRPr="00426318" w:rsidR="00C00F7E">
        <w:rPr>
          <w:rFonts w:ascii="Verdana" w:hAnsi="Verdana"/>
          <w:sz w:val="18"/>
          <w:szCs w:val="18"/>
        </w:rPr>
        <w:t xml:space="preserve"> zal </w:t>
      </w:r>
      <w:r>
        <w:rPr>
          <w:rFonts w:ascii="Verdana" w:hAnsi="Verdana"/>
          <w:sz w:val="18"/>
          <w:szCs w:val="18"/>
        </w:rPr>
        <w:t>gesproken worden</w:t>
      </w:r>
      <w:r w:rsidRPr="00426318" w:rsidR="00C00F7E">
        <w:rPr>
          <w:rFonts w:ascii="Verdana" w:hAnsi="Verdana"/>
          <w:sz w:val="18"/>
          <w:szCs w:val="18"/>
        </w:rPr>
        <w:t xml:space="preserve"> over de economische impact van AI. In de VS zijn AI-gerelateerde investeringen sterk gestegen, en vormen ze een belangrijk deel van de economische groei. Europese investeringen blijven nog achter. De adoptie van AI biedt kansen om het economische groeipotentieel te verhogen. Op microniveau worden significante productiviteitswinsten gevonden, hoewel AI-potentieel zich op dit moment nog niet direct vertaalt in meetbare productiviteitswinst op macroniveau.</w:t>
      </w:r>
      <w:r w:rsidRPr="00426318" w:rsidR="00C00F7E">
        <w:rPr>
          <w:rStyle w:val="Voetnootmarkering"/>
          <w:rFonts w:ascii="Verdana" w:hAnsi="Verdana"/>
          <w:sz w:val="18"/>
          <w:szCs w:val="18"/>
        </w:rPr>
        <w:footnoteReference w:id="7"/>
      </w:r>
      <w:r w:rsidRPr="00426318" w:rsidR="00C00F7E">
        <w:rPr>
          <w:rFonts w:ascii="Verdana" w:hAnsi="Verdana"/>
          <w:sz w:val="18"/>
          <w:szCs w:val="18"/>
        </w:rPr>
        <w:t xml:space="preserve"> Ook het effect op de arbeidsmarkt is nog onduidelijk. De werkloosheid stijgt momenteel in AI-blootgestelde beroepen niet sneller dan elders. </w:t>
      </w:r>
    </w:p>
    <w:p w:rsidRPr="00426318" w:rsidR="00C00F7E" w:rsidP="001E3F00" w:rsidRDefault="00C00F7E" w14:paraId="28652B7D" w14:textId="77777777">
      <w:pPr>
        <w:spacing w:after="0" w:line="240" w:lineRule="atLeast"/>
        <w:rPr>
          <w:rFonts w:ascii="Verdana" w:hAnsi="Verdana"/>
          <w:sz w:val="18"/>
          <w:szCs w:val="18"/>
        </w:rPr>
      </w:pPr>
    </w:p>
    <w:p w:rsidR="006C3DEE" w:rsidP="001151E1" w:rsidRDefault="00C00F7E" w14:paraId="2EBB11A7" w14:textId="671CD3E9">
      <w:pPr>
        <w:spacing w:after="0" w:line="240" w:lineRule="atLeast"/>
        <w:rPr>
          <w:rFonts w:ascii="Verdana" w:hAnsi="Verdana"/>
          <w:sz w:val="18"/>
          <w:szCs w:val="18"/>
        </w:rPr>
      </w:pPr>
      <w:r w:rsidRPr="00426318">
        <w:rPr>
          <w:rFonts w:ascii="Verdana" w:hAnsi="Verdana"/>
          <w:sz w:val="18"/>
          <w:szCs w:val="18"/>
        </w:rPr>
        <w:t xml:space="preserve">Hoewel de economische effecten nog onzeker zijn, is duidelijk dat </w:t>
      </w:r>
      <w:proofErr w:type="gramStart"/>
      <w:r w:rsidRPr="00426318">
        <w:rPr>
          <w:rFonts w:ascii="Verdana" w:hAnsi="Verdana"/>
          <w:sz w:val="18"/>
          <w:szCs w:val="18"/>
        </w:rPr>
        <w:t>AI kansen</w:t>
      </w:r>
      <w:proofErr w:type="gramEnd"/>
      <w:r w:rsidRPr="00426318">
        <w:rPr>
          <w:rFonts w:ascii="Verdana" w:hAnsi="Verdana"/>
          <w:sz w:val="18"/>
          <w:szCs w:val="18"/>
        </w:rPr>
        <w:t xml:space="preserve"> biedt om de potentiële groei te verhogen. </w:t>
      </w:r>
      <w:r w:rsidR="00F37A12">
        <w:rPr>
          <w:rFonts w:ascii="Verdana" w:hAnsi="Verdana"/>
          <w:sz w:val="18"/>
          <w:szCs w:val="18"/>
        </w:rPr>
        <w:t>Het kabinet</w:t>
      </w:r>
      <w:r w:rsidRPr="00426318">
        <w:rPr>
          <w:rFonts w:ascii="Verdana" w:hAnsi="Verdana"/>
          <w:sz w:val="18"/>
          <w:szCs w:val="18"/>
        </w:rPr>
        <w:t xml:space="preserve"> zet daarom internationaal in op het versterken van de </w:t>
      </w:r>
      <w:r w:rsidRPr="00426318">
        <w:rPr>
          <w:rFonts w:ascii="Verdana" w:hAnsi="Verdana"/>
          <w:sz w:val="18"/>
          <w:szCs w:val="18"/>
        </w:rPr>
        <w:lastRenderedPageBreak/>
        <w:t xml:space="preserve">Europese AI-capaciteit en infrastructuur. Tegelijkertijd zijn er ook risico’s. De Europese AI-infrastructuur is sterk afhankelijk van niet-Europese aanbieders. </w:t>
      </w:r>
      <w:r w:rsidRPr="001151E1" w:rsidR="001151E1">
        <w:rPr>
          <w:rFonts w:ascii="Verdana" w:hAnsi="Verdana"/>
          <w:sz w:val="18"/>
          <w:szCs w:val="18"/>
        </w:rPr>
        <w:t>Daarnaast worden investeringen in AI in toenemende mate met schuld gefinancierd, wat een kwetsbaarheid voor AI-bedrijven kan zijn wanneer prestaties achterblijven bij de hoge verwachtingen.</w:t>
      </w:r>
      <w:r w:rsidR="001151E1">
        <w:rPr>
          <w:rStyle w:val="Voetnootmarkering"/>
          <w:rFonts w:ascii="Verdana" w:hAnsi="Verdana"/>
          <w:sz w:val="18"/>
          <w:szCs w:val="18"/>
        </w:rPr>
        <w:footnoteReference w:id="8"/>
      </w:r>
      <w:r w:rsidRPr="001151E1" w:rsidR="001151E1">
        <w:rPr>
          <w:rFonts w:ascii="Verdana" w:hAnsi="Verdana"/>
          <w:sz w:val="18"/>
          <w:szCs w:val="18"/>
        </w:rPr>
        <w:t xml:space="preserve"> Als de hoge verwachtingen niet worden waargemaakt, kan dit ook impact hebben op beurskoersen, die als gevolg van optimisme over AI zijn gestegen. Om deze risico’s te adresseren </w:t>
      </w:r>
      <w:r w:rsidRPr="00426318">
        <w:rPr>
          <w:rFonts w:ascii="Verdana" w:hAnsi="Verdana"/>
          <w:sz w:val="18"/>
          <w:szCs w:val="18"/>
        </w:rPr>
        <w:t xml:space="preserve">benadrukt </w:t>
      </w:r>
      <w:r w:rsidR="00F37A12">
        <w:rPr>
          <w:rFonts w:ascii="Verdana" w:hAnsi="Verdana"/>
          <w:sz w:val="18"/>
          <w:szCs w:val="18"/>
        </w:rPr>
        <w:t xml:space="preserve">het kabinet </w:t>
      </w:r>
      <w:r w:rsidRPr="00426318">
        <w:rPr>
          <w:rFonts w:ascii="Verdana" w:hAnsi="Verdana"/>
          <w:sz w:val="18"/>
          <w:szCs w:val="18"/>
        </w:rPr>
        <w:t xml:space="preserve">het belang van het terugdringen en voorkomen van risicovolle strategische afhankelijkheden in de mondiale AI-waardeketen, het versterken van internationale partnerschappen en het vergroten van de Europese slagkracht. </w:t>
      </w:r>
      <w:r w:rsidRPr="001151E1" w:rsidR="001151E1">
        <w:rPr>
          <w:rFonts w:ascii="Verdana" w:hAnsi="Verdana"/>
          <w:sz w:val="18"/>
          <w:szCs w:val="18"/>
        </w:rPr>
        <w:t>Daarnaast houdt het kabinet ontwikkelingen op de financiële markten samen met de toezichthouders goed in de gaten.</w:t>
      </w:r>
    </w:p>
    <w:p w:rsidR="00DA29E9" w:rsidP="001151E1" w:rsidRDefault="00DA29E9" w14:paraId="0764F390" w14:textId="77777777">
      <w:pPr>
        <w:spacing w:after="0" w:line="240" w:lineRule="atLeast"/>
        <w:rPr>
          <w:rFonts w:ascii="Verdana" w:hAnsi="Verdana" w:eastAsia="Verdana" w:cs="Verdana"/>
          <w:b/>
          <w:bCs/>
          <w:sz w:val="18"/>
          <w:szCs w:val="18"/>
        </w:rPr>
      </w:pPr>
    </w:p>
    <w:p w:rsidRPr="006C3DEE" w:rsidR="7D19A933" w:rsidP="006C3DEE" w:rsidRDefault="7D19A933" w14:paraId="7E8C6D45" w14:textId="085E8FB0">
      <w:pPr>
        <w:spacing w:after="0" w:line="240" w:lineRule="atLeast"/>
        <w:rPr>
          <w:rFonts w:ascii="Verdana" w:hAnsi="Verdana" w:eastAsia="Verdana" w:cs="Verdana"/>
          <w:b/>
          <w:bCs/>
          <w:sz w:val="18"/>
          <w:szCs w:val="18"/>
        </w:rPr>
      </w:pPr>
      <w:r w:rsidRPr="006C3DEE">
        <w:rPr>
          <w:rFonts w:ascii="Verdana" w:hAnsi="Verdana" w:eastAsia="Verdana" w:cs="Verdana"/>
          <w:color w:val="4471C4"/>
          <w:sz w:val="24"/>
          <w:szCs w:val="24"/>
        </w:rPr>
        <w:t>Overig</w:t>
      </w:r>
    </w:p>
    <w:p w:rsidR="7D19A933" w:rsidP="001E3F00" w:rsidRDefault="7D19A933" w14:paraId="3AEF49BE" w14:textId="6704F528">
      <w:pPr>
        <w:spacing w:after="0" w:line="240" w:lineRule="atLeast"/>
      </w:pPr>
      <w:r w:rsidRPr="7D19A933">
        <w:rPr>
          <w:rFonts w:ascii="Verdana" w:hAnsi="Verdana" w:eastAsia="Verdana" w:cs="Verdana"/>
          <w:b/>
          <w:bCs/>
          <w:sz w:val="18"/>
          <w:szCs w:val="18"/>
        </w:rPr>
        <w:t>Informatievoorziening aan de Kamer over de Herstel- en Veerkrachtfaciliteit in de afgelopen zomerperiode</w:t>
      </w:r>
    </w:p>
    <w:p w:rsidR="001E3F00" w:rsidP="001E3F00" w:rsidRDefault="7D19A933" w14:paraId="21920B92" w14:textId="7DFE8E54">
      <w:pPr>
        <w:spacing w:after="0" w:line="240" w:lineRule="atLeast"/>
        <w:rPr>
          <w:rFonts w:ascii="Verdana" w:hAnsi="Verdana" w:eastAsia="Verdana" w:cs="Verdana"/>
          <w:sz w:val="18"/>
          <w:szCs w:val="18"/>
        </w:rPr>
      </w:pPr>
      <w:r w:rsidRPr="7D19A933">
        <w:rPr>
          <w:rFonts w:ascii="Verdana" w:hAnsi="Verdana" w:eastAsia="Verdana" w:cs="Verdana"/>
          <w:sz w:val="18"/>
          <w:szCs w:val="18"/>
        </w:rPr>
        <w:t>Zoals aangegeven in de beantwoording van het schriftelijk overleg Eurogroep en Ecofinraad van 9 en 10 juli 2026</w:t>
      </w:r>
      <w:r w:rsidR="006C3DEE">
        <w:rPr>
          <w:rStyle w:val="Voetnootmarkering"/>
          <w:rFonts w:ascii="Verdana" w:hAnsi="Verdana" w:eastAsia="Verdana" w:cs="Verdana"/>
          <w:sz w:val="18"/>
          <w:szCs w:val="18"/>
        </w:rPr>
        <w:footnoteReference w:id="9"/>
      </w:r>
      <w:r w:rsidR="006C3DEE">
        <w:t xml:space="preserve"> </w:t>
      </w:r>
      <w:r w:rsidRPr="7D19A933">
        <w:rPr>
          <w:rFonts w:ascii="Verdana" w:hAnsi="Verdana" w:eastAsia="Verdana" w:cs="Verdana"/>
          <w:sz w:val="18"/>
          <w:szCs w:val="18"/>
        </w:rPr>
        <w:t xml:space="preserve">ontvangt de Kamer </w:t>
      </w:r>
      <w:proofErr w:type="gramStart"/>
      <w:r w:rsidRPr="7D19A933">
        <w:rPr>
          <w:rFonts w:ascii="Verdana" w:hAnsi="Verdana" w:eastAsia="Verdana" w:cs="Verdana"/>
          <w:sz w:val="18"/>
          <w:szCs w:val="18"/>
        </w:rPr>
        <w:t>middels</w:t>
      </w:r>
      <w:proofErr w:type="gramEnd"/>
      <w:r w:rsidRPr="7D19A933">
        <w:rPr>
          <w:rFonts w:ascii="Verdana" w:hAnsi="Verdana" w:eastAsia="Verdana" w:cs="Verdana"/>
          <w:sz w:val="18"/>
          <w:szCs w:val="18"/>
        </w:rPr>
        <w:t xml:space="preserve"> deze geannoteerde agenda een update over de wijzigingen van herstel- en veerkrachtplannen die middels een schriftelijke procedure in de zomerperiode hebben plaatsgevonden en over eventuele voorlopige Commissiebeoordelingen van betaalverzoeken in het kader van de Herstel- en Veerkrachtfaciliteit (HVF).</w:t>
      </w:r>
    </w:p>
    <w:p w:rsidR="7D19A933" w:rsidP="001E3F00" w:rsidRDefault="7D19A933" w14:paraId="37A9C21C" w14:textId="34BBBEC3">
      <w:pPr>
        <w:spacing w:after="0" w:line="240" w:lineRule="atLeast"/>
      </w:pPr>
      <w:r w:rsidRPr="7D19A933">
        <w:rPr>
          <w:rFonts w:ascii="Verdana" w:hAnsi="Verdana" w:eastAsia="Verdana" w:cs="Verdana"/>
          <w:sz w:val="18"/>
          <w:szCs w:val="18"/>
        </w:rPr>
        <w:t xml:space="preserve"> </w:t>
      </w:r>
    </w:p>
    <w:p w:rsidR="7D19A933" w:rsidP="001E3F00" w:rsidRDefault="7D19A933" w14:paraId="400E6303" w14:textId="27460086">
      <w:pPr>
        <w:spacing w:after="0" w:line="240" w:lineRule="atLeast"/>
      </w:pPr>
      <w:r w:rsidRPr="7D19A933">
        <w:rPr>
          <w:rFonts w:ascii="Verdana" w:hAnsi="Verdana" w:eastAsia="Verdana" w:cs="Verdana"/>
          <w:i/>
          <w:iCs/>
          <w:sz w:val="18"/>
          <w:szCs w:val="18"/>
        </w:rPr>
        <w:t>Planwijzigingen</w:t>
      </w:r>
    </w:p>
    <w:p w:rsidR="006C3DEE" w:rsidP="001E3F00" w:rsidRDefault="7D19A933" w14:paraId="04B41843" w14:textId="3B14EA9A">
      <w:pPr>
        <w:spacing w:after="0" w:line="240" w:lineRule="atLeast"/>
        <w:rPr>
          <w:rFonts w:ascii="Verdana" w:hAnsi="Verdana" w:eastAsia="Verdana" w:cs="Verdana"/>
          <w:sz w:val="18"/>
          <w:szCs w:val="18"/>
        </w:rPr>
      </w:pPr>
      <w:r w:rsidRPr="7D19A933">
        <w:rPr>
          <w:rFonts w:ascii="Verdana" w:hAnsi="Verdana" w:eastAsia="Verdana" w:cs="Verdana"/>
          <w:sz w:val="18"/>
          <w:szCs w:val="18"/>
        </w:rPr>
        <w:t xml:space="preserve">Lidstaten kunnen, op basis van artikel 21 van de HVF-verordening, gebruik maken van de mogelijkheid om hun herstel- en veerkrachtplan (HVP) aan te passen op grond van objectieve omstandigheden die relevant zijn voor de eerder overeengekomen mijlpalen en doelstellingen of wanneer daar een beter alternatief voor wordt voorgesteld waarbij het oorspronkelijke ambitieniveau van het HVP onveranderd blijft. In de zomer hebben twee schriftelijke procedures plaatsgevonden om tot Raadsbesluitvorming over HVP-wijzigingen te komen. In deze schriftelijke procedures hebben wijzigingen van 17 </w:t>
      </w:r>
      <w:proofErr w:type="spellStart"/>
      <w:r w:rsidRPr="7D19A933">
        <w:rPr>
          <w:rFonts w:ascii="Verdana" w:hAnsi="Verdana" w:eastAsia="Verdana" w:cs="Verdana"/>
          <w:sz w:val="18"/>
          <w:szCs w:val="18"/>
        </w:rPr>
        <w:t>HVPs</w:t>
      </w:r>
      <w:proofErr w:type="spellEnd"/>
      <w:r w:rsidRPr="7D19A933">
        <w:rPr>
          <w:rFonts w:ascii="Verdana" w:hAnsi="Verdana" w:eastAsia="Verdana" w:cs="Verdana"/>
          <w:sz w:val="18"/>
          <w:szCs w:val="18"/>
        </w:rPr>
        <w:t xml:space="preserve"> voorgelegen. Dit betroffen de plannen van: Tsjechië, Estland, Frankrijk, Ierland, Malta, Roemenië, Griekenland, Kroatië, Letland, Portugal, België, Cyprus, Bulgarije, Italië, Spanje, Polen en Hongarije.</w:t>
      </w:r>
      <w:r w:rsidR="006C3DEE">
        <w:rPr>
          <w:rStyle w:val="Voetnootmarkering"/>
          <w:rFonts w:ascii="Verdana" w:hAnsi="Verdana" w:eastAsia="Verdana" w:cs="Verdana"/>
          <w:sz w:val="18"/>
          <w:szCs w:val="18"/>
        </w:rPr>
        <w:footnoteReference w:id="10"/>
      </w:r>
      <w:r w:rsidRPr="7D19A933" w:rsidR="006C3DEE">
        <w:rPr>
          <w:rFonts w:ascii="Verdana" w:hAnsi="Verdana" w:eastAsia="Verdana" w:cs="Verdana"/>
          <w:sz w:val="18"/>
          <w:szCs w:val="18"/>
        </w:rPr>
        <w:t xml:space="preserve"> </w:t>
      </w:r>
      <w:proofErr w:type="gramStart"/>
      <w:r w:rsidRPr="7D19A933">
        <w:rPr>
          <w:rFonts w:ascii="Verdana" w:hAnsi="Verdana" w:eastAsia="Verdana" w:cs="Verdana"/>
          <w:sz w:val="18"/>
          <w:szCs w:val="18"/>
        </w:rPr>
        <w:t>Conform</w:t>
      </w:r>
      <w:proofErr w:type="gramEnd"/>
      <w:r w:rsidRPr="7D19A933">
        <w:rPr>
          <w:rFonts w:ascii="Verdana" w:hAnsi="Verdana" w:eastAsia="Verdana" w:cs="Verdana"/>
          <w:sz w:val="18"/>
          <w:szCs w:val="18"/>
        </w:rPr>
        <w:t xml:space="preserve"> de vereisten voor het gebruik van een schriftelijke procedure waren de voorliggende wijzigingen van technische aard. Daarnaast voldeden alle wijzigingen aan de vereisten van artikel 21 van de HVF-verordening die lidstaten in staat stelt om een plan te wijzigen. De Raad heeft middels de schriftelijke procedure zodoende ingestemd met de voorliggende planwijzigingen.</w:t>
      </w:r>
    </w:p>
    <w:p w:rsidR="7D19A933" w:rsidP="001E3F00" w:rsidRDefault="7D19A933" w14:paraId="1AD440D3" w14:textId="44A83989">
      <w:pPr>
        <w:spacing w:after="0" w:line="240" w:lineRule="atLeast"/>
      </w:pPr>
      <w:r w:rsidRPr="7D19A933">
        <w:rPr>
          <w:rFonts w:ascii="Verdana" w:hAnsi="Verdana" w:eastAsia="Verdana" w:cs="Verdana"/>
          <w:sz w:val="18"/>
          <w:szCs w:val="18"/>
        </w:rPr>
        <w:t xml:space="preserve"> </w:t>
      </w:r>
    </w:p>
    <w:p w:rsidR="7D19A933" w:rsidP="001E3F00" w:rsidRDefault="7D19A933" w14:paraId="5B192DD1" w14:textId="1B948730">
      <w:pPr>
        <w:spacing w:after="0" w:line="240" w:lineRule="atLeast"/>
      </w:pPr>
      <w:r w:rsidRPr="7D19A933">
        <w:rPr>
          <w:rFonts w:ascii="Verdana" w:hAnsi="Verdana" w:eastAsia="Verdana" w:cs="Verdana"/>
          <w:i/>
          <w:iCs/>
          <w:sz w:val="18"/>
          <w:szCs w:val="18"/>
        </w:rPr>
        <w:t>Voorlopige beoordelingen betaalverzoeken</w:t>
      </w:r>
    </w:p>
    <w:p w:rsidRPr="006C3DEE" w:rsidR="7D19A933" w:rsidP="001E3F00" w:rsidRDefault="7D19A933" w14:paraId="39661D2A" w14:textId="4B53A9BF">
      <w:pPr>
        <w:spacing w:after="0" w:line="240" w:lineRule="atLeast"/>
      </w:pPr>
      <w:r w:rsidRPr="7D19A933">
        <w:rPr>
          <w:rFonts w:ascii="Verdana" w:hAnsi="Verdana" w:eastAsia="Verdana" w:cs="Verdana"/>
          <w:sz w:val="18"/>
          <w:szCs w:val="18"/>
        </w:rPr>
        <w:t>De implementatie van de HVF geeft aanleiding tot verzoeken tot uitbetaling van middelen uit de faciliteit. De Kamer ontvangt elke voorlopige beoordeling van betaalverzoeken die de Europese Commissie publiceert ter bespreking in het Economisch en Financieel Comité. In de zomerperiode heeft de Commissie voorlopige beoordelingen van 9 betaalverzoeken gepubliceerd. Dit betroffen betaalverzoeken van: België, Portugal, Spanje, Tsjechië, Cyprus, Estland, Zweden, België en Polen.</w:t>
      </w:r>
      <w:r w:rsidR="006C3DEE">
        <w:rPr>
          <w:rStyle w:val="Voetnootmarkering"/>
          <w:rFonts w:ascii="Verdana" w:hAnsi="Verdana" w:eastAsia="Verdana" w:cs="Verdana"/>
          <w:sz w:val="18"/>
          <w:szCs w:val="18"/>
        </w:rPr>
        <w:footnoteReference w:id="11"/>
      </w:r>
      <w:r w:rsidRPr="7D19A933">
        <w:rPr>
          <w:rFonts w:ascii="Verdana" w:hAnsi="Verdana" w:eastAsia="Verdana" w:cs="Verdana"/>
          <w:sz w:val="18"/>
          <w:szCs w:val="18"/>
        </w:rPr>
        <w:t xml:space="preserve"> Lidstaten kunnen tot uiterlijk 31 december 2026 uitbetalingen uit de HVF ontvangen.</w:t>
      </w:r>
    </w:p>
    <w:sectPr w:rsidRPr="006C3DEE" w:rsidR="7D19A933" w:rsidSect="001D0F10">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38F70" w14:textId="77777777" w:rsidR="000B4E4A" w:rsidRDefault="000B4E4A" w:rsidP="00800606">
      <w:pPr>
        <w:spacing w:after="0" w:line="240" w:lineRule="auto"/>
      </w:pPr>
      <w:r>
        <w:separator/>
      </w:r>
    </w:p>
  </w:endnote>
  <w:endnote w:type="continuationSeparator" w:id="0">
    <w:p w14:paraId="23C7BCC6" w14:textId="77777777" w:rsidR="000B4E4A" w:rsidRDefault="000B4E4A" w:rsidP="00800606">
      <w:pPr>
        <w:spacing w:after="0" w:line="240" w:lineRule="auto"/>
      </w:pPr>
      <w:r>
        <w:continuationSeparator/>
      </w:r>
    </w:p>
  </w:endnote>
  <w:endnote w:type="continuationNotice" w:id="1">
    <w:p w14:paraId="1A7DA9CD" w14:textId="77777777" w:rsidR="000B4E4A" w:rsidRDefault="000B4E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B1E25" w14:textId="77777777" w:rsidR="000B4E4A" w:rsidRDefault="000B4E4A" w:rsidP="00800606">
      <w:pPr>
        <w:spacing w:after="0" w:line="240" w:lineRule="auto"/>
      </w:pPr>
      <w:r>
        <w:separator/>
      </w:r>
    </w:p>
  </w:footnote>
  <w:footnote w:type="continuationSeparator" w:id="0">
    <w:p w14:paraId="1CDE3D4A" w14:textId="77777777" w:rsidR="000B4E4A" w:rsidRDefault="000B4E4A" w:rsidP="00800606">
      <w:pPr>
        <w:spacing w:after="0" w:line="240" w:lineRule="auto"/>
      </w:pPr>
      <w:r>
        <w:continuationSeparator/>
      </w:r>
    </w:p>
  </w:footnote>
  <w:footnote w:type="continuationNotice" w:id="1">
    <w:p w14:paraId="3B6D0028" w14:textId="77777777" w:rsidR="000B4E4A" w:rsidRDefault="000B4E4A">
      <w:pPr>
        <w:spacing w:after="0" w:line="240" w:lineRule="auto"/>
      </w:pPr>
    </w:p>
  </w:footnote>
  <w:footnote w:id="2">
    <w:p w14:paraId="616D4271" w14:textId="7E215C94" w:rsidR="00BB7EB6" w:rsidRPr="001151E1" w:rsidRDefault="00BB7EB6" w:rsidP="006C3DEE">
      <w:pPr>
        <w:spacing w:after="0" w:line="240" w:lineRule="auto"/>
        <w:rPr>
          <w:rFonts w:ascii="Verdana" w:hAnsi="Verdana"/>
          <w:sz w:val="16"/>
          <w:szCs w:val="16"/>
          <w:lang w:val="en-US"/>
        </w:rPr>
      </w:pPr>
      <w:r w:rsidRPr="001151E1">
        <w:rPr>
          <w:rFonts w:ascii="Verdana" w:hAnsi="Verdana"/>
          <w:sz w:val="16"/>
          <w:szCs w:val="16"/>
        </w:rPr>
        <w:footnoteRef/>
      </w:r>
      <w:r w:rsidRPr="001151E1">
        <w:rPr>
          <w:rFonts w:ascii="Verdana" w:hAnsi="Verdana"/>
          <w:sz w:val="16"/>
          <w:szCs w:val="16"/>
          <w:lang w:val="en-US"/>
        </w:rPr>
        <w:t xml:space="preserve"> </w:t>
      </w:r>
      <w:hyperlink r:id="rId1" w:history="1">
        <w:r w:rsidR="001E3F00" w:rsidRPr="001151E1">
          <w:rPr>
            <w:rStyle w:val="Hyperlink"/>
            <w:rFonts w:ascii="Verdana" w:hAnsi="Verdana" w:cs="Times New Roman"/>
            <w:sz w:val="16"/>
            <w:szCs w:val="16"/>
            <w:lang w:val="en-US" w:eastAsia="nl-NL"/>
          </w:rPr>
          <w:t>https://economy-finance.ec.europa.eu/economic-forecast-and-surveys/economic-forecasts/spring-2026-economic-forecast-slowdown-growth-energy-shock-drives-inflation_en</w:t>
        </w:r>
      </w:hyperlink>
    </w:p>
  </w:footnote>
  <w:footnote w:id="3">
    <w:p w14:paraId="379ACDAE" w14:textId="45270F37" w:rsidR="00BB7EB6" w:rsidRPr="001151E1" w:rsidRDefault="00BB7EB6" w:rsidP="006C3DEE">
      <w:pPr>
        <w:spacing w:after="0" w:line="240" w:lineRule="auto"/>
        <w:rPr>
          <w:rFonts w:ascii="Verdana" w:hAnsi="Verdana"/>
          <w:sz w:val="16"/>
          <w:szCs w:val="16"/>
          <w:lang w:val="en-US"/>
        </w:rPr>
      </w:pPr>
      <w:r w:rsidRPr="001151E1">
        <w:rPr>
          <w:rFonts w:ascii="Verdana" w:hAnsi="Verdana"/>
          <w:sz w:val="16"/>
          <w:szCs w:val="16"/>
        </w:rPr>
        <w:footnoteRef/>
      </w:r>
      <w:r w:rsidRPr="001151E1">
        <w:rPr>
          <w:rFonts w:ascii="Verdana" w:hAnsi="Verdana"/>
          <w:sz w:val="16"/>
          <w:szCs w:val="16"/>
          <w:lang w:val="en-US"/>
        </w:rPr>
        <w:t xml:space="preserve"> </w:t>
      </w:r>
      <w:hyperlink r:id="rId2" w:history="1">
        <w:r w:rsidR="001E3F00" w:rsidRPr="001151E1">
          <w:rPr>
            <w:rStyle w:val="Hyperlink"/>
            <w:rFonts w:ascii="Verdana" w:hAnsi="Verdana" w:cs="Times New Roman"/>
            <w:sz w:val="16"/>
            <w:szCs w:val="16"/>
            <w:lang w:val="en-US" w:eastAsia="nl-NL"/>
          </w:rPr>
          <w:t>https://www.oecd.org/content/dam/oecd/en/publications/reports/2026/06/oecd-compendium-of-productivity-indicators-2026_04e21c23/734a5e68-en.pd</w:t>
        </w:r>
        <w:r w:rsidR="001E3F00" w:rsidRPr="001151E1">
          <w:rPr>
            <w:rStyle w:val="Hyperlink"/>
            <w:rFonts w:ascii="Verdana" w:hAnsi="Verdana"/>
            <w:sz w:val="16"/>
            <w:szCs w:val="16"/>
            <w:lang w:val="en-US"/>
          </w:rPr>
          <w:t>f</w:t>
        </w:r>
      </w:hyperlink>
      <w:r w:rsidR="001E3F00" w:rsidRPr="001151E1">
        <w:rPr>
          <w:rFonts w:ascii="Verdana" w:hAnsi="Verdana"/>
          <w:sz w:val="16"/>
          <w:szCs w:val="16"/>
          <w:lang w:val="en-US"/>
        </w:rPr>
        <w:t xml:space="preserve">  </w:t>
      </w:r>
    </w:p>
  </w:footnote>
  <w:footnote w:id="4">
    <w:p w14:paraId="48D163E0" w14:textId="6E2DA0F1" w:rsidR="00BB7EB6" w:rsidRPr="001151E1" w:rsidRDefault="00BB7EB6" w:rsidP="006C3DEE">
      <w:pPr>
        <w:spacing w:after="0" w:line="240" w:lineRule="auto"/>
        <w:rPr>
          <w:rFonts w:ascii="Verdana" w:hAnsi="Verdana"/>
          <w:sz w:val="16"/>
          <w:szCs w:val="16"/>
          <w:lang w:val="en-US"/>
        </w:rPr>
      </w:pPr>
      <w:r w:rsidRPr="001151E1">
        <w:rPr>
          <w:rFonts w:ascii="Verdana" w:hAnsi="Verdana"/>
          <w:sz w:val="16"/>
          <w:szCs w:val="16"/>
        </w:rPr>
        <w:footnoteRef/>
      </w:r>
      <w:r w:rsidRPr="001151E1">
        <w:rPr>
          <w:rFonts w:ascii="Verdana" w:hAnsi="Verdana"/>
          <w:sz w:val="16"/>
          <w:szCs w:val="16"/>
          <w:lang w:val="en-US"/>
        </w:rPr>
        <w:t xml:space="preserve"> </w:t>
      </w:r>
      <w:hyperlink r:id="rId3" w:history="1">
        <w:r w:rsidR="001E3F00" w:rsidRPr="001151E1">
          <w:rPr>
            <w:rStyle w:val="Hyperlink"/>
            <w:rFonts w:ascii="Verdana" w:hAnsi="Verdana"/>
            <w:sz w:val="16"/>
            <w:szCs w:val="16"/>
            <w:lang w:val="en-US"/>
          </w:rPr>
          <w:t>https://www.rijksoverheid.nl/actueel/nieuws/2026/07/10/nederland-kiest-voor-productiviteit-kabinet-zet-in-op-onderwijs-arbeidsmarkt-en-innovatie</w:t>
        </w:r>
      </w:hyperlink>
      <w:r w:rsidR="001E3F00" w:rsidRPr="001151E1">
        <w:rPr>
          <w:rFonts w:ascii="Verdana" w:hAnsi="Verdana"/>
          <w:sz w:val="16"/>
          <w:szCs w:val="16"/>
          <w:lang w:val="en-US"/>
        </w:rPr>
        <w:t xml:space="preserve"> </w:t>
      </w:r>
    </w:p>
  </w:footnote>
  <w:footnote w:id="5">
    <w:p w14:paraId="4948C745" w14:textId="77777777" w:rsidR="00193F84" w:rsidRPr="001151E1" w:rsidRDefault="00193F84" w:rsidP="00193F84">
      <w:pPr>
        <w:pStyle w:val="Voetnoottekst"/>
        <w:rPr>
          <w:rFonts w:ascii="Verdana" w:hAnsi="Verdana"/>
          <w:szCs w:val="16"/>
        </w:rPr>
      </w:pPr>
      <w:r w:rsidRPr="001151E1">
        <w:rPr>
          <w:rStyle w:val="Voetnootmarkering"/>
          <w:rFonts w:ascii="Verdana" w:hAnsi="Verdana"/>
          <w:szCs w:val="16"/>
        </w:rPr>
        <w:footnoteRef/>
      </w:r>
      <w:r w:rsidRPr="001151E1">
        <w:rPr>
          <w:rFonts w:ascii="Verdana" w:hAnsi="Verdana"/>
          <w:szCs w:val="16"/>
        </w:rPr>
        <w:t xml:space="preserve"> Kamerstukken II, 2025-2026, 21 507, nr. 2180.</w:t>
      </w:r>
    </w:p>
  </w:footnote>
  <w:footnote w:id="6">
    <w:p w14:paraId="5F943258" w14:textId="648A2EC9" w:rsidR="001E3F00" w:rsidRPr="001151E1" w:rsidRDefault="001E3F00" w:rsidP="006C3DEE">
      <w:pPr>
        <w:pStyle w:val="Voetnoottekst"/>
        <w:spacing w:line="240" w:lineRule="auto"/>
        <w:rPr>
          <w:rFonts w:ascii="Verdana" w:hAnsi="Verdana"/>
          <w:szCs w:val="16"/>
        </w:rPr>
      </w:pPr>
      <w:r w:rsidRPr="001151E1">
        <w:rPr>
          <w:rStyle w:val="Voetnootmarkering"/>
          <w:rFonts w:ascii="Verdana" w:hAnsi="Verdana"/>
          <w:szCs w:val="16"/>
        </w:rPr>
        <w:footnoteRef/>
      </w:r>
      <w:r w:rsidRPr="001151E1">
        <w:rPr>
          <w:rFonts w:ascii="Verdana" w:hAnsi="Verdana"/>
          <w:szCs w:val="16"/>
        </w:rPr>
        <w:t xml:space="preserve"> </w:t>
      </w:r>
      <w:hyperlink r:id="rId4" w:history="1">
        <w:r w:rsidRPr="001151E1">
          <w:rPr>
            <w:rStyle w:val="Hyperlink"/>
            <w:rFonts w:ascii="Verdana" w:hAnsi="Verdana"/>
            <w:szCs w:val="16"/>
          </w:rPr>
          <w:t>https://www.consilium.europa.eu/media/yp2bj0fd/statement-on-digital-finance.pdf</w:t>
        </w:r>
      </w:hyperlink>
      <w:r w:rsidRPr="001151E1">
        <w:rPr>
          <w:rFonts w:ascii="Verdana" w:hAnsi="Verdana"/>
          <w:szCs w:val="16"/>
        </w:rPr>
        <w:t xml:space="preserve"> </w:t>
      </w:r>
    </w:p>
  </w:footnote>
  <w:footnote w:id="7">
    <w:p w14:paraId="1E5D80A8" w14:textId="4D088EFF" w:rsidR="00C00F7E" w:rsidRPr="001151E1" w:rsidRDefault="00C00F7E" w:rsidP="006C3DEE">
      <w:pPr>
        <w:pStyle w:val="Voetnoottekst"/>
        <w:spacing w:line="240" w:lineRule="auto"/>
        <w:rPr>
          <w:rFonts w:ascii="Verdana" w:hAnsi="Verdana"/>
          <w:szCs w:val="16"/>
        </w:rPr>
      </w:pPr>
      <w:r w:rsidRPr="001151E1">
        <w:rPr>
          <w:rStyle w:val="Voetnootmarkering"/>
          <w:rFonts w:ascii="Verdana" w:hAnsi="Verdana"/>
          <w:szCs w:val="16"/>
        </w:rPr>
        <w:footnoteRef/>
      </w:r>
      <w:r w:rsidRPr="001151E1">
        <w:rPr>
          <w:rFonts w:ascii="Verdana" w:hAnsi="Verdana"/>
          <w:szCs w:val="16"/>
        </w:rPr>
        <w:t xml:space="preserve"> </w:t>
      </w:r>
      <w:hyperlink r:id="rId5" w:history="1">
        <w:r w:rsidR="001151E1" w:rsidRPr="007977E6">
          <w:rPr>
            <w:rStyle w:val="Hyperlink"/>
            <w:rFonts w:ascii="Verdana" w:hAnsi="Verdana"/>
            <w:szCs w:val="16"/>
          </w:rPr>
          <w:t>https://esb.nu/productiviteitswinst-door-ai-op-microniveau-levert-nog-geen-macrowonder-op/</w:t>
        </w:r>
      </w:hyperlink>
      <w:r w:rsidR="001151E1">
        <w:rPr>
          <w:rFonts w:ascii="Verdana" w:hAnsi="Verdana"/>
          <w:szCs w:val="16"/>
        </w:rPr>
        <w:t xml:space="preserve"> </w:t>
      </w:r>
    </w:p>
  </w:footnote>
  <w:footnote w:id="8">
    <w:p w14:paraId="025252A8" w14:textId="19181D18" w:rsidR="001151E1" w:rsidRPr="001151E1" w:rsidRDefault="001151E1">
      <w:pPr>
        <w:pStyle w:val="Voetnoottekst"/>
        <w:rPr>
          <w:rFonts w:ascii="Verdana" w:hAnsi="Verdana"/>
          <w:szCs w:val="16"/>
          <w:lang w:val="en-US"/>
        </w:rPr>
      </w:pPr>
      <w:r w:rsidRPr="001151E1">
        <w:rPr>
          <w:rStyle w:val="Voetnootmarkering"/>
          <w:rFonts w:ascii="Verdana" w:hAnsi="Verdana"/>
          <w:szCs w:val="16"/>
        </w:rPr>
        <w:footnoteRef/>
      </w:r>
      <w:r w:rsidRPr="001151E1">
        <w:rPr>
          <w:rFonts w:ascii="Verdana" w:hAnsi="Verdana"/>
          <w:szCs w:val="16"/>
          <w:lang w:val="en-US"/>
        </w:rPr>
        <w:t xml:space="preserve"> </w:t>
      </w:r>
      <w:r w:rsidRPr="00DA29E9">
        <w:rPr>
          <w:rFonts w:ascii="Verdana" w:eastAsia="Arial" w:hAnsi="Verdana" w:cs="Arial"/>
          <w:szCs w:val="16"/>
          <w:lang w:val="en-US"/>
        </w:rPr>
        <w:t>BIS (2026). Financing the AI-boom: from cash flows to debt</w:t>
      </w:r>
    </w:p>
  </w:footnote>
  <w:footnote w:id="9">
    <w:p w14:paraId="517C1352" w14:textId="6E55DB28" w:rsidR="006C3DEE" w:rsidRPr="001151E1" w:rsidRDefault="006C3DEE" w:rsidP="006C3DEE">
      <w:pPr>
        <w:pStyle w:val="Voetnoottekst"/>
        <w:spacing w:line="240" w:lineRule="auto"/>
        <w:rPr>
          <w:rFonts w:ascii="Verdana" w:hAnsi="Verdana"/>
          <w:szCs w:val="16"/>
        </w:rPr>
      </w:pPr>
      <w:r w:rsidRPr="001151E1">
        <w:rPr>
          <w:rStyle w:val="Voetnootmarkering"/>
          <w:rFonts w:ascii="Verdana" w:hAnsi="Verdana"/>
          <w:szCs w:val="16"/>
        </w:rPr>
        <w:footnoteRef/>
      </w:r>
      <w:r w:rsidRPr="001151E1">
        <w:rPr>
          <w:rFonts w:ascii="Verdana" w:hAnsi="Verdana"/>
          <w:szCs w:val="16"/>
        </w:rPr>
        <w:t xml:space="preserve"> </w:t>
      </w:r>
      <w:r w:rsidRPr="001151E1">
        <w:rPr>
          <w:rFonts w:ascii="Verdana" w:eastAsia="Arial" w:hAnsi="Verdana" w:cs="Arial"/>
          <w:szCs w:val="16"/>
        </w:rPr>
        <w:t xml:space="preserve">Beantwoording schriftelijk overleg over de geannoteerde agenda Eurogroep en Ecofinraad van 9 en 10 juli 2026: </w:t>
      </w:r>
      <w:hyperlink r:id="rId6" w:history="1">
        <w:r w:rsidRPr="001151E1">
          <w:rPr>
            <w:rStyle w:val="Hyperlink"/>
            <w:rFonts w:ascii="Verdana" w:hAnsi="Verdana"/>
            <w:szCs w:val="16"/>
          </w:rPr>
          <w:t>https://www.tweedekamer.nl/kamerstukken/detail?id=2026Z16040&amp;did=2026D36237</w:t>
        </w:r>
      </w:hyperlink>
      <w:r w:rsidRPr="001151E1">
        <w:rPr>
          <w:rFonts w:ascii="Verdana" w:hAnsi="Verdana"/>
          <w:szCs w:val="16"/>
        </w:rPr>
        <w:t xml:space="preserve"> </w:t>
      </w:r>
    </w:p>
  </w:footnote>
  <w:footnote w:id="10">
    <w:p w14:paraId="2C78F63B" w14:textId="5A2CE3F6" w:rsidR="006C3DEE" w:rsidRPr="001151E1" w:rsidRDefault="006C3DEE" w:rsidP="006C3DEE">
      <w:pPr>
        <w:pStyle w:val="Voetnoottekst"/>
        <w:spacing w:line="240" w:lineRule="auto"/>
        <w:rPr>
          <w:rFonts w:ascii="Verdana" w:hAnsi="Verdana"/>
          <w:szCs w:val="16"/>
        </w:rPr>
      </w:pPr>
      <w:r w:rsidRPr="001151E1">
        <w:rPr>
          <w:rStyle w:val="Voetnootmarkering"/>
          <w:rFonts w:ascii="Verdana" w:hAnsi="Verdana"/>
          <w:szCs w:val="16"/>
        </w:rPr>
        <w:footnoteRef/>
      </w:r>
      <w:r w:rsidRPr="001151E1">
        <w:rPr>
          <w:rFonts w:ascii="Verdana" w:hAnsi="Verdana"/>
          <w:szCs w:val="16"/>
        </w:rPr>
        <w:t xml:space="preserve"> </w:t>
      </w:r>
      <w:r w:rsidRPr="001151E1">
        <w:rPr>
          <w:rFonts w:ascii="Verdana" w:eastAsia="Arial" w:hAnsi="Verdana" w:cs="Arial"/>
          <w:szCs w:val="16"/>
        </w:rPr>
        <w:t xml:space="preserve">De Raadsuitvoeringsbesluiten ter vaststelling van de aangepaste </w:t>
      </w:r>
      <w:proofErr w:type="spellStart"/>
      <w:r w:rsidRPr="001151E1">
        <w:rPr>
          <w:rFonts w:ascii="Verdana" w:eastAsia="Arial" w:hAnsi="Verdana" w:cs="Arial"/>
          <w:szCs w:val="16"/>
        </w:rPr>
        <w:t>HVPs</w:t>
      </w:r>
      <w:proofErr w:type="spellEnd"/>
      <w:r w:rsidRPr="001151E1">
        <w:rPr>
          <w:rFonts w:ascii="Verdana" w:eastAsia="Arial" w:hAnsi="Verdana" w:cs="Arial"/>
          <w:szCs w:val="16"/>
        </w:rPr>
        <w:t xml:space="preserve"> zijn te raadplegen op de website van de Commissie: </w:t>
      </w:r>
      <w:hyperlink r:id="rId7">
        <w:r w:rsidRPr="001151E1">
          <w:rPr>
            <w:rStyle w:val="Hyperlink"/>
            <w:rFonts w:ascii="Verdana" w:eastAsia="Arial" w:hAnsi="Verdana" w:cs="Arial"/>
            <w:szCs w:val="16"/>
          </w:rPr>
          <w:t>https://ec.europa.eu/economy_finance/recovery-and-resilience-scoreboard/timeline.html</w:t>
        </w:r>
      </w:hyperlink>
    </w:p>
  </w:footnote>
  <w:footnote w:id="11">
    <w:p w14:paraId="24C472B5" w14:textId="0661848A" w:rsidR="006C3DEE" w:rsidRPr="001151E1" w:rsidRDefault="006C3DEE" w:rsidP="006C3DEE">
      <w:pPr>
        <w:spacing w:after="0" w:line="240" w:lineRule="auto"/>
        <w:rPr>
          <w:rFonts w:ascii="Verdana" w:hAnsi="Verdana"/>
          <w:sz w:val="16"/>
          <w:szCs w:val="16"/>
        </w:rPr>
      </w:pPr>
      <w:r w:rsidRPr="001151E1">
        <w:rPr>
          <w:rStyle w:val="Voetnootmarkering"/>
          <w:rFonts w:ascii="Verdana" w:hAnsi="Verdana"/>
          <w:sz w:val="16"/>
          <w:szCs w:val="16"/>
        </w:rPr>
        <w:footnoteRef/>
      </w:r>
      <w:r w:rsidRPr="001151E1">
        <w:rPr>
          <w:rFonts w:ascii="Verdana" w:hAnsi="Verdana"/>
          <w:sz w:val="16"/>
          <w:szCs w:val="16"/>
        </w:rPr>
        <w:t xml:space="preserve"> </w:t>
      </w:r>
      <w:r w:rsidRPr="001151E1">
        <w:rPr>
          <w:rFonts w:ascii="Verdana" w:eastAsia="Arial" w:hAnsi="Verdana" w:cs="Arial"/>
          <w:sz w:val="16"/>
          <w:szCs w:val="16"/>
        </w:rPr>
        <w:t xml:space="preserve">De voorlopige beoordeling van de Commissie van de betaalverzoeken van België, Portugal, Spanje en Tsjechië zijn te raadplegen op de website van de Commissie: </w:t>
      </w:r>
      <w:hyperlink r:id="rId8">
        <w:r w:rsidRPr="001151E1">
          <w:rPr>
            <w:rStyle w:val="Hyperlink"/>
            <w:rFonts w:ascii="Verdana" w:eastAsia="Arial" w:hAnsi="Verdana" w:cs="Arial"/>
            <w:sz w:val="16"/>
            <w:szCs w:val="16"/>
          </w:rPr>
          <w:t>https://ec.europa.eu/economy_finance/recovery-and-resilience-scoreboard/timeline.html</w:t>
        </w:r>
      </w:hyperlink>
      <w:r w:rsidRPr="001151E1">
        <w:rPr>
          <w:rFonts w:ascii="Verdana" w:eastAsia="Arial" w:hAnsi="Verdana" w:cs="Arial"/>
          <w:sz w:val="16"/>
          <w:szCs w:val="16"/>
        </w:rPr>
        <w:t>. De voorlopige beoordeling van de Commissie van de betaalverzoeken van Cyprus, Estland, Zweden, België en Polen zijn opgenomen in aparte bijlagen van deze Kamerbrief.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827B4"/>
    <w:multiLevelType w:val="hybridMultilevel"/>
    <w:tmpl w:val="A2AACFEA"/>
    <w:lvl w:ilvl="0" w:tplc="F51A96FC">
      <w:start w:val="1"/>
      <w:numFmt w:val="bullet"/>
      <w:lvlText w:val=""/>
      <w:lvlJc w:val="left"/>
      <w:pPr>
        <w:ind w:left="720" w:hanging="360"/>
      </w:pPr>
      <w:rPr>
        <w:rFonts w:ascii="Symbol" w:hAnsi="Symbol" w:hint="default"/>
      </w:rPr>
    </w:lvl>
    <w:lvl w:ilvl="1" w:tplc="BBDEA594">
      <w:start w:val="1"/>
      <w:numFmt w:val="bullet"/>
      <w:lvlText w:val="o"/>
      <w:lvlJc w:val="left"/>
      <w:pPr>
        <w:ind w:left="1440" w:hanging="360"/>
      </w:pPr>
      <w:rPr>
        <w:rFonts w:ascii="Courier New" w:hAnsi="Courier New" w:hint="default"/>
      </w:rPr>
    </w:lvl>
    <w:lvl w:ilvl="2" w:tplc="980ED810">
      <w:start w:val="1"/>
      <w:numFmt w:val="bullet"/>
      <w:lvlText w:val=""/>
      <w:lvlJc w:val="left"/>
      <w:pPr>
        <w:ind w:left="2160" w:hanging="360"/>
      </w:pPr>
      <w:rPr>
        <w:rFonts w:ascii="Wingdings" w:hAnsi="Wingdings" w:hint="default"/>
      </w:rPr>
    </w:lvl>
    <w:lvl w:ilvl="3" w:tplc="5F62A50A">
      <w:start w:val="1"/>
      <w:numFmt w:val="bullet"/>
      <w:lvlText w:val=""/>
      <w:lvlJc w:val="left"/>
      <w:pPr>
        <w:ind w:left="2880" w:hanging="360"/>
      </w:pPr>
      <w:rPr>
        <w:rFonts w:ascii="Symbol" w:hAnsi="Symbol" w:hint="default"/>
      </w:rPr>
    </w:lvl>
    <w:lvl w:ilvl="4" w:tplc="24A08ABA">
      <w:start w:val="1"/>
      <w:numFmt w:val="bullet"/>
      <w:lvlText w:val="o"/>
      <w:lvlJc w:val="left"/>
      <w:pPr>
        <w:ind w:left="3600" w:hanging="360"/>
      </w:pPr>
      <w:rPr>
        <w:rFonts w:ascii="Courier New" w:hAnsi="Courier New" w:hint="default"/>
      </w:rPr>
    </w:lvl>
    <w:lvl w:ilvl="5" w:tplc="8192594E">
      <w:start w:val="1"/>
      <w:numFmt w:val="bullet"/>
      <w:lvlText w:val=""/>
      <w:lvlJc w:val="left"/>
      <w:pPr>
        <w:ind w:left="4320" w:hanging="360"/>
      </w:pPr>
      <w:rPr>
        <w:rFonts w:ascii="Wingdings" w:hAnsi="Wingdings" w:hint="default"/>
      </w:rPr>
    </w:lvl>
    <w:lvl w:ilvl="6" w:tplc="63820BE8">
      <w:start w:val="1"/>
      <w:numFmt w:val="bullet"/>
      <w:lvlText w:val=""/>
      <w:lvlJc w:val="left"/>
      <w:pPr>
        <w:ind w:left="5040" w:hanging="360"/>
      </w:pPr>
      <w:rPr>
        <w:rFonts w:ascii="Symbol" w:hAnsi="Symbol" w:hint="default"/>
      </w:rPr>
    </w:lvl>
    <w:lvl w:ilvl="7" w:tplc="3BF47556">
      <w:start w:val="1"/>
      <w:numFmt w:val="bullet"/>
      <w:lvlText w:val="o"/>
      <w:lvlJc w:val="left"/>
      <w:pPr>
        <w:ind w:left="5760" w:hanging="360"/>
      </w:pPr>
      <w:rPr>
        <w:rFonts w:ascii="Courier New" w:hAnsi="Courier New" w:hint="default"/>
      </w:rPr>
    </w:lvl>
    <w:lvl w:ilvl="8" w:tplc="DBA28242">
      <w:start w:val="1"/>
      <w:numFmt w:val="bullet"/>
      <w:lvlText w:val=""/>
      <w:lvlJc w:val="left"/>
      <w:pPr>
        <w:ind w:left="6480" w:hanging="360"/>
      </w:pPr>
      <w:rPr>
        <w:rFonts w:ascii="Wingdings" w:hAnsi="Wingdings" w:hint="default"/>
      </w:rPr>
    </w:lvl>
  </w:abstractNum>
  <w:abstractNum w:abstractNumId="3"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4"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8"/>
  </w:num>
  <w:num w:numId="2" w16cid:durableId="746927878">
    <w:abstractNumId w:val="0"/>
  </w:num>
  <w:num w:numId="3" w16cid:durableId="1828595638">
    <w:abstractNumId w:val="4"/>
  </w:num>
  <w:num w:numId="4" w16cid:durableId="1234313726">
    <w:abstractNumId w:val="6"/>
  </w:num>
  <w:num w:numId="5" w16cid:durableId="1653438606">
    <w:abstractNumId w:val="3"/>
  </w:num>
  <w:num w:numId="6" w16cid:durableId="475221442">
    <w:abstractNumId w:val="7"/>
  </w:num>
  <w:num w:numId="7" w16cid:durableId="1480532276">
    <w:abstractNumId w:val="1"/>
  </w:num>
  <w:num w:numId="8" w16cid:durableId="1504663115">
    <w:abstractNumId w:val="5"/>
  </w:num>
  <w:num w:numId="9" w16cid:durableId="2146123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21A3"/>
    <w:rsid w:val="0000414D"/>
    <w:rsid w:val="00004486"/>
    <w:rsid w:val="000053BB"/>
    <w:rsid w:val="00005849"/>
    <w:rsid w:val="00005B80"/>
    <w:rsid w:val="00007E60"/>
    <w:rsid w:val="0001315A"/>
    <w:rsid w:val="000201E8"/>
    <w:rsid w:val="00021097"/>
    <w:rsid w:val="00022320"/>
    <w:rsid w:val="00022956"/>
    <w:rsid w:val="00035158"/>
    <w:rsid w:val="00041A3F"/>
    <w:rsid w:val="00042A7D"/>
    <w:rsid w:val="00047F0A"/>
    <w:rsid w:val="00051C0D"/>
    <w:rsid w:val="000555E0"/>
    <w:rsid w:val="00062595"/>
    <w:rsid w:val="000645F5"/>
    <w:rsid w:val="000677FF"/>
    <w:rsid w:val="00071574"/>
    <w:rsid w:val="0007260E"/>
    <w:rsid w:val="000731FC"/>
    <w:rsid w:val="00074533"/>
    <w:rsid w:val="00074782"/>
    <w:rsid w:val="0008035E"/>
    <w:rsid w:val="0008350F"/>
    <w:rsid w:val="00086AD7"/>
    <w:rsid w:val="00090B78"/>
    <w:rsid w:val="00092AC7"/>
    <w:rsid w:val="000959CD"/>
    <w:rsid w:val="00097C85"/>
    <w:rsid w:val="000A0056"/>
    <w:rsid w:val="000A3E2F"/>
    <w:rsid w:val="000A4CDB"/>
    <w:rsid w:val="000B174A"/>
    <w:rsid w:val="000B24D4"/>
    <w:rsid w:val="000B2DAA"/>
    <w:rsid w:val="000B3E30"/>
    <w:rsid w:val="000B4E4A"/>
    <w:rsid w:val="000C1452"/>
    <w:rsid w:val="000C6304"/>
    <w:rsid w:val="000C6C10"/>
    <w:rsid w:val="000C7A5B"/>
    <w:rsid w:val="000D2A04"/>
    <w:rsid w:val="000D3526"/>
    <w:rsid w:val="000D359E"/>
    <w:rsid w:val="000D656F"/>
    <w:rsid w:val="000E2F75"/>
    <w:rsid w:val="000F4477"/>
    <w:rsid w:val="000F77B7"/>
    <w:rsid w:val="00102264"/>
    <w:rsid w:val="00103031"/>
    <w:rsid w:val="001031E7"/>
    <w:rsid w:val="00103A25"/>
    <w:rsid w:val="0010447F"/>
    <w:rsid w:val="00104927"/>
    <w:rsid w:val="00104B75"/>
    <w:rsid w:val="00105123"/>
    <w:rsid w:val="00106119"/>
    <w:rsid w:val="0010763E"/>
    <w:rsid w:val="00110485"/>
    <w:rsid w:val="001124D9"/>
    <w:rsid w:val="001151E1"/>
    <w:rsid w:val="001153A7"/>
    <w:rsid w:val="00116A50"/>
    <w:rsid w:val="00121C2A"/>
    <w:rsid w:val="00122176"/>
    <w:rsid w:val="00125236"/>
    <w:rsid w:val="0013433C"/>
    <w:rsid w:val="001411DD"/>
    <w:rsid w:val="001424B3"/>
    <w:rsid w:val="001454D5"/>
    <w:rsid w:val="001469C5"/>
    <w:rsid w:val="00147202"/>
    <w:rsid w:val="00150081"/>
    <w:rsid w:val="001500E3"/>
    <w:rsid w:val="00151E94"/>
    <w:rsid w:val="00154B15"/>
    <w:rsid w:val="0015678D"/>
    <w:rsid w:val="001570AC"/>
    <w:rsid w:val="00163E6A"/>
    <w:rsid w:val="001645ED"/>
    <w:rsid w:val="00164A80"/>
    <w:rsid w:val="00164C80"/>
    <w:rsid w:val="00173387"/>
    <w:rsid w:val="00173D00"/>
    <w:rsid w:val="00175D66"/>
    <w:rsid w:val="00177453"/>
    <w:rsid w:val="001775B3"/>
    <w:rsid w:val="0018184F"/>
    <w:rsid w:val="00191E26"/>
    <w:rsid w:val="00193264"/>
    <w:rsid w:val="00193F84"/>
    <w:rsid w:val="001A109E"/>
    <w:rsid w:val="001A403C"/>
    <w:rsid w:val="001B1D8C"/>
    <w:rsid w:val="001B2509"/>
    <w:rsid w:val="001B4B30"/>
    <w:rsid w:val="001C35ED"/>
    <w:rsid w:val="001C4143"/>
    <w:rsid w:val="001C539A"/>
    <w:rsid w:val="001C7E55"/>
    <w:rsid w:val="001D0F10"/>
    <w:rsid w:val="001D1E35"/>
    <w:rsid w:val="001D28C9"/>
    <w:rsid w:val="001E3F00"/>
    <w:rsid w:val="001E4251"/>
    <w:rsid w:val="001E4745"/>
    <w:rsid w:val="001F0C3A"/>
    <w:rsid w:val="001F639B"/>
    <w:rsid w:val="001F64B8"/>
    <w:rsid w:val="00201299"/>
    <w:rsid w:val="0020228C"/>
    <w:rsid w:val="00205029"/>
    <w:rsid w:val="002078B2"/>
    <w:rsid w:val="00211B96"/>
    <w:rsid w:val="00221A72"/>
    <w:rsid w:val="00221EA1"/>
    <w:rsid w:val="00222BF0"/>
    <w:rsid w:val="00231A8F"/>
    <w:rsid w:val="002322DD"/>
    <w:rsid w:val="0023256C"/>
    <w:rsid w:val="0023621D"/>
    <w:rsid w:val="00245C6D"/>
    <w:rsid w:val="00252BD0"/>
    <w:rsid w:val="00254B3A"/>
    <w:rsid w:val="002565AE"/>
    <w:rsid w:val="00257FE4"/>
    <w:rsid w:val="00263EDF"/>
    <w:rsid w:val="00266853"/>
    <w:rsid w:val="00270D4B"/>
    <w:rsid w:val="00271938"/>
    <w:rsid w:val="00271969"/>
    <w:rsid w:val="00294348"/>
    <w:rsid w:val="00297285"/>
    <w:rsid w:val="002A0D3E"/>
    <w:rsid w:val="002A515B"/>
    <w:rsid w:val="002A7DCA"/>
    <w:rsid w:val="002B204C"/>
    <w:rsid w:val="002B233A"/>
    <w:rsid w:val="002B2E1C"/>
    <w:rsid w:val="002B3F7D"/>
    <w:rsid w:val="002C1746"/>
    <w:rsid w:val="002C2395"/>
    <w:rsid w:val="002D48B6"/>
    <w:rsid w:val="002D5072"/>
    <w:rsid w:val="002E2509"/>
    <w:rsid w:val="002E3018"/>
    <w:rsid w:val="002E6B9E"/>
    <w:rsid w:val="002F04D3"/>
    <w:rsid w:val="002F26E4"/>
    <w:rsid w:val="002F275D"/>
    <w:rsid w:val="002F33E4"/>
    <w:rsid w:val="002F58D1"/>
    <w:rsid w:val="002F7AE4"/>
    <w:rsid w:val="00301447"/>
    <w:rsid w:val="00301884"/>
    <w:rsid w:val="003061DB"/>
    <w:rsid w:val="00306618"/>
    <w:rsid w:val="00312913"/>
    <w:rsid w:val="00314EC9"/>
    <w:rsid w:val="00321B80"/>
    <w:rsid w:val="00321C5F"/>
    <w:rsid w:val="00321FD1"/>
    <w:rsid w:val="00325D87"/>
    <w:rsid w:val="003271B1"/>
    <w:rsid w:val="00327405"/>
    <w:rsid w:val="0033126B"/>
    <w:rsid w:val="00332D6E"/>
    <w:rsid w:val="0033304E"/>
    <w:rsid w:val="00335491"/>
    <w:rsid w:val="00336B79"/>
    <w:rsid w:val="003378A9"/>
    <w:rsid w:val="00337A5F"/>
    <w:rsid w:val="00337EFB"/>
    <w:rsid w:val="003408C0"/>
    <w:rsid w:val="00341058"/>
    <w:rsid w:val="00343023"/>
    <w:rsid w:val="00347EE1"/>
    <w:rsid w:val="00352308"/>
    <w:rsid w:val="00354722"/>
    <w:rsid w:val="00360E89"/>
    <w:rsid w:val="00361170"/>
    <w:rsid w:val="00361EFF"/>
    <w:rsid w:val="00363A7A"/>
    <w:rsid w:val="00367E6D"/>
    <w:rsid w:val="003700AF"/>
    <w:rsid w:val="0037195C"/>
    <w:rsid w:val="00372670"/>
    <w:rsid w:val="0037278D"/>
    <w:rsid w:val="00374B64"/>
    <w:rsid w:val="00375DC6"/>
    <w:rsid w:val="00375FAC"/>
    <w:rsid w:val="003826EB"/>
    <w:rsid w:val="0038662F"/>
    <w:rsid w:val="00390F09"/>
    <w:rsid w:val="00391CD5"/>
    <w:rsid w:val="003920D5"/>
    <w:rsid w:val="00392802"/>
    <w:rsid w:val="0039572E"/>
    <w:rsid w:val="003971B9"/>
    <w:rsid w:val="003A260A"/>
    <w:rsid w:val="003A34C4"/>
    <w:rsid w:val="003A7FD9"/>
    <w:rsid w:val="003B7436"/>
    <w:rsid w:val="003E1E3E"/>
    <w:rsid w:val="003E48B2"/>
    <w:rsid w:val="003E5F60"/>
    <w:rsid w:val="003E6A12"/>
    <w:rsid w:val="003F180A"/>
    <w:rsid w:val="003F46E4"/>
    <w:rsid w:val="003F604D"/>
    <w:rsid w:val="00401089"/>
    <w:rsid w:val="00402BBE"/>
    <w:rsid w:val="00407F30"/>
    <w:rsid w:val="00413834"/>
    <w:rsid w:val="004153DA"/>
    <w:rsid w:val="00422CAD"/>
    <w:rsid w:val="0042305D"/>
    <w:rsid w:val="004238C6"/>
    <w:rsid w:val="00433EBF"/>
    <w:rsid w:val="00435723"/>
    <w:rsid w:val="00435724"/>
    <w:rsid w:val="0043715A"/>
    <w:rsid w:val="00437B06"/>
    <w:rsid w:val="0044050F"/>
    <w:rsid w:val="004461B2"/>
    <w:rsid w:val="00447B24"/>
    <w:rsid w:val="00447EF5"/>
    <w:rsid w:val="004535D7"/>
    <w:rsid w:val="00455BF1"/>
    <w:rsid w:val="004561F3"/>
    <w:rsid w:val="004627A6"/>
    <w:rsid w:val="00467749"/>
    <w:rsid w:val="00470D98"/>
    <w:rsid w:val="004723A3"/>
    <w:rsid w:val="00475BA8"/>
    <w:rsid w:val="00475F39"/>
    <w:rsid w:val="00485667"/>
    <w:rsid w:val="00486EFF"/>
    <w:rsid w:val="00487226"/>
    <w:rsid w:val="00492AAA"/>
    <w:rsid w:val="00494AFA"/>
    <w:rsid w:val="004958BD"/>
    <w:rsid w:val="004A130A"/>
    <w:rsid w:val="004A36BB"/>
    <w:rsid w:val="004A622C"/>
    <w:rsid w:val="004B54E6"/>
    <w:rsid w:val="004B63BC"/>
    <w:rsid w:val="004C098F"/>
    <w:rsid w:val="004C44A2"/>
    <w:rsid w:val="004C620A"/>
    <w:rsid w:val="004C781D"/>
    <w:rsid w:val="004D22AE"/>
    <w:rsid w:val="004D36FE"/>
    <w:rsid w:val="004E4C27"/>
    <w:rsid w:val="004F15FF"/>
    <w:rsid w:val="004F1EDD"/>
    <w:rsid w:val="004F563A"/>
    <w:rsid w:val="004F7EF9"/>
    <w:rsid w:val="0050380B"/>
    <w:rsid w:val="00512190"/>
    <w:rsid w:val="00521362"/>
    <w:rsid w:val="0052201D"/>
    <w:rsid w:val="00522414"/>
    <w:rsid w:val="0054059D"/>
    <w:rsid w:val="00542504"/>
    <w:rsid w:val="00546D2F"/>
    <w:rsid w:val="0054792B"/>
    <w:rsid w:val="005522F2"/>
    <w:rsid w:val="00552A6E"/>
    <w:rsid w:val="00563E37"/>
    <w:rsid w:val="00564172"/>
    <w:rsid w:val="00571BDB"/>
    <w:rsid w:val="00572EF4"/>
    <w:rsid w:val="005765D7"/>
    <w:rsid w:val="005775E4"/>
    <w:rsid w:val="0058037A"/>
    <w:rsid w:val="0058212A"/>
    <w:rsid w:val="005823CB"/>
    <w:rsid w:val="005861A4"/>
    <w:rsid w:val="00586BC7"/>
    <w:rsid w:val="00586FA4"/>
    <w:rsid w:val="0058770C"/>
    <w:rsid w:val="0059133E"/>
    <w:rsid w:val="00591829"/>
    <w:rsid w:val="00591AA8"/>
    <w:rsid w:val="0059325F"/>
    <w:rsid w:val="0059358D"/>
    <w:rsid w:val="00595D88"/>
    <w:rsid w:val="00595E03"/>
    <w:rsid w:val="00595F14"/>
    <w:rsid w:val="00597C29"/>
    <w:rsid w:val="005A0F23"/>
    <w:rsid w:val="005A11BD"/>
    <w:rsid w:val="005A1A99"/>
    <w:rsid w:val="005A3F83"/>
    <w:rsid w:val="005A6526"/>
    <w:rsid w:val="005B0270"/>
    <w:rsid w:val="005B3B4D"/>
    <w:rsid w:val="005B4360"/>
    <w:rsid w:val="005B53CC"/>
    <w:rsid w:val="005B6866"/>
    <w:rsid w:val="005B74D6"/>
    <w:rsid w:val="005C1AFC"/>
    <w:rsid w:val="005C68D8"/>
    <w:rsid w:val="005C7880"/>
    <w:rsid w:val="005C79A6"/>
    <w:rsid w:val="005D37F1"/>
    <w:rsid w:val="005D7464"/>
    <w:rsid w:val="005E03C6"/>
    <w:rsid w:val="005E5719"/>
    <w:rsid w:val="005F008B"/>
    <w:rsid w:val="005F1651"/>
    <w:rsid w:val="005F51F6"/>
    <w:rsid w:val="005FCF12"/>
    <w:rsid w:val="00611581"/>
    <w:rsid w:val="00612668"/>
    <w:rsid w:val="00613A9E"/>
    <w:rsid w:val="00614310"/>
    <w:rsid w:val="00621788"/>
    <w:rsid w:val="00623478"/>
    <w:rsid w:val="00644068"/>
    <w:rsid w:val="006451D3"/>
    <w:rsid w:val="00651371"/>
    <w:rsid w:val="00653F26"/>
    <w:rsid w:val="00654C00"/>
    <w:rsid w:val="00655886"/>
    <w:rsid w:val="00655DDB"/>
    <w:rsid w:val="00656A54"/>
    <w:rsid w:val="00662B08"/>
    <w:rsid w:val="006665E4"/>
    <w:rsid w:val="006672C9"/>
    <w:rsid w:val="00671E03"/>
    <w:rsid w:val="006812AB"/>
    <w:rsid w:val="006838B9"/>
    <w:rsid w:val="0068394B"/>
    <w:rsid w:val="00687631"/>
    <w:rsid w:val="00687DF5"/>
    <w:rsid w:val="00690048"/>
    <w:rsid w:val="00690382"/>
    <w:rsid w:val="006933B8"/>
    <w:rsid w:val="006A0051"/>
    <w:rsid w:val="006A1A0E"/>
    <w:rsid w:val="006A315B"/>
    <w:rsid w:val="006A3AE1"/>
    <w:rsid w:val="006A755F"/>
    <w:rsid w:val="006A7674"/>
    <w:rsid w:val="006C0F70"/>
    <w:rsid w:val="006C3DEE"/>
    <w:rsid w:val="006C4297"/>
    <w:rsid w:val="006D01D6"/>
    <w:rsid w:val="006D1852"/>
    <w:rsid w:val="006D2793"/>
    <w:rsid w:val="006D3AB5"/>
    <w:rsid w:val="006D6A20"/>
    <w:rsid w:val="006E74E8"/>
    <w:rsid w:val="006E7D31"/>
    <w:rsid w:val="00700680"/>
    <w:rsid w:val="00702E18"/>
    <w:rsid w:val="007030EB"/>
    <w:rsid w:val="00703B1A"/>
    <w:rsid w:val="00703F06"/>
    <w:rsid w:val="00704EF5"/>
    <w:rsid w:val="00705C9C"/>
    <w:rsid w:val="00705F3E"/>
    <w:rsid w:val="007062E5"/>
    <w:rsid w:val="00706442"/>
    <w:rsid w:val="00706902"/>
    <w:rsid w:val="00712A2F"/>
    <w:rsid w:val="00714662"/>
    <w:rsid w:val="007149EF"/>
    <w:rsid w:val="00716440"/>
    <w:rsid w:val="00722DAF"/>
    <w:rsid w:val="007300AE"/>
    <w:rsid w:val="007354FE"/>
    <w:rsid w:val="007371E5"/>
    <w:rsid w:val="007459B3"/>
    <w:rsid w:val="0074646C"/>
    <w:rsid w:val="007528FC"/>
    <w:rsid w:val="0075794E"/>
    <w:rsid w:val="007602AA"/>
    <w:rsid w:val="00761169"/>
    <w:rsid w:val="0076574B"/>
    <w:rsid w:val="00766606"/>
    <w:rsid w:val="007750B7"/>
    <w:rsid w:val="0078046B"/>
    <w:rsid w:val="00783F5A"/>
    <w:rsid w:val="0078462E"/>
    <w:rsid w:val="00784A63"/>
    <w:rsid w:val="00791395"/>
    <w:rsid w:val="007A51D1"/>
    <w:rsid w:val="007A6E25"/>
    <w:rsid w:val="007A7EED"/>
    <w:rsid w:val="007B0E92"/>
    <w:rsid w:val="007B1764"/>
    <w:rsid w:val="007B38BB"/>
    <w:rsid w:val="007B4FAE"/>
    <w:rsid w:val="007B56EC"/>
    <w:rsid w:val="007B7D0F"/>
    <w:rsid w:val="007C2B16"/>
    <w:rsid w:val="007C3790"/>
    <w:rsid w:val="007C5A22"/>
    <w:rsid w:val="007C7588"/>
    <w:rsid w:val="007D05CA"/>
    <w:rsid w:val="007D1ECB"/>
    <w:rsid w:val="007D3058"/>
    <w:rsid w:val="007D3138"/>
    <w:rsid w:val="007D4371"/>
    <w:rsid w:val="007D4803"/>
    <w:rsid w:val="007D56F7"/>
    <w:rsid w:val="007D7724"/>
    <w:rsid w:val="007D7EC4"/>
    <w:rsid w:val="007E0898"/>
    <w:rsid w:val="007E5855"/>
    <w:rsid w:val="007F2D75"/>
    <w:rsid w:val="00800606"/>
    <w:rsid w:val="008010C5"/>
    <w:rsid w:val="00811A1F"/>
    <w:rsid w:val="008154C9"/>
    <w:rsid w:val="00815A65"/>
    <w:rsid w:val="00820078"/>
    <w:rsid w:val="008221AF"/>
    <w:rsid w:val="00824869"/>
    <w:rsid w:val="0083217A"/>
    <w:rsid w:val="0083576C"/>
    <w:rsid w:val="008362EB"/>
    <w:rsid w:val="008367D0"/>
    <w:rsid w:val="0084285F"/>
    <w:rsid w:val="00844454"/>
    <w:rsid w:val="00851163"/>
    <w:rsid w:val="0085246C"/>
    <w:rsid w:val="00852CD9"/>
    <w:rsid w:val="00852EFA"/>
    <w:rsid w:val="00853385"/>
    <w:rsid w:val="00853469"/>
    <w:rsid w:val="008543C1"/>
    <w:rsid w:val="00854F6C"/>
    <w:rsid w:val="0085578A"/>
    <w:rsid w:val="00856862"/>
    <w:rsid w:val="00856FB3"/>
    <w:rsid w:val="00863E9E"/>
    <w:rsid w:val="00865E25"/>
    <w:rsid w:val="00866727"/>
    <w:rsid w:val="0087056F"/>
    <w:rsid w:val="008752BB"/>
    <w:rsid w:val="008760B0"/>
    <w:rsid w:val="00876386"/>
    <w:rsid w:val="00880CD6"/>
    <w:rsid w:val="0088205D"/>
    <w:rsid w:val="00884603"/>
    <w:rsid w:val="00884FD2"/>
    <w:rsid w:val="008911D1"/>
    <w:rsid w:val="008939D4"/>
    <w:rsid w:val="0089460A"/>
    <w:rsid w:val="0089744D"/>
    <w:rsid w:val="008A2E8A"/>
    <w:rsid w:val="008A44BE"/>
    <w:rsid w:val="008A7299"/>
    <w:rsid w:val="008A77C7"/>
    <w:rsid w:val="008B2B75"/>
    <w:rsid w:val="008B62C5"/>
    <w:rsid w:val="008C24F5"/>
    <w:rsid w:val="008C2967"/>
    <w:rsid w:val="008C4E44"/>
    <w:rsid w:val="008C629E"/>
    <w:rsid w:val="008D23BD"/>
    <w:rsid w:val="008D3375"/>
    <w:rsid w:val="008D61F1"/>
    <w:rsid w:val="008D729E"/>
    <w:rsid w:val="008E05E6"/>
    <w:rsid w:val="008E12A9"/>
    <w:rsid w:val="008E6D77"/>
    <w:rsid w:val="008F0AE6"/>
    <w:rsid w:val="008F1075"/>
    <w:rsid w:val="008F4A4B"/>
    <w:rsid w:val="009025B7"/>
    <w:rsid w:val="009042F4"/>
    <w:rsid w:val="009071A3"/>
    <w:rsid w:val="009071ED"/>
    <w:rsid w:val="00910222"/>
    <w:rsid w:val="00912E5E"/>
    <w:rsid w:val="009137AE"/>
    <w:rsid w:val="009144FC"/>
    <w:rsid w:val="00922489"/>
    <w:rsid w:val="00923871"/>
    <w:rsid w:val="00924CAF"/>
    <w:rsid w:val="0092579D"/>
    <w:rsid w:val="00930795"/>
    <w:rsid w:val="00940BE5"/>
    <w:rsid w:val="0094255D"/>
    <w:rsid w:val="009449D6"/>
    <w:rsid w:val="00946CA7"/>
    <w:rsid w:val="00951C81"/>
    <w:rsid w:val="00951D93"/>
    <w:rsid w:val="0095208E"/>
    <w:rsid w:val="009615E9"/>
    <w:rsid w:val="00962FC3"/>
    <w:rsid w:val="009638C7"/>
    <w:rsid w:val="009660DE"/>
    <w:rsid w:val="009720C6"/>
    <w:rsid w:val="00972F02"/>
    <w:rsid w:val="009744CB"/>
    <w:rsid w:val="00976EF2"/>
    <w:rsid w:val="0098289E"/>
    <w:rsid w:val="00982F9A"/>
    <w:rsid w:val="00984B70"/>
    <w:rsid w:val="00985BFB"/>
    <w:rsid w:val="00991B66"/>
    <w:rsid w:val="009933AB"/>
    <w:rsid w:val="009938AA"/>
    <w:rsid w:val="009A220C"/>
    <w:rsid w:val="009A3307"/>
    <w:rsid w:val="009A39C7"/>
    <w:rsid w:val="009A49AF"/>
    <w:rsid w:val="009B1079"/>
    <w:rsid w:val="009B2633"/>
    <w:rsid w:val="009B466E"/>
    <w:rsid w:val="009B4E30"/>
    <w:rsid w:val="009B5419"/>
    <w:rsid w:val="009B7327"/>
    <w:rsid w:val="009C158E"/>
    <w:rsid w:val="009C176F"/>
    <w:rsid w:val="009C3500"/>
    <w:rsid w:val="009C6265"/>
    <w:rsid w:val="009C7185"/>
    <w:rsid w:val="009D1748"/>
    <w:rsid w:val="009D41FA"/>
    <w:rsid w:val="009D4233"/>
    <w:rsid w:val="009E5075"/>
    <w:rsid w:val="009E5D0B"/>
    <w:rsid w:val="009F09C0"/>
    <w:rsid w:val="009F1063"/>
    <w:rsid w:val="009F3300"/>
    <w:rsid w:val="009F578E"/>
    <w:rsid w:val="009F72AC"/>
    <w:rsid w:val="009F7FF6"/>
    <w:rsid w:val="00A03FA5"/>
    <w:rsid w:val="00A04014"/>
    <w:rsid w:val="00A05192"/>
    <w:rsid w:val="00A10329"/>
    <w:rsid w:val="00A113C1"/>
    <w:rsid w:val="00A158F5"/>
    <w:rsid w:val="00A221BA"/>
    <w:rsid w:val="00A2359F"/>
    <w:rsid w:val="00A24A98"/>
    <w:rsid w:val="00A25563"/>
    <w:rsid w:val="00A25A2F"/>
    <w:rsid w:val="00A34A96"/>
    <w:rsid w:val="00A350CE"/>
    <w:rsid w:val="00A413D3"/>
    <w:rsid w:val="00A42A82"/>
    <w:rsid w:val="00A4598C"/>
    <w:rsid w:val="00A463E0"/>
    <w:rsid w:val="00A5100C"/>
    <w:rsid w:val="00A52972"/>
    <w:rsid w:val="00A563C5"/>
    <w:rsid w:val="00A57102"/>
    <w:rsid w:val="00A578BB"/>
    <w:rsid w:val="00A57AF3"/>
    <w:rsid w:val="00A61E61"/>
    <w:rsid w:val="00A642F2"/>
    <w:rsid w:val="00A64648"/>
    <w:rsid w:val="00A64D70"/>
    <w:rsid w:val="00A65C28"/>
    <w:rsid w:val="00A664BB"/>
    <w:rsid w:val="00A678A4"/>
    <w:rsid w:val="00A7546C"/>
    <w:rsid w:val="00A76E12"/>
    <w:rsid w:val="00A81434"/>
    <w:rsid w:val="00A8287A"/>
    <w:rsid w:val="00A843D2"/>
    <w:rsid w:val="00A8794D"/>
    <w:rsid w:val="00A977E6"/>
    <w:rsid w:val="00AA52A2"/>
    <w:rsid w:val="00AA7EFF"/>
    <w:rsid w:val="00AB0EB6"/>
    <w:rsid w:val="00AB22CF"/>
    <w:rsid w:val="00AB2710"/>
    <w:rsid w:val="00AB2F03"/>
    <w:rsid w:val="00AB6072"/>
    <w:rsid w:val="00AB6B79"/>
    <w:rsid w:val="00AC6C19"/>
    <w:rsid w:val="00AC7101"/>
    <w:rsid w:val="00AD2571"/>
    <w:rsid w:val="00AD3745"/>
    <w:rsid w:val="00AD5015"/>
    <w:rsid w:val="00AD5A44"/>
    <w:rsid w:val="00AE24E5"/>
    <w:rsid w:val="00AF111F"/>
    <w:rsid w:val="00AF2ECD"/>
    <w:rsid w:val="00AF4401"/>
    <w:rsid w:val="00AF5123"/>
    <w:rsid w:val="00AF5202"/>
    <w:rsid w:val="00AF5B28"/>
    <w:rsid w:val="00AF7F94"/>
    <w:rsid w:val="00B01F7C"/>
    <w:rsid w:val="00B04978"/>
    <w:rsid w:val="00B06B20"/>
    <w:rsid w:val="00B07BBD"/>
    <w:rsid w:val="00B10B31"/>
    <w:rsid w:val="00B146DA"/>
    <w:rsid w:val="00B16C87"/>
    <w:rsid w:val="00B22700"/>
    <w:rsid w:val="00B23945"/>
    <w:rsid w:val="00B23B05"/>
    <w:rsid w:val="00B23EC6"/>
    <w:rsid w:val="00B26961"/>
    <w:rsid w:val="00B26A19"/>
    <w:rsid w:val="00B27D58"/>
    <w:rsid w:val="00B27EDF"/>
    <w:rsid w:val="00B30FE8"/>
    <w:rsid w:val="00B32C72"/>
    <w:rsid w:val="00B3302E"/>
    <w:rsid w:val="00B35C6A"/>
    <w:rsid w:val="00B40CA4"/>
    <w:rsid w:val="00B41B19"/>
    <w:rsid w:val="00B463D3"/>
    <w:rsid w:val="00B465BF"/>
    <w:rsid w:val="00B500C8"/>
    <w:rsid w:val="00B55454"/>
    <w:rsid w:val="00B554C3"/>
    <w:rsid w:val="00B56920"/>
    <w:rsid w:val="00B66223"/>
    <w:rsid w:val="00B73C54"/>
    <w:rsid w:val="00B74DC2"/>
    <w:rsid w:val="00B74F4F"/>
    <w:rsid w:val="00B918E2"/>
    <w:rsid w:val="00B94887"/>
    <w:rsid w:val="00B977EF"/>
    <w:rsid w:val="00B97C42"/>
    <w:rsid w:val="00BA0588"/>
    <w:rsid w:val="00BA16B1"/>
    <w:rsid w:val="00BA2DB0"/>
    <w:rsid w:val="00BB04B3"/>
    <w:rsid w:val="00BB36D4"/>
    <w:rsid w:val="00BB7EB6"/>
    <w:rsid w:val="00BC50D9"/>
    <w:rsid w:val="00BC56FE"/>
    <w:rsid w:val="00BC743F"/>
    <w:rsid w:val="00BD3C15"/>
    <w:rsid w:val="00BD761D"/>
    <w:rsid w:val="00BD790F"/>
    <w:rsid w:val="00BD7C93"/>
    <w:rsid w:val="00BD7CEE"/>
    <w:rsid w:val="00BE7FBB"/>
    <w:rsid w:val="00BF3820"/>
    <w:rsid w:val="00BF4C9D"/>
    <w:rsid w:val="00BF5C88"/>
    <w:rsid w:val="00BF6B0A"/>
    <w:rsid w:val="00BF7070"/>
    <w:rsid w:val="00C00F7E"/>
    <w:rsid w:val="00C031B1"/>
    <w:rsid w:val="00C05AC9"/>
    <w:rsid w:val="00C06077"/>
    <w:rsid w:val="00C1186F"/>
    <w:rsid w:val="00C12E78"/>
    <w:rsid w:val="00C22539"/>
    <w:rsid w:val="00C2550A"/>
    <w:rsid w:val="00C26ADB"/>
    <w:rsid w:val="00C31145"/>
    <w:rsid w:val="00C45AAB"/>
    <w:rsid w:val="00C509AE"/>
    <w:rsid w:val="00C52B24"/>
    <w:rsid w:val="00C53FED"/>
    <w:rsid w:val="00C54A40"/>
    <w:rsid w:val="00C61229"/>
    <w:rsid w:val="00C64CF8"/>
    <w:rsid w:val="00C66068"/>
    <w:rsid w:val="00C6738D"/>
    <w:rsid w:val="00C704F0"/>
    <w:rsid w:val="00C76A5C"/>
    <w:rsid w:val="00C76C80"/>
    <w:rsid w:val="00C9009C"/>
    <w:rsid w:val="00C90C90"/>
    <w:rsid w:val="00C9358C"/>
    <w:rsid w:val="00C93AC6"/>
    <w:rsid w:val="00C97732"/>
    <w:rsid w:val="00CA01E1"/>
    <w:rsid w:val="00CA029C"/>
    <w:rsid w:val="00CA03CC"/>
    <w:rsid w:val="00CA04D2"/>
    <w:rsid w:val="00CA1078"/>
    <w:rsid w:val="00CA363E"/>
    <w:rsid w:val="00CB29CF"/>
    <w:rsid w:val="00CB33B7"/>
    <w:rsid w:val="00CC1711"/>
    <w:rsid w:val="00CC1843"/>
    <w:rsid w:val="00CC2B2D"/>
    <w:rsid w:val="00CC5C69"/>
    <w:rsid w:val="00CD08FB"/>
    <w:rsid w:val="00CD099B"/>
    <w:rsid w:val="00CD3AF9"/>
    <w:rsid w:val="00CD4874"/>
    <w:rsid w:val="00CD6222"/>
    <w:rsid w:val="00CF22CB"/>
    <w:rsid w:val="00CF29A7"/>
    <w:rsid w:val="00CF4CCE"/>
    <w:rsid w:val="00CF5C27"/>
    <w:rsid w:val="00CF5F7F"/>
    <w:rsid w:val="00CF6AD0"/>
    <w:rsid w:val="00D00E87"/>
    <w:rsid w:val="00D01281"/>
    <w:rsid w:val="00D04DC7"/>
    <w:rsid w:val="00D06192"/>
    <w:rsid w:val="00D07D73"/>
    <w:rsid w:val="00D112D8"/>
    <w:rsid w:val="00D16093"/>
    <w:rsid w:val="00D17A0C"/>
    <w:rsid w:val="00D21B31"/>
    <w:rsid w:val="00D22416"/>
    <w:rsid w:val="00D22858"/>
    <w:rsid w:val="00D23F7F"/>
    <w:rsid w:val="00D25C70"/>
    <w:rsid w:val="00D25CBE"/>
    <w:rsid w:val="00D27333"/>
    <w:rsid w:val="00D3158A"/>
    <w:rsid w:val="00D35D7B"/>
    <w:rsid w:val="00D36D77"/>
    <w:rsid w:val="00D449F2"/>
    <w:rsid w:val="00D44FAF"/>
    <w:rsid w:val="00D47B46"/>
    <w:rsid w:val="00D47D8B"/>
    <w:rsid w:val="00D53176"/>
    <w:rsid w:val="00D53CCA"/>
    <w:rsid w:val="00D54882"/>
    <w:rsid w:val="00D55085"/>
    <w:rsid w:val="00D556E7"/>
    <w:rsid w:val="00D569BD"/>
    <w:rsid w:val="00D615D6"/>
    <w:rsid w:val="00D725F9"/>
    <w:rsid w:val="00D737CD"/>
    <w:rsid w:val="00D77BEF"/>
    <w:rsid w:val="00D77E11"/>
    <w:rsid w:val="00D81B4C"/>
    <w:rsid w:val="00D84043"/>
    <w:rsid w:val="00D868CB"/>
    <w:rsid w:val="00D86C4D"/>
    <w:rsid w:val="00D8708E"/>
    <w:rsid w:val="00D908C5"/>
    <w:rsid w:val="00D90DFC"/>
    <w:rsid w:val="00D91503"/>
    <w:rsid w:val="00D922EA"/>
    <w:rsid w:val="00D9345F"/>
    <w:rsid w:val="00D93E71"/>
    <w:rsid w:val="00DA0FAC"/>
    <w:rsid w:val="00DA29E9"/>
    <w:rsid w:val="00DA7245"/>
    <w:rsid w:val="00DA7F75"/>
    <w:rsid w:val="00DB09DB"/>
    <w:rsid w:val="00DB2773"/>
    <w:rsid w:val="00DB2B01"/>
    <w:rsid w:val="00DC7663"/>
    <w:rsid w:val="00DD0F6A"/>
    <w:rsid w:val="00DD1E5A"/>
    <w:rsid w:val="00DD2753"/>
    <w:rsid w:val="00DD34D6"/>
    <w:rsid w:val="00DE154E"/>
    <w:rsid w:val="00DE1B93"/>
    <w:rsid w:val="00DE41CA"/>
    <w:rsid w:val="00DE707F"/>
    <w:rsid w:val="00DF18B3"/>
    <w:rsid w:val="00DF4AEA"/>
    <w:rsid w:val="00DF7580"/>
    <w:rsid w:val="00E02C31"/>
    <w:rsid w:val="00E03CAA"/>
    <w:rsid w:val="00E04F72"/>
    <w:rsid w:val="00E07FC2"/>
    <w:rsid w:val="00E16B71"/>
    <w:rsid w:val="00E20321"/>
    <w:rsid w:val="00E26B7B"/>
    <w:rsid w:val="00E33BA5"/>
    <w:rsid w:val="00E35004"/>
    <w:rsid w:val="00E3525C"/>
    <w:rsid w:val="00E415F5"/>
    <w:rsid w:val="00E4305D"/>
    <w:rsid w:val="00E470B3"/>
    <w:rsid w:val="00E50148"/>
    <w:rsid w:val="00E5025F"/>
    <w:rsid w:val="00E5155F"/>
    <w:rsid w:val="00E52A94"/>
    <w:rsid w:val="00E57028"/>
    <w:rsid w:val="00E57AAA"/>
    <w:rsid w:val="00E60438"/>
    <w:rsid w:val="00E6361B"/>
    <w:rsid w:val="00E66A11"/>
    <w:rsid w:val="00E74C39"/>
    <w:rsid w:val="00E7773D"/>
    <w:rsid w:val="00E8012D"/>
    <w:rsid w:val="00E81201"/>
    <w:rsid w:val="00E82354"/>
    <w:rsid w:val="00E85365"/>
    <w:rsid w:val="00E8631F"/>
    <w:rsid w:val="00E9156B"/>
    <w:rsid w:val="00E918E4"/>
    <w:rsid w:val="00E92FE3"/>
    <w:rsid w:val="00E94179"/>
    <w:rsid w:val="00EA0161"/>
    <w:rsid w:val="00EA24EC"/>
    <w:rsid w:val="00EA2E8A"/>
    <w:rsid w:val="00EA3590"/>
    <w:rsid w:val="00EB1594"/>
    <w:rsid w:val="00EB15D2"/>
    <w:rsid w:val="00EB5569"/>
    <w:rsid w:val="00EB5F24"/>
    <w:rsid w:val="00ED0A21"/>
    <w:rsid w:val="00ED56A2"/>
    <w:rsid w:val="00ED72D1"/>
    <w:rsid w:val="00EE2103"/>
    <w:rsid w:val="00EE3A78"/>
    <w:rsid w:val="00EE418E"/>
    <w:rsid w:val="00EE44EE"/>
    <w:rsid w:val="00EE4FE9"/>
    <w:rsid w:val="00EF11BF"/>
    <w:rsid w:val="00EF15C3"/>
    <w:rsid w:val="00EF2A19"/>
    <w:rsid w:val="00EF2AA7"/>
    <w:rsid w:val="00EF3899"/>
    <w:rsid w:val="00EF3DF7"/>
    <w:rsid w:val="00EF789E"/>
    <w:rsid w:val="00EF7A28"/>
    <w:rsid w:val="00F006CA"/>
    <w:rsid w:val="00F101BC"/>
    <w:rsid w:val="00F106CF"/>
    <w:rsid w:val="00F14792"/>
    <w:rsid w:val="00F214C0"/>
    <w:rsid w:val="00F22E96"/>
    <w:rsid w:val="00F27200"/>
    <w:rsid w:val="00F37A12"/>
    <w:rsid w:val="00F4104A"/>
    <w:rsid w:val="00F41DA0"/>
    <w:rsid w:val="00F438F9"/>
    <w:rsid w:val="00F47757"/>
    <w:rsid w:val="00F55D89"/>
    <w:rsid w:val="00F56A32"/>
    <w:rsid w:val="00F5724F"/>
    <w:rsid w:val="00F57F46"/>
    <w:rsid w:val="00F61876"/>
    <w:rsid w:val="00F65C40"/>
    <w:rsid w:val="00F74F02"/>
    <w:rsid w:val="00F80E5D"/>
    <w:rsid w:val="00F84B67"/>
    <w:rsid w:val="00F870C2"/>
    <w:rsid w:val="00F90396"/>
    <w:rsid w:val="00F9122C"/>
    <w:rsid w:val="00F92008"/>
    <w:rsid w:val="00F97B96"/>
    <w:rsid w:val="00FA7DA4"/>
    <w:rsid w:val="00FB79BD"/>
    <w:rsid w:val="00FC232C"/>
    <w:rsid w:val="00FC476A"/>
    <w:rsid w:val="00FC6133"/>
    <w:rsid w:val="00FD2724"/>
    <w:rsid w:val="00FD5441"/>
    <w:rsid w:val="00FD7927"/>
    <w:rsid w:val="00FD7E89"/>
    <w:rsid w:val="00FE1B21"/>
    <w:rsid w:val="00FE3E12"/>
    <w:rsid w:val="00FE7025"/>
    <w:rsid w:val="00FE780F"/>
    <w:rsid w:val="00FF146D"/>
    <w:rsid w:val="00FF45A6"/>
    <w:rsid w:val="00FF7191"/>
    <w:rsid w:val="00FF788E"/>
    <w:rsid w:val="01589E6A"/>
    <w:rsid w:val="0184B86D"/>
    <w:rsid w:val="024DE12A"/>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5D78FF"/>
    <w:rsid w:val="0675071B"/>
    <w:rsid w:val="06D8F800"/>
    <w:rsid w:val="072DBEAB"/>
    <w:rsid w:val="07E1AACB"/>
    <w:rsid w:val="07FB5475"/>
    <w:rsid w:val="082D1E71"/>
    <w:rsid w:val="08A5104B"/>
    <w:rsid w:val="09422200"/>
    <w:rsid w:val="09BE6B74"/>
    <w:rsid w:val="0A590749"/>
    <w:rsid w:val="0BD21632"/>
    <w:rsid w:val="0C7C0301"/>
    <w:rsid w:val="0CF56A26"/>
    <w:rsid w:val="0E00A468"/>
    <w:rsid w:val="0F3C102B"/>
    <w:rsid w:val="106767F5"/>
    <w:rsid w:val="10A2FA6D"/>
    <w:rsid w:val="10C124CA"/>
    <w:rsid w:val="10DBA41B"/>
    <w:rsid w:val="110AF1A5"/>
    <w:rsid w:val="1155B82B"/>
    <w:rsid w:val="116BF409"/>
    <w:rsid w:val="116D65FE"/>
    <w:rsid w:val="11A4D109"/>
    <w:rsid w:val="11EDC397"/>
    <w:rsid w:val="1288ECBC"/>
    <w:rsid w:val="12978D45"/>
    <w:rsid w:val="131E4B03"/>
    <w:rsid w:val="1412F133"/>
    <w:rsid w:val="1437D23D"/>
    <w:rsid w:val="14A73E82"/>
    <w:rsid w:val="1502623B"/>
    <w:rsid w:val="1504D84B"/>
    <w:rsid w:val="154934F4"/>
    <w:rsid w:val="155D78A5"/>
    <w:rsid w:val="17FE4FC2"/>
    <w:rsid w:val="18C1EE2F"/>
    <w:rsid w:val="18E45D62"/>
    <w:rsid w:val="19248F67"/>
    <w:rsid w:val="1951228D"/>
    <w:rsid w:val="19B9F843"/>
    <w:rsid w:val="19D2D371"/>
    <w:rsid w:val="1A7FCD95"/>
    <w:rsid w:val="1BD1AA20"/>
    <w:rsid w:val="1C090336"/>
    <w:rsid w:val="1C960CF2"/>
    <w:rsid w:val="1D0F6D59"/>
    <w:rsid w:val="1DB203BE"/>
    <w:rsid w:val="1F7BD1C9"/>
    <w:rsid w:val="20611099"/>
    <w:rsid w:val="20FE8560"/>
    <w:rsid w:val="21ADDAEE"/>
    <w:rsid w:val="21B5652D"/>
    <w:rsid w:val="21C0C6CB"/>
    <w:rsid w:val="21DEB0C1"/>
    <w:rsid w:val="2215736E"/>
    <w:rsid w:val="2230F0E6"/>
    <w:rsid w:val="228C6956"/>
    <w:rsid w:val="22AA0799"/>
    <w:rsid w:val="22D7AD0F"/>
    <w:rsid w:val="22F09156"/>
    <w:rsid w:val="2495411B"/>
    <w:rsid w:val="250151E2"/>
    <w:rsid w:val="2513C73C"/>
    <w:rsid w:val="25941839"/>
    <w:rsid w:val="25A3857A"/>
    <w:rsid w:val="25B47903"/>
    <w:rsid w:val="26288258"/>
    <w:rsid w:val="2697DF5D"/>
    <w:rsid w:val="26C16358"/>
    <w:rsid w:val="26E8F872"/>
    <w:rsid w:val="26EF5CF9"/>
    <w:rsid w:val="27100D64"/>
    <w:rsid w:val="274FE3C2"/>
    <w:rsid w:val="2827E493"/>
    <w:rsid w:val="286B531F"/>
    <w:rsid w:val="28801DC1"/>
    <w:rsid w:val="28B7D843"/>
    <w:rsid w:val="28EBFA51"/>
    <w:rsid w:val="291DD236"/>
    <w:rsid w:val="2942278B"/>
    <w:rsid w:val="296225F0"/>
    <w:rsid w:val="29DFD125"/>
    <w:rsid w:val="2A65F5C5"/>
    <w:rsid w:val="2B283CDF"/>
    <w:rsid w:val="2BF08A54"/>
    <w:rsid w:val="2D1D8148"/>
    <w:rsid w:val="2D45EB43"/>
    <w:rsid w:val="2D5A0D70"/>
    <w:rsid w:val="2D6C42E7"/>
    <w:rsid w:val="2DAA185B"/>
    <w:rsid w:val="2E4F2417"/>
    <w:rsid w:val="3029DA74"/>
    <w:rsid w:val="3176D6D4"/>
    <w:rsid w:val="31FA8872"/>
    <w:rsid w:val="32A256D4"/>
    <w:rsid w:val="334AFAEE"/>
    <w:rsid w:val="334ED406"/>
    <w:rsid w:val="3356F487"/>
    <w:rsid w:val="335834D0"/>
    <w:rsid w:val="3469FD0B"/>
    <w:rsid w:val="351056FE"/>
    <w:rsid w:val="36ECA7DD"/>
    <w:rsid w:val="37283314"/>
    <w:rsid w:val="390FC104"/>
    <w:rsid w:val="39197E4C"/>
    <w:rsid w:val="39381F45"/>
    <w:rsid w:val="39455F2F"/>
    <w:rsid w:val="39A39384"/>
    <w:rsid w:val="39B6F9AD"/>
    <w:rsid w:val="3A03F91A"/>
    <w:rsid w:val="3B03824F"/>
    <w:rsid w:val="3B86E36D"/>
    <w:rsid w:val="3B98DC4A"/>
    <w:rsid w:val="3C33D3D9"/>
    <w:rsid w:val="3C3F57CC"/>
    <w:rsid w:val="3C959FBD"/>
    <w:rsid w:val="3CDB998C"/>
    <w:rsid w:val="3CF492EF"/>
    <w:rsid w:val="3D0311D3"/>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94D46F0"/>
    <w:rsid w:val="49E68893"/>
    <w:rsid w:val="4A532476"/>
    <w:rsid w:val="4AC53A49"/>
    <w:rsid w:val="4AE6D911"/>
    <w:rsid w:val="4C699273"/>
    <w:rsid w:val="4C831090"/>
    <w:rsid w:val="4C965B4F"/>
    <w:rsid w:val="4D41432B"/>
    <w:rsid w:val="4DA84208"/>
    <w:rsid w:val="4E0A53E5"/>
    <w:rsid w:val="4EEBE2B0"/>
    <w:rsid w:val="4FAC0631"/>
    <w:rsid w:val="505E7435"/>
    <w:rsid w:val="50866DF6"/>
    <w:rsid w:val="50F00D2C"/>
    <w:rsid w:val="51320834"/>
    <w:rsid w:val="51AD5A72"/>
    <w:rsid w:val="51C3F8F2"/>
    <w:rsid w:val="520BECAD"/>
    <w:rsid w:val="52CA9A30"/>
    <w:rsid w:val="53785A38"/>
    <w:rsid w:val="537D797A"/>
    <w:rsid w:val="53B76748"/>
    <w:rsid w:val="53BD5FF8"/>
    <w:rsid w:val="53E496BC"/>
    <w:rsid w:val="542EEA64"/>
    <w:rsid w:val="5519B4BD"/>
    <w:rsid w:val="5583DB4B"/>
    <w:rsid w:val="562A577D"/>
    <w:rsid w:val="56651732"/>
    <w:rsid w:val="567EC4CC"/>
    <w:rsid w:val="572A64A3"/>
    <w:rsid w:val="57C1DD53"/>
    <w:rsid w:val="582D62A5"/>
    <w:rsid w:val="58BCD020"/>
    <w:rsid w:val="5930A49F"/>
    <w:rsid w:val="59AB3463"/>
    <w:rsid w:val="5A7F016E"/>
    <w:rsid w:val="5B52BFFC"/>
    <w:rsid w:val="5B8C35F8"/>
    <w:rsid w:val="5BF4A668"/>
    <w:rsid w:val="5BF4C4E3"/>
    <w:rsid w:val="5BF65C83"/>
    <w:rsid w:val="5C0EEC6D"/>
    <w:rsid w:val="5C9F9AA3"/>
    <w:rsid w:val="5D16C422"/>
    <w:rsid w:val="5F589CE7"/>
    <w:rsid w:val="5F931795"/>
    <w:rsid w:val="5FE69D85"/>
    <w:rsid w:val="60963E81"/>
    <w:rsid w:val="60CF78F7"/>
    <w:rsid w:val="61AECAD7"/>
    <w:rsid w:val="628583FF"/>
    <w:rsid w:val="62AA927F"/>
    <w:rsid w:val="62B54EA0"/>
    <w:rsid w:val="62D3C83F"/>
    <w:rsid w:val="6326E310"/>
    <w:rsid w:val="632909A3"/>
    <w:rsid w:val="639E89BF"/>
    <w:rsid w:val="64DE340D"/>
    <w:rsid w:val="65813EB5"/>
    <w:rsid w:val="65EC8D2D"/>
    <w:rsid w:val="66554D86"/>
    <w:rsid w:val="66AACB18"/>
    <w:rsid w:val="686520C1"/>
    <w:rsid w:val="69C42427"/>
    <w:rsid w:val="69C72900"/>
    <w:rsid w:val="6AB1B564"/>
    <w:rsid w:val="6BA9084C"/>
    <w:rsid w:val="6C4126FF"/>
    <w:rsid w:val="6CAC2E3F"/>
    <w:rsid w:val="6D8A258B"/>
    <w:rsid w:val="6F1439F2"/>
    <w:rsid w:val="6F5D8FA9"/>
    <w:rsid w:val="6FD8BD04"/>
    <w:rsid w:val="70C8E7DF"/>
    <w:rsid w:val="71171EBC"/>
    <w:rsid w:val="719BBED3"/>
    <w:rsid w:val="71C0BDBC"/>
    <w:rsid w:val="722D872E"/>
    <w:rsid w:val="72502FAD"/>
    <w:rsid w:val="726B14E4"/>
    <w:rsid w:val="72D5255D"/>
    <w:rsid w:val="7381F923"/>
    <w:rsid w:val="74071707"/>
    <w:rsid w:val="747200C4"/>
    <w:rsid w:val="7479284B"/>
    <w:rsid w:val="749FB1AF"/>
    <w:rsid w:val="750598D0"/>
    <w:rsid w:val="75417487"/>
    <w:rsid w:val="756FCD8F"/>
    <w:rsid w:val="757DD57B"/>
    <w:rsid w:val="764119D9"/>
    <w:rsid w:val="76D16E86"/>
    <w:rsid w:val="77E62CC9"/>
    <w:rsid w:val="78AA77B4"/>
    <w:rsid w:val="7A981EF0"/>
    <w:rsid w:val="7AAA6FEB"/>
    <w:rsid w:val="7BF71844"/>
    <w:rsid w:val="7C207479"/>
    <w:rsid w:val="7C2710FD"/>
    <w:rsid w:val="7C56DAD2"/>
    <w:rsid w:val="7C6D51EA"/>
    <w:rsid w:val="7C8E716A"/>
    <w:rsid w:val="7CCAC0C3"/>
    <w:rsid w:val="7CE2C6B6"/>
    <w:rsid w:val="7CFB9154"/>
    <w:rsid w:val="7D19A933"/>
    <w:rsid w:val="7D258884"/>
    <w:rsid w:val="7D261E38"/>
    <w:rsid w:val="7D72C018"/>
    <w:rsid w:val="7D90920C"/>
    <w:rsid w:val="7DC7CD5C"/>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65BF"/>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 w:type="paragraph" w:styleId="Normaalweb">
    <w:name w:val="Normal (Web)"/>
    <w:basedOn w:val="Standaard"/>
    <w:uiPriority w:val="99"/>
    <w:semiHidden/>
    <w:unhideWhenUsed/>
    <w:rsid w:val="00FC476A"/>
    <w:rPr>
      <w:rFonts w:ascii="Times New Roman" w:hAnsi="Times New Roman" w:cs="Times New Roman"/>
      <w:sz w:val="24"/>
      <w:szCs w:val="24"/>
    </w:rPr>
  </w:style>
  <w:style w:type="character" w:styleId="Zwaar">
    <w:name w:val="Strong"/>
    <w:basedOn w:val="Standaardalinea-lettertype"/>
    <w:uiPriority w:val="22"/>
    <w:qFormat/>
    <w:rsid w:val="0000414D"/>
    <w:rPr>
      <w:b/>
      <w:bCs/>
    </w:rPr>
  </w:style>
  <w:style w:type="character" w:customStyle="1" w:styleId="VoetnoottekstChar1">
    <w:name w:val="Voetnoottekst Char1"/>
    <w:basedOn w:val="Standaardalinea-lettertype"/>
    <w:semiHidden/>
    <w:rsid w:val="00BB7EB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70347670">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19418290">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176769280">
      <w:bodyDiv w:val="1"/>
      <w:marLeft w:val="0"/>
      <w:marRight w:val="0"/>
      <w:marTop w:val="0"/>
      <w:marBottom w:val="0"/>
      <w:divBdr>
        <w:top w:val="none" w:sz="0" w:space="0" w:color="auto"/>
        <w:left w:val="none" w:sz="0" w:space="0" w:color="auto"/>
        <w:bottom w:val="none" w:sz="0" w:space="0" w:color="auto"/>
        <w:right w:val="none" w:sz="0" w:space="0" w:color="auto"/>
      </w:divBdr>
      <w:divsChild>
        <w:div w:id="276183204">
          <w:marLeft w:val="0"/>
          <w:marRight w:val="0"/>
          <w:marTop w:val="0"/>
          <w:marBottom w:val="0"/>
          <w:divBdr>
            <w:top w:val="single" w:sz="2" w:space="0" w:color="4E4E4E"/>
            <w:left w:val="single" w:sz="2" w:space="0" w:color="4E4E4E"/>
            <w:bottom w:val="single" w:sz="2" w:space="0" w:color="4E4E4E"/>
            <w:right w:val="single" w:sz="2" w:space="0" w:color="4E4E4E"/>
          </w:divBdr>
          <w:divsChild>
            <w:div w:id="1129974999">
              <w:marLeft w:val="0"/>
              <w:marRight w:val="0"/>
              <w:marTop w:val="0"/>
              <w:marBottom w:val="180"/>
              <w:divBdr>
                <w:top w:val="single" w:sz="2" w:space="0" w:color="4E4E4E"/>
                <w:left w:val="single" w:sz="2" w:space="0" w:color="4E4E4E"/>
                <w:bottom w:val="single" w:sz="2" w:space="0" w:color="4E4E4E"/>
                <w:right w:val="single" w:sz="2" w:space="0" w:color="4E4E4E"/>
              </w:divBdr>
              <w:divsChild>
                <w:div w:id="202837602">
                  <w:marLeft w:val="0"/>
                  <w:marRight w:val="0"/>
                  <w:marTop w:val="0"/>
                  <w:marBottom w:val="0"/>
                  <w:divBdr>
                    <w:top w:val="single" w:sz="2" w:space="0" w:color="4E4E4E"/>
                    <w:left w:val="single" w:sz="2" w:space="0" w:color="4E4E4E"/>
                    <w:bottom w:val="single" w:sz="2" w:space="0" w:color="4E4E4E"/>
                    <w:right w:val="single" w:sz="2" w:space="0" w:color="4E4E4E"/>
                  </w:divBdr>
                  <w:divsChild>
                    <w:div w:id="1851407114">
                      <w:marLeft w:val="0"/>
                      <w:marRight w:val="0"/>
                      <w:marTop w:val="0"/>
                      <w:marBottom w:val="0"/>
                      <w:divBdr>
                        <w:top w:val="single" w:sz="2" w:space="0" w:color="4E4E4E"/>
                        <w:left w:val="single" w:sz="2" w:space="3" w:color="4E4E4E"/>
                        <w:bottom w:val="single" w:sz="2" w:space="0" w:color="4E4E4E"/>
                        <w:right w:val="single" w:sz="2" w:space="0" w:color="4E4E4E"/>
                      </w:divBdr>
                      <w:divsChild>
                        <w:div w:id="1024090542">
                          <w:marLeft w:val="0"/>
                          <w:marRight w:val="0"/>
                          <w:marTop w:val="0"/>
                          <w:marBottom w:val="0"/>
                          <w:divBdr>
                            <w:top w:val="single" w:sz="2" w:space="0" w:color="4E4E4E"/>
                            <w:left w:val="single" w:sz="2" w:space="0" w:color="4E4E4E"/>
                            <w:bottom w:val="single" w:sz="2" w:space="0" w:color="4E4E4E"/>
                            <w:right w:val="single" w:sz="2" w:space="0" w:color="4E4E4E"/>
                          </w:divBdr>
                          <w:divsChild>
                            <w:div w:id="1867138311">
                              <w:marLeft w:val="0"/>
                              <w:marRight w:val="0"/>
                              <w:marTop w:val="0"/>
                              <w:marBottom w:val="0"/>
                              <w:divBdr>
                                <w:top w:val="single" w:sz="2" w:space="0" w:color="4E4E4E"/>
                                <w:left w:val="single" w:sz="2" w:space="0" w:color="4E4E4E"/>
                                <w:bottom w:val="single" w:sz="2" w:space="0" w:color="4E4E4E"/>
                                <w:right w:val="single" w:sz="2" w:space="0" w:color="4E4E4E"/>
                              </w:divBdr>
                              <w:divsChild>
                                <w:div w:id="1851487807">
                                  <w:marLeft w:val="0"/>
                                  <w:marRight w:val="0"/>
                                  <w:marTop w:val="0"/>
                                  <w:marBottom w:val="0"/>
                                  <w:divBdr>
                                    <w:top w:val="single" w:sz="2" w:space="0" w:color="4E4E4E"/>
                                    <w:left w:val="single" w:sz="2" w:space="0" w:color="4E4E4E"/>
                                    <w:bottom w:val="single" w:sz="2" w:space="0" w:color="4E4E4E"/>
                                    <w:right w:val="single" w:sz="2" w:space="0" w:color="4E4E4E"/>
                                  </w:divBdr>
                                  <w:divsChild>
                                    <w:div w:id="1299142011">
                                      <w:marLeft w:val="0"/>
                                      <w:marRight w:val="0"/>
                                      <w:marTop w:val="0"/>
                                      <w:marBottom w:val="0"/>
                                      <w:divBdr>
                                        <w:top w:val="single" w:sz="2" w:space="0" w:color="4E4E4E"/>
                                        <w:left w:val="single" w:sz="2" w:space="0" w:color="4E4E4E"/>
                                        <w:bottom w:val="single" w:sz="2" w:space="0" w:color="4E4E4E"/>
                                        <w:right w:val="single" w:sz="2" w:space="0" w:color="4E4E4E"/>
                                      </w:divBdr>
                                      <w:divsChild>
                                        <w:div w:id="1641960863">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258222013">
      <w:bodyDiv w:val="1"/>
      <w:marLeft w:val="0"/>
      <w:marRight w:val="0"/>
      <w:marTop w:val="0"/>
      <w:marBottom w:val="0"/>
      <w:divBdr>
        <w:top w:val="none" w:sz="0" w:space="0" w:color="auto"/>
        <w:left w:val="none" w:sz="0" w:space="0" w:color="auto"/>
        <w:bottom w:val="none" w:sz="0" w:space="0" w:color="auto"/>
        <w:right w:val="none" w:sz="0" w:space="0" w:color="auto"/>
      </w:divBdr>
    </w:div>
    <w:div w:id="268122687">
      <w:bodyDiv w:val="1"/>
      <w:marLeft w:val="0"/>
      <w:marRight w:val="0"/>
      <w:marTop w:val="0"/>
      <w:marBottom w:val="0"/>
      <w:divBdr>
        <w:top w:val="none" w:sz="0" w:space="0" w:color="auto"/>
        <w:left w:val="none" w:sz="0" w:space="0" w:color="auto"/>
        <w:bottom w:val="none" w:sz="0" w:space="0" w:color="auto"/>
        <w:right w:val="none" w:sz="0" w:space="0" w:color="auto"/>
      </w:divBdr>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319772469">
      <w:bodyDiv w:val="1"/>
      <w:marLeft w:val="0"/>
      <w:marRight w:val="0"/>
      <w:marTop w:val="0"/>
      <w:marBottom w:val="0"/>
      <w:divBdr>
        <w:top w:val="none" w:sz="0" w:space="0" w:color="auto"/>
        <w:left w:val="none" w:sz="0" w:space="0" w:color="auto"/>
        <w:bottom w:val="none" w:sz="0" w:space="0" w:color="auto"/>
        <w:right w:val="none" w:sz="0" w:space="0" w:color="auto"/>
      </w:divBdr>
    </w:div>
    <w:div w:id="383793585">
      <w:bodyDiv w:val="1"/>
      <w:marLeft w:val="0"/>
      <w:marRight w:val="0"/>
      <w:marTop w:val="0"/>
      <w:marBottom w:val="0"/>
      <w:divBdr>
        <w:top w:val="none" w:sz="0" w:space="0" w:color="auto"/>
        <w:left w:val="none" w:sz="0" w:space="0" w:color="auto"/>
        <w:bottom w:val="none" w:sz="0" w:space="0" w:color="auto"/>
        <w:right w:val="none" w:sz="0" w:space="0" w:color="auto"/>
      </w:divBdr>
    </w:div>
    <w:div w:id="43525366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593899019">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06371945">
      <w:bodyDiv w:val="1"/>
      <w:marLeft w:val="0"/>
      <w:marRight w:val="0"/>
      <w:marTop w:val="0"/>
      <w:marBottom w:val="0"/>
      <w:divBdr>
        <w:top w:val="none" w:sz="0" w:space="0" w:color="auto"/>
        <w:left w:val="none" w:sz="0" w:space="0" w:color="auto"/>
        <w:bottom w:val="none" w:sz="0" w:space="0" w:color="auto"/>
        <w:right w:val="none" w:sz="0" w:space="0" w:color="auto"/>
      </w:divBdr>
    </w:div>
    <w:div w:id="735593159">
      <w:bodyDiv w:val="1"/>
      <w:marLeft w:val="0"/>
      <w:marRight w:val="0"/>
      <w:marTop w:val="0"/>
      <w:marBottom w:val="0"/>
      <w:divBdr>
        <w:top w:val="none" w:sz="0" w:space="0" w:color="auto"/>
        <w:left w:val="none" w:sz="0" w:space="0" w:color="auto"/>
        <w:bottom w:val="none" w:sz="0" w:space="0" w:color="auto"/>
        <w:right w:val="none" w:sz="0" w:space="0" w:color="auto"/>
      </w:divBdr>
    </w:div>
    <w:div w:id="743992122">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12022838">
      <w:bodyDiv w:val="1"/>
      <w:marLeft w:val="0"/>
      <w:marRight w:val="0"/>
      <w:marTop w:val="0"/>
      <w:marBottom w:val="0"/>
      <w:divBdr>
        <w:top w:val="none" w:sz="0" w:space="0" w:color="auto"/>
        <w:left w:val="none" w:sz="0" w:space="0" w:color="auto"/>
        <w:bottom w:val="none" w:sz="0" w:space="0" w:color="auto"/>
        <w:right w:val="none" w:sz="0" w:space="0" w:color="auto"/>
      </w:divBdr>
    </w:div>
    <w:div w:id="826753139">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36843969">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892235754">
      <w:bodyDiv w:val="1"/>
      <w:marLeft w:val="0"/>
      <w:marRight w:val="0"/>
      <w:marTop w:val="0"/>
      <w:marBottom w:val="0"/>
      <w:divBdr>
        <w:top w:val="none" w:sz="0" w:space="0" w:color="auto"/>
        <w:left w:val="none" w:sz="0" w:space="0" w:color="auto"/>
        <w:bottom w:val="none" w:sz="0" w:space="0" w:color="auto"/>
        <w:right w:val="none" w:sz="0" w:space="0" w:color="auto"/>
      </w:divBdr>
    </w:div>
    <w:div w:id="905065186">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51280471">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52271338">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81029648">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172060776">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46183240">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75285611">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56342235">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391920965">
      <w:bodyDiv w:val="1"/>
      <w:marLeft w:val="0"/>
      <w:marRight w:val="0"/>
      <w:marTop w:val="0"/>
      <w:marBottom w:val="0"/>
      <w:divBdr>
        <w:top w:val="none" w:sz="0" w:space="0" w:color="auto"/>
        <w:left w:val="none" w:sz="0" w:space="0" w:color="auto"/>
        <w:bottom w:val="none" w:sz="0" w:space="0" w:color="auto"/>
        <w:right w:val="none" w:sz="0" w:space="0" w:color="auto"/>
      </w:divBdr>
    </w:div>
    <w:div w:id="1416633945">
      <w:bodyDiv w:val="1"/>
      <w:marLeft w:val="0"/>
      <w:marRight w:val="0"/>
      <w:marTop w:val="0"/>
      <w:marBottom w:val="0"/>
      <w:divBdr>
        <w:top w:val="none" w:sz="0" w:space="0" w:color="auto"/>
        <w:left w:val="none" w:sz="0" w:space="0" w:color="auto"/>
        <w:bottom w:val="none" w:sz="0" w:space="0" w:color="auto"/>
        <w:right w:val="none" w:sz="0" w:space="0" w:color="auto"/>
      </w:divBdr>
    </w:div>
    <w:div w:id="1444348626">
      <w:bodyDiv w:val="1"/>
      <w:marLeft w:val="0"/>
      <w:marRight w:val="0"/>
      <w:marTop w:val="0"/>
      <w:marBottom w:val="0"/>
      <w:divBdr>
        <w:top w:val="none" w:sz="0" w:space="0" w:color="auto"/>
        <w:left w:val="none" w:sz="0" w:space="0" w:color="auto"/>
        <w:bottom w:val="none" w:sz="0" w:space="0" w:color="auto"/>
        <w:right w:val="none" w:sz="0" w:space="0" w:color="auto"/>
      </w:divBdr>
    </w:div>
    <w:div w:id="1456755772">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36501707">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10763064">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764497919">
      <w:bodyDiv w:val="1"/>
      <w:marLeft w:val="0"/>
      <w:marRight w:val="0"/>
      <w:marTop w:val="0"/>
      <w:marBottom w:val="0"/>
      <w:divBdr>
        <w:top w:val="none" w:sz="0" w:space="0" w:color="auto"/>
        <w:left w:val="none" w:sz="0" w:space="0" w:color="auto"/>
        <w:bottom w:val="none" w:sz="0" w:space="0" w:color="auto"/>
        <w:right w:val="none" w:sz="0" w:space="0" w:color="auto"/>
      </w:divBdr>
    </w:div>
    <w:div w:id="1783568261">
      <w:bodyDiv w:val="1"/>
      <w:marLeft w:val="0"/>
      <w:marRight w:val="0"/>
      <w:marTop w:val="0"/>
      <w:marBottom w:val="0"/>
      <w:divBdr>
        <w:top w:val="none" w:sz="0" w:space="0" w:color="auto"/>
        <w:left w:val="none" w:sz="0" w:space="0" w:color="auto"/>
        <w:bottom w:val="none" w:sz="0" w:space="0" w:color="auto"/>
        <w:right w:val="none" w:sz="0" w:space="0" w:color="auto"/>
      </w:divBdr>
    </w:div>
    <w:div w:id="1820807443">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33180659">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1862550158">
      <w:bodyDiv w:val="1"/>
      <w:marLeft w:val="0"/>
      <w:marRight w:val="0"/>
      <w:marTop w:val="0"/>
      <w:marBottom w:val="0"/>
      <w:divBdr>
        <w:top w:val="none" w:sz="0" w:space="0" w:color="auto"/>
        <w:left w:val="none" w:sz="0" w:space="0" w:color="auto"/>
        <w:bottom w:val="none" w:sz="0" w:space="0" w:color="auto"/>
        <w:right w:val="none" w:sz="0" w:space="0" w:color="auto"/>
      </w:divBdr>
    </w:div>
    <w:div w:id="1945577343">
      <w:bodyDiv w:val="1"/>
      <w:marLeft w:val="0"/>
      <w:marRight w:val="0"/>
      <w:marTop w:val="0"/>
      <w:marBottom w:val="0"/>
      <w:divBdr>
        <w:top w:val="none" w:sz="0" w:space="0" w:color="auto"/>
        <w:left w:val="none" w:sz="0" w:space="0" w:color="auto"/>
        <w:bottom w:val="none" w:sz="0" w:space="0" w:color="auto"/>
        <w:right w:val="none" w:sz="0" w:space="0" w:color="auto"/>
      </w:divBdr>
      <w:divsChild>
        <w:div w:id="1630626586">
          <w:marLeft w:val="0"/>
          <w:marRight w:val="0"/>
          <w:marTop w:val="0"/>
          <w:marBottom w:val="0"/>
          <w:divBdr>
            <w:top w:val="single" w:sz="2" w:space="0" w:color="4E4E4E"/>
            <w:left w:val="single" w:sz="2" w:space="0" w:color="4E4E4E"/>
            <w:bottom w:val="single" w:sz="2" w:space="0" w:color="4E4E4E"/>
            <w:right w:val="single" w:sz="2" w:space="0" w:color="4E4E4E"/>
          </w:divBdr>
          <w:divsChild>
            <w:div w:id="1961914175">
              <w:marLeft w:val="0"/>
              <w:marRight w:val="0"/>
              <w:marTop w:val="0"/>
              <w:marBottom w:val="180"/>
              <w:divBdr>
                <w:top w:val="single" w:sz="2" w:space="0" w:color="4E4E4E"/>
                <w:left w:val="single" w:sz="2" w:space="0" w:color="4E4E4E"/>
                <w:bottom w:val="single" w:sz="2" w:space="0" w:color="4E4E4E"/>
                <w:right w:val="single" w:sz="2" w:space="0" w:color="4E4E4E"/>
              </w:divBdr>
              <w:divsChild>
                <w:div w:id="1935045813">
                  <w:marLeft w:val="0"/>
                  <w:marRight w:val="0"/>
                  <w:marTop w:val="0"/>
                  <w:marBottom w:val="0"/>
                  <w:divBdr>
                    <w:top w:val="single" w:sz="2" w:space="0" w:color="4E4E4E"/>
                    <w:left w:val="single" w:sz="2" w:space="0" w:color="4E4E4E"/>
                    <w:bottom w:val="single" w:sz="2" w:space="0" w:color="4E4E4E"/>
                    <w:right w:val="single" w:sz="2" w:space="0" w:color="4E4E4E"/>
                  </w:divBdr>
                  <w:divsChild>
                    <w:div w:id="1174297663">
                      <w:marLeft w:val="0"/>
                      <w:marRight w:val="0"/>
                      <w:marTop w:val="0"/>
                      <w:marBottom w:val="0"/>
                      <w:divBdr>
                        <w:top w:val="single" w:sz="2" w:space="0" w:color="4E4E4E"/>
                        <w:left w:val="single" w:sz="2" w:space="3" w:color="4E4E4E"/>
                        <w:bottom w:val="single" w:sz="2" w:space="0" w:color="4E4E4E"/>
                        <w:right w:val="single" w:sz="2" w:space="0" w:color="4E4E4E"/>
                      </w:divBdr>
                      <w:divsChild>
                        <w:div w:id="638924886">
                          <w:marLeft w:val="0"/>
                          <w:marRight w:val="0"/>
                          <w:marTop w:val="0"/>
                          <w:marBottom w:val="0"/>
                          <w:divBdr>
                            <w:top w:val="single" w:sz="2" w:space="0" w:color="4E4E4E"/>
                            <w:left w:val="single" w:sz="2" w:space="0" w:color="4E4E4E"/>
                            <w:bottom w:val="single" w:sz="2" w:space="0" w:color="4E4E4E"/>
                            <w:right w:val="single" w:sz="2" w:space="0" w:color="4E4E4E"/>
                          </w:divBdr>
                          <w:divsChild>
                            <w:div w:id="910893810">
                              <w:marLeft w:val="0"/>
                              <w:marRight w:val="0"/>
                              <w:marTop w:val="0"/>
                              <w:marBottom w:val="0"/>
                              <w:divBdr>
                                <w:top w:val="single" w:sz="2" w:space="0" w:color="4E4E4E"/>
                                <w:left w:val="single" w:sz="2" w:space="0" w:color="4E4E4E"/>
                                <w:bottom w:val="single" w:sz="2" w:space="0" w:color="4E4E4E"/>
                                <w:right w:val="single" w:sz="2" w:space="0" w:color="4E4E4E"/>
                              </w:divBdr>
                              <w:divsChild>
                                <w:div w:id="1733845470">
                                  <w:marLeft w:val="0"/>
                                  <w:marRight w:val="0"/>
                                  <w:marTop w:val="0"/>
                                  <w:marBottom w:val="0"/>
                                  <w:divBdr>
                                    <w:top w:val="single" w:sz="2" w:space="0" w:color="4E4E4E"/>
                                    <w:left w:val="single" w:sz="2" w:space="0" w:color="4E4E4E"/>
                                    <w:bottom w:val="single" w:sz="2" w:space="0" w:color="4E4E4E"/>
                                    <w:right w:val="single" w:sz="2" w:space="0" w:color="4E4E4E"/>
                                  </w:divBdr>
                                  <w:divsChild>
                                    <w:div w:id="872688232">
                                      <w:marLeft w:val="0"/>
                                      <w:marRight w:val="0"/>
                                      <w:marTop w:val="0"/>
                                      <w:marBottom w:val="0"/>
                                      <w:divBdr>
                                        <w:top w:val="single" w:sz="2" w:space="0" w:color="4E4E4E"/>
                                        <w:left w:val="single" w:sz="2" w:space="0" w:color="4E4E4E"/>
                                        <w:bottom w:val="single" w:sz="2" w:space="0" w:color="4E4E4E"/>
                                        <w:right w:val="single" w:sz="2" w:space="0" w:color="4E4E4E"/>
                                      </w:divBdr>
                                      <w:divsChild>
                                        <w:div w:id="497304815">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981960448">
      <w:bodyDiv w:val="1"/>
      <w:marLeft w:val="0"/>
      <w:marRight w:val="0"/>
      <w:marTop w:val="0"/>
      <w:marBottom w:val="0"/>
      <w:divBdr>
        <w:top w:val="none" w:sz="0" w:space="0" w:color="auto"/>
        <w:left w:val="none" w:sz="0" w:space="0" w:color="auto"/>
        <w:bottom w:val="none" w:sz="0" w:space="0" w:color="auto"/>
        <w:right w:val="none" w:sz="0" w:space="0" w:color="auto"/>
      </w:divBdr>
    </w:div>
    <w:div w:id="2004892783">
      <w:bodyDiv w:val="1"/>
      <w:marLeft w:val="0"/>
      <w:marRight w:val="0"/>
      <w:marTop w:val="0"/>
      <w:marBottom w:val="0"/>
      <w:divBdr>
        <w:top w:val="none" w:sz="0" w:space="0" w:color="auto"/>
        <w:left w:val="none" w:sz="0" w:space="0" w:color="auto"/>
        <w:bottom w:val="none" w:sz="0" w:space="0" w:color="auto"/>
        <w:right w:val="none" w:sz="0" w:space="0" w:color="auto"/>
      </w:divBdr>
    </w:div>
    <w:div w:id="2008627341">
      <w:bodyDiv w:val="1"/>
      <w:marLeft w:val="0"/>
      <w:marRight w:val="0"/>
      <w:marTop w:val="0"/>
      <w:marBottom w:val="0"/>
      <w:divBdr>
        <w:top w:val="none" w:sz="0" w:space="0" w:color="auto"/>
        <w:left w:val="none" w:sz="0" w:space="0" w:color="auto"/>
        <w:bottom w:val="none" w:sz="0" w:space="0" w:color="auto"/>
        <w:right w:val="none" w:sz="0" w:space="0" w:color="auto"/>
      </w:divBdr>
    </w:div>
    <w:div w:id="2022657151">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 w:id="21332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ur-lex.europa.eu/legal-content/NL/TXT/HTML/?uri=CELEX:52026DC06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conomy_finance/recovery-and-resilience-scoreboard/timeline.html" TargetMode="External"/><Relationship Id="rId3" Type="http://schemas.openxmlformats.org/officeDocument/2006/relationships/hyperlink" Target="https://www.rijksoverheid.nl/actueel/nieuws/2026/07/10/nederland-kiest-voor-productiviteit-kabinet-zet-in-op-onderwijs-arbeidsmarkt-en-innovatie" TargetMode="External"/><Relationship Id="rId7" Type="http://schemas.openxmlformats.org/officeDocument/2006/relationships/hyperlink" Target="https://ec.europa.eu/economy_finance/recovery-and-resilience-scoreboard/timeline.html" TargetMode="External"/><Relationship Id="rId2" Type="http://schemas.openxmlformats.org/officeDocument/2006/relationships/hyperlink" Target="https://www.oecd.org/content/dam/oecd/en/publications/reports/2026/06/oecd-compendium-of-productivity-indicators-2026_04e21c23/734a5e68-en.pdf" TargetMode="External"/><Relationship Id="rId1" Type="http://schemas.openxmlformats.org/officeDocument/2006/relationships/hyperlink" Target="https://economy-finance.ec.europa.eu/economic-forecast-and-surveys/economic-forecasts/spring-2026-economic-forecast-slowdown-growth-energy-shock-drives-inflation_en" TargetMode="External"/><Relationship Id="rId6" Type="http://schemas.openxmlformats.org/officeDocument/2006/relationships/hyperlink" Target="https://www.tweedekamer.nl/kamerstukken/detail?id=2026Z16040&amp;did=2026D36237" TargetMode="External"/><Relationship Id="rId5" Type="http://schemas.openxmlformats.org/officeDocument/2006/relationships/hyperlink" Target="https://esb.nu/productiviteitswinst-door-ai-op-microniveau-levert-nog-geen-macrowonder-op/" TargetMode="External"/><Relationship Id="rId4" Type="http://schemas.openxmlformats.org/officeDocument/2006/relationships/hyperlink" Target="https://www.consilium.europa.eu/media/yp2bj0fd/statement-on-digital-fin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2152</ap:Words>
  <ap:Characters>11837</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2026-09-02T09:37:00.0000000Z</dcterms:created>
  <dcterms:modified xsi:type="dcterms:W3CDTF">2026-09-02T09:37:00.0000000Z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