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B18" w:rsidP="008B2B18" w:rsidRDefault="008B2B18" w14:paraId="58C8E182" w14:textId="36B53121">
      <w:pPr>
        <w:pStyle w:val="Geenafstand"/>
      </w:pPr>
      <w:r>
        <w:t>AH 2873</w:t>
      </w:r>
    </w:p>
    <w:p w:rsidR="008B2B18" w:rsidP="008B2B18" w:rsidRDefault="008B2B18" w14:paraId="5BFF5CA7" w14:textId="387A146A">
      <w:pPr>
        <w:pStyle w:val="Geenafstand"/>
      </w:pPr>
      <w:r>
        <w:t>2026Z15707</w:t>
      </w:r>
    </w:p>
    <w:p w:rsidR="008B2B18" w:rsidP="008B2B18" w:rsidRDefault="008B2B18" w14:paraId="2B6D1013" w14:textId="77777777">
      <w:pPr>
        <w:pStyle w:val="Geenafstand"/>
      </w:pPr>
    </w:p>
    <w:p w:rsidR="008B2B18" w:rsidP="001D227A" w:rsidRDefault="008B2B18" w14:paraId="19AC0F10" w14:textId="6C6F978A">
      <w:pPr>
        <w:autoSpaceDE w:val="0"/>
        <w:adjustRightInd w:val="0"/>
        <w:spacing w:line="240" w:lineRule="auto"/>
        <w:rPr>
          <w:rFonts w:eastAsia="DejaVuSerifCondensed" w:cs="DejaVuSerifCondensed"/>
          <w:sz w:val="24"/>
          <w:szCs w:val="24"/>
        </w:rPr>
      </w:pPr>
      <w:r w:rsidRPr="008B2B18">
        <w:rPr>
          <w:rFonts w:eastAsia="DejaVuSerifCondensed" w:cs="DejaVuSerifCondensed"/>
          <w:sz w:val="24"/>
          <w:szCs w:val="24"/>
        </w:rPr>
        <w:t xml:space="preserve">Antwoord van minister Van Weel (Justitie en Veiligheid) (ontvangen </w:t>
      </w:r>
      <w:r>
        <w:rPr>
          <w:rFonts w:eastAsia="DejaVuSerifCondensed" w:cs="DejaVuSerifCondensed"/>
          <w:sz w:val="24"/>
          <w:szCs w:val="24"/>
        </w:rPr>
        <w:t xml:space="preserve"> 1 september 2026)</w:t>
      </w:r>
    </w:p>
    <w:p w:rsidRPr="00FD4B59" w:rsidR="008B2B18" w:rsidP="001D227A" w:rsidRDefault="008B2B18" w14:paraId="233191C9" w14:textId="1D823595">
      <w:pPr>
        <w:autoSpaceDE w:val="0"/>
        <w:adjustRightInd w:val="0"/>
        <w:spacing w:line="240" w:lineRule="auto"/>
        <w:rPr>
          <w:rFonts w:eastAsia="DejaVuSerifCondensed" w:cs="DejaVuSerifCondensed"/>
        </w:rPr>
      </w:pPr>
      <w:r w:rsidRPr="008B2B18">
        <w:rPr>
          <w:rFonts w:eastAsia="DejaVuSerifCondensed" w:cs="DejaVuSerifCondensed"/>
          <w:color w:val="000000"/>
          <w:sz w:val="24"/>
          <w:szCs w:val="24"/>
        </w:rPr>
        <w:t xml:space="preserve">Zie ook Aanhangsel Handelingen, vergaderjaar 2025-2026, nr. </w:t>
      </w:r>
      <w:r>
        <w:rPr>
          <w:rFonts w:eastAsia="DejaVuSerifCondensed" w:cs="DejaVuSerifCondensed"/>
        </w:rPr>
        <w:t>2604</w:t>
      </w:r>
    </w:p>
    <w:p w:rsidRPr="00FD4B59" w:rsidR="008B2B18" w:rsidP="001D227A" w:rsidRDefault="008B2B18" w14:paraId="2D801344"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Vraag 1</w:t>
      </w:r>
    </w:p>
    <w:p w:rsidRPr="00FD4B59" w:rsidR="008B2B18" w:rsidP="001D227A" w:rsidRDefault="008B2B18" w14:paraId="256FE5C8"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Bent u bekend met het bericht dat het Openbaar Ministerie (OM) naar aanleiding van de racistische uitingen richting spelers van het Nederlands elftal heeft aangegeven dat discriminatiezaken prioriteit hebben?</w:t>
      </w:r>
      <w:r w:rsidRPr="00FD4B59">
        <w:rPr>
          <w:rStyle w:val="Voetnootmarkering"/>
          <w:rFonts w:eastAsia="DejaVuSerifCondensed" w:cs="DejaVuSerifCondensed"/>
          <w:b/>
          <w:bCs/>
        </w:rPr>
        <w:footnoteReference w:id="1"/>
      </w:r>
    </w:p>
    <w:p w:rsidRPr="00FD4B59" w:rsidR="008B2B18" w:rsidP="001D227A" w:rsidRDefault="008B2B18" w14:paraId="50CEE779" w14:textId="77777777"/>
    <w:p w:rsidRPr="00FD4B59" w:rsidR="008B2B18" w:rsidP="001D227A" w:rsidRDefault="008B2B18" w14:paraId="2C92E12E"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Antwoord op vraag 1</w:t>
      </w:r>
    </w:p>
    <w:p w:rsidRPr="00FD4B59" w:rsidR="008B2B18" w:rsidP="001D227A" w:rsidRDefault="008B2B18" w14:paraId="19D55B7C" w14:textId="77777777">
      <w:pPr>
        <w:autoSpaceDE w:val="0"/>
        <w:adjustRightInd w:val="0"/>
        <w:spacing w:line="240" w:lineRule="auto"/>
        <w:rPr>
          <w:rFonts w:eastAsia="DejaVuSerifCondensed" w:cs="DejaVuSerifCondensed"/>
        </w:rPr>
      </w:pPr>
      <w:r w:rsidRPr="00FD4B59">
        <w:rPr>
          <w:rFonts w:eastAsia="DejaVuSerifCondensed" w:cs="DejaVuSerifCondensed"/>
        </w:rPr>
        <w:t>Ja ik ben bekend met dit bericht.</w:t>
      </w:r>
    </w:p>
    <w:p w:rsidRPr="00FD4B59" w:rsidR="008B2B18" w:rsidP="001D227A" w:rsidRDefault="008B2B18" w14:paraId="2923593F" w14:textId="77777777">
      <w:pPr>
        <w:autoSpaceDE w:val="0"/>
        <w:adjustRightInd w:val="0"/>
        <w:spacing w:line="240" w:lineRule="auto"/>
        <w:rPr>
          <w:rFonts w:eastAsia="DejaVuSerifCondensed" w:cs="DejaVuSerifCondensed"/>
        </w:rPr>
      </w:pPr>
    </w:p>
    <w:p w:rsidRPr="00FD4B59" w:rsidR="008B2B18" w:rsidP="001D227A" w:rsidRDefault="008B2B18" w14:paraId="4C239E60"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Vraag 2</w:t>
      </w:r>
    </w:p>
    <w:p w:rsidRPr="00FD4B59" w:rsidR="008B2B18" w:rsidP="001D227A" w:rsidRDefault="008B2B18" w14:paraId="0D7FB693"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Hoe verhoudt de prioritering van het OM zich tot de bevindingen van de Algemene Rekenkamer dat jaarlijks duizenden ernstige misdrijven, waaronder High Impact Crimes, niet of niet tijdig worden opgepakt wegens capaciteitsgebrek?</w:t>
      </w:r>
    </w:p>
    <w:p w:rsidRPr="00FD4B59" w:rsidR="008B2B18" w:rsidP="001D227A" w:rsidRDefault="008B2B18" w14:paraId="778BD5E1" w14:textId="77777777">
      <w:pPr>
        <w:autoSpaceDE w:val="0"/>
        <w:adjustRightInd w:val="0"/>
        <w:spacing w:line="240" w:lineRule="auto"/>
        <w:rPr>
          <w:rFonts w:eastAsia="DejaVuSerifCondensed" w:cs="DejaVuSerifCondensed"/>
        </w:rPr>
      </w:pPr>
    </w:p>
    <w:p w:rsidRPr="008B5DD4" w:rsidR="008B2B18" w:rsidP="008B5DD4" w:rsidRDefault="008B2B18" w14:paraId="4A990695" w14:textId="77777777">
      <w:pPr>
        <w:rPr>
          <w:rFonts w:eastAsia="DejaVuSerifCondensed" w:cs="DejaVuSerifCondensed"/>
          <w:b/>
          <w:bCs/>
        </w:rPr>
      </w:pPr>
      <w:r w:rsidRPr="00FD4B59">
        <w:rPr>
          <w:rFonts w:eastAsia="DejaVuSerifCondensed" w:cs="DejaVuSerifCondensed"/>
          <w:b/>
          <w:bCs/>
        </w:rPr>
        <w:t>Antwoord op vraag 2</w:t>
      </w:r>
    </w:p>
    <w:p w:rsidRPr="00FD4B59" w:rsidR="008B2B18" w:rsidP="001D227A" w:rsidRDefault="008B2B18" w14:paraId="6B9E670E" w14:textId="77777777">
      <w:pPr>
        <w:autoSpaceDE w:val="0"/>
        <w:adjustRightInd w:val="0"/>
        <w:spacing w:line="240" w:lineRule="auto"/>
        <w:rPr>
          <w:rFonts w:eastAsia="DejaVuSerifCondensed" w:cs="DejaVuSerifCondensed"/>
        </w:rPr>
      </w:pPr>
      <w:r w:rsidRPr="00FD4B59">
        <w:rPr>
          <w:rFonts w:eastAsia="DejaVuSerifCondensed" w:cs="DejaVuSerifCondensed"/>
        </w:rPr>
        <w:t xml:space="preserve">Zoals ik in mijn reactie op het conceptrapport van de Algemene Rekenkamer (hierna: AR) over prioritering in de opsporing heb toegelicht is de prioritering in de opsporing gelaagd, afhankelijk van meerdere factoren en bedoeld om doelen van rechtsstatelijke en maatschappelijke aard te dienen. Het maken van keuzes in de opsporing kent bij uitstek een veelheid aan dimensies, ook vanwege de aard van ons politiebestel. Naast landelijke criminaliteitsbeelden en fenomeenanalyses, spelen bijvoorbeeld ook regionale en lokale context een belangrijke rol. Prioritering in de opsporing is dan ook een doorlopend gesprek dat constante bijsturing vereist op nieuwe fenomenen. </w:t>
      </w:r>
    </w:p>
    <w:p w:rsidRPr="00FD4B59" w:rsidR="008B2B18" w:rsidP="001D227A" w:rsidRDefault="008B2B18" w14:paraId="36E477A0" w14:textId="77777777">
      <w:pPr>
        <w:autoSpaceDE w:val="0"/>
        <w:adjustRightInd w:val="0"/>
        <w:spacing w:line="240" w:lineRule="auto"/>
        <w:rPr>
          <w:rFonts w:eastAsia="DejaVuSerifCondensed" w:cs="DejaVuSerifCondensed"/>
        </w:rPr>
      </w:pPr>
    </w:p>
    <w:p w:rsidRPr="00FD4B59" w:rsidR="008B2B18" w:rsidP="001D227A" w:rsidRDefault="008B2B18" w14:paraId="75CE128F" w14:textId="77777777">
      <w:pPr>
        <w:autoSpaceDE w:val="0"/>
        <w:adjustRightInd w:val="0"/>
        <w:spacing w:line="240" w:lineRule="auto"/>
        <w:rPr>
          <w:rFonts w:eastAsia="DejaVuSerifCondensed" w:cs="DejaVuSerifCondensed"/>
        </w:rPr>
      </w:pPr>
      <w:r w:rsidRPr="00FD4B59">
        <w:rPr>
          <w:rFonts w:eastAsia="DejaVuSerifCondensed" w:cs="DejaVuSerifCondensed"/>
        </w:rPr>
        <w:t>De Aanwijzing voor de opsporing van het OM en het screenings- en selectiviteitskader geven belangrijke richting bij de prioritering. Zoals hierboven aangegeven speelt de lokale context een belangrijke rol. Keuzes in de opsporing worden onder andere gemaakt tegen de achtergrond van het criminele speelveld binnen het werkgebied van een team of het criminaliteitsbeeld van een district. Verder moet onder meer rekening worden gehouden met de per definitie schaarse opsporings- en vervolgingscapaciteit, de kansrijkheid en noodzaak van strafrechtelijk ingrijpen ten opzichte van andere interventies, de individuele belangen van verdachten en slachtoffers en de eventuele geschokte rechtsorde. Het OM dient een balans te vinden tussen het zorgdragen voor een reële en voldoende aanwezige strafrechtelijke handhaving en het gegeven dat niet elk individueel strafbaar feit tot een strafrechtelijke interventie kan leiden.</w:t>
      </w:r>
    </w:p>
    <w:p w:rsidRPr="00FD4B59" w:rsidR="008B2B18" w:rsidP="001D227A" w:rsidRDefault="008B2B18" w14:paraId="7DAAE531" w14:textId="77777777">
      <w:pPr>
        <w:autoSpaceDE w:val="0"/>
        <w:adjustRightInd w:val="0"/>
        <w:spacing w:line="240" w:lineRule="auto"/>
        <w:rPr>
          <w:rFonts w:eastAsia="DejaVuSerifCondensed" w:cs="DejaVuSerifCondensed"/>
          <w:b/>
          <w:bCs/>
        </w:rPr>
      </w:pPr>
    </w:p>
    <w:p w:rsidRPr="00FD4B59" w:rsidR="008B2B18" w:rsidP="001D227A" w:rsidRDefault="008B2B18" w14:paraId="202782B6" w14:textId="77777777">
      <w:pPr>
        <w:autoSpaceDE w:val="0"/>
        <w:adjustRightInd w:val="0"/>
        <w:spacing w:line="240" w:lineRule="auto"/>
        <w:rPr>
          <w:rFonts w:eastAsia="DejaVuSerifCondensed" w:cs="DejaVuSerifCondensed"/>
        </w:rPr>
      </w:pPr>
      <w:r w:rsidRPr="00FD4B59">
        <w:rPr>
          <w:rFonts w:eastAsia="DejaVuSerifCondensed" w:cs="DejaVuSerifCondensed"/>
        </w:rPr>
        <w:lastRenderedPageBreak/>
        <w:t>Dat specifiek het discriminatiebeleid is geprioriteerd bij het OM volgt uit de Aanwijzing discriminatie (2025A003). Daarin staat onder meer dat de politie in beginsel elke aangifte van discriminatie opneemt en dat er na elke aangifte een opsporingsonderzoek volgt. Discriminatie is in omvang en aantallen een groot maatschappelijk probleem, waarvan slechts weinig burgers melding maken of aangifte doen.</w:t>
      </w:r>
      <w:r w:rsidRPr="00FD4B59">
        <w:rPr>
          <w:rStyle w:val="Voetnootmarkering"/>
          <w:rFonts w:eastAsia="DejaVuSerifCondensed" w:cs="DejaVuSerifCondensed"/>
        </w:rPr>
        <w:footnoteReference w:id="2"/>
      </w:r>
      <w:r w:rsidRPr="00FD4B59">
        <w:rPr>
          <w:rFonts w:eastAsia="DejaVuSerifCondensed" w:cs="DejaVuSerifCondensed"/>
        </w:rPr>
        <w:t xml:space="preserve"> De drempel om online, anoniem discriminatoire uitingen te plegen is laag, evenals de pakkans. Omdat de strafrechtelijke aanpak van discriminatie in principe aangifte-gedreven werkt en de aantallen daarmee (relatief) laag zijn, kan het OM ook deze zaken geprioriteerd oppakken, naast andere prioriteiten. </w:t>
      </w:r>
    </w:p>
    <w:p w:rsidRPr="00FD4B59" w:rsidR="008B2B18" w:rsidP="001D227A" w:rsidRDefault="008B2B18" w14:paraId="26CE47FA" w14:textId="77777777">
      <w:pPr>
        <w:autoSpaceDE w:val="0"/>
        <w:adjustRightInd w:val="0"/>
        <w:spacing w:line="240" w:lineRule="auto"/>
        <w:rPr>
          <w:rFonts w:eastAsia="DejaVuSerifCondensed" w:cs="DejaVuSerifCondensed"/>
          <w:b/>
          <w:bCs/>
        </w:rPr>
      </w:pPr>
    </w:p>
    <w:p w:rsidRPr="00FD4B59" w:rsidR="008B2B18" w:rsidP="001D227A" w:rsidRDefault="008B2B18" w14:paraId="52ABFCB7" w14:textId="77777777">
      <w:pPr>
        <w:autoSpaceDE w:val="0"/>
        <w:adjustRightInd w:val="0"/>
        <w:spacing w:line="240" w:lineRule="auto"/>
        <w:rPr>
          <w:rFonts w:eastAsia="DejaVuSerifCondensed" w:cs="DejaVuSerifCondensed"/>
        </w:rPr>
      </w:pPr>
    </w:p>
    <w:p w:rsidRPr="00FD4B59" w:rsidR="008B2B18" w:rsidP="001D227A" w:rsidRDefault="008B2B18" w14:paraId="2B0AC97B"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Vraag 3</w:t>
      </w:r>
    </w:p>
    <w:p w:rsidRPr="00FD4B59" w:rsidR="008B2B18" w:rsidP="001D227A" w:rsidRDefault="008B2B18" w14:paraId="57E034B8"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Kan het OM een overzicht verstrekken van delicten en zaakstromen die momenteel als prioriteit of topprioriteit worden aangemerkt?</w:t>
      </w:r>
    </w:p>
    <w:p w:rsidRPr="00FD4B59" w:rsidR="008B2B18" w:rsidP="001D227A" w:rsidRDefault="008B2B18" w14:paraId="4F536A28" w14:textId="77777777">
      <w:pPr>
        <w:autoSpaceDE w:val="0"/>
        <w:adjustRightInd w:val="0"/>
        <w:spacing w:line="240" w:lineRule="auto"/>
        <w:rPr>
          <w:rFonts w:eastAsia="DejaVuSerifCondensed" w:cs="DejaVuSerifCondensed"/>
        </w:rPr>
      </w:pPr>
    </w:p>
    <w:p w:rsidRPr="00FD4B59" w:rsidR="008B2B18" w:rsidP="001D227A" w:rsidRDefault="008B2B18" w14:paraId="4E1C6F46"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Antwoord op vraag 3</w:t>
      </w:r>
    </w:p>
    <w:p w:rsidRPr="00FD4B59" w:rsidR="008B2B18" w:rsidP="001D227A" w:rsidRDefault="008B2B18" w14:paraId="33E5BC1A" w14:textId="77777777">
      <w:r w:rsidRPr="00FD4B59">
        <w:rPr>
          <w:rFonts w:eastAsia="DejaVuSerifCondensed" w:cs="DejaVuSerifCondensed"/>
        </w:rPr>
        <w:t xml:space="preserve">In aanvulling op het antwoord op vraag 2 over hoe de prioritering tot stand komt, geldt dat er </w:t>
      </w:r>
      <w:r w:rsidRPr="00FD4B59">
        <w:t xml:space="preserve">verschillende bestuurlijke afspraken over de prioritering van criminaliteitsfenomenen zijn. Deze betrekt het OM bij de keuzes die het maakt in de prioritering. In het Bestuurlijk Ketenberaad hebben ketenorganisaties samen met het ministerie afgesproken dat er drie geprioriteerde zaakstromen zijn in de periode van 2022 tot en met 2027 op het gebied van doorlooptijden: jeugd, zeden en veelvoorkomende criminaliteit. </w:t>
      </w:r>
    </w:p>
    <w:p w:rsidRPr="00FD4B59" w:rsidR="008B2B18" w:rsidP="001D227A" w:rsidRDefault="008B2B18" w14:paraId="0F6E0BF6" w14:textId="77777777"/>
    <w:p w:rsidRPr="00FD4B59" w:rsidR="008B2B18" w:rsidP="001D227A" w:rsidRDefault="008B2B18" w14:paraId="0BCDA008" w14:textId="77777777">
      <w:r w:rsidRPr="00FD4B59">
        <w:t>In het kader van de Veiligheidsagenda</w:t>
      </w:r>
      <w:r w:rsidRPr="00FD4B59">
        <w:rPr>
          <w:rStyle w:val="Voetnootmarkering"/>
        </w:rPr>
        <w:footnoteReference w:id="3"/>
      </w:r>
      <w:r w:rsidRPr="00FD4B59">
        <w:t xml:space="preserve"> 2023 – 2026 zijn er landelijke beleidsdoelstellingen ten aanzien van de taakuitvoering van de politie vastgesteld op de volgende criminaliteitsfenomenen: ondermijning en georganiseerde criminaliteit, mensenhandel en cybercrime en gedigitaliseerde criminaliteit, waaronder online seksueel kindermisbruik. In die Veiligheidsagenda is ook aangegeven dat deze keuzes niet afdoen aan dat de inzet van de politie op andere thema’s, zoals discriminatie. Eerder heb ik u geïnformeerd over dat besprekingen in het Landelijk Overleg Veiligheid en Politie hebben geleid tot breed draagvlak onder het OM, de regioburgemeesters en de politie voor vaststelling van de volgende thema’s in de Veiligheidsagenda 2027-2030: ondermijning en georganiseerde criminaliteit, cybercrime en gedigitaliseerde criminaliteit (waaronder online seksueel kindermisbruik), relationeel geweld en geweld in afhankelijkheidsrelaties (met name geweld tegen vrouwen, waaronder femicide) en mensenhandel.</w:t>
      </w:r>
      <w:r w:rsidRPr="00FD4B59">
        <w:rPr>
          <w:rStyle w:val="Voetnootmarkering"/>
        </w:rPr>
        <w:footnoteReference w:id="4"/>
      </w:r>
      <w:r w:rsidRPr="00FD4B59">
        <w:t xml:space="preserve"> Op dit moment wordt bij de uitwerking van deze thema’s focus aangebracht en worden concrete landelijke doelstellingen geformuleerd. Uw Kamer wordt in het najaar geïnformeerd over de nieuwe Veiligheidsagenda. </w:t>
      </w:r>
    </w:p>
    <w:p w:rsidRPr="00FD4B59" w:rsidR="008B2B18" w:rsidP="001D227A" w:rsidRDefault="008B2B18" w14:paraId="6A810734" w14:textId="77777777"/>
    <w:p w:rsidRPr="00FD4B59" w:rsidR="008B2B18" w:rsidP="001D227A" w:rsidRDefault="008B2B18" w14:paraId="72FE4DD9" w14:textId="77777777">
      <w:r w:rsidRPr="00FD4B59">
        <w:lastRenderedPageBreak/>
        <w:t xml:space="preserve">Naast deze bestuurlijk tussen ketenpartners vastgestelde prioriteiten zijn er binnen het strafvorderingsbeleid van het OM ook aandachtsgebieden die blijvend aandacht krijgen. Denk daarbij aan het beleid rondom Veilige Publieke Taak en de aanpak van (online) discriminatie. Bij dat type delicten krijgt de prioritering vorm door bijvoorbeeld het eisen van hogere straffen. </w:t>
      </w:r>
    </w:p>
    <w:p w:rsidRPr="00FD4B59" w:rsidR="008B2B18" w:rsidP="001D227A" w:rsidRDefault="008B2B18" w14:paraId="20FD769E" w14:textId="77777777"/>
    <w:p w:rsidRPr="00FD4B59" w:rsidR="008B2B18" w:rsidP="001D227A" w:rsidRDefault="008B2B18" w14:paraId="36BC5DBF" w14:textId="77777777"/>
    <w:p w:rsidRPr="00FD4B59" w:rsidR="008B2B18" w:rsidP="001D227A" w:rsidRDefault="008B2B18" w14:paraId="736533C3" w14:textId="77777777"/>
    <w:p w:rsidRPr="00FD4B59" w:rsidR="008B2B18" w:rsidP="001D227A" w:rsidRDefault="008B2B18" w14:paraId="0C7FB5B5"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Vraag 4</w:t>
      </w:r>
    </w:p>
    <w:p w:rsidRPr="00FD4B59" w:rsidR="008B2B18" w:rsidP="001D227A" w:rsidRDefault="008B2B18" w14:paraId="1A6A8998"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Deelt u de opvatting dat slachtoffers van ernstige gewelds-, zeden- en vermogensmisdrijven vaak jarenlang de gevolgen van deze feiten ondervinden en dat de opsporing en vervolging van dergelijke feiten altijd tot de hoogste prioriteiten van politie en OM zouden moeten behoren?</w:t>
      </w:r>
    </w:p>
    <w:p w:rsidRPr="00FD4B59" w:rsidR="008B2B18" w:rsidP="001D227A" w:rsidRDefault="008B2B18" w14:paraId="042D3F79" w14:textId="77777777">
      <w:pPr>
        <w:autoSpaceDE w:val="0"/>
        <w:adjustRightInd w:val="0"/>
        <w:spacing w:line="240" w:lineRule="auto"/>
        <w:rPr>
          <w:rFonts w:eastAsia="DejaVuSerifCondensed" w:cs="DejaVuSerifCondensed"/>
        </w:rPr>
      </w:pPr>
    </w:p>
    <w:p w:rsidRPr="00FD4B59" w:rsidR="008B2B18" w:rsidP="001D227A" w:rsidRDefault="008B2B18" w14:paraId="56E8C1B9"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Antwoord op vraag 4</w:t>
      </w:r>
    </w:p>
    <w:p w:rsidRPr="00FD4B59" w:rsidR="008B2B18" w:rsidP="001D227A" w:rsidRDefault="008B2B18" w14:paraId="3A5CBBF6" w14:textId="77777777">
      <w:r w:rsidRPr="00FD4B59">
        <w:t>Vanzelfsprekend heeft de opsporing en vervolging van ernstige gewelds-, zeden- en vermogensmisdrijven grote aandacht van politie en OM. Dat betekent niet dat andere feiten, zoals de aanpak van ondermijning, online seksueel misbruik, etc. anders geprioriteerd dienen te worden. Het OM tracht daarbij steeds om de juiste zaken, in passende volumes en in verhouding tot het criminaliteitsbeeld te laten instromen en deze adequaat en voortvarend te vervolgen, om daarmee aan meer slachtoffers en verdachten sneller recht te doen.</w:t>
      </w:r>
    </w:p>
    <w:p w:rsidRPr="00FD4B59" w:rsidR="008B2B18" w:rsidP="001D227A" w:rsidRDefault="008B2B18" w14:paraId="12A39979" w14:textId="77777777"/>
    <w:p w:rsidRPr="00FD4B59" w:rsidR="008B2B18" w:rsidP="001D227A" w:rsidRDefault="008B2B18" w14:paraId="294366EA"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Vraag 5</w:t>
      </w:r>
    </w:p>
    <w:p w:rsidRPr="00FD4B59" w:rsidR="008B2B18" w:rsidP="001D227A" w:rsidRDefault="008B2B18" w14:paraId="19CFDC14"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Bent u bereid in overleg met het OM te bezien of High Impact Crimes expliciet als topprioriteit kunnen worden aangemerkt binnen de bestaande capaciteitsverdeling?</w:t>
      </w:r>
    </w:p>
    <w:p w:rsidRPr="00FD4B59" w:rsidR="008B2B18" w:rsidP="001D227A" w:rsidRDefault="008B2B18" w14:paraId="563AA02A" w14:textId="77777777">
      <w:pPr>
        <w:autoSpaceDE w:val="0"/>
        <w:adjustRightInd w:val="0"/>
        <w:spacing w:line="240" w:lineRule="auto"/>
        <w:rPr>
          <w:rFonts w:eastAsia="DejaVuSerifCondensed" w:cs="DejaVuSerifCondensed"/>
        </w:rPr>
      </w:pPr>
    </w:p>
    <w:p w:rsidRPr="00FD4B59" w:rsidR="008B2B18" w:rsidP="001D227A" w:rsidRDefault="008B2B18" w14:paraId="221F4E3E" w14:textId="77777777">
      <w:pPr>
        <w:autoSpaceDE w:val="0"/>
        <w:adjustRightInd w:val="0"/>
        <w:spacing w:line="240" w:lineRule="auto"/>
        <w:rPr>
          <w:rFonts w:eastAsia="DejaVuSerifCondensed" w:cs="DejaVuSerifCondensed"/>
        </w:rPr>
      </w:pPr>
      <w:r w:rsidRPr="00FD4B59">
        <w:rPr>
          <w:rFonts w:eastAsia="DejaVuSerifCondensed" w:cs="DejaVuSerifCondensed"/>
          <w:b/>
          <w:bCs/>
        </w:rPr>
        <w:t>Antwoord op vraag 5</w:t>
      </w:r>
    </w:p>
    <w:p w:rsidRPr="00FD4B59" w:rsidR="008B2B18" w:rsidP="001D227A" w:rsidRDefault="008B2B18" w14:paraId="260951FA" w14:textId="77777777">
      <w:pPr>
        <w:autoSpaceDE w:val="0"/>
        <w:adjustRightInd w:val="0"/>
        <w:spacing w:line="240" w:lineRule="auto"/>
      </w:pPr>
      <w:r w:rsidRPr="00FD4B59">
        <w:rPr>
          <w:rFonts w:eastAsia="DejaVuSerifCondensed" w:cs="DejaVuSerifCondensed"/>
        </w:rPr>
        <w:t>High Impact Crimes is een verzamelnaam voor delicten als geweldsmisdrijven, woninginbraak, overvallen en straatroof. De Aanwijzing voor de opsporing, dat beleid van het OM is, bepaalt dat het uitgangspunt in High Impact Crimes is dat in principe altijd een opsporingsonderzoek dient te worden ingesteld waarbij beslissingen door de politie altijd in afstemming met het OM dienen te worden genomen. Ik meen dat hiermee in het beleid van het OM voldoende prioriteit aan deze zaken wordt gegeven en zie geen aanleiding om hier aanvullend over met het OM in gesprek te gaan.</w:t>
      </w:r>
    </w:p>
    <w:p w:rsidRPr="00FD4B59" w:rsidR="008B2B18" w:rsidP="001D227A" w:rsidRDefault="008B2B18" w14:paraId="4E9AB92A" w14:textId="77777777">
      <w:pPr>
        <w:pStyle w:val="Geenafstand"/>
        <w:rPr>
          <w:lang w:val="nl-NL"/>
        </w:rPr>
      </w:pPr>
    </w:p>
    <w:p w:rsidRPr="00FD4B59" w:rsidR="008B2B18" w:rsidP="001D227A" w:rsidRDefault="008B2B18" w14:paraId="20BE55D4" w14:textId="77777777">
      <w:pPr>
        <w:pStyle w:val="Geenafstand"/>
        <w:rPr>
          <w:b/>
          <w:bCs/>
          <w:lang w:val="nl-NL"/>
        </w:rPr>
      </w:pPr>
      <w:r w:rsidRPr="00FD4B59">
        <w:rPr>
          <w:b/>
          <w:bCs/>
          <w:lang w:val="nl-NL"/>
        </w:rPr>
        <w:t>Vraag 6</w:t>
      </w:r>
    </w:p>
    <w:p w:rsidRPr="00FD4B59" w:rsidR="008B2B18" w:rsidP="001D227A" w:rsidRDefault="008B2B18" w14:paraId="40EF6A20" w14:textId="77777777">
      <w:pPr>
        <w:autoSpaceDE w:val="0"/>
        <w:adjustRightInd w:val="0"/>
        <w:spacing w:line="240" w:lineRule="auto"/>
        <w:rPr>
          <w:b/>
          <w:bCs/>
        </w:rPr>
      </w:pPr>
      <w:r w:rsidRPr="00FD4B59">
        <w:rPr>
          <w:b/>
          <w:bCs/>
        </w:rPr>
        <w:t>Hoe weegt u de inzet van schaarse opsporings- en vervolgingscapaciteit tussen online discriminatiezaken enerzijds en ernstige gewelds-, zeden- en vermogensmisdrijven anderzijds?</w:t>
      </w:r>
    </w:p>
    <w:p w:rsidRPr="00FD4B59" w:rsidR="008B2B18" w:rsidP="001D227A" w:rsidRDefault="008B2B18" w14:paraId="3BC72BBC" w14:textId="77777777">
      <w:pPr>
        <w:autoSpaceDE w:val="0"/>
        <w:adjustRightInd w:val="0"/>
        <w:spacing w:line="240" w:lineRule="auto"/>
        <w:rPr>
          <w:b/>
          <w:bCs/>
        </w:rPr>
      </w:pPr>
    </w:p>
    <w:p w:rsidRPr="00FD4B59" w:rsidR="008B2B18" w:rsidP="001D227A" w:rsidRDefault="008B2B18" w14:paraId="62E5AA87"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t xml:space="preserve">Vraag 7 </w:t>
      </w:r>
    </w:p>
    <w:p w:rsidRPr="00FD4B59" w:rsidR="008B2B18" w:rsidP="001D227A" w:rsidRDefault="008B2B18" w14:paraId="1FCBF814" w14:textId="77777777">
      <w:pPr>
        <w:autoSpaceDE w:val="0"/>
        <w:adjustRightInd w:val="0"/>
        <w:spacing w:line="240" w:lineRule="auto"/>
        <w:rPr>
          <w:rFonts w:eastAsia="DejaVuSerifCondensed" w:cs="DejaVuSerifCondensed"/>
          <w:b/>
          <w:bCs/>
        </w:rPr>
      </w:pPr>
      <w:r w:rsidRPr="00FD4B59">
        <w:rPr>
          <w:rFonts w:eastAsia="DejaVuSerifCondensed" w:cs="DejaVuSerifCondensed"/>
          <w:b/>
          <w:bCs/>
        </w:rPr>
        <w:lastRenderedPageBreak/>
        <w:t>Kunt u garanderen dat de inzet van politie- en OM-capaciteit voor het opsporen en vervolgen van de racistische uitingen richting de Oranjespelers niet ten koste gaat van de aanpak van ernstige misdrijven, zoals gewelds-, zeden- en andere High Impact Crimes? Zo nee, waarom niet?</w:t>
      </w:r>
    </w:p>
    <w:p w:rsidRPr="00FD4B59" w:rsidR="008B2B18" w:rsidP="001D227A" w:rsidRDefault="008B2B18" w14:paraId="6EF8D47B" w14:textId="77777777">
      <w:pPr>
        <w:autoSpaceDE w:val="0"/>
        <w:adjustRightInd w:val="0"/>
        <w:spacing w:line="240" w:lineRule="auto"/>
        <w:rPr>
          <w:b/>
          <w:bCs/>
        </w:rPr>
      </w:pPr>
    </w:p>
    <w:p w:rsidRPr="00FD4B59" w:rsidR="008B2B18" w:rsidP="001D227A" w:rsidRDefault="008B2B18" w14:paraId="5AFC5BE2" w14:textId="77777777">
      <w:pPr>
        <w:autoSpaceDE w:val="0"/>
        <w:adjustRightInd w:val="0"/>
        <w:spacing w:line="240" w:lineRule="auto"/>
        <w:rPr>
          <w:b/>
          <w:bCs/>
        </w:rPr>
      </w:pPr>
      <w:r w:rsidRPr="00FD4B59">
        <w:rPr>
          <w:b/>
          <w:bCs/>
        </w:rPr>
        <w:t>Antwoord op vraag 6 en 7</w:t>
      </w:r>
    </w:p>
    <w:p w:rsidR="008B2B18" w:rsidP="001D227A" w:rsidRDefault="008B2B18" w14:paraId="1E5DC7D8" w14:textId="77777777">
      <w:pPr>
        <w:autoSpaceDE w:val="0"/>
        <w:adjustRightInd w:val="0"/>
        <w:spacing w:line="240" w:lineRule="auto"/>
      </w:pPr>
      <w:r w:rsidRPr="00FD4B59">
        <w:t>Zoals in vraag 2 toegelicht is discriminatie in omvang en aantallen een groot maatschappelijk probleem, waarvan slechts weinig burgers melding maken of aangifte doen. De drempel om online, anoniem discriminatoire uitingen te plegen is laag, evenals de pakkans. Omdat de strafrechtelijke aanpak van discriminatie in beginsel aangifte-gedreven werkt en de aantallen daarmee (relatief) laag zijn, kunnen de politie en het OM ook deze zaken geprioriteerd oppakken.</w:t>
      </w:r>
    </w:p>
    <w:p w:rsidR="002C3023" w:rsidRDefault="002C3023" w14:paraId="0EC85BA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8D290" w14:textId="77777777" w:rsidR="00DE6E09" w:rsidRDefault="00DE6E09" w:rsidP="008B2B18">
      <w:pPr>
        <w:spacing w:after="0" w:line="240" w:lineRule="auto"/>
      </w:pPr>
      <w:r>
        <w:separator/>
      </w:r>
    </w:p>
  </w:endnote>
  <w:endnote w:type="continuationSeparator" w:id="0">
    <w:p w14:paraId="75A8279A" w14:textId="77777777" w:rsidR="00DE6E09" w:rsidRDefault="00DE6E09" w:rsidP="008B2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EDF1" w14:textId="77777777" w:rsidR="008B2B18" w:rsidRPr="008B2B18" w:rsidRDefault="008B2B18" w:rsidP="008B2B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6613" w14:textId="77777777" w:rsidR="008B2B18" w:rsidRPr="008B2B18" w:rsidRDefault="008B2B18" w:rsidP="008B2B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EB46" w14:textId="77777777" w:rsidR="008B2B18" w:rsidRPr="008B2B18" w:rsidRDefault="008B2B18" w:rsidP="008B2B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AF9FE" w14:textId="77777777" w:rsidR="00DE6E09" w:rsidRDefault="00DE6E09" w:rsidP="008B2B18">
      <w:pPr>
        <w:spacing w:after="0" w:line="240" w:lineRule="auto"/>
      </w:pPr>
      <w:r>
        <w:separator/>
      </w:r>
    </w:p>
  </w:footnote>
  <w:footnote w:type="continuationSeparator" w:id="0">
    <w:p w14:paraId="02D649AA" w14:textId="77777777" w:rsidR="00DE6E09" w:rsidRDefault="00DE6E09" w:rsidP="008B2B18">
      <w:pPr>
        <w:spacing w:after="0" w:line="240" w:lineRule="auto"/>
      </w:pPr>
      <w:r>
        <w:continuationSeparator/>
      </w:r>
    </w:p>
  </w:footnote>
  <w:footnote w:id="1">
    <w:p w14:paraId="404283EA" w14:textId="77777777" w:rsidR="008B2B18" w:rsidRPr="006D18DC" w:rsidRDefault="008B2B18" w:rsidP="001D227A">
      <w:pPr>
        <w:pStyle w:val="Voetnoottekst"/>
        <w:rPr>
          <w:sz w:val="18"/>
          <w:szCs w:val="18"/>
        </w:rPr>
      </w:pPr>
      <w:r>
        <w:rPr>
          <w:rStyle w:val="Voetnootmarkering"/>
        </w:rPr>
        <w:footnoteRef/>
      </w:r>
      <w:r>
        <w:t xml:space="preserve"> </w:t>
      </w:r>
      <w:r w:rsidRPr="001D227A">
        <w:rPr>
          <w:rFonts w:ascii="Calibri" w:hAnsi="Calibri" w:cs="Calibri"/>
          <w:sz w:val="18"/>
          <w:szCs w:val="18"/>
        </w:rPr>
        <w:t>De Telegraaf, 2 juli 2026, OM over racistische uitingen naar Oranje-spelers: ’Discriminatiezaken hebben prioriteit’ (https://www.telegraaf.nl/binnenland/om-over-racistische-uitingen-naar-oranjespelersdiscriminatiezaken-hebben prioriteit/158148440.html)</w:t>
      </w:r>
    </w:p>
  </w:footnote>
  <w:footnote w:id="2">
    <w:p w14:paraId="52CB7974" w14:textId="77777777" w:rsidR="008B2B18" w:rsidRPr="001D227A" w:rsidRDefault="008B2B18" w:rsidP="001D227A">
      <w:pPr>
        <w:pStyle w:val="Voetnoottekst"/>
        <w:rPr>
          <w:rFonts w:ascii="Calibri" w:hAnsi="Calibri" w:cs="Calibri"/>
          <w:sz w:val="18"/>
          <w:szCs w:val="18"/>
        </w:rPr>
      </w:pPr>
      <w:r>
        <w:rPr>
          <w:rStyle w:val="Voetnootmarkering"/>
        </w:rPr>
        <w:footnoteRef/>
      </w:r>
      <w:r>
        <w:t xml:space="preserve"> </w:t>
      </w:r>
      <w:r w:rsidRPr="001D227A">
        <w:rPr>
          <w:rFonts w:ascii="Calibri" w:eastAsia="DejaVuSerifCondensed" w:hAnsi="Calibri" w:cs="Calibri"/>
          <w:sz w:val="18"/>
          <w:szCs w:val="18"/>
        </w:rPr>
        <w:t>Uit een onderzoek van het CBS uit eind 2024 volgt dat van de burgers die zich gediscrimineerd hebben gevoeld in de daaraan voorafgaande 12 maanden, 3,1% dat heeft gemeld bij de politie en 1% bij een meldpunt voor discriminatie. Slechts 2% deed aangifte bij de politie.</w:t>
      </w:r>
    </w:p>
  </w:footnote>
  <w:footnote w:id="3">
    <w:p w14:paraId="62FF41FD" w14:textId="77777777" w:rsidR="008B2B18" w:rsidRPr="001D227A" w:rsidRDefault="008B2B18" w:rsidP="001D227A">
      <w:pPr>
        <w:pStyle w:val="Voetnoottekst"/>
        <w:rPr>
          <w:rFonts w:ascii="Calibri" w:hAnsi="Calibri" w:cs="Calibri"/>
          <w:sz w:val="18"/>
          <w:szCs w:val="18"/>
        </w:rPr>
      </w:pPr>
      <w:r w:rsidRPr="001D227A">
        <w:rPr>
          <w:rStyle w:val="Voetnootmarkering"/>
          <w:rFonts w:ascii="Calibri" w:hAnsi="Calibri" w:cs="Calibri"/>
          <w:sz w:val="18"/>
          <w:szCs w:val="18"/>
        </w:rPr>
        <w:footnoteRef/>
      </w:r>
      <w:r w:rsidRPr="001D227A">
        <w:rPr>
          <w:rFonts w:ascii="Calibri" w:hAnsi="Calibri" w:cs="Calibri"/>
          <w:sz w:val="18"/>
          <w:szCs w:val="18"/>
        </w:rPr>
        <w:t xml:space="preserve"> Volgend uit artikel 18 van de Politiewet 2012 stelt de minister van Justitie en Veiligheid, gehoord het College van procureurs-generaal en de regioburgemeesters, ten minste eenmaal in de vier jaar de landelijke beleidsdoelstellingen vast ten aanzien van de taakuitvoering van de politie</w:t>
      </w:r>
      <w:r>
        <w:rPr>
          <w:rFonts w:ascii="Calibri" w:hAnsi="Calibri" w:cs="Calibri"/>
          <w:sz w:val="18"/>
          <w:szCs w:val="18"/>
        </w:rPr>
        <w:t>.</w:t>
      </w:r>
    </w:p>
  </w:footnote>
  <w:footnote w:id="4">
    <w:p w14:paraId="7593617F" w14:textId="77777777" w:rsidR="008B2B18" w:rsidRDefault="008B2B18" w:rsidP="001D227A">
      <w:pPr>
        <w:pStyle w:val="Voetnoottekst"/>
      </w:pPr>
      <w:r w:rsidRPr="001D227A">
        <w:rPr>
          <w:rStyle w:val="Voetnootmarkering"/>
          <w:rFonts w:ascii="Calibri" w:hAnsi="Calibri" w:cs="Calibri"/>
          <w:sz w:val="18"/>
          <w:szCs w:val="18"/>
        </w:rPr>
        <w:footnoteRef/>
      </w:r>
      <w:r w:rsidRPr="001D227A">
        <w:rPr>
          <w:rFonts w:ascii="Calibri" w:hAnsi="Calibri" w:cs="Calibri"/>
          <w:sz w:val="18"/>
          <w:szCs w:val="18"/>
        </w:rPr>
        <w:t xml:space="preserve"> Kamerstukken II 2025/2026, 29628, nr. 1318.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8D9B" w14:textId="77777777" w:rsidR="008B2B18" w:rsidRPr="008B2B18" w:rsidRDefault="008B2B18" w:rsidP="008B2B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6E11" w14:textId="77777777" w:rsidR="008B2B18" w:rsidRPr="008B2B18" w:rsidRDefault="008B2B18" w:rsidP="008B2B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A310" w14:textId="77777777" w:rsidR="008B2B18" w:rsidRPr="008B2B18" w:rsidRDefault="008B2B18" w:rsidP="008B2B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18"/>
    <w:rsid w:val="002C3023"/>
    <w:rsid w:val="008B2B18"/>
    <w:rsid w:val="00DE6E09"/>
    <w:rsid w:val="00DF7A30"/>
    <w:rsid w:val="00F11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23D2"/>
  <w15:chartTrackingRefBased/>
  <w15:docId w15:val="{382ED23B-B9B1-4311-AD6D-9734B0903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B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2B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2B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2B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2B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2B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2B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2B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2B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2B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2B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2B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2B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2B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2B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2B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2B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2B18"/>
    <w:rPr>
      <w:rFonts w:eastAsiaTheme="majorEastAsia" w:cstheme="majorBidi"/>
      <w:color w:val="272727" w:themeColor="text1" w:themeTint="D8"/>
    </w:rPr>
  </w:style>
  <w:style w:type="paragraph" w:styleId="Titel">
    <w:name w:val="Title"/>
    <w:basedOn w:val="Standaard"/>
    <w:next w:val="Standaard"/>
    <w:link w:val="TitelChar"/>
    <w:uiPriority w:val="10"/>
    <w:qFormat/>
    <w:rsid w:val="008B2B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2B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2B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2B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2B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2B18"/>
    <w:rPr>
      <w:i/>
      <w:iCs/>
      <w:color w:val="404040" w:themeColor="text1" w:themeTint="BF"/>
    </w:rPr>
  </w:style>
  <w:style w:type="paragraph" w:styleId="Lijstalinea">
    <w:name w:val="List Paragraph"/>
    <w:basedOn w:val="Standaard"/>
    <w:uiPriority w:val="34"/>
    <w:qFormat/>
    <w:rsid w:val="008B2B18"/>
    <w:pPr>
      <w:ind w:left="720"/>
      <w:contextualSpacing/>
    </w:pPr>
  </w:style>
  <w:style w:type="character" w:styleId="Intensievebenadrukking">
    <w:name w:val="Intense Emphasis"/>
    <w:basedOn w:val="Standaardalinea-lettertype"/>
    <w:uiPriority w:val="21"/>
    <w:qFormat/>
    <w:rsid w:val="008B2B18"/>
    <w:rPr>
      <w:i/>
      <w:iCs/>
      <w:color w:val="0F4761" w:themeColor="accent1" w:themeShade="BF"/>
    </w:rPr>
  </w:style>
  <w:style w:type="paragraph" w:styleId="Duidelijkcitaat">
    <w:name w:val="Intense Quote"/>
    <w:basedOn w:val="Standaard"/>
    <w:next w:val="Standaard"/>
    <w:link w:val="DuidelijkcitaatChar"/>
    <w:uiPriority w:val="30"/>
    <w:qFormat/>
    <w:rsid w:val="008B2B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2B18"/>
    <w:rPr>
      <w:i/>
      <w:iCs/>
      <w:color w:val="0F4761" w:themeColor="accent1" w:themeShade="BF"/>
    </w:rPr>
  </w:style>
  <w:style w:type="character" w:styleId="Intensieveverwijzing">
    <w:name w:val="Intense Reference"/>
    <w:basedOn w:val="Standaardalinea-lettertype"/>
    <w:uiPriority w:val="32"/>
    <w:qFormat/>
    <w:rsid w:val="008B2B18"/>
    <w:rPr>
      <w:b/>
      <w:bCs/>
      <w:smallCaps/>
      <w:color w:val="0F4761" w:themeColor="accent1" w:themeShade="BF"/>
      <w:spacing w:val="5"/>
    </w:rPr>
  </w:style>
  <w:style w:type="paragraph" w:styleId="Voetnoottekst">
    <w:name w:val="footnote text"/>
    <w:link w:val="VoetnoottekstChar"/>
    <w:uiPriority w:val="99"/>
    <w:rsid w:val="008B2B1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8B2B18"/>
    <w:rPr>
      <w:rFonts w:ascii="Verdana" w:eastAsia="DejaVu Sans" w:hAnsi="Verdana" w:cs="Lohit Hindi"/>
      <w:kern w:val="0"/>
      <w:sz w:val="13"/>
      <w:szCs w:val="13"/>
      <w:lang w:eastAsia="nl-NL"/>
      <w14:ligatures w14:val="none"/>
    </w:rPr>
  </w:style>
  <w:style w:type="paragraph" w:styleId="Geenafstand">
    <w:name w:val="No Spacing"/>
    <w:link w:val="GeenafstandChar"/>
    <w:uiPriority w:val="1"/>
    <w:qFormat/>
    <w:rsid w:val="008B2B18"/>
    <w:pPr>
      <w:spacing w:after="0" w:line="240" w:lineRule="auto"/>
    </w:pPr>
    <w:rPr>
      <w:rFonts w:ascii="Verdana" w:hAnsi="Verdana"/>
      <w:sz w:val="18"/>
      <w:lang w:val="en-US"/>
    </w:rPr>
  </w:style>
  <w:style w:type="character" w:customStyle="1" w:styleId="GeenafstandChar">
    <w:name w:val="Geen afstand Char"/>
    <w:basedOn w:val="Standaardalinea-lettertype"/>
    <w:link w:val="Geenafstand"/>
    <w:uiPriority w:val="1"/>
    <w:rsid w:val="008B2B18"/>
    <w:rPr>
      <w:rFonts w:ascii="Verdana" w:hAnsi="Verdana"/>
      <w:sz w:val="18"/>
      <w:lang w:val="en-US"/>
    </w:rPr>
  </w:style>
  <w:style w:type="character" w:styleId="Voetnootmarkering">
    <w:name w:val="footnote reference"/>
    <w:basedOn w:val="Standaardalinea-lettertype"/>
    <w:uiPriority w:val="99"/>
    <w:semiHidden/>
    <w:unhideWhenUsed/>
    <w:rsid w:val="008B2B18"/>
    <w:rPr>
      <w:vertAlign w:val="superscript"/>
    </w:rPr>
  </w:style>
  <w:style w:type="paragraph" w:styleId="Koptekst">
    <w:name w:val="header"/>
    <w:basedOn w:val="Standaard"/>
    <w:link w:val="KoptekstChar"/>
    <w:uiPriority w:val="99"/>
    <w:unhideWhenUsed/>
    <w:rsid w:val="008B2B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2B18"/>
  </w:style>
  <w:style w:type="paragraph" w:styleId="Voettekst">
    <w:name w:val="footer"/>
    <w:basedOn w:val="Standaard"/>
    <w:link w:val="VoettekstChar"/>
    <w:uiPriority w:val="99"/>
    <w:unhideWhenUsed/>
    <w:rsid w:val="008B2B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2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1204</ap:Words>
  <ap:Characters>6624</ap:Characters>
  <ap:DocSecurity>0</ap:DocSecurity>
  <ap:Lines>55</ap:Lines>
  <ap:Paragraphs>15</ap:Paragraphs>
  <ap:ScaleCrop>false</ap:ScaleCrop>
  <ap:LinksUpToDate>false</ap:LinksUpToDate>
  <ap:CharactersWithSpaces>7813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2026-09-01T08:55:00.0000000Z</dcterms:created>
  <dcterms:modified xsi:type="dcterms:W3CDTF">2026-09-01T08:56:00.0000000Z</dcterms:modified>
  <version/>
  <category/>
</coreProperties>
</file>