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41E10" w:rsidR="00941E10" w:rsidRDefault="00B62D10" w14:paraId="3472E4CD" w14:textId="77777777">
      <w:pPr>
        <w:rPr>
          <w:rFonts w:ascii="Calibri" w:hAnsi="Calibri" w:cs="Calibri"/>
        </w:rPr>
      </w:pPr>
      <w:r w:rsidRPr="00941E10">
        <w:rPr>
          <w:rFonts w:ascii="Calibri" w:hAnsi="Calibri" w:cs="Calibri"/>
        </w:rPr>
        <w:t>31934</w:t>
      </w:r>
      <w:r w:rsidRPr="00941E10" w:rsidR="00941E10">
        <w:rPr>
          <w:rFonts w:ascii="Calibri" w:hAnsi="Calibri" w:cs="Calibri"/>
        </w:rPr>
        <w:tab/>
      </w:r>
      <w:r w:rsidRPr="00941E10" w:rsidR="00941E10">
        <w:rPr>
          <w:rFonts w:ascii="Calibri" w:hAnsi="Calibri" w:cs="Calibri"/>
        </w:rPr>
        <w:tab/>
      </w:r>
      <w:r w:rsidRPr="00941E10" w:rsidR="00941E10">
        <w:rPr>
          <w:rFonts w:ascii="Calibri" w:hAnsi="Calibri" w:cs="Calibri"/>
        </w:rPr>
        <w:tab/>
        <w:t>Douane</w:t>
      </w:r>
    </w:p>
    <w:p w:rsidRPr="00941E10" w:rsidR="00941E10" w:rsidP="00D31852" w:rsidRDefault="00941E10" w14:paraId="53B8AA05" w14:textId="77777777">
      <w:pPr>
        <w:rPr>
          <w:rFonts w:ascii="Calibri" w:hAnsi="Calibri" w:cs="Calibri"/>
        </w:rPr>
      </w:pPr>
      <w:r w:rsidRPr="00941E10">
        <w:rPr>
          <w:rFonts w:ascii="Calibri" w:hAnsi="Calibri" w:cs="Calibri"/>
        </w:rPr>
        <w:t xml:space="preserve">Nr. </w:t>
      </w:r>
      <w:r w:rsidRPr="00941E10">
        <w:rPr>
          <w:rFonts w:ascii="Calibri" w:hAnsi="Calibri" w:cs="Calibri"/>
        </w:rPr>
        <w:t>118</w:t>
      </w:r>
      <w:r w:rsidRPr="00941E10">
        <w:rPr>
          <w:rFonts w:ascii="Calibri" w:hAnsi="Calibri" w:cs="Calibri"/>
        </w:rPr>
        <w:tab/>
      </w:r>
      <w:r w:rsidRPr="00941E10">
        <w:rPr>
          <w:rFonts w:ascii="Calibri" w:hAnsi="Calibri" w:cs="Calibri"/>
        </w:rPr>
        <w:tab/>
      </w:r>
      <w:r w:rsidRPr="00941E10">
        <w:rPr>
          <w:rFonts w:ascii="Calibri" w:hAnsi="Calibri" w:cs="Calibri"/>
        </w:rPr>
        <w:tab/>
        <w:t>Brief van de staatssecretaris van Financiën</w:t>
      </w:r>
    </w:p>
    <w:p w:rsidRPr="00941E10" w:rsidR="00941E10" w:rsidP="00C6578C" w:rsidRDefault="00941E10" w14:paraId="47031737" w14:textId="410D6A89">
      <w:pPr>
        <w:rPr>
          <w:rFonts w:ascii="Calibri" w:hAnsi="Calibri" w:cs="Calibri"/>
        </w:rPr>
      </w:pPr>
      <w:r w:rsidRPr="00941E10">
        <w:rPr>
          <w:rFonts w:ascii="Calibri" w:hAnsi="Calibri" w:cs="Calibri"/>
        </w:rPr>
        <w:t>Aan de Voorzitter van de Tweede Kamer der Staten-Generaal</w:t>
      </w:r>
    </w:p>
    <w:p w:rsidRPr="00941E10" w:rsidR="00941E10" w:rsidP="00C6578C" w:rsidRDefault="00941E10" w14:paraId="78302EF9" w14:textId="5F931D61">
      <w:pPr>
        <w:rPr>
          <w:rFonts w:ascii="Calibri" w:hAnsi="Calibri" w:cs="Calibri"/>
        </w:rPr>
      </w:pPr>
      <w:r w:rsidRPr="00941E10">
        <w:rPr>
          <w:rFonts w:ascii="Calibri" w:hAnsi="Calibri" w:cs="Calibri"/>
        </w:rPr>
        <w:t>Den Haag, 31 augustus 2026</w:t>
      </w:r>
    </w:p>
    <w:p w:rsidRPr="00941E10" w:rsidR="00B62D10" w:rsidP="00C6578C" w:rsidRDefault="00B62D10" w14:paraId="08EF157B" w14:textId="77777777">
      <w:pPr>
        <w:rPr>
          <w:rFonts w:ascii="Calibri" w:hAnsi="Calibri" w:cs="Calibri"/>
        </w:rPr>
      </w:pPr>
    </w:p>
    <w:p w:rsidRPr="00941E10" w:rsidR="00B62D10" w:rsidP="00C6578C" w:rsidRDefault="00B62D10" w14:paraId="28B9FEBC" w14:textId="77777777">
      <w:pPr>
        <w:pStyle w:val="Geenafstand"/>
        <w:rPr>
          <w:rFonts w:ascii="Calibri" w:hAnsi="Calibri" w:cs="Calibri"/>
          <w:sz w:val="22"/>
        </w:rPr>
      </w:pPr>
      <w:r w:rsidRPr="00941E10">
        <w:rPr>
          <w:rFonts w:ascii="Calibri" w:hAnsi="Calibri" w:cs="Calibri"/>
          <w:sz w:val="22"/>
        </w:rPr>
        <w:t>Op 11 juni jl. heeft de minister van Buitenlandse Handel en Ontwikkelingssamenwerking (BHOS), mede namens mij, uw Kamer de beantwoording gestuurd van de feitelijke vragen die gesteld zijn over het onderzoek van de Algemene Rekenkamer naar de controle op de doorvoer van strategische goederen in het Verantwoordingsonderzoek BHOS 2025.</w:t>
      </w:r>
      <w:r w:rsidRPr="00941E10">
        <w:rPr>
          <w:rStyle w:val="Voetnootmarkering"/>
          <w:rFonts w:ascii="Calibri" w:hAnsi="Calibri" w:cs="Calibri"/>
          <w:sz w:val="22"/>
        </w:rPr>
        <w:footnoteReference w:id="1"/>
      </w:r>
      <w:r w:rsidRPr="00941E10">
        <w:rPr>
          <w:rFonts w:ascii="Calibri" w:hAnsi="Calibri" w:cs="Calibri"/>
          <w:sz w:val="22"/>
        </w:rPr>
        <w:t xml:space="preserve"> Hierin is toegezegd dat ik uw Kamer in algemene zin zal informeren over douanecontroles met toepassing van risicoanalyses, risicoprofielen, steekproeven en, voor zover dit binnen de wettelijke kaders mogelijk is, over de werking, (eventuele) fouten en verbeteringen van risicoprofielen die zien op Rusland, Israël en </w:t>
      </w:r>
      <w:proofErr w:type="spellStart"/>
      <w:r w:rsidRPr="00941E10">
        <w:rPr>
          <w:rFonts w:ascii="Calibri" w:hAnsi="Calibri" w:cs="Calibri"/>
          <w:sz w:val="22"/>
        </w:rPr>
        <w:t>dual-use</w:t>
      </w:r>
      <w:proofErr w:type="spellEnd"/>
      <w:r w:rsidRPr="00941E10">
        <w:rPr>
          <w:rFonts w:ascii="Calibri" w:hAnsi="Calibri" w:cs="Calibri"/>
          <w:sz w:val="22"/>
        </w:rPr>
        <w:t xml:space="preserve"> goederen.</w:t>
      </w:r>
    </w:p>
    <w:p w:rsidR="00941E10" w:rsidP="00C6578C" w:rsidRDefault="00941E10" w14:paraId="41F6B904" w14:textId="77777777">
      <w:pPr>
        <w:pStyle w:val="Geenafstand"/>
        <w:rPr>
          <w:rFonts w:ascii="Calibri" w:hAnsi="Calibri" w:cs="Calibri"/>
          <w:sz w:val="22"/>
        </w:rPr>
      </w:pPr>
    </w:p>
    <w:p w:rsidRPr="00941E10" w:rsidR="00B62D10" w:rsidP="00C6578C" w:rsidRDefault="00B62D10" w14:paraId="5C5D4D08" w14:textId="04336001">
      <w:pPr>
        <w:pStyle w:val="Geenafstand"/>
        <w:rPr>
          <w:rFonts w:ascii="Calibri" w:hAnsi="Calibri" w:cs="Calibri"/>
          <w:sz w:val="22"/>
        </w:rPr>
      </w:pPr>
      <w:r w:rsidRPr="00941E10">
        <w:rPr>
          <w:rFonts w:ascii="Calibri" w:hAnsi="Calibri" w:cs="Calibri"/>
          <w:sz w:val="22"/>
        </w:rPr>
        <w:t xml:space="preserve">De Douane is een risicogerichte handhavingsorganisatie. Voor risicogericht toezicht op de juistheid en volledigheid van ingediende aangiften hanteert de Douane risicoprofielen. Dat is ook het geval bij het toezicht op de naleving van de wet- en regelgeving op het gebied van sanctiemaatregelen en strategische goederen. Strategische goederen zijn militaire goederen en goederen die zowel een militaire als een civiele toepassing kunnen hebben (zogenaamde </w:t>
      </w:r>
      <w:proofErr w:type="spellStart"/>
      <w:r w:rsidRPr="00941E10">
        <w:rPr>
          <w:rFonts w:ascii="Calibri" w:hAnsi="Calibri" w:cs="Calibri"/>
          <w:sz w:val="22"/>
        </w:rPr>
        <w:t>dual-use</w:t>
      </w:r>
      <w:proofErr w:type="spellEnd"/>
      <w:r w:rsidRPr="00941E10">
        <w:rPr>
          <w:rFonts w:ascii="Calibri" w:hAnsi="Calibri" w:cs="Calibri"/>
          <w:sz w:val="22"/>
        </w:rPr>
        <w:t xml:space="preserve"> goederen). </w:t>
      </w:r>
    </w:p>
    <w:p w:rsidRPr="00941E10" w:rsidR="00B62D10" w:rsidP="00C6578C" w:rsidRDefault="00B62D10" w14:paraId="026119E8" w14:textId="77777777">
      <w:pPr>
        <w:pStyle w:val="Geenafstand"/>
        <w:rPr>
          <w:rFonts w:ascii="Calibri" w:hAnsi="Calibri" w:cs="Calibri"/>
          <w:sz w:val="22"/>
        </w:rPr>
      </w:pPr>
    </w:p>
    <w:p w:rsidRPr="00941E10" w:rsidR="00B62D10" w:rsidP="00825A7C" w:rsidRDefault="00B62D10" w14:paraId="622B9645" w14:textId="77777777">
      <w:pPr>
        <w:spacing w:line="240" w:lineRule="exact"/>
        <w:rPr>
          <w:rFonts w:ascii="Calibri" w:hAnsi="Calibri" w:cs="Calibri"/>
        </w:rPr>
      </w:pPr>
      <w:r w:rsidRPr="00941E10">
        <w:rPr>
          <w:rFonts w:ascii="Calibri" w:hAnsi="Calibri" w:eastAsia="Calibri" w:cs="Calibri"/>
        </w:rPr>
        <w:t xml:space="preserve">Risicoprofielen zijn geautomatiseerde selectiemechanismen die op basis van vooraf vastgestelde indicatoren worden toegepast op de gegevens die door marktdeelnemers worden aangeleverd in één van de verschillende soorten douaneaangiften (bijvoorbeeld summiere aangifte bij binnenbrengen, invoeraangifte of uitvoeraangifte). De profielen worden ingezet om zendingen, goederen of betrokken partijen te identificeren waarbij een verhoogd risico bestaat op overtreding van wet- en regelgeving. </w:t>
      </w:r>
      <w:r w:rsidRPr="00941E10">
        <w:rPr>
          <w:rFonts w:ascii="Calibri" w:hAnsi="Calibri" w:cs="Calibri"/>
        </w:rPr>
        <w:t xml:space="preserve">Op basis van de risicoprofielen worden zendingen geselecteerd voor nader toezicht, zoals een bescheidcontrole, scancontrole of fysieke controle. </w:t>
      </w:r>
    </w:p>
    <w:p w:rsidRPr="00941E10" w:rsidR="00B62D10" w:rsidP="006C3DF0" w:rsidRDefault="00B62D10" w14:paraId="149DEA50" w14:textId="77777777">
      <w:pPr>
        <w:spacing w:line="240" w:lineRule="exact"/>
        <w:rPr>
          <w:rFonts w:ascii="Calibri" w:hAnsi="Calibri" w:eastAsia="Calibri" w:cs="Calibri"/>
        </w:rPr>
      </w:pPr>
      <w:r w:rsidRPr="00941E10">
        <w:rPr>
          <w:rFonts w:ascii="Calibri" w:hAnsi="Calibri" w:eastAsia="Calibri" w:cs="Calibri"/>
        </w:rPr>
        <w:t xml:space="preserve">Het hanteren van verschillende typen risicoprofielen maakt een risicogerichte toezichtaanpak mogelijk. Hierdoor kunnen beschikbare </w:t>
      </w:r>
      <w:proofErr w:type="spellStart"/>
      <w:r w:rsidRPr="00941E10">
        <w:rPr>
          <w:rFonts w:ascii="Calibri" w:hAnsi="Calibri" w:eastAsia="Calibri" w:cs="Calibri"/>
        </w:rPr>
        <w:t>toezichtscapaciteit</w:t>
      </w:r>
      <w:proofErr w:type="spellEnd"/>
      <w:r w:rsidRPr="00941E10">
        <w:rPr>
          <w:rFonts w:ascii="Calibri" w:hAnsi="Calibri" w:eastAsia="Calibri" w:cs="Calibri"/>
        </w:rPr>
        <w:t xml:space="preserve"> en controles worden gericht op zendingen met de hoogste risico-indicatie, terwijl onnodige verstoringen van legitieme handelsstromen zoveel mogelijk worden beperkt.</w:t>
      </w:r>
    </w:p>
    <w:p w:rsidRPr="00941E10" w:rsidR="00B62D10" w:rsidP="00E87BE8" w:rsidRDefault="00B62D10" w14:paraId="7D001B60" w14:textId="77777777">
      <w:pPr>
        <w:spacing w:line="240" w:lineRule="exact"/>
        <w:rPr>
          <w:rFonts w:ascii="Calibri" w:hAnsi="Calibri" w:eastAsia="Calibri" w:cs="Calibri"/>
        </w:rPr>
      </w:pPr>
      <w:r w:rsidRPr="00941E10">
        <w:rPr>
          <w:rFonts w:ascii="Calibri" w:hAnsi="Calibri" w:eastAsia="Calibri" w:cs="Calibri"/>
        </w:rPr>
        <w:t xml:space="preserve">De Douane werkt doorlopend aan het aanpassen en verbeteren van risicoprofielen. Risicoprofielen worden onder andere aangepast op het moment dat nieuwe wet- en regelgeving in werking treedt, zoals bijvoorbeeld bij een uitbreiding van het aantal gesanctioneerde goederen of landen. Wanneer onjuistheden worden geconstateerd, worden profielen aangepast. Daarnaast worden profielen periodiek geëvalueerd en wordt informatie uit uitgevoerde controles gebruikt om bestaande profielen aan te scherpen, uit te breiden of te beëindigen. </w:t>
      </w:r>
    </w:p>
    <w:p w:rsidRPr="00941E10" w:rsidR="00B62D10" w:rsidP="00E87BE8" w:rsidRDefault="00B62D10" w14:paraId="5F690116" w14:textId="44F48850">
      <w:pPr>
        <w:pStyle w:val="Geenafstand"/>
        <w:rPr>
          <w:rFonts w:ascii="Calibri" w:hAnsi="Calibri" w:cs="Calibri"/>
          <w:sz w:val="22"/>
        </w:rPr>
      </w:pPr>
      <w:r w:rsidRPr="00941E10">
        <w:rPr>
          <w:rFonts w:ascii="Calibri" w:hAnsi="Calibri" w:cs="Calibri"/>
          <w:sz w:val="22"/>
        </w:rPr>
        <w:t>Om uitvoering te geven aan de gedane toezegging wordt uw Kamer hierover verder vertrouwelijk geïnformeerd</w:t>
      </w:r>
      <w:r w:rsidRPr="00941E10">
        <w:rPr>
          <w:rStyle w:val="Voetnootmarkering"/>
          <w:rFonts w:ascii="Calibri" w:hAnsi="Calibri" w:cs="Calibri"/>
          <w:sz w:val="22"/>
        </w:rPr>
        <w:footnoteReference w:id="2"/>
      </w:r>
      <w:r w:rsidRPr="00941E10">
        <w:rPr>
          <w:rFonts w:ascii="Calibri" w:hAnsi="Calibri" w:cs="Calibri"/>
          <w:sz w:val="22"/>
        </w:rPr>
        <w:t>. De reden voor deze vertrouwelijkheid is gelegen in het feit dat openbaarmaking het belang van de Staat zou kunnen schaden.</w:t>
      </w:r>
    </w:p>
    <w:p w:rsidRPr="00941E10" w:rsidR="00B62D10" w:rsidRDefault="00B62D10" w14:paraId="5A5B9CD4" w14:textId="77777777">
      <w:pPr>
        <w:pStyle w:val="StandaardSlotzin"/>
        <w:rPr>
          <w:rFonts w:ascii="Calibri" w:hAnsi="Calibri" w:cs="Calibri"/>
          <w:sz w:val="22"/>
          <w:szCs w:val="22"/>
        </w:rPr>
      </w:pPr>
    </w:p>
    <w:p w:rsidRPr="00941E10" w:rsidR="006F53E6" w:rsidRDefault="00941E10" w14:paraId="14DCE209" w14:textId="37C5B6BC">
      <w:pPr>
        <w:rPr>
          <w:rFonts w:ascii="Calibri" w:hAnsi="Calibri" w:cs="Calibri"/>
        </w:rPr>
      </w:pPr>
      <w:r w:rsidRPr="00941E10">
        <w:rPr>
          <w:rFonts w:ascii="Calibri" w:hAnsi="Calibri" w:cs="Calibri"/>
        </w:rPr>
        <w:t>D</w:t>
      </w:r>
      <w:r w:rsidRPr="00941E10">
        <w:rPr>
          <w:rFonts w:ascii="Calibri" w:hAnsi="Calibri" w:cs="Calibri"/>
        </w:rPr>
        <w:t>e staatssecretaris van Financiën,</w:t>
      </w:r>
      <w:r w:rsidRPr="00941E10">
        <w:rPr>
          <w:rFonts w:ascii="Calibri" w:hAnsi="Calibri" w:cs="Calibri"/>
        </w:rPr>
        <w:br/>
      </w:r>
      <w:r w:rsidRPr="00941E10">
        <w:rPr>
          <w:rFonts w:ascii="Calibri" w:hAnsi="Calibri" w:cs="Calibri"/>
        </w:rPr>
        <w:t xml:space="preserve">E. </w:t>
      </w:r>
      <w:proofErr w:type="spellStart"/>
      <w:r w:rsidRPr="00941E10">
        <w:rPr>
          <w:rFonts w:ascii="Calibri" w:hAnsi="Calibri" w:cs="Calibri"/>
        </w:rPr>
        <w:t>Eerenberg</w:t>
      </w:r>
      <w:proofErr w:type="spellEnd"/>
    </w:p>
    <w:sectPr w:rsidRPr="00941E10" w:rsidR="006F53E6">
      <w:headerReference w:type="even" r:id="rId10"/>
      <w:headerReference w:type="default" r:id="rId11"/>
      <w:footerReference w:type="even" r:id="rId12"/>
      <w:footerReference w:type="default" r:id="rId13"/>
      <w:headerReference w:type="first" r:id="rId14"/>
      <w:footerReference w:type="first" r:id="rId15"/>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972A03" w14:textId="77777777" w:rsidR="00F976AE" w:rsidRDefault="00F976AE" w:rsidP="00B62D10">
      <w:pPr>
        <w:spacing w:after="0" w:line="240" w:lineRule="auto"/>
      </w:pPr>
      <w:r>
        <w:separator/>
      </w:r>
    </w:p>
  </w:endnote>
  <w:endnote w:type="continuationSeparator" w:id="0">
    <w:p w14:paraId="7EAE3EBB" w14:textId="77777777" w:rsidR="00F976AE" w:rsidRDefault="00F976AE" w:rsidP="00B62D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DejaVu Sans">
    <w:altName w:val="Arial"/>
    <w:charset w:val="00"/>
    <w:family w:val="swiss"/>
    <w:pitch w:val="variable"/>
    <w:sig w:usb0="E7002EFF" w:usb1="D200FDFF" w:usb2="0A246029" w:usb3="00000000" w:csb0="000001FF" w:csb1="00000000"/>
  </w:font>
  <w:font w:name="Lohit Hindi">
    <w:altName w:val="Times New Roman"/>
    <w:charset w:val="00"/>
    <w:family w:val="auto"/>
    <w:pitch w:val="default"/>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ECB0C0" w14:textId="77777777" w:rsidR="00B62D10" w:rsidRPr="00B62D10" w:rsidRDefault="00B62D10" w:rsidP="00B62D10">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A8D34F" w14:textId="77777777" w:rsidR="00B62D10" w:rsidRPr="00B62D10" w:rsidRDefault="00B62D10" w:rsidP="00B62D10">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6E42EB" w14:textId="77777777" w:rsidR="00B62D10" w:rsidRPr="00B62D10" w:rsidRDefault="00B62D10" w:rsidP="00B62D10">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49F5EF" w14:textId="77777777" w:rsidR="00F976AE" w:rsidRDefault="00F976AE" w:rsidP="00B62D10">
      <w:pPr>
        <w:spacing w:after="0" w:line="240" w:lineRule="auto"/>
      </w:pPr>
      <w:r>
        <w:separator/>
      </w:r>
    </w:p>
  </w:footnote>
  <w:footnote w:type="continuationSeparator" w:id="0">
    <w:p w14:paraId="26021369" w14:textId="77777777" w:rsidR="00F976AE" w:rsidRDefault="00F976AE" w:rsidP="00B62D10">
      <w:pPr>
        <w:spacing w:after="0" w:line="240" w:lineRule="auto"/>
      </w:pPr>
      <w:r>
        <w:continuationSeparator/>
      </w:r>
    </w:p>
  </w:footnote>
  <w:footnote w:id="1">
    <w:p w14:paraId="43FAB5F5" w14:textId="4F74A182" w:rsidR="00B62D10" w:rsidRPr="00941E10" w:rsidRDefault="00B62D10" w:rsidP="00C6578C">
      <w:pPr>
        <w:pStyle w:val="Voetnoottekst"/>
        <w:rPr>
          <w:rFonts w:ascii="Calibri" w:hAnsi="Calibri" w:cs="Calibri"/>
        </w:rPr>
      </w:pPr>
      <w:r w:rsidRPr="00941E10">
        <w:rPr>
          <w:rStyle w:val="Voetnootmarkering"/>
          <w:rFonts w:ascii="Calibri" w:hAnsi="Calibri" w:cs="Calibri"/>
        </w:rPr>
        <w:footnoteRef/>
      </w:r>
      <w:r w:rsidRPr="00941E10">
        <w:rPr>
          <w:rFonts w:ascii="Calibri" w:hAnsi="Calibri" w:cs="Calibri"/>
        </w:rPr>
        <w:t xml:space="preserve"> Kamerstuk 36945-XVII, nr.  8</w:t>
      </w:r>
    </w:p>
  </w:footnote>
  <w:footnote w:id="2">
    <w:p w14:paraId="741E4F3C" w14:textId="0EA227ED" w:rsidR="00B62D10" w:rsidRPr="00941E10" w:rsidRDefault="00B62D10">
      <w:pPr>
        <w:pStyle w:val="Voetnoottekst"/>
        <w:rPr>
          <w:rFonts w:ascii="Calibri" w:hAnsi="Calibri" w:cs="Calibri"/>
        </w:rPr>
      </w:pPr>
      <w:r w:rsidRPr="00941E10">
        <w:rPr>
          <w:rStyle w:val="Voetnootmarkering"/>
          <w:rFonts w:ascii="Calibri" w:hAnsi="Calibri" w:cs="Calibri"/>
        </w:rPr>
        <w:footnoteRef/>
      </w:r>
      <w:r w:rsidRPr="00941E10">
        <w:rPr>
          <w:rFonts w:ascii="Calibri" w:hAnsi="Calibri" w:cs="Calibri"/>
        </w:rPr>
        <w:t xml:space="preserve"> Ter vertrouwelijke inzage gelegd, alleen voor de leden, bij het Centraal Informatiepunt Tweede Kamer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BB2E44" w14:textId="77777777" w:rsidR="00B62D10" w:rsidRPr="00B62D10" w:rsidRDefault="00B62D10" w:rsidP="00B62D10">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D87DF7" w14:textId="77777777" w:rsidR="00B62D10" w:rsidRPr="00B62D10" w:rsidRDefault="00B62D10" w:rsidP="00B62D10">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A519C5" w14:textId="77777777" w:rsidR="00B62D10" w:rsidRPr="00B62D10" w:rsidRDefault="00B62D10" w:rsidP="00B62D10">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2D10"/>
    <w:rsid w:val="001009B8"/>
    <w:rsid w:val="003F7FF8"/>
    <w:rsid w:val="006F53E6"/>
    <w:rsid w:val="008E615D"/>
    <w:rsid w:val="00941E10"/>
    <w:rsid w:val="00B240EA"/>
    <w:rsid w:val="00B62D10"/>
    <w:rsid w:val="00B671F0"/>
    <w:rsid w:val="00C305C4"/>
    <w:rsid w:val="00ED03AA"/>
    <w:rsid w:val="00F976A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AA7A34"/>
  <w15:chartTrackingRefBased/>
  <w15:docId w15:val="{3D44CFB3-F74C-4B44-AAEA-EB92805CF1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B62D1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B62D1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B62D10"/>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B62D10"/>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B62D10"/>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B62D10"/>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B62D10"/>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B62D10"/>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B62D10"/>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B62D10"/>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B62D10"/>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B62D10"/>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B62D10"/>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B62D10"/>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B62D10"/>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B62D10"/>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B62D10"/>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B62D10"/>
    <w:rPr>
      <w:rFonts w:eastAsiaTheme="majorEastAsia" w:cstheme="majorBidi"/>
      <w:color w:val="272727" w:themeColor="text1" w:themeTint="D8"/>
    </w:rPr>
  </w:style>
  <w:style w:type="paragraph" w:styleId="Titel">
    <w:name w:val="Title"/>
    <w:basedOn w:val="Standaard"/>
    <w:next w:val="Standaard"/>
    <w:link w:val="TitelChar"/>
    <w:uiPriority w:val="10"/>
    <w:qFormat/>
    <w:rsid w:val="00B62D1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B62D10"/>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B62D10"/>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B62D10"/>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B62D10"/>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B62D10"/>
    <w:rPr>
      <w:i/>
      <w:iCs/>
      <w:color w:val="404040" w:themeColor="text1" w:themeTint="BF"/>
    </w:rPr>
  </w:style>
  <w:style w:type="paragraph" w:styleId="Lijstalinea">
    <w:name w:val="List Paragraph"/>
    <w:basedOn w:val="Standaard"/>
    <w:uiPriority w:val="34"/>
    <w:qFormat/>
    <w:rsid w:val="00B62D10"/>
    <w:pPr>
      <w:ind w:left="720"/>
      <w:contextualSpacing/>
    </w:pPr>
  </w:style>
  <w:style w:type="character" w:styleId="Intensievebenadrukking">
    <w:name w:val="Intense Emphasis"/>
    <w:basedOn w:val="Standaardalinea-lettertype"/>
    <w:uiPriority w:val="21"/>
    <w:qFormat/>
    <w:rsid w:val="00B62D10"/>
    <w:rPr>
      <w:i/>
      <w:iCs/>
      <w:color w:val="0F4761" w:themeColor="accent1" w:themeShade="BF"/>
    </w:rPr>
  </w:style>
  <w:style w:type="paragraph" w:styleId="Duidelijkcitaat">
    <w:name w:val="Intense Quote"/>
    <w:basedOn w:val="Standaard"/>
    <w:next w:val="Standaard"/>
    <w:link w:val="DuidelijkcitaatChar"/>
    <w:uiPriority w:val="30"/>
    <w:qFormat/>
    <w:rsid w:val="00B62D1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B62D10"/>
    <w:rPr>
      <w:i/>
      <w:iCs/>
      <w:color w:val="0F4761" w:themeColor="accent1" w:themeShade="BF"/>
    </w:rPr>
  </w:style>
  <w:style w:type="character" w:styleId="Intensieveverwijzing">
    <w:name w:val="Intense Reference"/>
    <w:basedOn w:val="Standaardalinea-lettertype"/>
    <w:uiPriority w:val="32"/>
    <w:qFormat/>
    <w:rsid w:val="00B62D10"/>
    <w:rPr>
      <w:b/>
      <w:bCs/>
      <w:smallCaps/>
      <w:color w:val="0F4761" w:themeColor="accent1" w:themeShade="BF"/>
      <w:spacing w:val="5"/>
    </w:rPr>
  </w:style>
  <w:style w:type="paragraph" w:customStyle="1" w:styleId="StandaardSlotzin">
    <w:name w:val="Standaard_Slotzin"/>
    <w:basedOn w:val="Standaard"/>
    <w:next w:val="Standaard"/>
    <w:rsid w:val="00B62D10"/>
    <w:pPr>
      <w:autoSpaceDN w:val="0"/>
      <w:spacing w:before="240" w:after="0" w:line="240" w:lineRule="exact"/>
      <w:textAlignment w:val="baseline"/>
    </w:pPr>
    <w:rPr>
      <w:rFonts w:ascii="Verdana" w:eastAsia="DejaVu Sans" w:hAnsi="Verdana" w:cs="Lohit Hindi"/>
      <w:color w:val="000000"/>
      <w:kern w:val="0"/>
      <w:sz w:val="18"/>
      <w:szCs w:val="18"/>
      <w:lang w:eastAsia="nl-NL"/>
      <w14:ligatures w14:val="none"/>
    </w:rPr>
  </w:style>
  <w:style w:type="table" w:customStyle="1" w:styleId="Tabelzonderranden">
    <w:name w:val="Tabel zonder randen"/>
    <w:rsid w:val="00B62D10"/>
    <w:pPr>
      <w:autoSpaceDN w:val="0"/>
      <w:spacing w:after="0" w:line="240" w:lineRule="auto"/>
      <w:textAlignment w:val="baseline"/>
    </w:pPr>
    <w:rPr>
      <w:rFonts w:ascii="Verdana" w:eastAsia="DejaVu Sans" w:hAnsi="Verdana" w:cs="Lohit Hindi"/>
      <w:color w:val="000000"/>
      <w:kern w:val="0"/>
      <w:sz w:val="24"/>
      <w:szCs w:val="24"/>
      <w:lang w:eastAsia="nl-NL"/>
      <w14:ligatures w14:val="none"/>
    </w:rPr>
    <w:tblPr>
      <w:tblCellMar>
        <w:top w:w="0" w:type="dxa"/>
        <w:left w:w="0" w:type="dxa"/>
        <w:bottom w:w="0" w:type="dxa"/>
        <w:right w:w="0" w:type="dxa"/>
      </w:tblCellMar>
    </w:tblPr>
  </w:style>
  <w:style w:type="paragraph" w:customStyle="1" w:styleId="Verdana7">
    <w:name w:val="Verdana 7"/>
    <w:basedOn w:val="Standaard"/>
    <w:next w:val="Standaard"/>
    <w:rsid w:val="00B62D10"/>
    <w:pPr>
      <w:autoSpaceDN w:val="0"/>
      <w:spacing w:after="0" w:line="140" w:lineRule="atLeast"/>
      <w:textAlignment w:val="baseline"/>
    </w:pPr>
    <w:rPr>
      <w:rFonts w:ascii="Verdana" w:eastAsia="DejaVu Sans" w:hAnsi="Verdana" w:cs="Lohit Hindi"/>
      <w:color w:val="000000"/>
      <w:kern w:val="0"/>
      <w:sz w:val="14"/>
      <w:szCs w:val="14"/>
      <w:lang w:eastAsia="nl-NL"/>
      <w14:ligatures w14:val="none"/>
    </w:rPr>
  </w:style>
  <w:style w:type="paragraph" w:customStyle="1" w:styleId="WitregelW1bodytekst">
    <w:name w:val="Witregel W1 (bodytekst)"/>
    <w:basedOn w:val="Standaard"/>
    <w:next w:val="Standaard"/>
    <w:rsid w:val="00B62D10"/>
    <w:pPr>
      <w:autoSpaceDN w:val="0"/>
      <w:spacing w:after="0" w:line="240" w:lineRule="exact"/>
      <w:textAlignment w:val="baseline"/>
    </w:pPr>
    <w:rPr>
      <w:rFonts w:ascii="Verdana" w:eastAsia="DejaVu Sans" w:hAnsi="Verdana" w:cs="Lohit Hindi"/>
      <w:color w:val="000000"/>
      <w:kern w:val="0"/>
      <w:sz w:val="18"/>
      <w:szCs w:val="18"/>
      <w:lang w:eastAsia="nl-NL"/>
      <w14:ligatures w14:val="none"/>
    </w:rPr>
  </w:style>
  <w:style w:type="paragraph" w:styleId="Geenafstand">
    <w:name w:val="No Spacing"/>
    <w:uiPriority w:val="3"/>
    <w:qFormat/>
    <w:rsid w:val="00B62D10"/>
    <w:pPr>
      <w:spacing w:after="0" w:line="240" w:lineRule="auto"/>
    </w:pPr>
    <w:rPr>
      <w:rFonts w:ascii="Verdana" w:eastAsia="Calibri" w:hAnsi="Verdana" w:cs="Times New Roman"/>
      <w:kern w:val="0"/>
      <w:sz w:val="18"/>
      <w14:ligatures w14:val="none"/>
    </w:rPr>
  </w:style>
  <w:style w:type="character" w:styleId="Voetnootmarkering">
    <w:name w:val="footnote reference"/>
    <w:basedOn w:val="Standaardalinea-lettertype"/>
    <w:uiPriority w:val="99"/>
    <w:semiHidden/>
    <w:unhideWhenUsed/>
    <w:qFormat/>
    <w:rsid w:val="00B62D10"/>
    <w:rPr>
      <w:vertAlign w:val="superscript"/>
      <w:lang w:val="nl-NL"/>
    </w:rPr>
  </w:style>
  <w:style w:type="paragraph" w:styleId="Voetnoottekst">
    <w:name w:val="footnote text"/>
    <w:basedOn w:val="Standaard"/>
    <w:link w:val="VoetnoottekstChar"/>
    <w:uiPriority w:val="99"/>
    <w:semiHidden/>
    <w:unhideWhenUsed/>
    <w:qFormat/>
    <w:rsid w:val="00B62D10"/>
    <w:pPr>
      <w:spacing w:after="0" w:line="240" w:lineRule="auto"/>
    </w:pPr>
    <w:rPr>
      <w:rFonts w:ascii="Verdana" w:eastAsia="Calibri" w:hAnsi="Verdana" w:cs="Times New Roman"/>
      <w:kern w:val="0"/>
      <w:sz w:val="20"/>
      <w:szCs w:val="20"/>
      <w14:ligatures w14:val="none"/>
    </w:rPr>
  </w:style>
  <w:style w:type="character" w:customStyle="1" w:styleId="VoetnoottekstChar">
    <w:name w:val="Voetnoottekst Char"/>
    <w:basedOn w:val="Standaardalinea-lettertype"/>
    <w:link w:val="Voetnoottekst"/>
    <w:uiPriority w:val="99"/>
    <w:semiHidden/>
    <w:rsid w:val="00B62D10"/>
    <w:rPr>
      <w:rFonts w:ascii="Verdana" w:eastAsia="Calibri" w:hAnsi="Verdana" w:cs="Times New Roman"/>
      <w:kern w:val="0"/>
      <w:sz w:val="20"/>
      <w:szCs w:val="20"/>
      <w14:ligatures w14:val="none"/>
    </w:rPr>
  </w:style>
  <w:style w:type="paragraph" w:styleId="Koptekst">
    <w:name w:val="header"/>
    <w:basedOn w:val="Standaard"/>
    <w:link w:val="KoptekstChar"/>
    <w:uiPriority w:val="99"/>
    <w:unhideWhenUsed/>
    <w:rsid w:val="00B62D10"/>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B62D10"/>
  </w:style>
  <w:style w:type="paragraph" w:styleId="Voettekst">
    <w:name w:val="footer"/>
    <w:basedOn w:val="Standaard"/>
    <w:link w:val="VoettekstChar"/>
    <w:uiPriority w:val="99"/>
    <w:unhideWhenUsed/>
    <w:rsid w:val="00B62D10"/>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B62D1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oter" Target="footer2.xml" Id="rId13" /><Relationship Type="http://schemas.openxmlformats.org/officeDocument/2006/relationships/webSettings" Target="webSettings.xml" Id="rId7" /><Relationship Type="http://schemas.openxmlformats.org/officeDocument/2006/relationships/footer" Target="footer1.xml" Id="rId12" /><Relationship Type="http://schemas.openxmlformats.org/officeDocument/2006/relationships/theme" Target="theme/theme1.xml" Id="rId17" /><Relationship Type="http://schemas.openxmlformats.org/officeDocument/2006/relationships/fontTable" Target="fontTable.xml" Id="rId16" /><Relationship Type="http://schemas.openxmlformats.org/officeDocument/2006/relationships/settings" Target="settings.xml" Id="rId6" /><Relationship Type="http://schemas.openxmlformats.org/officeDocument/2006/relationships/header" Target="header2.xml" Id="rId11" /><Relationship Type="http://schemas.openxmlformats.org/officeDocument/2006/relationships/styles" Target="styles.xml" Id="rId5" /><Relationship Type="http://schemas.openxmlformats.org/officeDocument/2006/relationships/footer" Target="footer3.xml" Id="rId15" /><Relationship Type="http://schemas.openxmlformats.org/officeDocument/2006/relationships/header" Target="header1.xml" Id="rId10" /><Relationship Type="http://schemas.openxmlformats.org/officeDocument/2006/relationships/endnotes" Target="endnotes.xml" Id="rId9" /><Relationship Type="http://schemas.openxmlformats.org/officeDocument/2006/relationships/header" Target="header3.xml" Id="rId14"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1</ap:Pages>
  <ap:Words>471</ap:Words>
  <ap:Characters>2593</ap:Characters>
  <ap:DocSecurity>0</ap:DocSecurity>
  <ap:Lines>21</ap:Lines>
  <ap:Paragraphs>6</ap:Paragraphs>
  <ap:ScaleCrop>false</ap:ScaleCrop>
  <ap:LinksUpToDate>false</ap:LinksUpToDate>
  <ap:CharactersWithSpaces>3058</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2026-09-10T10:00:00.0000000Z</dcterms:created>
  <dcterms:modified xsi:type="dcterms:W3CDTF">2026-09-10T10:00:00.0000000Z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