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D6567" w:rsidRDefault="00FD6567" w14:paraId="22CE708D" w14:textId="77777777">
      <w:pPr>
        <w:pStyle w:val="page-break"/>
      </w:pPr>
    </w:p>
    <w:tbl>
      <w:tblPr>
        <w:tblW w:w="9694" w:type="dxa"/>
        <w:tblInd w:w="-3317" w:type="dxa"/>
        <w:tblCellMar>
          <w:left w:w="10" w:type="dxa"/>
          <w:right w:w="10" w:type="dxa"/>
        </w:tblCellMar>
        <w:tblLook w:val="0000" w:firstRow="0" w:lastRow="0" w:firstColumn="0" w:lastColumn="0" w:noHBand="0" w:noVBand="0"/>
      </w:tblPr>
      <w:tblGrid>
        <w:gridCol w:w="3317"/>
        <w:gridCol w:w="5527"/>
        <w:gridCol w:w="850"/>
      </w:tblGrid>
      <w:tr w:rsidRPr="008908D8" w:rsidR="00FD6567" w14:paraId="5BB38F62" w14:textId="77777777">
        <w:tblPrEx>
          <w:tblCellMar>
            <w:top w:w="0" w:type="dxa"/>
            <w:bottom w:w="0" w:type="dxa"/>
          </w:tblCellMar>
        </w:tblPrEx>
        <w:tc>
          <w:tcPr>
            <w:tcW w:w="8844" w:type="dxa"/>
            <w:gridSpan w:val="2"/>
            <w:tcBorders>
              <w:bottom w:val="single" w:color="000000" w:sz="2" w:space="0"/>
            </w:tcBorders>
            <w:tcMar>
              <w:top w:w="22" w:type="dxa"/>
              <w:left w:w="55" w:type="dxa"/>
              <w:bottom w:w="22" w:type="dxa"/>
              <w:right w:w="55" w:type="dxa"/>
            </w:tcMar>
          </w:tcPr>
          <w:p w:rsidRPr="008908D8" w:rsidR="00FD6567" w:rsidRDefault="00B3798C" w14:paraId="64C09F72" w14:textId="77777777">
            <w:pPr>
              <w:rPr>
                <w:rFonts w:ascii="Times New Roman" w:hAnsi="Times New Roman" w:cs="Times New Roman"/>
              </w:rPr>
            </w:pPr>
            <w:r w:rsidRPr="008908D8">
              <w:rPr>
                <w:rStyle w:val="kameraanduiding-text"/>
                <w:rFonts w:ascii="Times New Roman" w:hAnsi="Times New Roman" w:cs="Times New Roman"/>
              </w:rPr>
              <w:t>Tweede Kamer der Staten-Generaal</w:t>
            </w:r>
          </w:p>
        </w:tc>
        <w:tc>
          <w:tcPr>
            <w:tcW w:w="850" w:type="dxa"/>
            <w:tcBorders>
              <w:bottom w:val="single" w:color="000000" w:sz="2" w:space="0"/>
            </w:tcBorders>
            <w:tcMar>
              <w:top w:w="22" w:type="dxa"/>
              <w:left w:w="55" w:type="dxa"/>
              <w:bottom w:w="22" w:type="dxa"/>
              <w:right w:w="55" w:type="dxa"/>
            </w:tcMar>
          </w:tcPr>
          <w:p w:rsidRPr="008908D8" w:rsidR="00FD6567" w:rsidRDefault="00B3798C" w14:paraId="4CB1CA88" w14:textId="77777777">
            <w:pPr>
              <w:pStyle w:val="kamernummer-p"/>
              <w:rPr>
                <w:rFonts w:ascii="Times New Roman" w:hAnsi="Times New Roman" w:cs="Times New Roman"/>
              </w:rPr>
            </w:pPr>
            <w:r w:rsidRPr="008908D8">
              <w:rPr>
                <w:rFonts w:ascii="Times New Roman" w:hAnsi="Times New Roman" w:cs="Times New Roman"/>
              </w:rPr>
              <w:t>2</w:t>
            </w:r>
          </w:p>
        </w:tc>
      </w:tr>
      <w:tr w:rsidRPr="008908D8" w:rsidR="00FD6567" w14:paraId="4D110091" w14:textId="77777777">
        <w:tblPrEx>
          <w:tblCellMar>
            <w:top w:w="0" w:type="dxa"/>
            <w:bottom w:w="0" w:type="dxa"/>
          </w:tblCellMar>
        </w:tblPrEx>
        <w:tc>
          <w:tcPr>
            <w:tcW w:w="9694" w:type="dxa"/>
            <w:gridSpan w:val="3"/>
            <w:tcBorders>
              <w:top w:val="single" w:color="000000" w:sz="4" w:space="0"/>
            </w:tcBorders>
            <w:tcMar>
              <w:top w:w="0" w:type="dxa"/>
              <w:left w:w="108" w:type="dxa"/>
              <w:bottom w:w="0" w:type="dxa"/>
              <w:right w:w="108" w:type="dxa"/>
            </w:tcMar>
          </w:tcPr>
          <w:p w:rsidRPr="008908D8" w:rsidR="00FD6567" w:rsidRDefault="00B3798C" w14:paraId="1290837D" w14:textId="77777777">
            <w:pPr>
              <w:pStyle w:val="vergaderjaar-p"/>
              <w:rPr>
                <w:rFonts w:ascii="Times New Roman" w:hAnsi="Times New Roman" w:cs="Times New Roman"/>
                <w:sz w:val="24"/>
                <w:szCs w:val="24"/>
              </w:rPr>
            </w:pPr>
            <w:r w:rsidRPr="008908D8">
              <w:rPr>
                <w:rStyle w:val="vergaderjaar-text"/>
                <w:rFonts w:ascii="Times New Roman" w:hAnsi="Times New Roman" w:cs="Times New Roman"/>
                <w:sz w:val="24"/>
                <w:szCs w:val="24"/>
              </w:rPr>
              <w:t>Vergaderjaar 2026–2027</w:t>
            </w:r>
          </w:p>
        </w:tc>
      </w:tr>
      <w:tr w:rsidRPr="008908D8" w:rsidR="00FD6567" w14:paraId="455E8DCD" w14:textId="77777777">
        <w:tblPrEx>
          <w:tblCellMar>
            <w:top w:w="0" w:type="dxa"/>
            <w:bottom w:w="0" w:type="dxa"/>
          </w:tblCellMar>
        </w:tblPrEx>
        <w:tc>
          <w:tcPr>
            <w:tcW w:w="3317" w:type="dxa"/>
            <w:tcBorders>
              <w:top w:val="single" w:color="000000" w:sz="2" w:space="0"/>
            </w:tcBorders>
            <w:tcMar>
              <w:top w:w="22" w:type="dxa"/>
              <w:left w:w="55" w:type="dxa"/>
              <w:bottom w:w="22" w:type="dxa"/>
              <w:right w:w="55" w:type="dxa"/>
            </w:tcMar>
          </w:tcPr>
          <w:p w:rsidRPr="008908D8" w:rsidR="00FD6567" w:rsidRDefault="008908D8" w14:paraId="380A72A3" w14:textId="14E8EC6A">
            <w:pPr>
              <w:rPr>
                <w:rFonts w:ascii="Times New Roman" w:hAnsi="Times New Roman" w:cs="Times New Roman"/>
                <w:sz w:val="24"/>
                <w:szCs w:val="24"/>
              </w:rPr>
            </w:pPr>
            <w:r w:rsidRPr="008908D8">
              <w:rPr>
                <w:rStyle w:val="begrotingshoofdstuk-text"/>
                <w:rFonts w:ascii="Times New Roman" w:hAnsi="Times New Roman" w:cs="Times New Roman"/>
              </w:rPr>
              <w:t xml:space="preserve">37 035 </w:t>
            </w:r>
            <w:r w:rsidRPr="008908D8" w:rsidR="00B3798C">
              <w:rPr>
                <w:rStyle w:val="begrotingshoofdstuk-text"/>
                <w:rFonts w:ascii="Times New Roman" w:hAnsi="Times New Roman" w:cs="Times New Roman"/>
              </w:rPr>
              <w:t>C</w:t>
            </w:r>
          </w:p>
        </w:tc>
        <w:tc>
          <w:tcPr>
            <w:tcW w:w="6377" w:type="dxa"/>
            <w:gridSpan w:val="2"/>
            <w:tcBorders>
              <w:top w:val="single" w:color="000000" w:sz="4" w:space="0"/>
            </w:tcBorders>
            <w:tcMar>
              <w:top w:w="0" w:type="dxa"/>
              <w:left w:w="0" w:type="dxa"/>
              <w:bottom w:w="0" w:type="dxa"/>
              <w:right w:w="108" w:type="dxa"/>
            </w:tcMar>
          </w:tcPr>
          <w:p w:rsidRPr="008908D8" w:rsidR="00FD6567" w:rsidP="008908D8" w:rsidRDefault="008908D8" w14:paraId="03DCB6D4" w14:textId="43F729E3">
            <w:pPr>
              <w:rPr>
                <w:rFonts w:ascii="Times New Roman" w:hAnsi="Times New Roman" w:cs="Times New Roman"/>
                <w:sz w:val="24"/>
                <w:szCs w:val="24"/>
              </w:rPr>
            </w:pPr>
            <w:r w:rsidRPr="008908D8">
              <w:rPr>
                <w:rFonts w:ascii="Times New Roman" w:hAnsi="Times New Roman" w:cs="Times New Roman"/>
                <w:sz w:val="24"/>
                <w:szCs w:val="24"/>
              </w:rPr>
              <w:t>Wijziging van de begrotingsstaat van het provinciefonds voor het jaar 2026 (wijziging samenhangende met de Miljoenennota)</w:t>
            </w:r>
          </w:p>
        </w:tc>
      </w:tr>
      <w:tr w:rsidRPr="008908D8" w:rsidR="00FD6567" w14:paraId="25090CAA" w14:textId="77777777">
        <w:tblPrEx>
          <w:tblCellMar>
            <w:top w:w="0" w:type="dxa"/>
            <w:bottom w:w="0" w:type="dxa"/>
          </w:tblCellMar>
        </w:tblPrEx>
        <w:tc>
          <w:tcPr>
            <w:tcW w:w="3317" w:type="dxa"/>
            <w:tcMar>
              <w:top w:w="0" w:type="dxa"/>
              <w:left w:w="108" w:type="dxa"/>
              <w:bottom w:w="0" w:type="dxa"/>
              <w:right w:w="108" w:type="dxa"/>
            </w:tcMar>
          </w:tcPr>
          <w:p w:rsidRPr="008908D8" w:rsidR="00FD6567" w:rsidRDefault="00B3798C" w14:paraId="2EF846C3" w14:textId="77777777">
            <w:pPr>
              <w:pStyle w:val="stuknr-p"/>
              <w:rPr>
                <w:rFonts w:ascii="Times New Roman" w:hAnsi="Times New Roman" w:cs="Times New Roman"/>
                <w:sz w:val="24"/>
                <w:szCs w:val="24"/>
              </w:rPr>
            </w:pPr>
            <w:r w:rsidRPr="008908D8">
              <w:rPr>
                <w:rFonts w:ascii="Times New Roman" w:hAnsi="Times New Roman" w:cs="Times New Roman"/>
                <w:sz w:val="24"/>
                <w:szCs w:val="24"/>
              </w:rPr>
              <w:t>Nr. 2</w:t>
            </w:r>
          </w:p>
        </w:tc>
        <w:tc>
          <w:tcPr>
            <w:tcW w:w="6377" w:type="dxa"/>
            <w:gridSpan w:val="2"/>
            <w:tcMar>
              <w:top w:w="0" w:type="dxa"/>
              <w:left w:w="0" w:type="dxa"/>
              <w:bottom w:w="0" w:type="dxa"/>
              <w:right w:w="108" w:type="dxa"/>
            </w:tcMar>
          </w:tcPr>
          <w:p w:rsidRPr="008908D8" w:rsidR="00FD6567" w:rsidRDefault="00B3798C" w14:paraId="05BF7E83" w14:textId="77777777">
            <w:pPr>
              <w:pStyle w:val="titel-p"/>
              <w:rPr>
                <w:rFonts w:ascii="Times New Roman" w:hAnsi="Times New Roman" w:cs="Times New Roman"/>
                <w:sz w:val="24"/>
                <w:szCs w:val="24"/>
              </w:rPr>
            </w:pPr>
            <w:r w:rsidRPr="008908D8">
              <w:rPr>
                <w:rFonts w:ascii="Times New Roman" w:hAnsi="Times New Roman" w:cs="Times New Roman"/>
                <w:sz w:val="24"/>
                <w:szCs w:val="24"/>
              </w:rPr>
              <w:t>Memorie van toelichting</w:t>
            </w:r>
          </w:p>
          <w:p w:rsidRPr="008908D8" w:rsidR="00FD6567" w:rsidRDefault="00FD6567" w14:paraId="1E6508A3" w14:textId="77777777">
            <w:pPr>
              <w:rPr>
                <w:rFonts w:ascii="Times New Roman" w:hAnsi="Times New Roman" w:cs="Times New Roman"/>
                <w:sz w:val="24"/>
                <w:szCs w:val="24"/>
              </w:rPr>
            </w:pPr>
          </w:p>
        </w:tc>
      </w:tr>
    </w:tbl>
    <w:p w:rsidR="008908D8" w:rsidRDefault="008908D8" w14:paraId="3F821604" w14:textId="77777777">
      <w:pPr>
        <w:pStyle w:val="section-title-1"/>
      </w:pPr>
      <w:bookmarkStart w:name="1537169413496086" w:id="0"/>
    </w:p>
    <w:p w:rsidRPr="008908D8" w:rsidR="00FD6567" w:rsidRDefault="00B3798C" w14:paraId="5AF9F90D" w14:textId="694CB9D5">
      <w:pPr>
        <w:pStyle w:val="section-title-1"/>
        <w:rPr>
          <w:rFonts w:ascii="Times New Roman" w:hAnsi="Times New Roman" w:cs="Times New Roman"/>
          <w:sz w:val="24"/>
          <w:szCs w:val="24"/>
        </w:rPr>
      </w:pPr>
      <w:r w:rsidRPr="008908D8">
        <w:rPr>
          <w:rFonts w:ascii="Times New Roman" w:hAnsi="Times New Roman" w:cs="Times New Roman"/>
          <w:sz w:val="24"/>
          <w:szCs w:val="24"/>
        </w:rPr>
        <w:t xml:space="preserve">A </w:t>
      </w:r>
      <w:r w:rsidRPr="008908D8">
        <w:rPr>
          <w:rFonts w:ascii="Times New Roman" w:hAnsi="Times New Roman" w:cs="Times New Roman"/>
          <w:sz w:val="24"/>
          <w:szCs w:val="24"/>
        </w:rPr>
        <w:t>Artikelsgewijze toelichting bij het wetsvoorstel</w:t>
      </w:r>
      <w:bookmarkEnd w:id="0"/>
    </w:p>
    <w:p w:rsidRPr="008908D8" w:rsidR="00FD6567" w:rsidRDefault="00B3798C" w14:paraId="42D449CE" w14:textId="77777777">
      <w:pPr>
        <w:pStyle w:val="header-h1"/>
        <w:rPr>
          <w:rFonts w:ascii="Times New Roman" w:hAnsi="Times New Roman" w:cs="Times New Roman"/>
          <w:sz w:val="24"/>
          <w:szCs w:val="24"/>
        </w:rPr>
      </w:pPr>
      <w:r w:rsidRPr="008908D8">
        <w:rPr>
          <w:rFonts w:ascii="Times New Roman" w:hAnsi="Times New Roman" w:cs="Times New Roman"/>
          <w:sz w:val="24"/>
          <w:szCs w:val="24"/>
        </w:rPr>
        <w:t>Wetsartikel 1</w:t>
      </w:r>
    </w:p>
    <w:p w:rsidRPr="008908D8" w:rsidR="00FD6567" w:rsidRDefault="00B3798C" w14:paraId="652034C2" w14:textId="77777777">
      <w:pPr>
        <w:pStyle w:val="p"/>
        <w:rPr>
          <w:rFonts w:ascii="Times New Roman" w:hAnsi="Times New Roman" w:cs="Times New Roman"/>
          <w:sz w:val="24"/>
          <w:szCs w:val="24"/>
        </w:rPr>
      </w:pPr>
      <w:r w:rsidRPr="008908D8">
        <w:rPr>
          <w:rFonts w:ascii="Times New Roman" w:hAnsi="Times New Roman" w:cs="Times New Roman"/>
          <w:sz w:val="24"/>
          <w:szCs w:val="24"/>
        </w:rPr>
        <w:t xml:space="preserve">De begrotingsstaten die onderdeel zijn van de Rijksbegroting, worden op grond van artikel </w:t>
      </w:r>
      <w:hyperlink w:history="1" r:id="rId7">
        <w:r w:rsidRPr="008908D8">
          <w:rPr>
            <w:rFonts w:ascii="Times New Roman" w:hAnsi="Times New Roman" w:cs="Times New Roman"/>
            <w:color w:val="548DD4"/>
            <w:sz w:val="24"/>
            <w:szCs w:val="24"/>
            <w:u w:val="single"/>
          </w:rPr>
          <w:t>2.3</w:t>
        </w:r>
      </w:hyperlink>
      <w:r w:rsidRPr="008908D8">
        <w:rPr>
          <w:rFonts w:ascii="Times New Roman" w:hAnsi="Times New Roman" w:cs="Times New Roman"/>
          <w:sz w:val="24"/>
          <w:szCs w:val="24"/>
        </w:rPr>
        <w:t>, eerste lid, van de Comptabiliteitswet 2016 elk afzonderlijk bij de wet vastgesteld.</w:t>
      </w:r>
    </w:p>
    <w:p w:rsidRPr="008908D8" w:rsidR="00FD6567" w:rsidRDefault="00B3798C" w14:paraId="1F94D6E9" w14:textId="77777777">
      <w:pPr>
        <w:pStyle w:val="p"/>
        <w:rPr>
          <w:rFonts w:ascii="Times New Roman" w:hAnsi="Times New Roman" w:cs="Times New Roman"/>
          <w:sz w:val="24"/>
          <w:szCs w:val="24"/>
        </w:rPr>
      </w:pPr>
      <w:r w:rsidRPr="008908D8">
        <w:rPr>
          <w:rFonts w:ascii="Times New Roman" w:hAnsi="Times New Roman" w:cs="Times New Roman"/>
          <w:sz w:val="24"/>
          <w:szCs w:val="24"/>
        </w:rPr>
        <w:t>Het wetsvoorstel strekt ertoe om de onderhavige begrotingsstaat voor het aangegeven jaar vast te stellen.</w:t>
      </w:r>
    </w:p>
    <w:p w:rsidRPr="008908D8" w:rsidR="00FD6567" w:rsidRDefault="00B3798C" w14:paraId="2C0579B8" w14:textId="77777777">
      <w:pPr>
        <w:pStyle w:val="p"/>
        <w:rPr>
          <w:rFonts w:ascii="Times New Roman" w:hAnsi="Times New Roman" w:cs="Times New Roman"/>
          <w:sz w:val="24"/>
          <w:szCs w:val="24"/>
        </w:rPr>
      </w:pPr>
      <w:r w:rsidRPr="008908D8">
        <w:rPr>
          <w:rFonts w:ascii="Times New Roman" w:hAnsi="Times New Roman" w:cs="Times New Roman"/>
          <w:sz w:val="24"/>
          <w:szCs w:val="24"/>
        </w:rPr>
        <w:t>Alle voor dit jaar vastgestelde begrotingswetten tezamen vormen de Rijksbegroting voor dat jaar. Een toelichting bij de Rijksbegroting als geheel is opgenomen in de Miljoenennota.</w:t>
      </w:r>
    </w:p>
    <w:p w:rsidRPr="008908D8" w:rsidR="00FD6567" w:rsidRDefault="00B3798C" w14:paraId="691B4FD9" w14:textId="77777777">
      <w:pPr>
        <w:pStyle w:val="p"/>
        <w:rPr>
          <w:rFonts w:ascii="Times New Roman" w:hAnsi="Times New Roman" w:cs="Times New Roman"/>
          <w:sz w:val="24"/>
          <w:szCs w:val="24"/>
        </w:rPr>
      </w:pPr>
      <w:r w:rsidRPr="008908D8">
        <w:rPr>
          <w:rFonts w:ascii="Times New Roman" w:hAnsi="Times New Roman" w:cs="Times New Roman"/>
          <w:sz w:val="24"/>
          <w:szCs w:val="24"/>
        </w:rPr>
        <w:t>Met de vaststelling van dit wetsartikel worden de uitgaven, verplichtingen en de ontvangsten vastgesteld. De in de begrotingsstaat opgenomen begrotingsartikelen worden in onderdeel B van deze memorie van toelichting toegelicht (de zogenoemde begrotingstoelichting).</w:t>
      </w:r>
    </w:p>
    <w:p w:rsidRPr="008908D8" w:rsidR="00FD6567" w:rsidRDefault="00B3798C" w14:paraId="57D32706" w14:textId="77777777">
      <w:pPr>
        <w:pStyle w:val="header-h1"/>
        <w:rPr>
          <w:rFonts w:ascii="Times New Roman" w:hAnsi="Times New Roman" w:cs="Times New Roman"/>
          <w:sz w:val="24"/>
          <w:szCs w:val="24"/>
        </w:rPr>
      </w:pPr>
      <w:r w:rsidRPr="008908D8">
        <w:rPr>
          <w:rFonts w:ascii="Times New Roman" w:hAnsi="Times New Roman" w:cs="Times New Roman"/>
          <w:sz w:val="24"/>
          <w:szCs w:val="24"/>
        </w:rPr>
        <w:t>Wetsartikel 3</w:t>
      </w:r>
    </w:p>
    <w:p w:rsidRPr="008908D8" w:rsidR="00FD6567" w:rsidRDefault="00B3798C" w14:paraId="5A8D004C" w14:textId="77777777">
      <w:pPr>
        <w:pStyle w:val="p"/>
        <w:rPr>
          <w:rFonts w:ascii="Times New Roman" w:hAnsi="Times New Roman" w:cs="Times New Roman"/>
          <w:sz w:val="24"/>
          <w:szCs w:val="24"/>
        </w:rPr>
      </w:pPr>
      <w:r w:rsidRPr="008908D8">
        <w:rPr>
          <w:rFonts w:ascii="Times New Roman" w:hAnsi="Times New Roman" w:cs="Times New Roman"/>
          <w:sz w:val="24"/>
          <w:szCs w:val="24"/>
        </w:rPr>
        <w:t xml:space="preserve">Ingevolge </w:t>
      </w:r>
      <w:hyperlink w:history="1" r:id="rId8">
        <w:r w:rsidRPr="008908D8">
          <w:rPr>
            <w:rFonts w:ascii="Times New Roman" w:hAnsi="Times New Roman" w:cs="Times New Roman"/>
            <w:color w:val="548DD4"/>
            <w:sz w:val="24"/>
            <w:szCs w:val="24"/>
            <w:u w:val="single"/>
          </w:rPr>
          <w:t>artikel 5, eerste lid, van de Financiële-verhoudingswet</w:t>
        </w:r>
      </w:hyperlink>
      <w:r w:rsidRPr="008908D8">
        <w:rPr>
          <w:rFonts w:ascii="Times New Roman" w:hAnsi="Times New Roman" w:cs="Times New Roman"/>
          <w:sz w:val="24"/>
          <w:szCs w:val="24"/>
        </w:rPr>
        <w:t xml:space="preserve"> hebben provincies gezamenlijk recht op het bedrag dat in de begroting als verplichting voor het totaal van de algemene uitkering is opgenomen.</w:t>
      </w:r>
    </w:p>
    <w:p w:rsidRPr="008908D8" w:rsidR="00FD6567" w:rsidRDefault="00B3798C" w14:paraId="6E514BC2" w14:textId="77777777">
      <w:pPr>
        <w:pStyle w:val="p"/>
        <w:rPr>
          <w:rFonts w:ascii="Times New Roman" w:hAnsi="Times New Roman" w:cs="Times New Roman"/>
          <w:sz w:val="24"/>
          <w:szCs w:val="24"/>
        </w:rPr>
      </w:pPr>
      <w:r w:rsidRPr="008908D8">
        <w:rPr>
          <w:rFonts w:ascii="Times New Roman" w:hAnsi="Times New Roman" w:cs="Times New Roman"/>
          <w:sz w:val="24"/>
          <w:szCs w:val="24"/>
        </w:rPr>
        <w:t xml:space="preserve">Ingevolge </w:t>
      </w:r>
      <w:hyperlink w:history="1" r:id="rId9">
        <w:r w:rsidRPr="008908D8">
          <w:rPr>
            <w:rFonts w:ascii="Times New Roman" w:hAnsi="Times New Roman" w:cs="Times New Roman"/>
            <w:color w:val="548DD4"/>
            <w:sz w:val="24"/>
            <w:szCs w:val="24"/>
            <w:u w:val="single"/>
          </w:rPr>
          <w:t>artikel 5, tweede lid, van de Financiële-verhoudingswet</w:t>
        </w:r>
      </w:hyperlink>
      <w:r w:rsidRPr="008908D8">
        <w:rPr>
          <w:rFonts w:ascii="Times New Roman" w:hAnsi="Times New Roman" w:cs="Times New Roman"/>
          <w:sz w:val="24"/>
          <w:szCs w:val="24"/>
        </w:rPr>
        <w:t xml:space="preserve"> hebben de provincies gezamenlijk recht op de bedragen die in de begroting als verplichting voor het totaal van de integratie-uitkeringen en het totaal van de decentralisatie-uitkeringen is opgenomen.</w:t>
      </w:r>
    </w:p>
    <w:p w:rsidRPr="008908D8" w:rsidR="00FD6567" w:rsidRDefault="00B3798C" w14:paraId="3FD43DC0" w14:textId="77777777">
      <w:pPr>
        <w:pStyle w:val="p"/>
        <w:rPr>
          <w:rFonts w:ascii="Times New Roman" w:hAnsi="Times New Roman" w:cs="Times New Roman"/>
          <w:sz w:val="24"/>
          <w:szCs w:val="24"/>
        </w:rPr>
      </w:pPr>
      <w:r w:rsidRPr="008908D8">
        <w:rPr>
          <w:rFonts w:ascii="Times New Roman" w:hAnsi="Times New Roman" w:cs="Times New Roman"/>
          <w:sz w:val="24"/>
          <w:szCs w:val="24"/>
        </w:rPr>
        <w:t>De in dit wetsartikel opgenomen bedragen zijn niet rechtstreeks uit de begrotingsstaat af te leiden. De bedragen worden nader onderbouwd in deze memorie van toelichting.</w:t>
      </w:r>
    </w:p>
    <w:p w:rsidRPr="008908D8" w:rsidR="00FD6567" w:rsidRDefault="00B3798C" w14:paraId="4C51B45C" w14:textId="7C937808">
      <w:pPr>
        <w:pStyle w:val="functie"/>
        <w:rPr>
          <w:rFonts w:ascii="Times New Roman" w:hAnsi="Times New Roman" w:cs="Times New Roman"/>
          <w:sz w:val="24"/>
          <w:szCs w:val="24"/>
        </w:rPr>
      </w:pPr>
      <w:r w:rsidRPr="008908D8">
        <w:rPr>
          <w:rFonts w:ascii="Times New Roman" w:hAnsi="Times New Roman" w:cs="Times New Roman"/>
          <w:sz w:val="24"/>
          <w:szCs w:val="24"/>
        </w:rPr>
        <w:t>De Minister van Binnenlandse Zaken en Koninkrijksrelaties</w:t>
      </w:r>
      <w:r w:rsidRPr="008908D8" w:rsidR="008908D8">
        <w:rPr>
          <w:rFonts w:ascii="Times New Roman" w:hAnsi="Times New Roman" w:cs="Times New Roman"/>
          <w:sz w:val="24"/>
          <w:szCs w:val="24"/>
        </w:rPr>
        <w:t>,</w:t>
      </w:r>
    </w:p>
    <w:p w:rsidRPr="008908D8" w:rsidR="00FD6567" w:rsidRDefault="00B3798C" w14:paraId="7087D7F3" w14:textId="0CB724EB">
      <w:pPr>
        <w:pStyle w:val="naam"/>
        <w:rPr>
          <w:rFonts w:ascii="Times New Roman" w:hAnsi="Times New Roman" w:cs="Times New Roman"/>
          <w:sz w:val="24"/>
          <w:szCs w:val="24"/>
        </w:rPr>
      </w:pPr>
      <w:r w:rsidRPr="008908D8">
        <w:rPr>
          <w:rFonts w:ascii="Times New Roman" w:hAnsi="Times New Roman" w:cs="Times New Roman"/>
          <w:sz w:val="24"/>
          <w:szCs w:val="24"/>
        </w:rPr>
        <w:t>P.E.</w:t>
      </w:r>
      <w:r w:rsidRPr="008908D8" w:rsidR="008908D8">
        <w:rPr>
          <w:rFonts w:ascii="Times New Roman" w:hAnsi="Times New Roman" w:cs="Times New Roman"/>
          <w:sz w:val="24"/>
          <w:szCs w:val="24"/>
        </w:rPr>
        <w:t xml:space="preserve"> </w:t>
      </w:r>
      <w:r w:rsidRPr="008908D8">
        <w:rPr>
          <w:rFonts w:ascii="Times New Roman" w:hAnsi="Times New Roman" w:cs="Times New Roman"/>
          <w:sz w:val="24"/>
          <w:szCs w:val="24"/>
        </w:rPr>
        <w:t>Heerma</w:t>
      </w:r>
    </w:p>
    <w:p w:rsidRPr="008908D8" w:rsidR="00FD6567" w:rsidRDefault="00FD6567" w14:paraId="267487E1" w14:textId="77777777">
      <w:pPr>
        <w:rPr>
          <w:rFonts w:ascii="Times New Roman" w:hAnsi="Times New Roman" w:cs="Times New Roman"/>
          <w:sz w:val="24"/>
          <w:szCs w:val="24"/>
        </w:rPr>
      </w:pPr>
    </w:p>
    <w:p w:rsidRPr="008908D8" w:rsidR="00FD6567" w:rsidRDefault="00B3798C" w14:paraId="5F8D8D4A" w14:textId="603EEF4D">
      <w:pPr>
        <w:pStyle w:val="functie"/>
        <w:rPr>
          <w:rFonts w:ascii="Times New Roman" w:hAnsi="Times New Roman" w:cs="Times New Roman"/>
          <w:sz w:val="24"/>
          <w:szCs w:val="24"/>
        </w:rPr>
      </w:pPr>
      <w:r w:rsidRPr="008908D8">
        <w:rPr>
          <w:rFonts w:ascii="Times New Roman" w:hAnsi="Times New Roman" w:cs="Times New Roman"/>
          <w:sz w:val="24"/>
          <w:szCs w:val="24"/>
        </w:rPr>
        <w:t xml:space="preserve">De Staatsecretaris van </w:t>
      </w:r>
      <w:r w:rsidRPr="008908D8">
        <w:rPr>
          <w:rFonts w:ascii="Times New Roman" w:hAnsi="Times New Roman" w:cs="Times New Roman"/>
          <w:sz w:val="24"/>
          <w:szCs w:val="24"/>
        </w:rPr>
        <w:t>Financiën</w:t>
      </w:r>
      <w:r w:rsidRPr="008908D8" w:rsidR="008908D8">
        <w:rPr>
          <w:rFonts w:ascii="Times New Roman" w:hAnsi="Times New Roman" w:cs="Times New Roman"/>
          <w:sz w:val="24"/>
          <w:szCs w:val="24"/>
        </w:rPr>
        <w:t>,</w:t>
      </w:r>
    </w:p>
    <w:p w:rsidRPr="008908D8" w:rsidR="00FD6567" w:rsidRDefault="00B3798C" w14:paraId="3EED5F62" w14:textId="4EEC7485">
      <w:pPr>
        <w:pStyle w:val="naam"/>
        <w:rPr>
          <w:rFonts w:ascii="Times New Roman" w:hAnsi="Times New Roman" w:cs="Times New Roman"/>
          <w:sz w:val="24"/>
          <w:szCs w:val="24"/>
        </w:rPr>
      </w:pPr>
      <w:r w:rsidRPr="008908D8">
        <w:rPr>
          <w:rFonts w:ascii="Times New Roman" w:hAnsi="Times New Roman" w:cs="Times New Roman"/>
          <w:sz w:val="24"/>
          <w:szCs w:val="24"/>
        </w:rPr>
        <w:t>E.</w:t>
      </w:r>
      <w:r w:rsidRPr="008908D8" w:rsidR="008908D8">
        <w:rPr>
          <w:rFonts w:ascii="Times New Roman" w:hAnsi="Times New Roman" w:cs="Times New Roman"/>
          <w:sz w:val="24"/>
          <w:szCs w:val="24"/>
        </w:rPr>
        <w:t xml:space="preserve"> </w:t>
      </w:r>
      <w:proofErr w:type="spellStart"/>
      <w:r w:rsidRPr="008908D8">
        <w:rPr>
          <w:rFonts w:ascii="Times New Roman" w:hAnsi="Times New Roman" w:cs="Times New Roman"/>
          <w:sz w:val="24"/>
          <w:szCs w:val="24"/>
        </w:rPr>
        <w:t>Eerenberg</w:t>
      </w:r>
      <w:proofErr w:type="spellEnd"/>
    </w:p>
    <w:p w:rsidR="00FD6567" w:rsidRDefault="00FD6567" w14:paraId="33710121" w14:textId="77777777">
      <w:pPr>
        <w:rPr>
          <w:rFonts w:ascii="Times New Roman" w:hAnsi="Times New Roman" w:cs="Times New Roman"/>
          <w:sz w:val="24"/>
          <w:szCs w:val="24"/>
        </w:rPr>
      </w:pPr>
    </w:p>
    <w:p w:rsidRPr="008908D8" w:rsidR="008908D8" w:rsidP="008908D8" w:rsidRDefault="008908D8" w14:paraId="59244215" w14:textId="77777777">
      <w:pPr>
        <w:rPr>
          <w:rFonts w:ascii="Times New Roman" w:hAnsi="Times New Roman" w:cs="Times New Roman"/>
          <w:sz w:val="24"/>
          <w:szCs w:val="24"/>
        </w:rPr>
      </w:pPr>
    </w:p>
    <w:p w:rsidR="00FD6567" w:rsidRDefault="00FD6567" w14:paraId="11451041" w14:textId="77777777">
      <w:pPr>
        <w:pStyle w:val="page-break"/>
      </w:pPr>
    </w:p>
    <w:p w:rsidRPr="008908D8" w:rsidR="00FD6567" w:rsidRDefault="00B3798C" w14:paraId="218D491C" w14:textId="77777777">
      <w:pPr>
        <w:pStyle w:val="section-title-1"/>
        <w:rPr>
          <w:rFonts w:ascii="Times New Roman" w:hAnsi="Times New Roman" w:cs="Times New Roman"/>
          <w:sz w:val="24"/>
          <w:szCs w:val="24"/>
        </w:rPr>
      </w:pPr>
      <w:bookmarkStart w:name="1537172513496113" w:id="1"/>
      <w:r>
        <w:t xml:space="preserve">B Artikelsgewijze toelichting bij de </w:t>
      </w:r>
      <w:r w:rsidRPr="008908D8">
        <w:rPr>
          <w:rFonts w:ascii="Times New Roman" w:hAnsi="Times New Roman" w:cs="Times New Roman"/>
          <w:sz w:val="24"/>
          <w:szCs w:val="24"/>
        </w:rPr>
        <w:t>begrotingsartikelen</w:t>
      </w:r>
      <w:bookmarkEnd w:id="1"/>
    </w:p>
    <w:p w:rsidRPr="008908D8" w:rsidR="00FD6567" w:rsidRDefault="00B3798C" w14:paraId="443A7331" w14:textId="77777777">
      <w:pPr>
        <w:pStyle w:val="section-title-2"/>
        <w:rPr>
          <w:rFonts w:ascii="Times New Roman" w:hAnsi="Times New Roman" w:cs="Times New Roman"/>
          <w:sz w:val="24"/>
          <w:szCs w:val="24"/>
        </w:rPr>
      </w:pPr>
      <w:bookmarkStart w:name="1537175613496140" w:id="2"/>
      <w:r w:rsidRPr="008908D8">
        <w:rPr>
          <w:rFonts w:ascii="Times New Roman" w:hAnsi="Times New Roman" w:cs="Times New Roman"/>
          <w:sz w:val="24"/>
          <w:szCs w:val="24"/>
        </w:rPr>
        <w:t>1. Leeswijzer</w:t>
      </w:r>
      <w:bookmarkEnd w:id="2"/>
    </w:p>
    <w:p w:rsidRPr="008908D8" w:rsidR="00FD6567" w:rsidRDefault="00B3798C" w14:paraId="1161E53D" w14:textId="77777777">
      <w:pPr>
        <w:pStyle w:val="p"/>
        <w:rPr>
          <w:rFonts w:ascii="Times New Roman" w:hAnsi="Times New Roman" w:cs="Times New Roman"/>
          <w:sz w:val="24"/>
          <w:szCs w:val="24"/>
        </w:rPr>
      </w:pPr>
      <w:r w:rsidRPr="008908D8">
        <w:rPr>
          <w:rFonts w:ascii="Times New Roman" w:hAnsi="Times New Roman" w:cs="Times New Roman"/>
          <w:sz w:val="24"/>
          <w:szCs w:val="24"/>
        </w:rPr>
        <w:t>Voor u ligt de suppletoire begroting september van het provinciefonds. De suppletoire begroting september geeft een beeld van de uitvoering van de begroting voor het jaar 2026. De stand wordt opgebouwd vanaf de stand van de vastgestelde begroting 2026.</w:t>
      </w:r>
    </w:p>
    <w:p w:rsidRPr="008908D8" w:rsidR="00FD6567" w:rsidRDefault="00B3798C" w14:paraId="73A3FEBE" w14:textId="77777777">
      <w:pPr>
        <w:pStyle w:val="p"/>
        <w:rPr>
          <w:rFonts w:ascii="Times New Roman" w:hAnsi="Times New Roman" w:cs="Times New Roman"/>
          <w:sz w:val="24"/>
          <w:szCs w:val="24"/>
        </w:rPr>
      </w:pPr>
      <w:r w:rsidRPr="008908D8">
        <w:rPr>
          <w:rFonts w:ascii="Times New Roman" w:hAnsi="Times New Roman" w:cs="Times New Roman"/>
          <w:sz w:val="24"/>
          <w:szCs w:val="24"/>
        </w:rPr>
        <w:t>Uitgangspunt bij de tabel budgettaire gevolgen van beleid is dat per artikel de beleidsmatige en technische mutaties toegelicht worden, die groter dan of gelijk zijn aan de ondergrens van € 10 mln.</w:t>
      </w:r>
    </w:p>
    <w:p w:rsidRPr="008908D8" w:rsidR="00FD6567" w:rsidRDefault="00B3798C" w14:paraId="7570B7F4" w14:textId="77777777">
      <w:pPr>
        <w:pStyle w:val="section-title-2"/>
        <w:rPr>
          <w:rFonts w:ascii="Times New Roman" w:hAnsi="Times New Roman" w:cs="Times New Roman"/>
          <w:sz w:val="24"/>
          <w:szCs w:val="24"/>
        </w:rPr>
      </w:pPr>
      <w:bookmarkStart w:name="1537185113496221" w:id="3"/>
      <w:r w:rsidRPr="008908D8">
        <w:rPr>
          <w:rFonts w:ascii="Times New Roman" w:hAnsi="Times New Roman" w:cs="Times New Roman"/>
          <w:sz w:val="24"/>
          <w:szCs w:val="24"/>
        </w:rPr>
        <w:t>2. Beleid</w:t>
      </w:r>
      <w:bookmarkEnd w:id="3"/>
    </w:p>
    <w:p w:rsidRPr="008908D8" w:rsidR="00FD6567" w:rsidRDefault="00B3798C" w14:paraId="004E1271" w14:textId="77777777">
      <w:pPr>
        <w:pStyle w:val="section-title-3"/>
        <w:rPr>
          <w:rFonts w:ascii="Times New Roman" w:hAnsi="Times New Roman" w:cs="Times New Roman"/>
          <w:sz w:val="24"/>
          <w:szCs w:val="24"/>
        </w:rPr>
      </w:pPr>
      <w:r w:rsidRPr="008908D8">
        <w:rPr>
          <w:rFonts w:ascii="Times New Roman" w:hAnsi="Times New Roman" w:cs="Times New Roman"/>
          <w:sz w:val="24"/>
          <w:szCs w:val="24"/>
        </w:rPr>
        <w:t>2.1 Overzicht belangrijkste uitgaven- en ontvangstenmutaties</w:t>
      </w:r>
    </w:p>
    <w:tbl>
      <w:tblPr>
        <w:tblW w:w="5000" w:type="pct"/>
        <w:tblCellMar>
          <w:left w:w="10" w:type="dxa"/>
          <w:right w:w="10" w:type="dxa"/>
        </w:tblCellMar>
        <w:tblLook w:val="0000" w:firstRow="0" w:lastRow="0" w:firstColumn="0" w:lastColumn="0" w:noHBand="0" w:noVBand="0"/>
      </w:tblPr>
      <w:tblGrid>
        <w:gridCol w:w="5254"/>
        <w:gridCol w:w="1124"/>
      </w:tblGrid>
      <w:tr w:rsidR="00FD6567" w14:paraId="283997B8" w14:textId="77777777">
        <w:tblPrEx>
          <w:tblCellMar>
            <w:top w:w="0" w:type="dxa"/>
            <w:bottom w:w="0" w:type="dxa"/>
          </w:tblCellMar>
        </w:tblPrEx>
        <w:trPr>
          <w:tblHeader/>
        </w:trPr>
        <w:tc>
          <w:tcPr>
            <w:tcW w:w="6378" w:type="dxa"/>
            <w:gridSpan w:val="2"/>
            <w:tcMar>
              <w:top w:w="22" w:type="dxa"/>
              <w:left w:w="113" w:type="dxa"/>
              <w:bottom w:w="22" w:type="dxa"/>
              <w:right w:w="10" w:type="dxa"/>
            </w:tcMar>
          </w:tcPr>
          <w:p w:rsidR="00FD6567" w:rsidRDefault="00B3798C" w14:paraId="4E2623D6" w14:textId="77777777">
            <w:pPr>
              <w:pStyle w:val="kio2-table-title"/>
            </w:pPr>
            <w:r>
              <w:t>Tabel 1 Belangrijkste suppletoire uitgavenmutaties 2026 (suppletoire begroting september) (bedragen x €1.000)</w:t>
            </w:r>
          </w:p>
        </w:tc>
      </w:tr>
      <w:tr w:rsidR="00FD6567" w14:paraId="79B6CE1D" w14:textId="77777777">
        <w:tblPrEx>
          <w:tblCellMar>
            <w:top w:w="0" w:type="dxa"/>
            <w:bottom w:w="0" w:type="dxa"/>
          </w:tblCellMar>
        </w:tblPrEx>
        <w:trPr>
          <w:tblHeader/>
        </w:trPr>
        <w:tc>
          <w:tcPr>
            <w:tcW w:w="5254" w:type="dxa"/>
            <w:tcBorders>
              <w:top w:val="single" w:color="000000" w:sz="2" w:space="0"/>
              <w:bottom w:val="single" w:color="009EE0" w:sz="2" w:space="0"/>
            </w:tcBorders>
            <w:tcMar>
              <w:top w:w="28" w:type="dxa"/>
              <w:left w:w="10" w:type="dxa"/>
              <w:bottom w:w="28" w:type="dxa"/>
              <w:right w:w="28" w:type="dxa"/>
            </w:tcMar>
          </w:tcPr>
          <w:p w:rsidR="00FD6567" w:rsidRDefault="00FD6567" w14:paraId="447E40F0" w14:textId="77777777"/>
        </w:tc>
        <w:tc>
          <w:tcPr>
            <w:tcW w:w="1124" w:type="dxa"/>
            <w:tcBorders>
              <w:top w:val="single" w:color="000000" w:sz="2" w:space="0"/>
              <w:bottom w:val="single" w:color="009EE0" w:sz="2" w:space="0"/>
            </w:tcBorders>
            <w:tcMar>
              <w:top w:w="28" w:type="dxa"/>
              <w:left w:w="28" w:type="dxa"/>
              <w:bottom w:w="28" w:type="dxa"/>
              <w:right w:w="28" w:type="dxa"/>
            </w:tcMar>
            <w:vAlign w:val="bottom"/>
          </w:tcPr>
          <w:p w:rsidR="00FD6567" w:rsidRDefault="00B3798C" w14:paraId="3A8E21E3" w14:textId="77777777">
            <w:pPr>
              <w:pStyle w:val="p-table"/>
              <w:rPr>
                <w:color w:val="000000"/>
                <w:sz w:val="17"/>
              </w:rPr>
            </w:pPr>
            <w:r>
              <w:rPr>
                <w:color w:val="000000"/>
                <w:sz w:val="17"/>
              </w:rPr>
              <w:t>Uitgaven 2026</w:t>
            </w:r>
          </w:p>
        </w:tc>
      </w:tr>
      <w:tr w:rsidR="00FD6567" w14:paraId="36ED1041" w14:textId="77777777">
        <w:tblPrEx>
          <w:tblCellMar>
            <w:top w:w="0" w:type="dxa"/>
            <w:bottom w:w="0" w:type="dxa"/>
          </w:tblCellMar>
        </w:tblPrEx>
        <w:tc>
          <w:tcPr>
            <w:tcW w:w="5254" w:type="dxa"/>
            <w:tcBorders>
              <w:bottom w:val="single" w:color="009EE0" w:sz="2" w:space="0"/>
            </w:tcBorders>
            <w:tcMar>
              <w:top w:w="22" w:type="dxa"/>
              <w:left w:w="10" w:type="dxa"/>
              <w:bottom w:w="22" w:type="dxa"/>
              <w:right w:w="28" w:type="dxa"/>
            </w:tcMar>
            <w:vAlign w:val="center"/>
          </w:tcPr>
          <w:p w:rsidR="00FD6567" w:rsidRDefault="00B3798C" w14:paraId="750E27C4" w14:textId="77777777">
            <w:pPr>
              <w:pStyle w:val="p-table"/>
            </w:pPr>
            <w:r>
              <w:rPr>
                <w:b/>
                <w:sz w:val="17"/>
              </w:rPr>
              <w:t>Vastgestelde begroting 2026</w:t>
            </w:r>
          </w:p>
        </w:tc>
        <w:tc>
          <w:tcPr>
            <w:tcW w:w="1124" w:type="dxa"/>
            <w:tcBorders>
              <w:bottom w:val="single" w:color="009EE0" w:sz="2" w:space="0"/>
            </w:tcBorders>
            <w:tcMar>
              <w:top w:w="22" w:type="dxa"/>
              <w:left w:w="28" w:type="dxa"/>
              <w:bottom w:w="22" w:type="dxa"/>
              <w:right w:w="28" w:type="dxa"/>
            </w:tcMar>
            <w:vAlign w:val="center"/>
          </w:tcPr>
          <w:p w:rsidR="00FD6567" w:rsidRDefault="00B3798C" w14:paraId="3B188683" w14:textId="77777777">
            <w:pPr>
              <w:pStyle w:val="p-table"/>
              <w:jc w:val="right"/>
            </w:pPr>
            <w:r>
              <w:rPr>
                <w:b/>
                <w:sz w:val="17"/>
              </w:rPr>
              <w:t>3.696.842</w:t>
            </w:r>
          </w:p>
        </w:tc>
      </w:tr>
      <w:tr w:rsidR="00FD6567" w14:paraId="2AADB69F" w14:textId="77777777">
        <w:tblPrEx>
          <w:tblCellMar>
            <w:top w:w="0" w:type="dxa"/>
            <w:bottom w:w="0" w:type="dxa"/>
          </w:tblCellMar>
        </w:tblPrEx>
        <w:tc>
          <w:tcPr>
            <w:tcW w:w="5254" w:type="dxa"/>
            <w:tcBorders>
              <w:bottom w:val="single" w:color="009EE0" w:sz="2" w:space="0"/>
            </w:tcBorders>
            <w:tcMar>
              <w:top w:w="22" w:type="dxa"/>
              <w:left w:w="10" w:type="dxa"/>
              <w:bottom w:w="22" w:type="dxa"/>
              <w:right w:w="28" w:type="dxa"/>
            </w:tcMar>
            <w:vAlign w:val="center"/>
          </w:tcPr>
          <w:p w:rsidR="00FD6567" w:rsidRDefault="00B3798C" w14:paraId="3F955E16" w14:textId="77777777">
            <w:pPr>
              <w:pStyle w:val="p-table"/>
            </w:pPr>
            <w:r>
              <w:rPr>
                <w:b/>
                <w:sz w:val="17"/>
              </w:rPr>
              <w:t>Stand 1e suppletoire begroting 2026</w:t>
            </w:r>
          </w:p>
        </w:tc>
        <w:tc>
          <w:tcPr>
            <w:tcW w:w="1124" w:type="dxa"/>
            <w:tcBorders>
              <w:bottom w:val="single" w:color="009EE0" w:sz="2" w:space="0"/>
            </w:tcBorders>
            <w:tcMar>
              <w:top w:w="22" w:type="dxa"/>
              <w:left w:w="28" w:type="dxa"/>
              <w:bottom w:w="22" w:type="dxa"/>
              <w:right w:w="28" w:type="dxa"/>
            </w:tcMar>
            <w:vAlign w:val="center"/>
          </w:tcPr>
          <w:p w:rsidR="00FD6567" w:rsidRDefault="00B3798C" w14:paraId="60474EFA" w14:textId="77777777">
            <w:pPr>
              <w:pStyle w:val="p-table"/>
              <w:jc w:val="right"/>
            </w:pPr>
            <w:r>
              <w:rPr>
                <w:b/>
                <w:sz w:val="17"/>
              </w:rPr>
              <w:t>3.970.192</w:t>
            </w:r>
          </w:p>
        </w:tc>
      </w:tr>
      <w:tr w:rsidR="00FD6567" w14:paraId="5D8F4017" w14:textId="77777777">
        <w:tblPrEx>
          <w:tblCellMar>
            <w:top w:w="0" w:type="dxa"/>
            <w:bottom w:w="0" w:type="dxa"/>
          </w:tblCellMar>
        </w:tblPrEx>
        <w:tc>
          <w:tcPr>
            <w:tcW w:w="5254" w:type="dxa"/>
            <w:tcBorders>
              <w:bottom w:val="single" w:color="009EE0" w:sz="2" w:space="0"/>
            </w:tcBorders>
            <w:tcMar>
              <w:top w:w="22" w:type="dxa"/>
              <w:left w:w="10" w:type="dxa"/>
              <w:bottom w:w="22" w:type="dxa"/>
              <w:right w:w="28" w:type="dxa"/>
            </w:tcMar>
          </w:tcPr>
          <w:p w:rsidR="00FD6567" w:rsidRDefault="00FD6567" w14:paraId="6543B785" w14:textId="77777777"/>
        </w:tc>
        <w:tc>
          <w:tcPr>
            <w:tcW w:w="1124" w:type="dxa"/>
            <w:tcBorders>
              <w:bottom w:val="single" w:color="009EE0" w:sz="2" w:space="0"/>
            </w:tcBorders>
            <w:tcMar>
              <w:top w:w="22" w:type="dxa"/>
              <w:left w:w="28" w:type="dxa"/>
              <w:bottom w:w="22" w:type="dxa"/>
              <w:right w:w="28" w:type="dxa"/>
            </w:tcMar>
          </w:tcPr>
          <w:p w:rsidR="00FD6567" w:rsidRDefault="00FD6567" w14:paraId="71E44746" w14:textId="77777777"/>
        </w:tc>
      </w:tr>
      <w:tr w:rsidR="00FD6567" w14:paraId="0688E98B" w14:textId="77777777">
        <w:tblPrEx>
          <w:tblCellMar>
            <w:top w:w="0" w:type="dxa"/>
            <w:bottom w:w="0" w:type="dxa"/>
          </w:tblCellMar>
        </w:tblPrEx>
        <w:tc>
          <w:tcPr>
            <w:tcW w:w="5254" w:type="dxa"/>
            <w:tcBorders>
              <w:bottom w:val="single" w:color="009EE0" w:sz="2" w:space="0"/>
            </w:tcBorders>
            <w:tcMar>
              <w:top w:w="22" w:type="dxa"/>
              <w:left w:w="10" w:type="dxa"/>
              <w:bottom w:w="22" w:type="dxa"/>
              <w:right w:w="28" w:type="dxa"/>
            </w:tcMar>
            <w:vAlign w:val="center"/>
          </w:tcPr>
          <w:p w:rsidR="00FD6567" w:rsidRDefault="00B3798C" w14:paraId="5B9A8F57" w14:textId="77777777">
            <w:pPr>
              <w:pStyle w:val="p-table"/>
            </w:pPr>
            <w:r>
              <w:rPr>
                <w:b/>
                <w:sz w:val="17"/>
              </w:rPr>
              <w:t>Belangrijkste suppletoire mutaties</w:t>
            </w:r>
          </w:p>
        </w:tc>
        <w:tc>
          <w:tcPr>
            <w:tcW w:w="1124" w:type="dxa"/>
            <w:tcBorders>
              <w:bottom w:val="single" w:color="009EE0" w:sz="2" w:space="0"/>
            </w:tcBorders>
            <w:tcMar>
              <w:top w:w="22" w:type="dxa"/>
              <w:left w:w="28" w:type="dxa"/>
              <w:bottom w:w="22" w:type="dxa"/>
              <w:right w:w="28" w:type="dxa"/>
            </w:tcMar>
          </w:tcPr>
          <w:p w:rsidR="00FD6567" w:rsidRDefault="00FD6567" w14:paraId="5379E667" w14:textId="77777777"/>
        </w:tc>
      </w:tr>
      <w:tr w:rsidR="00FD6567" w14:paraId="0727715E" w14:textId="77777777">
        <w:tblPrEx>
          <w:tblCellMar>
            <w:top w:w="0" w:type="dxa"/>
            <w:bottom w:w="0" w:type="dxa"/>
          </w:tblCellMar>
        </w:tblPrEx>
        <w:tc>
          <w:tcPr>
            <w:tcW w:w="5254" w:type="dxa"/>
            <w:tcBorders>
              <w:bottom w:val="single" w:color="009EE0" w:sz="2" w:space="0"/>
            </w:tcBorders>
            <w:tcMar>
              <w:top w:w="22" w:type="dxa"/>
              <w:left w:w="10" w:type="dxa"/>
              <w:bottom w:w="22" w:type="dxa"/>
              <w:right w:w="28" w:type="dxa"/>
            </w:tcMar>
            <w:vAlign w:val="center"/>
          </w:tcPr>
          <w:p w:rsidR="00FD6567" w:rsidRDefault="00B3798C" w14:paraId="4D743118" w14:textId="77777777">
            <w:pPr>
              <w:pStyle w:val="p-table"/>
              <w:rPr>
                <w:sz w:val="17"/>
              </w:rPr>
            </w:pPr>
            <w:r>
              <w:rPr>
                <w:sz w:val="17"/>
              </w:rPr>
              <w:t>1) Ruimte onder plafond BCF 2026</w:t>
            </w:r>
          </w:p>
        </w:tc>
        <w:tc>
          <w:tcPr>
            <w:tcW w:w="1124" w:type="dxa"/>
            <w:tcBorders>
              <w:bottom w:val="single" w:color="009EE0" w:sz="2" w:space="0"/>
            </w:tcBorders>
            <w:tcMar>
              <w:top w:w="22" w:type="dxa"/>
              <w:left w:w="28" w:type="dxa"/>
              <w:bottom w:w="22" w:type="dxa"/>
              <w:right w:w="28" w:type="dxa"/>
            </w:tcMar>
            <w:vAlign w:val="center"/>
          </w:tcPr>
          <w:p w:rsidR="00FD6567" w:rsidRDefault="00B3798C" w14:paraId="7D8C3703" w14:textId="77777777">
            <w:pPr>
              <w:pStyle w:val="p-table"/>
              <w:jc w:val="right"/>
              <w:rPr>
                <w:sz w:val="17"/>
              </w:rPr>
            </w:pPr>
            <w:r>
              <w:rPr>
                <w:sz w:val="17"/>
              </w:rPr>
              <w:t>168.931</w:t>
            </w:r>
          </w:p>
        </w:tc>
      </w:tr>
      <w:tr w:rsidR="00FD6567" w14:paraId="3B26D361" w14:textId="77777777">
        <w:tblPrEx>
          <w:tblCellMar>
            <w:top w:w="0" w:type="dxa"/>
            <w:bottom w:w="0" w:type="dxa"/>
          </w:tblCellMar>
        </w:tblPrEx>
        <w:tc>
          <w:tcPr>
            <w:tcW w:w="5254" w:type="dxa"/>
            <w:tcBorders>
              <w:bottom w:val="single" w:color="009EE0" w:sz="2" w:space="0"/>
            </w:tcBorders>
            <w:tcMar>
              <w:top w:w="22" w:type="dxa"/>
              <w:left w:w="10" w:type="dxa"/>
              <w:bottom w:w="22" w:type="dxa"/>
              <w:right w:w="28" w:type="dxa"/>
            </w:tcMar>
            <w:vAlign w:val="center"/>
          </w:tcPr>
          <w:p w:rsidR="00FD6567" w:rsidRDefault="00B3798C" w14:paraId="0F34DF9E" w14:textId="77777777">
            <w:pPr>
              <w:pStyle w:val="p-table"/>
              <w:rPr>
                <w:sz w:val="17"/>
              </w:rPr>
            </w:pPr>
            <w:r>
              <w:rPr>
                <w:sz w:val="17"/>
              </w:rPr>
              <w:t xml:space="preserve">2) (ANLB) </w:t>
            </w:r>
            <w:proofErr w:type="spellStart"/>
            <w:r>
              <w:rPr>
                <w:sz w:val="17"/>
              </w:rPr>
              <w:t>Eco</w:t>
            </w:r>
            <w:proofErr w:type="spellEnd"/>
            <w:r>
              <w:rPr>
                <w:sz w:val="17"/>
              </w:rPr>
              <w:t>-regeling</w:t>
            </w:r>
          </w:p>
        </w:tc>
        <w:tc>
          <w:tcPr>
            <w:tcW w:w="1124" w:type="dxa"/>
            <w:tcBorders>
              <w:bottom w:val="single" w:color="009EE0" w:sz="2" w:space="0"/>
            </w:tcBorders>
            <w:tcMar>
              <w:top w:w="22" w:type="dxa"/>
              <w:left w:w="28" w:type="dxa"/>
              <w:bottom w:w="22" w:type="dxa"/>
              <w:right w:w="28" w:type="dxa"/>
            </w:tcMar>
            <w:vAlign w:val="center"/>
          </w:tcPr>
          <w:p w:rsidR="00FD6567" w:rsidRDefault="00B3798C" w14:paraId="7A737A46" w14:textId="77777777">
            <w:pPr>
              <w:pStyle w:val="p-table"/>
              <w:jc w:val="right"/>
              <w:rPr>
                <w:sz w:val="17"/>
              </w:rPr>
            </w:pPr>
            <w:r>
              <w:rPr>
                <w:sz w:val="17"/>
              </w:rPr>
              <w:t>50.000</w:t>
            </w:r>
          </w:p>
        </w:tc>
      </w:tr>
      <w:tr w:rsidR="00FD6567" w14:paraId="1DD9EDCC" w14:textId="77777777">
        <w:tblPrEx>
          <w:tblCellMar>
            <w:top w:w="0" w:type="dxa"/>
            <w:bottom w:w="0" w:type="dxa"/>
          </w:tblCellMar>
        </w:tblPrEx>
        <w:tc>
          <w:tcPr>
            <w:tcW w:w="5254" w:type="dxa"/>
            <w:tcBorders>
              <w:bottom w:val="single" w:color="009EE0" w:sz="2" w:space="0"/>
            </w:tcBorders>
            <w:tcMar>
              <w:top w:w="22" w:type="dxa"/>
              <w:left w:w="10" w:type="dxa"/>
              <w:bottom w:w="22" w:type="dxa"/>
              <w:right w:w="28" w:type="dxa"/>
            </w:tcMar>
            <w:vAlign w:val="center"/>
          </w:tcPr>
          <w:p w:rsidR="00FD6567" w:rsidRDefault="00B3798C" w14:paraId="5B880521" w14:textId="77777777">
            <w:pPr>
              <w:pStyle w:val="p-table"/>
              <w:rPr>
                <w:sz w:val="17"/>
              </w:rPr>
            </w:pPr>
            <w:r>
              <w:rPr>
                <w:sz w:val="17"/>
              </w:rPr>
              <w:t>3) Wet Versterking regie volkshuisvesting</w:t>
            </w:r>
          </w:p>
        </w:tc>
        <w:tc>
          <w:tcPr>
            <w:tcW w:w="1124" w:type="dxa"/>
            <w:tcBorders>
              <w:bottom w:val="single" w:color="009EE0" w:sz="2" w:space="0"/>
            </w:tcBorders>
            <w:tcMar>
              <w:top w:w="22" w:type="dxa"/>
              <w:left w:w="28" w:type="dxa"/>
              <w:bottom w:w="22" w:type="dxa"/>
              <w:right w:w="28" w:type="dxa"/>
            </w:tcMar>
            <w:vAlign w:val="center"/>
          </w:tcPr>
          <w:p w:rsidR="00FD6567" w:rsidRDefault="00B3798C" w14:paraId="0C39BB7A" w14:textId="77777777">
            <w:pPr>
              <w:pStyle w:val="p-table"/>
              <w:jc w:val="right"/>
              <w:rPr>
                <w:sz w:val="17"/>
              </w:rPr>
            </w:pPr>
            <w:r>
              <w:rPr>
                <w:sz w:val="17"/>
              </w:rPr>
              <w:t>17.842</w:t>
            </w:r>
          </w:p>
        </w:tc>
      </w:tr>
      <w:tr w:rsidR="00FD6567" w14:paraId="44EEB9B2" w14:textId="77777777">
        <w:tblPrEx>
          <w:tblCellMar>
            <w:top w:w="0" w:type="dxa"/>
            <w:bottom w:w="0" w:type="dxa"/>
          </w:tblCellMar>
        </w:tblPrEx>
        <w:tc>
          <w:tcPr>
            <w:tcW w:w="5254" w:type="dxa"/>
            <w:tcBorders>
              <w:bottom w:val="single" w:color="009EE0" w:sz="2" w:space="0"/>
            </w:tcBorders>
            <w:tcMar>
              <w:top w:w="22" w:type="dxa"/>
              <w:left w:w="10" w:type="dxa"/>
              <w:bottom w:w="22" w:type="dxa"/>
              <w:right w:w="28" w:type="dxa"/>
            </w:tcMar>
            <w:vAlign w:val="center"/>
          </w:tcPr>
          <w:p w:rsidR="00FD6567" w:rsidRDefault="00B3798C" w14:paraId="4C84609C" w14:textId="77777777">
            <w:pPr>
              <w:pStyle w:val="p-table"/>
              <w:rPr>
                <w:sz w:val="17"/>
              </w:rPr>
            </w:pPr>
            <w:r>
              <w:rPr>
                <w:sz w:val="17"/>
              </w:rPr>
              <w:t xml:space="preserve">4) </w:t>
            </w:r>
            <w:r>
              <w:rPr>
                <w:sz w:val="17"/>
              </w:rPr>
              <w:t>SNL Natuurbeheer</w:t>
            </w:r>
          </w:p>
        </w:tc>
        <w:tc>
          <w:tcPr>
            <w:tcW w:w="1124" w:type="dxa"/>
            <w:tcBorders>
              <w:bottom w:val="single" w:color="009EE0" w:sz="2" w:space="0"/>
            </w:tcBorders>
            <w:tcMar>
              <w:top w:w="22" w:type="dxa"/>
              <w:left w:w="28" w:type="dxa"/>
              <w:bottom w:w="22" w:type="dxa"/>
              <w:right w:w="28" w:type="dxa"/>
            </w:tcMar>
            <w:vAlign w:val="center"/>
          </w:tcPr>
          <w:p w:rsidR="00FD6567" w:rsidRDefault="00B3798C" w14:paraId="0D7B0EAD" w14:textId="77777777">
            <w:pPr>
              <w:pStyle w:val="p-table"/>
              <w:jc w:val="right"/>
              <w:rPr>
                <w:sz w:val="17"/>
              </w:rPr>
            </w:pPr>
            <w:r>
              <w:rPr>
                <w:sz w:val="17"/>
              </w:rPr>
              <w:t>16.000</w:t>
            </w:r>
          </w:p>
        </w:tc>
      </w:tr>
      <w:tr w:rsidR="00FD6567" w14:paraId="6C1ABC58" w14:textId="77777777">
        <w:tblPrEx>
          <w:tblCellMar>
            <w:top w:w="0" w:type="dxa"/>
            <w:bottom w:w="0" w:type="dxa"/>
          </w:tblCellMar>
        </w:tblPrEx>
        <w:tc>
          <w:tcPr>
            <w:tcW w:w="5254" w:type="dxa"/>
            <w:tcBorders>
              <w:bottom w:val="single" w:color="009EE0" w:sz="2" w:space="0"/>
            </w:tcBorders>
            <w:tcMar>
              <w:top w:w="22" w:type="dxa"/>
              <w:left w:w="10" w:type="dxa"/>
              <w:bottom w:w="22" w:type="dxa"/>
              <w:right w:w="28" w:type="dxa"/>
            </w:tcMar>
            <w:vAlign w:val="center"/>
          </w:tcPr>
          <w:p w:rsidR="00FD6567" w:rsidRDefault="00B3798C" w14:paraId="1556BA02" w14:textId="77777777">
            <w:pPr>
              <w:pStyle w:val="p-table"/>
              <w:rPr>
                <w:sz w:val="17"/>
              </w:rPr>
            </w:pPr>
            <w:r>
              <w:rPr>
                <w:sz w:val="17"/>
              </w:rPr>
              <w:t>5) Spreidingswet</w:t>
            </w:r>
          </w:p>
        </w:tc>
        <w:tc>
          <w:tcPr>
            <w:tcW w:w="1124" w:type="dxa"/>
            <w:tcBorders>
              <w:bottom w:val="single" w:color="009EE0" w:sz="2" w:space="0"/>
            </w:tcBorders>
            <w:tcMar>
              <w:top w:w="22" w:type="dxa"/>
              <w:left w:w="28" w:type="dxa"/>
              <w:bottom w:w="22" w:type="dxa"/>
              <w:right w:w="28" w:type="dxa"/>
            </w:tcMar>
            <w:vAlign w:val="center"/>
          </w:tcPr>
          <w:p w:rsidR="00FD6567" w:rsidRDefault="00B3798C" w14:paraId="3B2A981F" w14:textId="77777777">
            <w:pPr>
              <w:pStyle w:val="p-table"/>
              <w:jc w:val="right"/>
              <w:rPr>
                <w:sz w:val="17"/>
              </w:rPr>
            </w:pPr>
            <w:r>
              <w:rPr>
                <w:sz w:val="17"/>
              </w:rPr>
              <w:t>12.750</w:t>
            </w:r>
          </w:p>
        </w:tc>
      </w:tr>
      <w:tr w:rsidR="00FD6567" w14:paraId="5B0B0D4D" w14:textId="77777777">
        <w:tblPrEx>
          <w:tblCellMar>
            <w:top w:w="0" w:type="dxa"/>
            <w:bottom w:w="0" w:type="dxa"/>
          </w:tblCellMar>
        </w:tblPrEx>
        <w:tc>
          <w:tcPr>
            <w:tcW w:w="5254" w:type="dxa"/>
            <w:tcBorders>
              <w:bottom w:val="single" w:color="009EE0" w:sz="2" w:space="0"/>
            </w:tcBorders>
            <w:tcMar>
              <w:top w:w="22" w:type="dxa"/>
              <w:left w:w="10" w:type="dxa"/>
              <w:bottom w:w="22" w:type="dxa"/>
              <w:right w:w="28" w:type="dxa"/>
            </w:tcMar>
            <w:vAlign w:val="center"/>
          </w:tcPr>
          <w:p w:rsidR="00FD6567" w:rsidRDefault="00B3798C" w14:paraId="58B86910" w14:textId="77777777">
            <w:pPr>
              <w:pStyle w:val="p-table"/>
              <w:rPr>
                <w:sz w:val="17"/>
              </w:rPr>
            </w:pPr>
            <w:r>
              <w:rPr>
                <w:sz w:val="17"/>
              </w:rPr>
              <w:t>6) Pilots toekomstbestendige bedrijventerreinen</w:t>
            </w:r>
          </w:p>
        </w:tc>
        <w:tc>
          <w:tcPr>
            <w:tcW w:w="1124" w:type="dxa"/>
            <w:tcBorders>
              <w:bottom w:val="single" w:color="009EE0" w:sz="2" w:space="0"/>
            </w:tcBorders>
            <w:tcMar>
              <w:top w:w="22" w:type="dxa"/>
              <w:left w:w="28" w:type="dxa"/>
              <w:bottom w:w="22" w:type="dxa"/>
              <w:right w:w="28" w:type="dxa"/>
            </w:tcMar>
            <w:vAlign w:val="center"/>
          </w:tcPr>
          <w:p w:rsidR="00FD6567" w:rsidRDefault="00B3798C" w14:paraId="35A376A3" w14:textId="77777777">
            <w:pPr>
              <w:pStyle w:val="p-table"/>
              <w:jc w:val="right"/>
              <w:rPr>
                <w:sz w:val="17"/>
              </w:rPr>
            </w:pPr>
            <w:r>
              <w:rPr>
                <w:sz w:val="17"/>
              </w:rPr>
              <w:t>11.928</w:t>
            </w:r>
          </w:p>
        </w:tc>
      </w:tr>
      <w:tr w:rsidR="00FD6567" w14:paraId="6F629498" w14:textId="77777777">
        <w:tblPrEx>
          <w:tblCellMar>
            <w:top w:w="0" w:type="dxa"/>
            <w:bottom w:w="0" w:type="dxa"/>
          </w:tblCellMar>
        </w:tblPrEx>
        <w:tc>
          <w:tcPr>
            <w:tcW w:w="5254" w:type="dxa"/>
            <w:tcBorders>
              <w:bottom w:val="single" w:color="009EE0" w:sz="2" w:space="0"/>
            </w:tcBorders>
            <w:tcMar>
              <w:top w:w="22" w:type="dxa"/>
              <w:left w:w="10" w:type="dxa"/>
              <w:bottom w:w="22" w:type="dxa"/>
              <w:right w:w="28" w:type="dxa"/>
            </w:tcMar>
            <w:vAlign w:val="center"/>
          </w:tcPr>
          <w:p w:rsidR="00FD6567" w:rsidRDefault="00B3798C" w14:paraId="520A24C1" w14:textId="77777777">
            <w:pPr>
              <w:pStyle w:val="p-table"/>
              <w:rPr>
                <w:sz w:val="17"/>
              </w:rPr>
            </w:pPr>
            <w:r>
              <w:rPr>
                <w:sz w:val="17"/>
              </w:rPr>
              <w:t>7) Nationale Agenda Laadinfrastructuur</w:t>
            </w:r>
          </w:p>
        </w:tc>
        <w:tc>
          <w:tcPr>
            <w:tcW w:w="1124" w:type="dxa"/>
            <w:tcBorders>
              <w:bottom w:val="single" w:color="009EE0" w:sz="2" w:space="0"/>
            </w:tcBorders>
            <w:tcMar>
              <w:top w:w="22" w:type="dxa"/>
              <w:left w:w="28" w:type="dxa"/>
              <w:bottom w:w="22" w:type="dxa"/>
              <w:right w:w="28" w:type="dxa"/>
            </w:tcMar>
            <w:vAlign w:val="center"/>
          </w:tcPr>
          <w:p w:rsidR="00FD6567" w:rsidRDefault="00B3798C" w14:paraId="6A30DB86" w14:textId="77777777">
            <w:pPr>
              <w:pStyle w:val="p-table"/>
              <w:jc w:val="right"/>
              <w:rPr>
                <w:sz w:val="17"/>
              </w:rPr>
            </w:pPr>
            <w:r>
              <w:rPr>
                <w:sz w:val="17"/>
              </w:rPr>
              <w:t>9.156</w:t>
            </w:r>
          </w:p>
        </w:tc>
      </w:tr>
      <w:tr w:rsidR="00FD6567" w14:paraId="1D9ED565" w14:textId="77777777">
        <w:tblPrEx>
          <w:tblCellMar>
            <w:top w:w="0" w:type="dxa"/>
            <w:bottom w:w="0" w:type="dxa"/>
          </w:tblCellMar>
        </w:tblPrEx>
        <w:tc>
          <w:tcPr>
            <w:tcW w:w="5254" w:type="dxa"/>
            <w:tcBorders>
              <w:bottom w:val="single" w:color="009EE0" w:sz="2" w:space="0"/>
            </w:tcBorders>
            <w:tcMar>
              <w:top w:w="22" w:type="dxa"/>
              <w:left w:w="10" w:type="dxa"/>
              <w:bottom w:w="22" w:type="dxa"/>
              <w:right w:w="28" w:type="dxa"/>
            </w:tcMar>
            <w:vAlign w:val="center"/>
          </w:tcPr>
          <w:p w:rsidR="00FD6567" w:rsidRDefault="00B3798C" w14:paraId="33EB8128" w14:textId="77777777">
            <w:pPr>
              <w:pStyle w:val="p-table"/>
              <w:rPr>
                <w:sz w:val="17"/>
              </w:rPr>
            </w:pPr>
            <w:r>
              <w:rPr>
                <w:sz w:val="17"/>
              </w:rPr>
              <w:t>8) Overige mutaties</w:t>
            </w:r>
          </w:p>
        </w:tc>
        <w:tc>
          <w:tcPr>
            <w:tcW w:w="1124" w:type="dxa"/>
            <w:tcBorders>
              <w:bottom w:val="single" w:color="009EE0" w:sz="2" w:space="0"/>
            </w:tcBorders>
            <w:tcMar>
              <w:top w:w="22" w:type="dxa"/>
              <w:left w:w="28" w:type="dxa"/>
              <w:bottom w:w="22" w:type="dxa"/>
              <w:right w:w="28" w:type="dxa"/>
            </w:tcMar>
            <w:vAlign w:val="center"/>
          </w:tcPr>
          <w:p w:rsidR="00FD6567" w:rsidRDefault="00B3798C" w14:paraId="6CC6B1C5" w14:textId="77777777">
            <w:pPr>
              <w:pStyle w:val="p-table"/>
              <w:jc w:val="right"/>
              <w:rPr>
                <w:sz w:val="17"/>
              </w:rPr>
            </w:pPr>
            <w:r>
              <w:rPr>
                <w:sz w:val="17"/>
              </w:rPr>
              <w:t>42.417</w:t>
            </w:r>
          </w:p>
        </w:tc>
      </w:tr>
      <w:tr w:rsidR="00FD6567" w14:paraId="434C0C7A" w14:textId="77777777">
        <w:tblPrEx>
          <w:tblCellMar>
            <w:top w:w="0" w:type="dxa"/>
            <w:bottom w:w="0" w:type="dxa"/>
          </w:tblCellMar>
        </w:tblPrEx>
        <w:tc>
          <w:tcPr>
            <w:tcW w:w="5254" w:type="dxa"/>
            <w:tcBorders>
              <w:bottom w:val="single" w:color="009EE0" w:sz="2" w:space="0"/>
            </w:tcBorders>
            <w:tcMar>
              <w:top w:w="22" w:type="dxa"/>
              <w:left w:w="10" w:type="dxa"/>
              <w:bottom w:w="22" w:type="dxa"/>
              <w:right w:w="28" w:type="dxa"/>
            </w:tcMar>
          </w:tcPr>
          <w:p w:rsidR="00FD6567" w:rsidRDefault="00FD6567" w14:paraId="716D3CDC" w14:textId="77777777"/>
        </w:tc>
        <w:tc>
          <w:tcPr>
            <w:tcW w:w="1124" w:type="dxa"/>
            <w:tcBorders>
              <w:bottom w:val="single" w:color="009EE0" w:sz="2" w:space="0"/>
            </w:tcBorders>
            <w:tcMar>
              <w:top w:w="22" w:type="dxa"/>
              <w:left w:w="28" w:type="dxa"/>
              <w:bottom w:w="22" w:type="dxa"/>
              <w:right w:w="28" w:type="dxa"/>
            </w:tcMar>
          </w:tcPr>
          <w:p w:rsidR="00FD6567" w:rsidRDefault="00FD6567" w14:paraId="06C4B478" w14:textId="77777777"/>
        </w:tc>
      </w:tr>
      <w:tr w:rsidR="00FD6567" w14:paraId="032A191D" w14:textId="77777777">
        <w:tblPrEx>
          <w:tblCellMar>
            <w:top w:w="0" w:type="dxa"/>
            <w:bottom w:w="0" w:type="dxa"/>
          </w:tblCellMar>
        </w:tblPrEx>
        <w:tc>
          <w:tcPr>
            <w:tcW w:w="5254" w:type="dxa"/>
            <w:tcBorders>
              <w:bottom w:val="single" w:color="009EE0" w:sz="2" w:space="0"/>
            </w:tcBorders>
            <w:tcMar>
              <w:top w:w="22" w:type="dxa"/>
              <w:left w:w="10" w:type="dxa"/>
              <w:bottom w:w="22" w:type="dxa"/>
              <w:right w:w="28" w:type="dxa"/>
            </w:tcMar>
            <w:vAlign w:val="center"/>
          </w:tcPr>
          <w:p w:rsidR="00FD6567" w:rsidRDefault="00B3798C" w14:paraId="57877697" w14:textId="77777777">
            <w:pPr>
              <w:pStyle w:val="p-table"/>
            </w:pPr>
            <w:r>
              <w:rPr>
                <w:b/>
                <w:sz w:val="17"/>
              </w:rPr>
              <w:t>Stand suppletoire begroting september 2026</w:t>
            </w:r>
          </w:p>
        </w:tc>
        <w:tc>
          <w:tcPr>
            <w:tcW w:w="1124" w:type="dxa"/>
            <w:tcBorders>
              <w:bottom w:val="single" w:color="009EE0" w:sz="2" w:space="0"/>
            </w:tcBorders>
            <w:tcMar>
              <w:top w:w="22" w:type="dxa"/>
              <w:left w:w="28" w:type="dxa"/>
              <w:bottom w:w="22" w:type="dxa"/>
              <w:right w:w="28" w:type="dxa"/>
            </w:tcMar>
            <w:vAlign w:val="center"/>
          </w:tcPr>
          <w:p w:rsidR="00FD6567" w:rsidRDefault="00B3798C" w14:paraId="02DD69A2" w14:textId="77777777">
            <w:pPr>
              <w:pStyle w:val="p-table"/>
              <w:jc w:val="right"/>
            </w:pPr>
            <w:r>
              <w:rPr>
                <w:b/>
                <w:sz w:val="17"/>
              </w:rPr>
              <w:t>4.299.216</w:t>
            </w:r>
          </w:p>
        </w:tc>
      </w:tr>
    </w:tbl>
    <w:p w:rsidR="00FD6567" w:rsidRDefault="00FD6567" w14:paraId="011215EE" w14:textId="77777777">
      <w:pPr>
        <w:pStyle w:val="p-marginbottom"/>
      </w:pPr>
    </w:p>
    <w:p w:rsidRPr="008908D8" w:rsidR="00FD6567" w:rsidRDefault="00B3798C" w14:paraId="2DDFEBE7" w14:textId="77777777">
      <w:pPr>
        <w:pStyle w:val="header-h1"/>
        <w:rPr>
          <w:rFonts w:ascii="Times New Roman" w:hAnsi="Times New Roman" w:cs="Times New Roman"/>
          <w:sz w:val="24"/>
          <w:szCs w:val="24"/>
        </w:rPr>
      </w:pPr>
      <w:r w:rsidRPr="008908D8">
        <w:rPr>
          <w:rFonts w:ascii="Times New Roman" w:hAnsi="Times New Roman" w:cs="Times New Roman"/>
          <w:sz w:val="24"/>
          <w:szCs w:val="24"/>
        </w:rPr>
        <w:t>Toelichting</w:t>
      </w:r>
    </w:p>
    <w:p w:rsidRPr="008908D8" w:rsidR="00FD6567" w:rsidRDefault="00B3798C" w14:paraId="0269C1B9" w14:textId="77777777">
      <w:pPr>
        <w:pStyle w:val="header-h2"/>
        <w:rPr>
          <w:rFonts w:ascii="Times New Roman" w:hAnsi="Times New Roman" w:cs="Times New Roman"/>
          <w:sz w:val="24"/>
          <w:szCs w:val="24"/>
        </w:rPr>
      </w:pPr>
      <w:r w:rsidRPr="008908D8">
        <w:rPr>
          <w:rFonts w:ascii="Times New Roman" w:hAnsi="Times New Roman" w:cs="Times New Roman"/>
          <w:sz w:val="24"/>
          <w:szCs w:val="24"/>
        </w:rPr>
        <w:t>1) Ruimte onder plafond BCF 2026</w:t>
      </w:r>
    </w:p>
    <w:p w:rsidRPr="008908D8" w:rsidR="00FD6567" w:rsidRDefault="00B3798C" w14:paraId="2E397BF9" w14:textId="77777777">
      <w:pPr>
        <w:pStyle w:val="p"/>
        <w:rPr>
          <w:rFonts w:ascii="Times New Roman" w:hAnsi="Times New Roman" w:cs="Times New Roman"/>
          <w:sz w:val="24"/>
          <w:szCs w:val="24"/>
        </w:rPr>
      </w:pPr>
      <w:r w:rsidRPr="008908D8">
        <w:rPr>
          <w:rFonts w:ascii="Times New Roman" w:hAnsi="Times New Roman" w:cs="Times New Roman"/>
          <w:sz w:val="24"/>
          <w:szCs w:val="24"/>
        </w:rPr>
        <w:t xml:space="preserve">De ontwikkeling van het </w:t>
      </w:r>
      <w:proofErr w:type="spellStart"/>
      <w:r w:rsidRPr="008908D8">
        <w:rPr>
          <w:rFonts w:ascii="Times New Roman" w:hAnsi="Times New Roman" w:cs="Times New Roman"/>
          <w:sz w:val="24"/>
          <w:szCs w:val="24"/>
        </w:rPr>
        <w:t>BTW-compensatiefonds</w:t>
      </w:r>
      <w:proofErr w:type="spellEnd"/>
      <w:r w:rsidRPr="008908D8">
        <w:rPr>
          <w:rFonts w:ascii="Times New Roman" w:hAnsi="Times New Roman" w:cs="Times New Roman"/>
          <w:sz w:val="24"/>
          <w:szCs w:val="24"/>
        </w:rPr>
        <w:t xml:space="preserve"> (BCF) en het bijbehorende plafond leiden conform het Financieel Akkoord Rijk/VNG/IPO met ingang van 2015 tot een toename of afname van de algemene uitkering van de </w:t>
      </w:r>
      <w:r w:rsidRPr="008908D8">
        <w:rPr>
          <w:rFonts w:ascii="Times New Roman" w:hAnsi="Times New Roman" w:cs="Times New Roman"/>
          <w:sz w:val="24"/>
          <w:szCs w:val="24"/>
        </w:rPr>
        <w:t>fondsen. Voor 2026 is vooralsnog sprake van ruimte onder het plafond, met als gevolg een toevoeging aan de algemene uitkering van € 168,9 mln.</w:t>
      </w:r>
    </w:p>
    <w:p w:rsidRPr="008908D8" w:rsidR="00FD6567" w:rsidRDefault="00B3798C" w14:paraId="6E55C7EA" w14:textId="77777777">
      <w:pPr>
        <w:pStyle w:val="header-h2"/>
        <w:rPr>
          <w:rFonts w:ascii="Times New Roman" w:hAnsi="Times New Roman" w:cs="Times New Roman"/>
          <w:sz w:val="24"/>
          <w:szCs w:val="24"/>
        </w:rPr>
      </w:pPr>
      <w:r w:rsidRPr="008908D8">
        <w:rPr>
          <w:rFonts w:ascii="Times New Roman" w:hAnsi="Times New Roman" w:cs="Times New Roman"/>
          <w:sz w:val="24"/>
          <w:szCs w:val="24"/>
        </w:rPr>
        <w:t xml:space="preserve">2) (ANLB) </w:t>
      </w:r>
      <w:proofErr w:type="spellStart"/>
      <w:r w:rsidRPr="008908D8">
        <w:rPr>
          <w:rFonts w:ascii="Times New Roman" w:hAnsi="Times New Roman" w:cs="Times New Roman"/>
          <w:sz w:val="24"/>
          <w:szCs w:val="24"/>
        </w:rPr>
        <w:t>Eco</w:t>
      </w:r>
      <w:proofErr w:type="spellEnd"/>
      <w:r w:rsidRPr="008908D8">
        <w:rPr>
          <w:rFonts w:ascii="Times New Roman" w:hAnsi="Times New Roman" w:cs="Times New Roman"/>
          <w:sz w:val="24"/>
          <w:szCs w:val="24"/>
        </w:rPr>
        <w:t>-regeling</w:t>
      </w:r>
    </w:p>
    <w:p w:rsidRPr="008908D8" w:rsidR="00FD6567" w:rsidRDefault="00B3798C" w14:paraId="6BE33F49" w14:textId="77777777">
      <w:pPr>
        <w:pStyle w:val="p"/>
        <w:rPr>
          <w:rFonts w:ascii="Times New Roman" w:hAnsi="Times New Roman" w:cs="Times New Roman"/>
          <w:sz w:val="24"/>
          <w:szCs w:val="24"/>
        </w:rPr>
      </w:pPr>
      <w:r w:rsidRPr="008908D8">
        <w:rPr>
          <w:rFonts w:ascii="Times New Roman" w:hAnsi="Times New Roman" w:cs="Times New Roman"/>
          <w:sz w:val="24"/>
          <w:szCs w:val="24"/>
        </w:rPr>
        <w:t xml:space="preserve">De bijdrage van € 50 mln. door het ministerie van Landbouw, Visserij, Voedselzekerheid en Natuur (LVVN) in 2026 betreft een compensatie voor de provincies voor budget dat vanuit het Agrarisch Natuur en Landschapsbeheer (ANLB) naar de </w:t>
      </w:r>
      <w:proofErr w:type="spellStart"/>
      <w:r w:rsidRPr="008908D8">
        <w:rPr>
          <w:rFonts w:ascii="Times New Roman" w:hAnsi="Times New Roman" w:cs="Times New Roman"/>
          <w:sz w:val="24"/>
          <w:szCs w:val="24"/>
        </w:rPr>
        <w:t>eco</w:t>
      </w:r>
      <w:proofErr w:type="spellEnd"/>
      <w:r w:rsidRPr="008908D8">
        <w:rPr>
          <w:rFonts w:ascii="Times New Roman" w:hAnsi="Times New Roman" w:cs="Times New Roman"/>
          <w:sz w:val="24"/>
          <w:szCs w:val="24"/>
        </w:rPr>
        <w:t>-regeling is verschoven.</w:t>
      </w:r>
    </w:p>
    <w:p w:rsidRPr="008908D8" w:rsidR="00FD6567" w:rsidRDefault="00B3798C" w14:paraId="07FFC74A" w14:textId="77777777">
      <w:pPr>
        <w:pStyle w:val="header-h2"/>
        <w:rPr>
          <w:rFonts w:ascii="Times New Roman" w:hAnsi="Times New Roman" w:cs="Times New Roman"/>
          <w:sz w:val="24"/>
          <w:szCs w:val="24"/>
        </w:rPr>
      </w:pPr>
      <w:r w:rsidRPr="008908D8">
        <w:rPr>
          <w:rFonts w:ascii="Times New Roman" w:hAnsi="Times New Roman" w:cs="Times New Roman"/>
          <w:sz w:val="24"/>
          <w:szCs w:val="24"/>
        </w:rPr>
        <w:t>3) Wet Versterking regie volkshuisvesting</w:t>
      </w:r>
    </w:p>
    <w:p w:rsidRPr="008908D8" w:rsidR="00FD6567" w:rsidRDefault="00B3798C" w14:paraId="7A8D076B" w14:textId="77777777">
      <w:pPr>
        <w:pStyle w:val="p"/>
        <w:rPr>
          <w:rFonts w:ascii="Times New Roman" w:hAnsi="Times New Roman" w:cs="Times New Roman"/>
          <w:sz w:val="24"/>
          <w:szCs w:val="24"/>
        </w:rPr>
      </w:pPr>
      <w:r w:rsidRPr="008908D8">
        <w:rPr>
          <w:rFonts w:ascii="Times New Roman" w:hAnsi="Times New Roman" w:cs="Times New Roman"/>
          <w:sz w:val="24"/>
          <w:szCs w:val="24"/>
        </w:rPr>
        <w:t>Met de inwerkingtreding van het wetsvoorstel Versterking regie volkshuisvesting ontstaan extra werkzaamheden voor de provincies. In een artikel 2-onderzoek is vastgesteld dat deze werkzaamheden financiële gevolgen hebben voor provincies in de vorm van incidentele en structurele uitvoer</w:t>
      </w:r>
      <w:r w:rsidRPr="008908D8">
        <w:rPr>
          <w:rFonts w:ascii="Times New Roman" w:hAnsi="Times New Roman" w:cs="Times New Roman"/>
          <w:sz w:val="24"/>
          <w:szCs w:val="24"/>
        </w:rPr>
        <w:t>ingslasten. Ter compensatie van de in het artikel 2-onderzoek geïdentificeerde structurele uitvoeringslasten ontvangen provincies vanaf 2026 jaarlijks, vanuit het Ministerie van Volkshuisvesting en Ruimtelijke Ordening, een structurele bijdrage van € 17,8 mln.</w:t>
      </w:r>
    </w:p>
    <w:p w:rsidRPr="008908D8" w:rsidR="00FD6567" w:rsidRDefault="00B3798C" w14:paraId="0F629427" w14:textId="77777777">
      <w:pPr>
        <w:pStyle w:val="header-h2"/>
        <w:rPr>
          <w:rFonts w:ascii="Times New Roman" w:hAnsi="Times New Roman" w:cs="Times New Roman"/>
          <w:sz w:val="24"/>
          <w:szCs w:val="24"/>
        </w:rPr>
      </w:pPr>
      <w:r w:rsidRPr="008908D8">
        <w:rPr>
          <w:rFonts w:ascii="Times New Roman" w:hAnsi="Times New Roman" w:cs="Times New Roman"/>
          <w:sz w:val="24"/>
          <w:szCs w:val="24"/>
        </w:rPr>
        <w:t>4) SNL Natuurbeheer</w:t>
      </w:r>
    </w:p>
    <w:p w:rsidRPr="008908D8" w:rsidR="00FD6567" w:rsidRDefault="00B3798C" w14:paraId="53DA4E72" w14:textId="77777777">
      <w:pPr>
        <w:pStyle w:val="p"/>
        <w:rPr>
          <w:rFonts w:ascii="Times New Roman" w:hAnsi="Times New Roman" w:cs="Times New Roman"/>
          <w:sz w:val="24"/>
          <w:szCs w:val="24"/>
        </w:rPr>
      </w:pPr>
      <w:r w:rsidRPr="008908D8">
        <w:rPr>
          <w:rFonts w:ascii="Times New Roman" w:hAnsi="Times New Roman" w:cs="Times New Roman"/>
          <w:sz w:val="24"/>
          <w:szCs w:val="24"/>
        </w:rPr>
        <w:t>Vanuit het ministerie van LVVN ontvangen provincies in 2026 een bijdrage van € 16 mln., omdat de kosten voor het Subsidiestelsel Natuur en Landschap (SNL) fors hoger zijn geworden.</w:t>
      </w:r>
    </w:p>
    <w:p w:rsidRPr="008908D8" w:rsidR="00FD6567" w:rsidRDefault="00B3798C" w14:paraId="790040AE" w14:textId="77777777">
      <w:pPr>
        <w:pStyle w:val="header-h2"/>
        <w:rPr>
          <w:rFonts w:ascii="Times New Roman" w:hAnsi="Times New Roman" w:cs="Times New Roman"/>
          <w:sz w:val="24"/>
          <w:szCs w:val="24"/>
        </w:rPr>
      </w:pPr>
      <w:r w:rsidRPr="008908D8">
        <w:rPr>
          <w:rFonts w:ascii="Times New Roman" w:hAnsi="Times New Roman" w:cs="Times New Roman"/>
          <w:sz w:val="24"/>
          <w:szCs w:val="24"/>
        </w:rPr>
        <w:t>5) Spreidingswet</w:t>
      </w:r>
    </w:p>
    <w:p w:rsidRPr="008908D8" w:rsidR="00FD6567" w:rsidRDefault="00B3798C" w14:paraId="19BE482D" w14:textId="77777777">
      <w:pPr>
        <w:pStyle w:val="p"/>
        <w:rPr>
          <w:rFonts w:ascii="Times New Roman" w:hAnsi="Times New Roman" w:cs="Times New Roman"/>
          <w:sz w:val="24"/>
          <w:szCs w:val="24"/>
        </w:rPr>
      </w:pPr>
      <w:r w:rsidRPr="008908D8">
        <w:rPr>
          <w:rFonts w:ascii="Times New Roman" w:hAnsi="Times New Roman" w:cs="Times New Roman"/>
          <w:sz w:val="24"/>
          <w:szCs w:val="24"/>
        </w:rPr>
        <w:t>Om de Provinciale Regietafels (</w:t>
      </w:r>
      <w:proofErr w:type="spellStart"/>
      <w:r w:rsidRPr="008908D8">
        <w:rPr>
          <w:rFonts w:ascii="Times New Roman" w:hAnsi="Times New Roman" w:cs="Times New Roman"/>
          <w:sz w:val="24"/>
          <w:szCs w:val="24"/>
        </w:rPr>
        <w:t>PRT's</w:t>
      </w:r>
      <w:proofErr w:type="spellEnd"/>
      <w:r w:rsidRPr="008908D8">
        <w:rPr>
          <w:rFonts w:ascii="Times New Roman" w:hAnsi="Times New Roman" w:cs="Times New Roman"/>
          <w:sz w:val="24"/>
          <w:szCs w:val="24"/>
        </w:rPr>
        <w:t>) te versterken, in onder meer hun nieuwe taak ten aanzien van het realiseren van opvangplekken in het kader van de Spreidingswet, ontvangen provincies vanuit het ministerie van Justitie en Veiligheid een bijdrage van € 12,8 mln.</w:t>
      </w:r>
    </w:p>
    <w:p w:rsidRPr="008908D8" w:rsidR="00FD6567" w:rsidRDefault="00B3798C" w14:paraId="33E3AEA8" w14:textId="77777777">
      <w:pPr>
        <w:pStyle w:val="header-h2"/>
        <w:rPr>
          <w:rFonts w:ascii="Times New Roman" w:hAnsi="Times New Roman" w:cs="Times New Roman"/>
          <w:sz w:val="24"/>
          <w:szCs w:val="24"/>
        </w:rPr>
      </w:pPr>
      <w:r w:rsidRPr="008908D8">
        <w:rPr>
          <w:rFonts w:ascii="Times New Roman" w:hAnsi="Times New Roman" w:cs="Times New Roman"/>
          <w:sz w:val="24"/>
          <w:szCs w:val="24"/>
        </w:rPr>
        <w:t>6) Pilots toekomstbestendige bedrijventerreinen</w:t>
      </w:r>
    </w:p>
    <w:p w:rsidRPr="008908D8" w:rsidR="00FD6567" w:rsidRDefault="00B3798C" w14:paraId="40B0215F" w14:textId="77777777">
      <w:pPr>
        <w:pStyle w:val="p"/>
        <w:rPr>
          <w:rFonts w:ascii="Times New Roman" w:hAnsi="Times New Roman" w:cs="Times New Roman"/>
          <w:sz w:val="24"/>
          <w:szCs w:val="24"/>
        </w:rPr>
      </w:pPr>
      <w:r w:rsidRPr="008908D8">
        <w:rPr>
          <w:rFonts w:ascii="Times New Roman" w:hAnsi="Times New Roman" w:cs="Times New Roman"/>
          <w:sz w:val="24"/>
          <w:szCs w:val="24"/>
        </w:rPr>
        <w:t>Provincies ontvangen vanuit het ministerie van Economische Zaken en Klimaat in 2026 een bedrag van € 11,9 mln. om samen met gemeenten en private partijen integrale pilots voor het maken en houden van toekomstbestendige bedrijventerreinen uit te voeren.</w:t>
      </w:r>
    </w:p>
    <w:p w:rsidRPr="008908D8" w:rsidR="00FD6567" w:rsidRDefault="00B3798C" w14:paraId="3FFD1825" w14:textId="77777777">
      <w:pPr>
        <w:pStyle w:val="header-h2"/>
        <w:rPr>
          <w:rFonts w:ascii="Times New Roman" w:hAnsi="Times New Roman" w:cs="Times New Roman"/>
          <w:sz w:val="24"/>
          <w:szCs w:val="24"/>
        </w:rPr>
      </w:pPr>
      <w:r w:rsidRPr="008908D8">
        <w:rPr>
          <w:rFonts w:ascii="Times New Roman" w:hAnsi="Times New Roman" w:cs="Times New Roman"/>
          <w:sz w:val="24"/>
          <w:szCs w:val="24"/>
        </w:rPr>
        <w:t>7) Nationale Agenda Laadinfrastructuur</w:t>
      </w:r>
    </w:p>
    <w:p w:rsidRPr="008908D8" w:rsidR="00FD6567" w:rsidRDefault="00B3798C" w14:paraId="6B942D17" w14:textId="77777777">
      <w:pPr>
        <w:pStyle w:val="p"/>
        <w:rPr>
          <w:rFonts w:ascii="Times New Roman" w:hAnsi="Times New Roman" w:cs="Times New Roman"/>
          <w:sz w:val="24"/>
          <w:szCs w:val="24"/>
        </w:rPr>
      </w:pPr>
      <w:r w:rsidRPr="008908D8">
        <w:rPr>
          <w:rFonts w:ascii="Times New Roman" w:hAnsi="Times New Roman" w:cs="Times New Roman"/>
          <w:sz w:val="24"/>
          <w:szCs w:val="24"/>
        </w:rPr>
        <w:t xml:space="preserve">Sinds 2019 werken provincies gezamenlijk aan de uitrol van </w:t>
      </w:r>
      <w:proofErr w:type="spellStart"/>
      <w:r w:rsidRPr="008908D8">
        <w:rPr>
          <w:rFonts w:ascii="Times New Roman" w:hAnsi="Times New Roman" w:cs="Times New Roman"/>
          <w:sz w:val="24"/>
          <w:szCs w:val="24"/>
        </w:rPr>
        <w:t>laadinfrastrucuur</w:t>
      </w:r>
      <w:proofErr w:type="spellEnd"/>
      <w:r w:rsidRPr="008908D8">
        <w:rPr>
          <w:rFonts w:ascii="Times New Roman" w:hAnsi="Times New Roman" w:cs="Times New Roman"/>
          <w:sz w:val="24"/>
          <w:szCs w:val="24"/>
        </w:rPr>
        <w:t xml:space="preserve"> voor alle modaliteiten. Provincies ontvangen in 2026, vanuit het ministerie van Economische Zaken en Klimaat een bedrag van € 9,2 mln. voor de Nationale Agenda Laadinfrastructuur (NAL). De provincies worden hiermee in staat gesteld bij te dragen aan het doel om een landelijk dekkend laadnetwerk voor alle modaliteiten te realiseren.</w:t>
      </w:r>
    </w:p>
    <w:p w:rsidRPr="008908D8" w:rsidR="00FD6567" w:rsidRDefault="00B3798C" w14:paraId="2E92A98B" w14:textId="77777777">
      <w:pPr>
        <w:pStyle w:val="section-title-2"/>
        <w:rPr>
          <w:rFonts w:ascii="Times New Roman" w:hAnsi="Times New Roman" w:cs="Times New Roman"/>
          <w:sz w:val="24"/>
          <w:szCs w:val="24"/>
        </w:rPr>
      </w:pPr>
      <w:bookmarkStart w:name="1537178713496167" w:id="4"/>
      <w:r w:rsidRPr="008908D8">
        <w:rPr>
          <w:rFonts w:ascii="Times New Roman" w:hAnsi="Times New Roman" w:cs="Times New Roman"/>
          <w:sz w:val="24"/>
          <w:szCs w:val="24"/>
        </w:rPr>
        <w:t>3. Beleidsartikel</w:t>
      </w:r>
      <w:bookmarkEnd w:id="4"/>
    </w:p>
    <w:p w:rsidRPr="008908D8" w:rsidR="00FD6567" w:rsidRDefault="00B3798C" w14:paraId="4B7EF969" w14:textId="77777777">
      <w:pPr>
        <w:pStyle w:val="section-title-3"/>
        <w:rPr>
          <w:rFonts w:ascii="Times New Roman" w:hAnsi="Times New Roman" w:cs="Times New Roman"/>
          <w:sz w:val="24"/>
          <w:szCs w:val="24"/>
        </w:rPr>
      </w:pPr>
      <w:r w:rsidRPr="008908D8">
        <w:rPr>
          <w:rFonts w:ascii="Times New Roman" w:hAnsi="Times New Roman" w:cs="Times New Roman"/>
          <w:sz w:val="24"/>
          <w:szCs w:val="24"/>
        </w:rPr>
        <w:t xml:space="preserve">3.1 Artikel 1 </w:t>
      </w:r>
      <w:r w:rsidRPr="008908D8">
        <w:rPr>
          <w:rFonts w:ascii="Times New Roman" w:hAnsi="Times New Roman" w:cs="Times New Roman"/>
          <w:sz w:val="24"/>
          <w:szCs w:val="24"/>
        </w:rPr>
        <w:t>Provinciefonds</w:t>
      </w:r>
    </w:p>
    <w:tbl>
      <w:tblPr>
        <w:tblW w:w="9694" w:type="dxa"/>
        <w:tblInd w:w="-3317" w:type="dxa"/>
        <w:tblCellMar>
          <w:left w:w="10" w:type="dxa"/>
          <w:right w:w="10" w:type="dxa"/>
        </w:tblCellMar>
        <w:tblLook w:val="0000" w:firstRow="0" w:lastRow="0" w:firstColumn="0" w:lastColumn="0" w:noHBand="0" w:noVBand="0"/>
      </w:tblPr>
      <w:tblGrid>
        <w:gridCol w:w="5914"/>
        <w:gridCol w:w="1260"/>
        <w:gridCol w:w="1260"/>
        <w:gridCol w:w="1260"/>
      </w:tblGrid>
      <w:tr w:rsidR="00FD6567" w14:paraId="7DE01B39" w14:textId="77777777">
        <w:tblPrEx>
          <w:tblCellMar>
            <w:top w:w="0" w:type="dxa"/>
            <w:bottom w:w="0" w:type="dxa"/>
          </w:tblCellMar>
        </w:tblPrEx>
        <w:trPr>
          <w:tblHeader/>
        </w:trPr>
        <w:tc>
          <w:tcPr>
            <w:tcW w:w="9694" w:type="dxa"/>
            <w:gridSpan w:val="4"/>
            <w:tcMar>
              <w:top w:w="22" w:type="dxa"/>
              <w:left w:w="113" w:type="dxa"/>
              <w:bottom w:w="22" w:type="dxa"/>
              <w:right w:w="10" w:type="dxa"/>
            </w:tcMar>
          </w:tcPr>
          <w:p w:rsidR="00FD6567" w:rsidRDefault="00B3798C" w14:paraId="613308A9" w14:textId="77777777">
            <w:pPr>
              <w:pStyle w:val="kio2-table-title"/>
            </w:pPr>
            <w:r>
              <w:t>Tabel 2 Budgettaire gevolgen van beleid artikel 1 Provinciefonds (bedragen x € 1.000)</w:t>
            </w:r>
          </w:p>
        </w:tc>
      </w:tr>
      <w:tr w:rsidR="00FD6567" w14:paraId="46BD3679" w14:textId="77777777">
        <w:tblPrEx>
          <w:tblCellMar>
            <w:top w:w="0" w:type="dxa"/>
            <w:bottom w:w="0" w:type="dxa"/>
          </w:tblCellMar>
        </w:tblPrEx>
        <w:trPr>
          <w:tblHeader/>
        </w:trPr>
        <w:tc>
          <w:tcPr>
            <w:tcW w:w="5914" w:type="dxa"/>
            <w:tcBorders>
              <w:top w:val="single" w:color="000000" w:sz="2" w:space="0"/>
              <w:bottom w:val="single" w:color="009EE0" w:sz="2" w:space="0"/>
            </w:tcBorders>
            <w:tcMar>
              <w:top w:w="28" w:type="dxa"/>
              <w:left w:w="10" w:type="dxa"/>
              <w:bottom w:w="28" w:type="dxa"/>
              <w:right w:w="28" w:type="dxa"/>
            </w:tcMar>
          </w:tcPr>
          <w:p w:rsidR="00FD6567" w:rsidRDefault="00FD6567" w14:paraId="19816620" w14:textId="77777777"/>
        </w:tc>
        <w:tc>
          <w:tcPr>
            <w:tcW w:w="1260" w:type="dxa"/>
            <w:tcBorders>
              <w:top w:val="single" w:color="000000" w:sz="2" w:space="0"/>
              <w:bottom w:val="single" w:color="009EE0" w:sz="2" w:space="0"/>
            </w:tcBorders>
            <w:tcMar>
              <w:top w:w="28" w:type="dxa"/>
              <w:left w:w="28" w:type="dxa"/>
              <w:bottom w:w="28" w:type="dxa"/>
              <w:right w:w="28" w:type="dxa"/>
            </w:tcMar>
          </w:tcPr>
          <w:p w:rsidR="00FD6567" w:rsidRDefault="00B3798C" w14:paraId="14379C64" w14:textId="77777777">
            <w:pPr>
              <w:pStyle w:val="p-table"/>
              <w:jc w:val="right"/>
              <w:rPr>
                <w:color w:val="000000"/>
                <w:sz w:val="17"/>
              </w:rPr>
            </w:pPr>
            <w:r>
              <w:rPr>
                <w:color w:val="000000"/>
                <w:sz w:val="17"/>
              </w:rPr>
              <w:t>Stand begroting (eerste suppletoire) (1)</w:t>
            </w:r>
          </w:p>
        </w:tc>
        <w:tc>
          <w:tcPr>
            <w:tcW w:w="1260" w:type="dxa"/>
            <w:tcBorders>
              <w:top w:val="single" w:color="000000" w:sz="2" w:space="0"/>
              <w:bottom w:val="single" w:color="009EE0" w:sz="2" w:space="0"/>
            </w:tcBorders>
            <w:tcMar>
              <w:top w:w="28" w:type="dxa"/>
              <w:left w:w="28" w:type="dxa"/>
              <w:bottom w:w="28" w:type="dxa"/>
              <w:right w:w="28" w:type="dxa"/>
            </w:tcMar>
          </w:tcPr>
          <w:p w:rsidR="00FD6567" w:rsidRDefault="00B3798C" w14:paraId="347755BC" w14:textId="77777777">
            <w:pPr>
              <w:pStyle w:val="p-table"/>
              <w:jc w:val="right"/>
              <w:rPr>
                <w:color w:val="000000"/>
                <w:sz w:val="17"/>
              </w:rPr>
            </w:pPr>
            <w:r>
              <w:rPr>
                <w:color w:val="000000"/>
                <w:sz w:val="17"/>
              </w:rPr>
              <w:t>Mutaties suppletoire begroting september (2)</w:t>
            </w:r>
          </w:p>
        </w:tc>
        <w:tc>
          <w:tcPr>
            <w:tcW w:w="1260" w:type="dxa"/>
            <w:tcBorders>
              <w:top w:val="single" w:color="000000" w:sz="2" w:space="0"/>
              <w:bottom w:val="single" w:color="009EE0" w:sz="2" w:space="0"/>
            </w:tcBorders>
            <w:tcMar>
              <w:top w:w="28" w:type="dxa"/>
              <w:left w:w="28" w:type="dxa"/>
              <w:bottom w:w="28" w:type="dxa"/>
              <w:right w:w="28" w:type="dxa"/>
            </w:tcMar>
          </w:tcPr>
          <w:p w:rsidR="00FD6567" w:rsidRDefault="00B3798C" w14:paraId="6120E9FB" w14:textId="77777777">
            <w:pPr>
              <w:pStyle w:val="p-table"/>
              <w:jc w:val="right"/>
              <w:rPr>
                <w:color w:val="000000"/>
                <w:sz w:val="17"/>
              </w:rPr>
            </w:pPr>
            <w:r>
              <w:rPr>
                <w:color w:val="000000"/>
                <w:sz w:val="17"/>
              </w:rPr>
              <w:t>Stand suppletoire begroting september (3) = (1) + (2)</w:t>
            </w:r>
          </w:p>
        </w:tc>
      </w:tr>
      <w:tr w:rsidR="00FD6567" w14:paraId="22199089"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FD6567" w:rsidRDefault="00B3798C" w14:paraId="63DF9633" w14:textId="77777777">
            <w:pPr>
              <w:pStyle w:val="p-table"/>
            </w:pPr>
            <w:r>
              <w:rPr>
                <w:b/>
                <w:sz w:val="17"/>
              </w:rPr>
              <w:t>Verplichtingen</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1391FEFE" w14:textId="77777777">
            <w:pPr>
              <w:pStyle w:val="p-table"/>
              <w:jc w:val="right"/>
            </w:pPr>
            <w:r>
              <w:rPr>
                <w:b/>
                <w:sz w:val="17"/>
              </w:rPr>
              <w:t>3.960.665</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62F00F4B" w14:textId="77777777">
            <w:pPr>
              <w:pStyle w:val="p-table"/>
              <w:jc w:val="right"/>
            </w:pPr>
            <w:r>
              <w:rPr>
                <w:b/>
                <w:sz w:val="17"/>
              </w:rPr>
              <w:t>329.024</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2E8792DA" w14:textId="77777777">
            <w:pPr>
              <w:pStyle w:val="p-table"/>
              <w:jc w:val="right"/>
            </w:pPr>
            <w:r>
              <w:rPr>
                <w:b/>
                <w:sz w:val="17"/>
              </w:rPr>
              <w:t>4.289.689</w:t>
            </w:r>
          </w:p>
        </w:tc>
      </w:tr>
      <w:tr w:rsidR="00FD6567" w14:paraId="5D2B3677"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FD6567" w:rsidRDefault="00FD6567" w14:paraId="49CA9B5B" w14:textId="77777777"/>
        </w:tc>
        <w:tc>
          <w:tcPr>
            <w:tcW w:w="1260" w:type="dxa"/>
            <w:tcBorders>
              <w:bottom w:val="single" w:color="009EE0" w:sz="2" w:space="0"/>
            </w:tcBorders>
            <w:tcMar>
              <w:top w:w="22" w:type="dxa"/>
              <w:left w:w="28" w:type="dxa"/>
              <w:bottom w:w="22" w:type="dxa"/>
              <w:right w:w="28" w:type="dxa"/>
            </w:tcMar>
          </w:tcPr>
          <w:p w:rsidR="00FD6567" w:rsidRDefault="00FD6567" w14:paraId="7CB6C5C0" w14:textId="77777777"/>
        </w:tc>
        <w:tc>
          <w:tcPr>
            <w:tcW w:w="1260" w:type="dxa"/>
            <w:tcBorders>
              <w:bottom w:val="single" w:color="009EE0" w:sz="2" w:space="0"/>
            </w:tcBorders>
            <w:tcMar>
              <w:top w:w="22" w:type="dxa"/>
              <w:left w:w="28" w:type="dxa"/>
              <w:bottom w:w="22" w:type="dxa"/>
              <w:right w:w="28" w:type="dxa"/>
            </w:tcMar>
          </w:tcPr>
          <w:p w:rsidR="00FD6567" w:rsidRDefault="00FD6567" w14:paraId="0ACD52D6" w14:textId="77777777"/>
        </w:tc>
        <w:tc>
          <w:tcPr>
            <w:tcW w:w="1260" w:type="dxa"/>
            <w:tcBorders>
              <w:bottom w:val="single" w:color="009EE0" w:sz="2" w:space="0"/>
            </w:tcBorders>
            <w:tcMar>
              <w:top w:w="22" w:type="dxa"/>
              <w:left w:w="28" w:type="dxa"/>
              <w:bottom w:w="22" w:type="dxa"/>
              <w:right w:w="28" w:type="dxa"/>
            </w:tcMar>
          </w:tcPr>
          <w:p w:rsidR="00FD6567" w:rsidRDefault="00FD6567" w14:paraId="01EF876E" w14:textId="77777777"/>
        </w:tc>
      </w:tr>
      <w:tr w:rsidR="00FD6567" w14:paraId="7CC3A2E6"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FD6567" w:rsidRDefault="00B3798C" w14:paraId="5DD55337" w14:textId="77777777">
            <w:pPr>
              <w:pStyle w:val="p-table"/>
            </w:pPr>
            <w:r>
              <w:rPr>
                <w:b/>
                <w:sz w:val="17"/>
              </w:rPr>
              <w:t>Uitgaven</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5BE6499C" w14:textId="77777777">
            <w:pPr>
              <w:pStyle w:val="p-table"/>
              <w:jc w:val="right"/>
            </w:pPr>
            <w:r>
              <w:rPr>
                <w:b/>
                <w:sz w:val="17"/>
              </w:rPr>
              <w:t>3.970.192</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2CA2BD57" w14:textId="77777777">
            <w:pPr>
              <w:pStyle w:val="p-table"/>
              <w:jc w:val="right"/>
            </w:pPr>
            <w:r>
              <w:rPr>
                <w:b/>
                <w:sz w:val="17"/>
              </w:rPr>
              <w:t>329.024</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7A467A02" w14:textId="77777777">
            <w:pPr>
              <w:pStyle w:val="p-table"/>
              <w:jc w:val="right"/>
            </w:pPr>
            <w:r>
              <w:rPr>
                <w:b/>
                <w:sz w:val="17"/>
              </w:rPr>
              <w:t>4.299.216</w:t>
            </w:r>
          </w:p>
        </w:tc>
      </w:tr>
      <w:tr w:rsidR="00FD6567" w14:paraId="69AF739F"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FD6567" w:rsidRDefault="00FD6567" w14:paraId="784D3B47" w14:textId="77777777"/>
        </w:tc>
        <w:tc>
          <w:tcPr>
            <w:tcW w:w="1260" w:type="dxa"/>
            <w:tcBorders>
              <w:bottom w:val="single" w:color="009EE0" w:sz="2" w:space="0"/>
            </w:tcBorders>
            <w:tcMar>
              <w:top w:w="22" w:type="dxa"/>
              <w:left w:w="28" w:type="dxa"/>
              <w:bottom w:w="22" w:type="dxa"/>
              <w:right w:w="28" w:type="dxa"/>
            </w:tcMar>
          </w:tcPr>
          <w:p w:rsidR="00FD6567" w:rsidRDefault="00FD6567" w14:paraId="45E7F805" w14:textId="77777777"/>
        </w:tc>
        <w:tc>
          <w:tcPr>
            <w:tcW w:w="1260" w:type="dxa"/>
            <w:tcBorders>
              <w:bottom w:val="single" w:color="009EE0" w:sz="2" w:space="0"/>
            </w:tcBorders>
            <w:tcMar>
              <w:top w:w="22" w:type="dxa"/>
              <w:left w:w="28" w:type="dxa"/>
              <w:bottom w:w="22" w:type="dxa"/>
              <w:right w:w="28" w:type="dxa"/>
            </w:tcMar>
          </w:tcPr>
          <w:p w:rsidR="00FD6567" w:rsidRDefault="00FD6567" w14:paraId="6F22C0F0" w14:textId="77777777"/>
        </w:tc>
        <w:tc>
          <w:tcPr>
            <w:tcW w:w="1260" w:type="dxa"/>
            <w:tcBorders>
              <w:bottom w:val="single" w:color="009EE0" w:sz="2" w:space="0"/>
            </w:tcBorders>
            <w:tcMar>
              <w:top w:w="22" w:type="dxa"/>
              <w:left w:w="28" w:type="dxa"/>
              <w:bottom w:w="22" w:type="dxa"/>
              <w:right w:w="28" w:type="dxa"/>
            </w:tcMar>
          </w:tcPr>
          <w:p w:rsidR="00FD6567" w:rsidRDefault="00FD6567" w14:paraId="2350B153" w14:textId="77777777"/>
        </w:tc>
      </w:tr>
      <w:tr w:rsidR="00FD6567" w14:paraId="49E5EA50"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FD6567" w:rsidRDefault="00B3798C" w14:paraId="0AF39CFE" w14:textId="77777777">
            <w:pPr>
              <w:pStyle w:val="p-table"/>
            </w:pPr>
            <w:r>
              <w:rPr>
                <w:b/>
                <w:sz w:val="17"/>
              </w:rPr>
              <w:t>Financiering provincies</w:t>
            </w:r>
          </w:p>
        </w:tc>
        <w:tc>
          <w:tcPr>
            <w:tcW w:w="1260" w:type="dxa"/>
            <w:tcBorders>
              <w:bottom w:val="single" w:color="009EE0" w:sz="2" w:space="0"/>
            </w:tcBorders>
            <w:tcMar>
              <w:top w:w="22" w:type="dxa"/>
              <w:left w:w="28" w:type="dxa"/>
              <w:bottom w:w="22" w:type="dxa"/>
              <w:right w:w="28" w:type="dxa"/>
            </w:tcMar>
          </w:tcPr>
          <w:p w:rsidR="00FD6567" w:rsidRDefault="00FD6567" w14:paraId="3EDA63E9" w14:textId="77777777"/>
        </w:tc>
        <w:tc>
          <w:tcPr>
            <w:tcW w:w="1260" w:type="dxa"/>
            <w:tcBorders>
              <w:bottom w:val="single" w:color="009EE0" w:sz="2" w:space="0"/>
            </w:tcBorders>
            <w:tcMar>
              <w:top w:w="22" w:type="dxa"/>
              <w:left w:w="28" w:type="dxa"/>
              <w:bottom w:w="22" w:type="dxa"/>
              <w:right w:w="28" w:type="dxa"/>
            </w:tcMar>
          </w:tcPr>
          <w:p w:rsidR="00FD6567" w:rsidRDefault="00FD6567" w14:paraId="5B37BEDB" w14:textId="77777777"/>
        </w:tc>
        <w:tc>
          <w:tcPr>
            <w:tcW w:w="1260" w:type="dxa"/>
            <w:tcBorders>
              <w:bottom w:val="single" w:color="009EE0" w:sz="2" w:space="0"/>
            </w:tcBorders>
            <w:tcMar>
              <w:top w:w="22" w:type="dxa"/>
              <w:left w:w="28" w:type="dxa"/>
              <w:bottom w:w="22" w:type="dxa"/>
              <w:right w:w="28" w:type="dxa"/>
            </w:tcMar>
          </w:tcPr>
          <w:p w:rsidR="00FD6567" w:rsidRDefault="00FD6567" w14:paraId="04A1AFE7" w14:textId="77777777"/>
        </w:tc>
      </w:tr>
      <w:tr w:rsidR="00FD6567" w14:paraId="542217FD"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FD6567" w:rsidRDefault="00B3798C" w14:paraId="145ADE26" w14:textId="77777777">
            <w:pPr>
              <w:pStyle w:val="p-table"/>
            </w:pPr>
            <w:r>
              <w:rPr>
                <w:b/>
                <w:sz w:val="17"/>
              </w:rPr>
              <w:t>Bijdragen aan medeoverheden</w:t>
            </w:r>
          </w:p>
        </w:tc>
        <w:tc>
          <w:tcPr>
            <w:tcW w:w="1260" w:type="dxa"/>
            <w:tcBorders>
              <w:bottom w:val="single" w:color="009EE0" w:sz="2" w:space="0"/>
            </w:tcBorders>
            <w:tcMar>
              <w:top w:w="22" w:type="dxa"/>
              <w:left w:w="28" w:type="dxa"/>
              <w:bottom w:w="22" w:type="dxa"/>
              <w:right w:w="28" w:type="dxa"/>
            </w:tcMar>
          </w:tcPr>
          <w:p w:rsidR="00FD6567" w:rsidRDefault="00FD6567" w14:paraId="7D091E89" w14:textId="77777777"/>
        </w:tc>
        <w:tc>
          <w:tcPr>
            <w:tcW w:w="1260" w:type="dxa"/>
            <w:tcBorders>
              <w:bottom w:val="single" w:color="009EE0" w:sz="2" w:space="0"/>
            </w:tcBorders>
            <w:tcMar>
              <w:top w:w="22" w:type="dxa"/>
              <w:left w:w="28" w:type="dxa"/>
              <w:bottom w:w="22" w:type="dxa"/>
              <w:right w:w="28" w:type="dxa"/>
            </w:tcMar>
          </w:tcPr>
          <w:p w:rsidR="00FD6567" w:rsidRDefault="00FD6567" w14:paraId="61E55997" w14:textId="77777777"/>
        </w:tc>
        <w:tc>
          <w:tcPr>
            <w:tcW w:w="1260" w:type="dxa"/>
            <w:tcBorders>
              <w:bottom w:val="single" w:color="009EE0" w:sz="2" w:space="0"/>
            </w:tcBorders>
            <w:tcMar>
              <w:top w:w="22" w:type="dxa"/>
              <w:left w:w="28" w:type="dxa"/>
              <w:bottom w:w="22" w:type="dxa"/>
              <w:right w:w="28" w:type="dxa"/>
            </w:tcMar>
          </w:tcPr>
          <w:p w:rsidR="00FD6567" w:rsidRDefault="00FD6567" w14:paraId="36AADE62" w14:textId="77777777"/>
        </w:tc>
      </w:tr>
      <w:tr w:rsidR="00FD6567" w14:paraId="469F0EE7"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FD6567" w:rsidRDefault="00B3798C" w14:paraId="3AFF1C34" w14:textId="77777777">
            <w:pPr>
              <w:pStyle w:val="p-table"/>
              <w:rPr>
                <w:sz w:val="17"/>
              </w:rPr>
            </w:pPr>
            <w:r>
              <w:rPr>
                <w:sz w:val="17"/>
              </w:rPr>
              <w:t>Algemene uitkering</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67E9C1D1" w14:textId="77777777">
            <w:pPr>
              <w:pStyle w:val="p-table"/>
              <w:jc w:val="right"/>
              <w:rPr>
                <w:sz w:val="17"/>
              </w:rPr>
            </w:pPr>
            <w:r>
              <w:rPr>
                <w:sz w:val="17"/>
              </w:rPr>
              <w:t>3.369.373</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0DBD6158" w14:textId="77777777">
            <w:pPr>
              <w:pStyle w:val="p-table"/>
              <w:jc w:val="right"/>
              <w:rPr>
                <w:sz w:val="17"/>
              </w:rPr>
            </w:pPr>
            <w:r>
              <w:rPr>
                <w:sz w:val="17"/>
              </w:rPr>
              <w:t>168.795</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354C2E75" w14:textId="77777777">
            <w:pPr>
              <w:pStyle w:val="p-table"/>
              <w:jc w:val="right"/>
              <w:rPr>
                <w:sz w:val="17"/>
              </w:rPr>
            </w:pPr>
            <w:r>
              <w:rPr>
                <w:sz w:val="17"/>
              </w:rPr>
              <w:t>3.538.168</w:t>
            </w:r>
          </w:p>
        </w:tc>
      </w:tr>
      <w:tr w:rsidR="00FD6567" w14:paraId="56013043"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FD6567" w:rsidRDefault="00B3798C" w14:paraId="5F0B89EF" w14:textId="77777777">
            <w:pPr>
              <w:pStyle w:val="p-table"/>
              <w:rPr>
                <w:sz w:val="17"/>
              </w:rPr>
            </w:pPr>
            <w:r>
              <w:rPr>
                <w:sz w:val="17"/>
              </w:rPr>
              <w:t>Decentralisatie-uitkeringen</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58B783BE" w14:textId="77777777">
            <w:pPr>
              <w:pStyle w:val="p-table"/>
              <w:jc w:val="right"/>
              <w:rPr>
                <w:sz w:val="17"/>
              </w:rPr>
            </w:pPr>
            <w:r>
              <w:rPr>
                <w:sz w:val="17"/>
              </w:rPr>
              <w:t>600.619</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1345FBC6" w14:textId="77777777">
            <w:pPr>
              <w:pStyle w:val="p-table"/>
              <w:jc w:val="right"/>
              <w:rPr>
                <w:sz w:val="17"/>
              </w:rPr>
            </w:pPr>
            <w:r>
              <w:rPr>
                <w:sz w:val="17"/>
              </w:rPr>
              <w:t>160.229</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7ED8960B" w14:textId="77777777">
            <w:pPr>
              <w:pStyle w:val="p-table"/>
              <w:jc w:val="right"/>
              <w:rPr>
                <w:sz w:val="17"/>
              </w:rPr>
            </w:pPr>
            <w:r>
              <w:rPr>
                <w:sz w:val="17"/>
              </w:rPr>
              <w:t>760.848</w:t>
            </w:r>
          </w:p>
        </w:tc>
      </w:tr>
      <w:tr w:rsidR="00FD6567" w14:paraId="68FA0027"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FD6567" w:rsidRDefault="00FD6567" w14:paraId="06A55562" w14:textId="77777777"/>
        </w:tc>
        <w:tc>
          <w:tcPr>
            <w:tcW w:w="1260" w:type="dxa"/>
            <w:tcBorders>
              <w:bottom w:val="single" w:color="009EE0" w:sz="2" w:space="0"/>
            </w:tcBorders>
            <w:tcMar>
              <w:top w:w="22" w:type="dxa"/>
              <w:left w:w="28" w:type="dxa"/>
              <w:bottom w:w="22" w:type="dxa"/>
              <w:right w:w="28" w:type="dxa"/>
            </w:tcMar>
          </w:tcPr>
          <w:p w:rsidR="00FD6567" w:rsidRDefault="00FD6567" w14:paraId="0FC93851" w14:textId="77777777"/>
        </w:tc>
        <w:tc>
          <w:tcPr>
            <w:tcW w:w="1260" w:type="dxa"/>
            <w:tcBorders>
              <w:bottom w:val="single" w:color="009EE0" w:sz="2" w:space="0"/>
            </w:tcBorders>
            <w:tcMar>
              <w:top w:w="22" w:type="dxa"/>
              <w:left w:w="28" w:type="dxa"/>
              <w:bottom w:w="22" w:type="dxa"/>
              <w:right w:w="28" w:type="dxa"/>
            </w:tcMar>
          </w:tcPr>
          <w:p w:rsidR="00FD6567" w:rsidRDefault="00FD6567" w14:paraId="3582393E" w14:textId="77777777"/>
        </w:tc>
        <w:tc>
          <w:tcPr>
            <w:tcW w:w="1260" w:type="dxa"/>
            <w:tcBorders>
              <w:bottom w:val="single" w:color="009EE0" w:sz="2" w:space="0"/>
            </w:tcBorders>
            <w:tcMar>
              <w:top w:w="22" w:type="dxa"/>
              <w:left w:w="28" w:type="dxa"/>
              <w:bottom w:w="22" w:type="dxa"/>
              <w:right w:w="28" w:type="dxa"/>
            </w:tcMar>
          </w:tcPr>
          <w:p w:rsidR="00FD6567" w:rsidRDefault="00FD6567" w14:paraId="5FDAD3BE" w14:textId="77777777"/>
        </w:tc>
      </w:tr>
      <w:tr w:rsidR="00FD6567" w14:paraId="530A86BE"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FD6567" w:rsidRDefault="00B3798C" w14:paraId="59E4DA18" w14:textId="77777777">
            <w:pPr>
              <w:pStyle w:val="p-table"/>
            </w:pPr>
            <w:r>
              <w:rPr>
                <w:b/>
                <w:sz w:val="17"/>
              </w:rPr>
              <w:t>Kosten Financiële verhoudingswet</w:t>
            </w:r>
          </w:p>
        </w:tc>
        <w:tc>
          <w:tcPr>
            <w:tcW w:w="1260" w:type="dxa"/>
            <w:tcBorders>
              <w:bottom w:val="single" w:color="009EE0" w:sz="2" w:space="0"/>
            </w:tcBorders>
            <w:tcMar>
              <w:top w:w="22" w:type="dxa"/>
              <w:left w:w="28" w:type="dxa"/>
              <w:bottom w:w="22" w:type="dxa"/>
              <w:right w:w="28" w:type="dxa"/>
            </w:tcMar>
          </w:tcPr>
          <w:p w:rsidR="00FD6567" w:rsidRDefault="00FD6567" w14:paraId="3B8FA336" w14:textId="77777777"/>
        </w:tc>
        <w:tc>
          <w:tcPr>
            <w:tcW w:w="1260" w:type="dxa"/>
            <w:tcBorders>
              <w:bottom w:val="single" w:color="009EE0" w:sz="2" w:space="0"/>
            </w:tcBorders>
            <w:tcMar>
              <w:top w:w="22" w:type="dxa"/>
              <w:left w:w="28" w:type="dxa"/>
              <w:bottom w:w="22" w:type="dxa"/>
              <w:right w:w="28" w:type="dxa"/>
            </w:tcMar>
          </w:tcPr>
          <w:p w:rsidR="00FD6567" w:rsidRDefault="00FD6567" w14:paraId="107515F4" w14:textId="77777777"/>
        </w:tc>
        <w:tc>
          <w:tcPr>
            <w:tcW w:w="1260" w:type="dxa"/>
            <w:tcBorders>
              <w:bottom w:val="single" w:color="009EE0" w:sz="2" w:space="0"/>
            </w:tcBorders>
            <w:tcMar>
              <w:top w:w="22" w:type="dxa"/>
              <w:left w:w="28" w:type="dxa"/>
              <w:bottom w:w="22" w:type="dxa"/>
              <w:right w:w="28" w:type="dxa"/>
            </w:tcMar>
          </w:tcPr>
          <w:p w:rsidR="00FD6567" w:rsidRDefault="00FD6567" w14:paraId="76D7E21E" w14:textId="77777777"/>
        </w:tc>
      </w:tr>
      <w:tr w:rsidR="00FD6567" w14:paraId="73AA70BB"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FD6567" w:rsidRDefault="00B3798C" w14:paraId="55E00BF3" w14:textId="77777777">
            <w:pPr>
              <w:pStyle w:val="p-table"/>
            </w:pPr>
            <w:r>
              <w:rPr>
                <w:b/>
                <w:sz w:val="17"/>
              </w:rPr>
              <w:t>Opdrachten</w:t>
            </w:r>
          </w:p>
        </w:tc>
        <w:tc>
          <w:tcPr>
            <w:tcW w:w="1260" w:type="dxa"/>
            <w:tcBorders>
              <w:bottom w:val="single" w:color="009EE0" w:sz="2" w:space="0"/>
            </w:tcBorders>
            <w:tcMar>
              <w:top w:w="22" w:type="dxa"/>
              <w:left w:w="28" w:type="dxa"/>
              <w:bottom w:w="22" w:type="dxa"/>
              <w:right w:w="28" w:type="dxa"/>
            </w:tcMar>
          </w:tcPr>
          <w:p w:rsidR="00FD6567" w:rsidRDefault="00FD6567" w14:paraId="0F375CD2" w14:textId="77777777"/>
        </w:tc>
        <w:tc>
          <w:tcPr>
            <w:tcW w:w="1260" w:type="dxa"/>
            <w:tcBorders>
              <w:bottom w:val="single" w:color="009EE0" w:sz="2" w:space="0"/>
            </w:tcBorders>
            <w:tcMar>
              <w:top w:w="22" w:type="dxa"/>
              <w:left w:w="28" w:type="dxa"/>
              <w:bottom w:w="22" w:type="dxa"/>
              <w:right w:w="28" w:type="dxa"/>
            </w:tcMar>
          </w:tcPr>
          <w:p w:rsidR="00FD6567" w:rsidRDefault="00FD6567" w14:paraId="59F09B36" w14:textId="77777777"/>
        </w:tc>
        <w:tc>
          <w:tcPr>
            <w:tcW w:w="1260" w:type="dxa"/>
            <w:tcBorders>
              <w:bottom w:val="single" w:color="009EE0" w:sz="2" w:space="0"/>
            </w:tcBorders>
            <w:tcMar>
              <w:top w:w="22" w:type="dxa"/>
              <w:left w:w="28" w:type="dxa"/>
              <w:bottom w:w="22" w:type="dxa"/>
              <w:right w:w="28" w:type="dxa"/>
            </w:tcMar>
          </w:tcPr>
          <w:p w:rsidR="00FD6567" w:rsidRDefault="00FD6567" w14:paraId="7E7F45EC" w14:textId="77777777"/>
        </w:tc>
      </w:tr>
      <w:tr w:rsidR="00FD6567" w14:paraId="3486C069"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FD6567" w:rsidRDefault="00B3798C" w14:paraId="6CB3BBD4" w14:textId="77777777">
            <w:pPr>
              <w:pStyle w:val="p-table"/>
              <w:rPr>
                <w:sz w:val="17"/>
              </w:rPr>
            </w:pPr>
            <w:r>
              <w:rPr>
                <w:sz w:val="17"/>
              </w:rPr>
              <w:t>Onderzoeken verdeelsystematiek</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4639A4A2" w14:textId="77777777">
            <w:pPr>
              <w:pStyle w:val="p-table"/>
              <w:jc w:val="right"/>
              <w:rPr>
                <w:sz w:val="17"/>
              </w:rPr>
            </w:pPr>
            <w:r>
              <w:rPr>
                <w:sz w:val="17"/>
              </w:rPr>
              <w:t>200</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2C6DB4FE" w14:textId="77777777">
            <w:pPr>
              <w:pStyle w:val="p-table"/>
              <w:jc w:val="right"/>
              <w:rPr>
                <w:sz w:val="17"/>
              </w:rPr>
            </w:pPr>
            <w:r>
              <w:rPr>
                <w:sz w:val="17"/>
              </w:rPr>
              <w:t>0</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07C53B76" w14:textId="77777777">
            <w:pPr>
              <w:pStyle w:val="p-table"/>
              <w:jc w:val="right"/>
              <w:rPr>
                <w:sz w:val="17"/>
              </w:rPr>
            </w:pPr>
            <w:r>
              <w:rPr>
                <w:sz w:val="17"/>
              </w:rPr>
              <w:t>200</w:t>
            </w:r>
          </w:p>
        </w:tc>
      </w:tr>
      <w:tr w:rsidR="00FD6567" w14:paraId="377152B2"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tcPr>
          <w:p w:rsidR="00FD6567" w:rsidRDefault="00FD6567" w14:paraId="30904BDF" w14:textId="77777777"/>
        </w:tc>
        <w:tc>
          <w:tcPr>
            <w:tcW w:w="1260" w:type="dxa"/>
            <w:tcBorders>
              <w:bottom w:val="single" w:color="009EE0" w:sz="2" w:space="0"/>
            </w:tcBorders>
            <w:tcMar>
              <w:top w:w="22" w:type="dxa"/>
              <w:left w:w="28" w:type="dxa"/>
              <w:bottom w:w="22" w:type="dxa"/>
              <w:right w:w="28" w:type="dxa"/>
            </w:tcMar>
          </w:tcPr>
          <w:p w:rsidR="00FD6567" w:rsidRDefault="00FD6567" w14:paraId="2ABB67AE" w14:textId="77777777"/>
        </w:tc>
        <w:tc>
          <w:tcPr>
            <w:tcW w:w="1260" w:type="dxa"/>
            <w:tcBorders>
              <w:bottom w:val="single" w:color="009EE0" w:sz="2" w:space="0"/>
            </w:tcBorders>
            <w:tcMar>
              <w:top w:w="22" w:type="dxa"/>
              <w:left w:w="28" w:type="dxa"/>
              <w:bottom w:w="22" w:type="dxa"/>
              <w:right w:w="28" w:type="dxa"/>
            </w:tcMar>
          </w:tcPr>
          <w:p w:rsidR="00FD6567" w:rsidRDefault="00FD6567" w14:paraId="7285447E" w14:textId="77777777"/>
        </w:tc>
        <w:tc>
          <w:tcPr>
            <w:tcW w:w="1260" w:type="dxa"/>
            <w:tcBorders>
              <w:bottom w:val="single" w:color="009EE0" w:sz="2" w:space="0"/>
            </w:tcBorders>
            <w:tcMar>
              <w:top w:w="22" w:type="dxa"/>
              <w:left w:w="28" w:type="dxa"/>
              <w:bottom w:w="22" w:type="dxa"/>
              <w:right w:w="28" w:type="dxa"/>
            </w:tcMar>
          </w:tcPr>
          <w:p w:rsidR="00FD6567" w:rsidRDefault="00FD6567" w14:paraId="7DA17E25" w14:textId="77777777"/>
        </w:tc>
      </w:tr>
      <w:tr w:rsidR="00FD6567" w14:paraId="489836D1" w14:textId="77777777">
        <w:tblPrEx>
          <w:tblCellMar>
            <w:top w:w="0" w:type="dxa"/>
            <w:bottom w:w="0" w:type="dxa"/>
          </w:tblCellMar>
        </w:tblPrEx>
        <w:tc>
          <w:tcPr>
            <w:tcW w:w="5914" w:type="dxa"/>
            <w:tcBorders>
              <w:bottom w:val="single" w:color="009EE0" w:sz="2" w:space="0"/>
            </w:tcBorders>
            <w:tcMar>
              <w:top w:w="22" w:type="dxa"/>
              <w:left w:w="10" w:type="dxa"/>
              <w:bottom w:w="22" w:type="dxa"/>
              <w:right w:w="28" w:type="dxa"/>
            </w:tcMar>
            <w:vAlign w:val="center"/>
          </w:tcPr>
          <w:p w:rsidR="00FD6567" w:rsidRDefault="00B3798C" w14:paraId="117E36E1" w14:textId="77777777">
            <w:pPr>
              <w:pStyle w:val="p-table"/>
            </w:pPr>
            <w:r>
              <w:rPr>
                <w:b/>
                <w:sz w:val="17"/>
              </w:rPr>
              <w:t>Ontvangsten</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320C22C4" w14:textId="77777777">
            <w:pPr>
              <w:pStyle w:val="p-table"/>
              <w:jc w:val="right"/>
            </w:pPr>
            <w:r>
              <w:rPr>
                <w:b/>
                <w:sz w:val="17"/>
              </w:rPr>
              <w:t>3.970.192</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169E888E" w14:textId="77777777">
            <w:pPr>
              <w:pStyle w:val="p-table"/>
              <w:jc w:val="right"/>
            </w:pPr>
            <w:r>
              <w:rPr>
                <w:b/>
                <w:sz w:val="17"/>
              </w:rPr>
              <w:t>329.024</w:t>
            </w:r>
          </w:p>
        </w:tc>
        <w:tc>
          <w:tcPr>
            <w:tcW w:w="1260" w:type="dxa"/>
            <w:tcBorders>
              <w:bottom w:val="single" w:color="009EE0" w:sz="2" w:space="0"/>
            </w:tcBorders>
            <w:tcMar>
              <w:top w:w="22" w:type="dxa"/>
              <w:left w:w="28" w:type="dxa"/>
              <w:bottom w:w="22" w:type="dxa"/>
              <w:right w:w="28" w:type="dxa"/>
            </w:tcMar>
            <w:vAlign w:val="center"/>
          </w:tcPr>
          <w:p w:rsidR="00FD6567" w:rsidRDefault="00B3798C" w14:paraId="5AE970C6" w14:textId="77777777">
            <w:pPr>
              <w:pStyle w:val="p-table"/>
              <w:jc w:val="right"/>
            </w:pPr>
            <w:r>
              <w:rPr>
                <w:b/>
                <w:sz w:val="17"/>
              </w:rPr>
              <w:t>4.299.216</w:t>
            </w:r>
          </w:p>
        </w:tc>
      </w:tr>
    </w:tbl>
    <w:p w:rsidR="00FD6567" w:rsidRDefault="00FD6567" w14:paraId="127BD66E" w14:textId="77777777">
      <w:pPr>
        <w:pStyle w:val="p-marginbottom"/>
      </w:pPr>
    </w:p>
    <w:p w:rsidRPr="008908D8" w:rsidR="00FD6567" w:rsidRDefault="00B3798C" w14:paraId="33DE0005" w14:textId="77777777">
      <w:pPr>
        <w:pStyle w:val="header-h1"/>
        <w:rPr>
          <w:rFonts w:ascii="Times New Roman" w:hAnsi="Times New Roman" w:cs="Times New Roman"/>
          <w:sz w:val="24"/>
          <w:szCs w:val="24"/>
        </w:rPr>
      </w:pPr>
      <w:r w:rsidRPr="008908D8">
        <w:rPr>
          <w:rFonts w:ascii="Times New Roman" w:hAnsi="Times New Roman" w:cs="Times New Roman"/>
          <w:sz w:val="24"/>
          <w:szCs w:val="24"/>
        </w:rPr>
        <w:t>Toelichting</w:t>
      </w:r>
    </w:p>
    <w:p w:rsidRPr="008908D8" w:rsidR="00FD6567" w:rsidRDefault="00B3798C" w14:paraId="66B39349" w14:textId="77777777">
      <w:pPr>
        <w:pStyle w:val="header-h2"/>
        <w:rPr>
          <w:rFonts w:ascii="Times New Roman" w:hAnsi="Times New Roman" w:cs="Times New Roman"/>
          <w:sz w:val="24"/>
          <w:szCs w:val="24"/>
        </w:rPr>
      </w:pPr>
      <w:r w:rsidRPr="008908D8">
        <w:rPr>
          <w:rFonts w:ascii="Times New Roman" w:hAnsi="Times New Roman" w:cs="Times New Roman"/>
          <w:sz w:val="24"/>
          <w:szCs w:val="24"/>
        </w:rPr>
        <w:t>Algemeen</w:t>
      </w:r>
    </w:p>
    <w:p w:rsidRPr="008908D8" w:rsidR="00FD6567" w:rsidRDefault="00B3798C" w14:paraId="12263EB3" w14:textId="77777777">
      <w:pPr>
        <w:pStyle w:val="p"/>
        <w:rPr>
          <w:rFonts w:ascii="Times New Roman" w:hAnsi="Times New Roman" w:cs="Times New Roman"/>
          <w:sz w:val="24"/>
          <w:szCs w:val="24"/>
        </w:rPr>
      </w:pPr>
      <w:r w:rsidRPr="008908D8">
        <w:rPr>
          <w:rFonts w:ascii="Times New Roman" w:hAnsi="Times New Roman" w:cs="Times New Roman"/>
          <w:sz w:val="24"/>
          <w:szCs w:val="24"/>
        </w:rPr>
        <w:t xml:space="preserve">De voorliggende suppletoire begroting september 2026 voor het </w:t>
      </w:r>
      <w:r w:rsidRPr="008908D8">
        <w:rPr>
          <w:rFonts w:ascii="Times New Roman" w:hAnsi="Times New Roman" w:cs="Times New Roman"/>
          <w:sz w:val="24"/>
          <w:szCs w:val="24"/>
        </w:rPr>
        <w:t>provinciefonds bevat de voorgestelde wijzigingen in de begroting 2026 ten opzichte van de stand van de eerste suppletoire begroting 2026.</w:t>
      </w:r>
    </w:p>
    <w:p w:rsidRPr="008908D8" w:rsidR="00FD6567" w:rsidRDefault="00B3798C" w14:paraId="60401112" w14:textId="77777777">
      <w:pPr>
        <w:pStyle w:val="header-h2"/>
        <w:rPr>
          <w:rFonts w:ascii="Times New Roman" w:hAnsi="Times New Roman" w:cs="Times New Roman"/>
          <w:sz w:val="24"/>
          <w:szCs w:val="24"/>
        </w:rPr>
      </w:pPr>
      <w:r w:rsidRPr="008908D8">
        <w:rPr>
          <w:rFonts w:ascii="Times New Roman" w:hAnsi="Times New Roman" w:cs="Times New Roman"/>
          <w:sz w:val="24"/>
          <w:szCs w:val="24"/>
        </w:rPr>
        <w:t>Algemene uitkering</w:t>
      </w:r>
    </w:p>
    <w:p w:rsidRPr="008908D8" w:rsidR="00FD6567" w:rsidRDefault="00B3798C" w14:paraId="14DBDAA6" w14:textId="77777777">
      <w:pPr>
        <w:pStyle w:val="p"/>
        <w:rPr>
          <w:rFonts w:ascii="Times New Roman" w:hAnsi="Times New Roman" w:cs="Times New Roman"/>
          <w:sz w:val="24"/>
          <w:szCs w:val="24"/>
        </w:rPr>
      </w:pPr>
      <w:r w:rsidRPr="008908D8">
        <w:rPr>
          <w:rFonts w:ascii="Times New Roman" w:hAnsi="Times New Roman" w:cs="Times New Roman"/>
          <w:sz w:val="24"/>
          <w:szCs w:val="24"/>
        </w:rPr>
        <w:t>De mutatie op de algemene uitkering betreft het toedelen van het aandeel van provincies in de voorlopige ruimte onder het plafond van het BTW compensatiefonds (BCF) voor 2026 (€ 168,9 mln.).</w:t>
      </w:r>
    </w:p>
    <w:p w:rsidRPr="008908D8" w:rsidR="00FD6567" w:rsidRDefault="00B3798C" w14:paraId="515FD67D" w14:textId="77777777">
      <w:pPr>
        <w:pStyle w:val="header-h2"/>
        <w:rPr>
          <w:rFonts w:ascii="Times New Roman" w:hAnsi="Times New Roman" w:cs="Times New Roman"/>
          <w:sz w:val="24"/>
          <w:szCs w:val="24"/>
        </w:rPr>
      </w:pPr>
      <w:r w:rsidRPr="008908D8">
        <w:rPr>
          <w:rFonts w:ascii="Times New Roman" w:hAnsi="Times New Roman" w:cs="Times New Roman"/>
          <w:sz w:val="24"/>
          <w:szCs w:val="24"/>
        </w:rPr>
        <w:t>Decentralisatie-uitkeringen</w:t>
      </w:r>
    </w:p>
    <w:p w:rsidRPr="008908D8" w:rsidR="00FD6567" w:rsidRDefault="00B3798C" w14:paraId="64B45E7D" w14:textId="77777777">
      <w:pPr>
        <w:pStyle w:val="p"/>
        <w:rPr>
          <w:rFonts w:ascii="Times New Roman" w:hAnsi="Times New Roman" w:cs="Times New Roman"/>
          <w:sz w:val="24"/>
          <w:szCs w:val="24"/>
        </w:rPr>
      </w:pPr>
      <w:r w:rsidRPr="008908D8">
        <w:rPr>
          <w:rFonts w:ascii="Times New Roman" w:hAnsi="Times New Roman" w:cs="Times New Roman"/>
          <w:sz w:val="24"/>
          <w:szCs w:val="24"/>
        </w:rPr>
        <w:t xml:space="preserve">De mutatie op de decentralisatie-uitkeringen heeft met name betrekking op (ANLB) </w:t>
      </w:r>
      <w:proofErr w:type="spellStart"/>
      <w:r w:rsidRPr="008908D8">
        <w:rPr>
          <w:rFonts w:ascii="Times New Roman" w:hAnsi="Times New Roman" w:cs="Times New Roman"/>
          <w:sz w:val="24"/>
          <w:szCs w:val="24"/>
        </w:rPr>
        <w:t>Eco</w:t>
      </w:r>
      <w:proofErr w:type="spellEnd"/>
      <w:r w:rsidRPr="008908D8">
        <w:rPr>
          <w:rFonts w:ascii="Times New Roman" w:hAnsi="Times New Roman" w:cs="Times New Roman"/>
          <w:sz w:val="24"/>
          <w:szCs w:val="24"/>
        </w:rPr>
        <w:t>-regeling (€ 50 mln.), Wet Versterking regie volkshuisvesting (€ 17,8 mln.), SNL natuurbeheer (€ 16 mln.), Spreidingswet (€ 12,8 mln.), Pilots toekomstbestendige bedrijventerreinen (€ 11,9 mln.), Nationale Agenda Laadinfrastructuur (€ 9,2 mln.), Bosrevitalisering (€ 8 mln.) Invasieve exoten (€ 7,9 mln.), ANB investeringsmiddelen (€ 6,2 mln.) en Natuurbrandpreventie en -mitigatie (€ 5,2 mln.).</w:t>
      </w:r>
    </w:p>
    <w:sectPr w:rsidRPr="008908D8" w:rsidR="00FD6567">
      <w:pgSz w:w="11906" w:h="16838"/>
      <w:pgMar w:top="1831" w:right="1106" w:bottom="859" w:left="4422" w:header="1417" w:footer="576"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09CD3" w14:textId="77777777" w:rsidR="00B3798C" w:rsidRDefault="00B3798C">
      <w:r>
        <w:separator/>
      </w:r>
    </w:p>
  </w:endnote>
  <w:endnote w:type="continuationSeparator" w:id="0">
    <w:p w14:paraId="6801C12E" w14:textId="77777777" w:rsidR="00B3798C" w:rsidRDefault="00B37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Verdana"/>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DDC05" w14:textId="77777777" w:rsidR="00B3798C" w:rsidRDefault="00B3798C">
      <w:r>
        <w:rPr>
          <w:color w:val="000000"/>
        </w:rPr>
        <w:separator/>
      </w:r>
    </w:p>
  </w:footnote>
  <w:footnote w:type="continuationSeparator" w:id="0">
    <w:p w14:paraId="736F4C99" w14:textId="77777777" w:rsidR="00B3798C" w:rsidRDefault="00B379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53960"/>
    <w:multiLevelType w:val="multilevel"/>
    <w:tmpl w:val="B1C0A0F2"/>
    <w:styleLink w:val="ol-rbg"/>
    <w:lvl w:ilvl="0">
      <w:start w:val="1"/>
      <w:numFmt w:val="decimal"/>
      <w:pStyle w:val="ol-p-l2"/>
      <w:lvlText w:val="%1."/>
      <w:lvlJc w:val="left"/>
      <w:pPr>
        <w:ind w:left="360" w:hanging="360"/>
      </w:pPr>
    </w:lvl>
    <w:lvl w:ilvl="1">
      <w:start w:val="1"/>
      <w:numFmt w:val="decimal"/>
      <w:lvlText w:val="."/>
      <w:lvlJc w:val="left"/>
      <w:pPr>
        <w:ind w:left="720" w:hanging="360"/>
      </w:pPr>
    </w:lvl>
    <w:lvl w:ilvl="2">
      <w:start w:val="1"/>
      <w:numFmt w:val="decimal"/>
      <w:lvlText w:val="."/>
      <w:lvlJc w:val="left"/>
      <w:pPr>
        <w:ind w:left="1080" w:hanging="360"/>
      </w:pPr>
    </w:lvl>
    <w:lvl w:ilvl="3">
      <w:start w:val="1"/>
      <w:numFmt w:val="decimal"/>
      <w:lvlText w:val="."/>
      <w:lvlJc w:val="left"/>
      <w:pPr>
        <w:ind w:left="1440" w:hanging="360"/>
      </w:pPr>
    </w:lvl>
    <w:lvl w:ilvl="4">
      <w:start w:val="1"/>
      <w:numFmt w:val="decimal"/>
      <w:lvlText w:val="."/>
      <w:lvlJc w:val="left"/>
      <w:pPr>
        <w:ind w:left="1800" w:hanging="360"/>
      </w:pPr>
    </w:lvl>
    <w:lvl w:ilvl="5">
      <w:start w:val="1"/>
      <w:numFmt w:val="decimal"/>
      <w:lvlText w:val="."/>
      <w:lvlJc w:val="left"/>
      <w:pPr>
        <w:ind w:left="2160" w:hanging="360"/>
      </w:pPr>
    </w:lvl>
    <w:lvl w:ilvl="6">
      <w:start w:val="1"/>
      <w:numFmt w:val="decimal"/>
      <w:lvlText w:val="."/>
      <w:lvlJc w:val="left"/>
      <w:pPr>
        <w:ind w:left="2520" w:hanging="360"/>
      </w:pPr>
    </w:lvl>
    <w:lvl w:ilvl="7">
      <w:start w:val="1"/>
      <w:numFmt w:val="decimal"/>
      <w:lvlText w:val="."/>
      <w:lvlJc w:val="left"/>
      <w:pPr>
        <w:ind w:left="2880" w:hanging="360"/>
      </w:pPr>
    </w:lvl>
    <w:lvl w:ilvl="8">
      <w:start w:val="1"/>
      <w:numFmt w:val="decimal"/>
      <w:lvlText w:val="."/>
      <w:lvlJc w:val="left"/>
      <w:pPr>
        <w:ind w:left="3240" w:hanging="360"/>
      </w:pPr>
    </w:lvl>
  </w:abstractNum>
  <w:abstractNum w:abstractNumId="1" w15:restartNumberingAfterBreak="0">
    <w:nsid w:val="223D4374"/>
    <w:multiLevelType w:val="multilevel"/>
    <w:tmpl w:val="DA8E01D6"/>
    <w:styleLink w:val="ul-startdisc-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2" w15:restartNumberingAfterBreak="0">
    <w:nsid w:val="2D1B25DA"/>
    <w:multiLevelType w:val="multilevel"/>
    <w:tmpl w:val="A02C54DE"/>
    <w:styleLink w:val="ul"/>
    <w:lvl w:ilvl="0">
      <w:numFmt w:val="bullet"/>
      <w:lvlText w:val="●"/>
      <w:lvlJc w:val="left"/>
      <w:pPr>
        <w:ind w:left="360" w:hanging="360"/>
      </w:pPr>
      <w:rPr>
        <w:sz w:val="18"/>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37696B73"/>
    <w:multiLevelType w:val="multilevel"/>
    <w:tmpl w:val="E2C42246"/>
    <w:styleLink w:val="ol"/>
    <w:lvl w:ilvl="0">
      <w:start w:val="1"/>
      <w:numFmt w:val="decimal"/>
      <w:lvlText w:val="%1."/>
      <w:lvlJc w:val="left"/>
      <w:pPr>
        <w:ind w:left="360" w:hanging="360"/>
      </w:pPr>
    </w:lvl>
    <w:lvl w:ilvl="1">
      <w:start w:val="1"/>
      <w:numFmt w:val="decimal"/>
      <w:lvlText w:val="."/>
      <w:lvlJc w:val="left"/>
      <w:pPr>
        <w:ind w:left="720" w:hanging="360"/>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5DAD00C7"/>
    <w:multiLevelType w:val="multilevel"/>
    <w:tmpl w:val="F8DCD880"/>
    <w:styleLink w:val="ul-rbg"/>
    <w:lvl w:ilvl="0">
      <w:numFmt w:val="bullet"/>
      <w:lvlText w:val="–"/>
      <w:lvlJc w:val="left"/>
      <w:pPr>
        <w:ind w:left="360" w:hanging="360"/>
      </w:pPr>
    </w:lvl>
    <w:lvl w:ilvl="1">
      <w:numFmt w:val="bullet"/>
      <w:lvlText w:val="•"/>
      <w:lvlJc w:val="left"/>
      <w:pPr>
        <w:ind w:left="720" w:hanging="360"/>
      </w:pPr>
    </w:lvl>
    <w:lvl w:ilvl="2">
      <w:numFmt w:val="bullet"/>
      <w:lvlText w:val="•"/>
      <w:lvlJc w:val="left"/>
      <w:pPr>
        <w:ind w:left="1080" w:hanging="360"/>
      </w:pPr>
    </w:lvl>
    <w:lvl w:ilvl="3">
      <w:numFmt w:val="bullet"/>
      <w:lvlText w:val="•"/>
      <w:lvlJc w:val="left"/>
      <w:pPr>
        <w:ind w:left="1440" w:hanging="360"/>
      </w:pPr>
    </w:lvl>
    <w:lvl w:ilvl="4">
      <w:numFmt w:val="bullet"/>
      <w:lvlText w:val="•"/>
      <w:lvlJc w:val="left"/>
      <w:pPr>
        <w:ind w:left="1800" w:hanging="360"/>
      </w:pPr>
    </w:lvl>
    <w:lvl w:ilvl="5">
      <w:numFmt w:val="bullet"/>
      <w:lvlText w:val="•"/>
      <w:lvlJc w:val="left"/>
      <w:pPr>
        <w:ind w:left="2160" w:hanging="360"/>
      </w:pPr>
    </w:lvl>
    <w:lvl w:ilvl="6">
      <w:numFmt w:val="bullet"/>
      <w:lvlText w:val="•"/>
      <w:lvlJc w:val="left"/>
      <w:pPr>
        <w:ind w:left="2520" w:hanging="360"/>
      </w:pPr>
    </w:lvl>
    <w:lvl w:ilvl="7">
      <w:numFmt w:val="bullet"/>
      <w:lvlText w:val="•"/>
      <w:lvlJc w:val="left"/>
      <w:pPr>
        <w:ind w:left="2880" w:hanging="360"/>
      </w:pPr>
    </w:lvl>
    <w:lvl w:ilvl="8">
      <w:numFmt w:val="bullet"/>
      <w:lvlText w:val="•"/>
      <w:lvlJc w:val="left"/>
      <w:pPr>
        <w:ind w:left="3240" w:hanging="360"/>
      </w:pPr>
    </w:lvl>
  </w:abstractNum>
  <w:abstractNum w:abstractNumId="5" w15:restartNumberingAfterBreak="0">
    <w:nsid w:val="7A415097"/>
    <w:multiLevelType w:val="multilevel"/>
    <w:tmpl w:val="D90ADDC8"/>
    <w:styleLink w:val="ol-footnotes"/>
    <w:lvl w:ilvl="0">
      <w:start w:val="1"/>
      <w:numFmt w:val="decimal"/>
      <w:lvlText w:val="%1"/>
      <w:lvlJc w:val="left"/>
      <w:pPr>
        <w:ind w:left="216" w:hanging="216"/>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437723055">
    <w:abstractNumId w:val="2"/>
  </w:num>
  <w:num w:numId="2" w16cid:durableId="597635584">
    <w:abstractNumId w:val="3"/>
  </w:num>
  <w:num w:numId="3" w16cid:durableId="1590037794">
    <w:abstractNumId w:val="5"/>
  </w:num>
  <w:num w:numId="4" w16cid:durableId="85081093">
    <w:abstractNumId w:val="0"/>
  </w:num>
  <w:num w:numId="5" w16cid:durableId="764181849">
    <w:abstractNumId w:val="4"/>
  </w:num>
  <w:num w:numId="6" w16cid:durableId="17354240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FD6567"/>
    <w:rsid w:val="008908D8"/>
    <w:rsid w:val="00A85960"/>
    <w:rsid w:val="00B3798C"/>
    <w:rsid w:val="00FD65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85119"/>
  <w15:docId w15:val="{AC6E6BA3-A04A-4486-9A0A-98C5147FD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hd w:val="clear" w:color="auto" w:fill="009EE0"/>
      <w:spacing w:after="20"/>
    </w:pPr>
    <w:rPr>
      <w:color w:val="FFFFFF"/>
      <w:sz w:val="18"/>
    </w:rPr>
  </w:style>
  <w:style w:type="paragraph" w:customStyle="1" w:styleId="kio2-table-title">
    <w:name w:val="kio2-table-title"/>
    <w:basedOn w:val="p"/>
    <w:pPr>
      <w:keepNext/>
      <w:keepLines/>
      <w:shd w:val="clear" w:color="auto" w:fill="009EE0"/>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ind w:left="-3317"/>
    </w:pPr>
    <w:rPr>
      <w:b/>
    </w:rPr>
  </w:style>
  <w:style w:type="paragraph" w:customStyle="1" w:styleId="image-source-60">
    <w:name w:val="image-source-60"/>
    <w:pPr>
      <w:keepNext/>
    </w:pPr>
  </w:style>
  <w:style w:type="paragraph" w:customStyle="1" w:styleId="image-source-100">
    <w:name w:val="image-source-100"/>
    <w:pPr>
      <w:keepNext/>
      <w:ind w:left="-3317"/>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Standaard"/>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Voettekst">
    <w:name w:val="footer"/>
    <w:pPr>
      <w:tabs>
        <w:tab w:val="right" w:pos="10567"/>
      </w:tabs>
      <w:spacing w:before="144"/>
    </w:pPr>
  </w:style>
  <w:style w:type="paragraph" w:styleId="Koptekst">
    <w:name w:val="header"/>
    <w:basedOn w:val="Standaard"/>
    <w:pPr>
      <w:tabs>
        <w:tab w:val="center" w:pos="4536"/>
        <w:tab w:val="right" w:pos="9072"/>
      </w:tabs>
    </w:pPr>
  </w:style>
  <w:style w:type="character" w:customStyle="1" w:styleId="KoptekstChar">
    <w:name w:val="Koptekst Char"/>
    <w:basedOn w:val="Standaardalinea-lettertype"/>
  </w:style>
  <w:style w:type="numbering" w:customStyle="1" w:styleId="ul">
    <w:name w:val="ul"/>
    <w:basedOn w:val="Geenlijst"/>
    <w:pPr>
      <w:numPr>
        <w:numId w:val="1"/>
      </w:numPr>
    </w:pPr>
  </w:style>
  <w:style w:type="numbering" w:customStyle="1" w:styleId="ol">
    <w:name w:val="ol"/>
    <w:basedOn w:val="Geenlijst"/>
    <w:pPr>
      <w:numPr>
        <w:numId w:val="2"/>
      </w:numPr>
    </w:pPr>
  </w:style>
  <w:style w:type="numbering" w:customStyle="1" w:styleId="ol-footnotes">
    <w:name w:val="ol-footnotes"/>
    <w:basedOn w:val="Geenlijst"/>
    <w:pPr>
      <w:numPr>
        <w:numId w:val="3"/>
      </w:numPr>
    </w:pPr>
  </w:style>
  <w:style w:type="numbering" w:customStyle="1" w:styleId="ol-rbg">
    <w:name w:val="ol-rbg"/>
    <w:basedOn w:val="Geenlijst"/>
    <w:pPr>
      <w:numPr>
        <w:numId w:val="4"/>
      </w:numPr>
    </w:pPr>
  </w:style>
  <w:style w:type="numbering" w:customStyle="1" w:styleId="ul-rbg">
    <w:name w:val="ul-rbg"/>
    <w:basedOn w:val="Geenlijst"/>
    <w:pPr>
      <w:numPr>
        <w:numId w:val="5"/>
      </w:numPr>
    </w:pPr>
  </w:style>
  <w:style w:type="numbering" w:customStyle="1" w:styleId="ul-startdisc-rbg">
    <w:name w:val="ul-startdisc-rbg"/>
    <w:basedOn w:val="Geenlijst"/>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etten.overheid.nl/jci1.3:c:BWBR0008290&amp;hoofdstuk=2&amp;paragraaf=2.1&amp;artikel=5&amp;z=2018-03-22&amp;g=2018-03-22" TargetMode="External"/><Relationship Id="rId3" Type="http://schemas.openxmlformats.org/officeDocument/2006/relationships/settings" Target="settings.xml"/><Relationship Id="rId7" Type="http://schemas.openxmlformats.org/officeDocument/2006/relationships/hyperlink" Target="https://wetten.overheid.nl/jci1.3:c:BWBR0039429&amp;hoofdstuk=2&amp;paragraaf=2&amp;artikel=2.3&amp;z=2018-01-01&amp;g=2018-01-0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etten.overheid.nl/jci1.3:c:BWBR0008290&amp;hoofdstuk=2&amp;paragraaf=2.1&amp;artikel=5&amp;z=2018-03-22&amp;g=2018-03-2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1156</ap:Words>
  <ap:Characters>6361</ap:Characters>
  <ap:DocSecurity>0</ap:DocSecurity>
  <ap:Lines>53</ap:Lines>
  <ap:Paragraphs>15</ap:Paragraphs>
  <ap:ScaleCrop>false</ap:ScaleCrop>
  <ap:LinksUpToDate>false</ap:LinksUpToDate>
  <ap:CharactersWithSpaces>7502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lastPrinted>2026-09-17T08:19:00.0000000Z</lastPrinted>
  <dcterms:created xsi:type="dcterms:W3CDTF">2026-09-17T08:19:00.0000000Z</dcterms:created>
  <dcterms:modified xsi:type="dcterms:W3CDTF">2026-09-17T08:19:00.0000000Z</dcterms:modified>
  <dc:description>------------------------</dc:description>
  <dc:subject/>
  <dc:title/>
  <keywords/>
  <version/>
  <category/>
</coreProperties>
</file>