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2026Z17163</w:t>
        <w:br/>
      </w:r>
      <w:proofErr w:type="spellEnd"/>
    </w:p>
    <w:p>
      <w:pPr>
        <w:pStyle w:val="Normal"/>
        <w:rPr>
          <w:b w:val="1"/>
          <w:bCs w:val="1"/>
        </w:rPr>
      </w:pPr>
      <w:r w:rsidR="250AE766">
        <w:rPr>
          <w:b w:val="0"/>
          <w:bCs w:val="0"/>
        </w:rPr>
        <w:t>(ingezonden 24 augustus 2026)</w:t>
        <w:br/>
      </w:r>
    </w:p>
    <w:p>
      <w:r>
        <w:t xml:space="preserve">Vragen van het lid Vellinga-Beemsterboer (D66) aan de minister van Infrastructuur en Waterstaat over het bericht ‘Nieuw Amerikaans datacenter in Amsterdam verbruikt veel meer drinkwater dan de bedoeling is. Overmacht, zegt de bouwer. Anders past het niet’</w:t>
      </w:r>
      <w:r>
        <w:br/>
      </w:r>
    </w:p>
    <w:p>
      <w:pPr>
        <w:pStyle w:val="ListParagraph"/>
        <w:numPr>
          <w:ilvl w:val="0"/>
          <w:numId w:val="100516470"/>
        </w:numPr>
        <w:ind w:left="360"/>
      </w:pPr>
      <w:r>
        <w:t xml:space="preserve">Hoe beoordeelt u de effectiviteit van zelfregulering in deze sector, nu een zelf opgelegde norm bij een groot nieuw project ruim wordt overschreden? [1]</w:t>
      </w:r>
      <w:r>
        <w:br/>
      </w:r>
    </w:p>
    <w:p>
      <w:pPr>
        <w:pStyle w:val="ListParagraph"/>
        <w:numPr>
          <w:ilvl w:val="0"/>
          <w:numId w:val="100516470"/>
        </w:numPr>
        <w:ind w:left="360"/>
      </w:pPr>
      <w:r>
        <w:t xml:space="preserve">Kunt u toelichten welke informatie het Rijk op dit moment structureel ontvangt over het feitelijke drinkwatergebruik per datacenter in Nederland?</w:t>
      </w:r>
      <w:r>
        <w:br/>
      </w:r>
    </w:p>
    <w:p>
      <w:pPr>
        <w:pStyle w:val="ListParagraph"/>
        <w:numPr>
          <w:ilvl w:val="0"/>
          <w:numId w:val="100516470"/>
        </w:numPr>
        <w:ind w:left="360"/>
      </w:pPr>
      <w:r>
        <w:t xml:space="preserve">Kunt u toelichten op welke juridische grondslag een bevoegd gezag het drinkwatergebruik van een nieuwe vestiging kan meewegen bij de verlening van een omgevingsvergunning?</w:t>
      </w:r>
      <w:r>
        <w:br/>
      </w:r>
    </w:p>
    <w:p>
      <w:pPr>
        <w:pStyle w:val="ListParagraph"/>
        <w:numPr>
          <w:ilvl w:val="0"/>
          <w:numId w:val="100516470"/>
        </w:numPr>
        <w:ind w:left="360"/>
      </w:pPr>
      <w:r>
        <w:t xml:space="preserve">Deelt u de opvatting dat de beschikbaarheid van drinkwater in het huidige stelsel vooral achteraf wordt geregeld via de leveringsrelatie met het drinkwaterbedrijf, en niet vooraf in het ruimtelijk spoor?</w:t>
      </w:r>
      <w:r>
        <w:br/>
      </w:r>
    </w:p>
    <w:p>
      <w:pPr>
        <w:pStyle w:val="ListParagraph"/>
        <w:numPr>
          <w:ilvl w:val="0"/>
          <w:numId w:val="100516470"/>
        </w:numPr>
        <w:ind w:left="360"/>
      </w:pPr>
      <w:r>
        <w:t xml:space="preserve">Kunt u toelichten welke wijzigingen in wet- en regelgeving nodig zouden zijn om waterbeschikbaarheid een expliciete afwegingsgrond te maken bij vergunningverlening aan grootverbruikers?</w:t>
      </w:r>
      <w:r>
        <w:br/>
      </w:r>
    </w:p>
    <w:p>
      <w:pPr>
        <w:pStyle w:val="ListParagraph"/>
        <w:numPr>
          <w:ilvl w:val="0"/>
          <w:numId w:val="100516470"/>
        </w:numPr>
        <w:ind w:left="360"/>
      </w:pPr>
      <w:r>
        <w:t xml:space="preserve">Kunt u toelichten of het juridisch en uitvoeringstechnisch denkbaar is om de logica van de verdringingsreeks ook vooraf toe te passen, bij het toestaan van nieuw grootschalig drinkwatergebruik, in plaats van uitsluitend bij feitelijke schaarste? Zo ja, hoe kijkt u naar een dergelijke aanpassing?</w:t>
      </w:r>
      <w:r>
        <w:br/>
      </w:r>
    </w:p>
    <w:p>
      <w:pPr>
        <w:pStyle w:val="ListParagraph"/>
        <w:numPr>
          <w:ilvl w:val="0"/>
          <w:numId w:val="100516470"/>
        </w:numPr>
        <w:ind w:left="360"/>
      </w:pPr>
      <w:r>
        <w:t xml:space="preserve">Kunt u toelichten in hoeverre de zorg- en leveringsplicht uit de Drinkwaterwet zich uitstrekt tot laagwaardig industrieel gebruik, zoals koeling?</w:t>
      </w:r>
      <w:r>
        <w:br/>
      </w:r>
    </w:p>
    <w:p>
      <w:pPr>
        <w:pStyle w:val="ListParagraph"/>
        <w:numPr>
          <w:ilvl w:val="0"/>
          <w:numId w:val="100516470"/>
        </w:numPr>
        <w:ind w:left="360"/>
      </w:pPr>
      <w:r>
        <w:t xml:space="preserve">Kunt u toelichten hoe u opvolging geeft aan de aanbeveling uit het Rli-advies "Zorg voor water" om de systeemverantwoordelijkheid voor de drinkwatervoorziening actiever in te vullen?[2]</w:t>
      </w:r>
      <w:r>
        <w:br/>
      </w:r>
    </w:p>
    <w:p>
      <w:pPr>
        <w:pStyle w:val="ListParagraph"/>
        <w:numPr>
          <w:ilvl w:val="0"/>
          <w:numId w:val="100516470"/>
        </w:numPr>
        <w:ind w:left="360"/>
      </w:pPr>
      <w:r>
        <w:t xml:space="preserve">Kunt u toelichten hoe een nieuwe aansluiting van deze omvang zich verhoudt tot het doel uit het Nationaal Plan van Aanpak Drinkwaterbesparing om het zakelijke drinkwatergebruik in 2035 met 20 procent te verminderen ten opzichte van de referentieperiode 2016-2019?[3]</w:t>
      </w:r>
      <w:r>
        <w:br/>
      </w:r>
    </w:p>
    <w:p>
      <w:pPr>
        <w:pStyle w:val="ListParagraph"/>
        <w:numPr>
          <w:ilvl w:val="0"/>
          <w:numId w:val="100516470"/>
        </w:numPr>
        <w:ind w:left="360"/>
      </w:pPr>
      <w:r>
        <w:t xml:space="preserve">Bent u bereid te verkennen of het besluitmoment over meer sturende maatregelen, dat nu is voorzien bij de herijking van dat plan in 2028, naar voren kan worden gehaald?</w:t>
      </w:r>
      <w:r>
        <w:br/>
      </w:r>
    </w:p>
    <w:p>
      <w:r>
        <w:t xml:space="preserve"> </w:t>
      </w:r>
      <w:r>
        <w:br/>
      </w:r>
    </w:p>
    <w:p>
      <w:r>
        <w:t xml:space="preserve"> </w:t>
      </w:r>
      <w:r>
        <w:br/>
      </w:r>
    </w:p>
    <w:p>
      <w:r>
        <w:t xml:space="preserve">[1] NRC, 16 augustus 2026 (https://www.nrc.nl/nieuws/2026/08/16/nieuw-amerikaans-datacenter-in-amsterdam-verbruikt-veel-meer-drinkwater-dan-de-bedoeling-is-overmacht-zegt-de-bouwer-anders-past-het-niet-a4934490?gift_token=4934490~1787516862~btYozmAnRa2iUKsxee7Kbw~1YTaCrLNeKGkkkxiE5nm_cA4EgPFI9jmZUixJafHxaw)</w:t>
      </w:r>
      <w:r>
        <w:br/>
      </w:r>
    </w:p>
    <w:p>
      <w:r>
        <w:t xml:space="preserve">[2] Raad voor de leefomgeving en de  infrastructuur (Rli), 30 april 2026 (https://www.rli.nl/publicaties/2026/advies/zorg-voor-water)</w:t>
      </w:r>
      <w:r>
        <w:br/>
      </w:r>
    </w:p>
    <w:p>
      <w:r>
        <w:t xml:space="preserve">[3] Kamerstuk 27625, nr. 671</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450">
    <w:abstractNumId w:val="100516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