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2026Z16892</w:t>
        <w:br/>
      </w:r>
      <w:proofErr w:type="spellEnd"/>
    </w:p>
    <w:p>
      <w:pPr>
        <w:pStyle w:val="Normal"/>
        <w:rPr>
          <w:b w:val="1"/>
          <w:bCs w:val="1"/>
        </w:rPr>
      </w:pPr>
      <w:r w:rsidR="250AE766">
        <w:rPr>
          <w:b w:val="0"/>
          <w:bCs w:val="0"/>
        </w:rPr>
        <w:t>(ingezonden 13 augustus 2026)</w:t>
        <w:br/>
      </w:r>
    </w:p>
    <w:p>
      <w:r>
        <w:t xml:space="preserve">Vragen van het lid Ceulemans (JA21) aan de staatssecretaris van Financiën over het gebruikmaken van de brievenadministratie en de aangetroffen fysieke FIOD-dossiers.</w:t>
      </w:r>
      <w:r>
        <w:br/>
      </w:r>
    </w:p>
    <w:p>
      <w:r>
        <w:t xml:space="preserve"> </w:t>
      </w:r>
      <w:r>
        <w:br/>
      </w:r>
    </w:p>
    <w:p>
      <w:pPr>
        <w:pStyle w:val="ListParagraph"/>
        <w:numPr>
          <w:ilvl w:val="0"/>
          <w:numId w:val="100516030"/>
        </w:numPr>
        <w:ind w:left="360"/>
      </w:pPr>
      <w:r>
        <w:t xml:space="preserve">Waarom geeft u in het antwoord van 10 juli 2026 op schriftelijke vragen over de brievenadministratie rond het massale uitvraagproces (Kamerstuk 2026Z14866) aan dat om een uitspraak over de mate van gedupeerdheid van ouders aan de hand van de brievenadministratie te kunnen doen de integrale beoordeling volledig overgedaan zou moeten worden? Wat zou er bijvoorbeeld in het gesprek met betrekking tot het ouderverhaal aan de orde gebracht kunnen worden dat niet eerder is besproken?</w:t>
      </w:r>
      <w:r>
        <w:br/>
      </w:r>
    </w:p>
    <w:p>
      <w:pPr>
        <w:pStyle w:val="ListParagraph"/>
        <w:numPr>
          <w:ilvl w:val="0"/>
          <w:numId w:val="100516030"/>
        </w:numPr>
        <w:ind w:left="360"/>
      </w:pPr>
      <w:r>
        <w:t xml:space="preserve">Deelt u de conclusie dat er wel degelijk een inschatting van het aantal onterechte compensatiejaren gemaakt kan worden door in kaart te brengen in welke gecompenseerde toeslagjaren geen reacties op rappelbrieven zijn ontvangen van als gedupeerde erkende ouders, die zijn gecompenseerd vanwege vooringenomen handelen? Zo nee, waarom niet?</w:t>
      </w:r>
      <w:r>
        <w:br/>
      </w:r>
    </w:p>
    <w:p>
      <w:pPr>
        <w:pStyle w:val="ListParagraph"/>
        <w:numPr>
          <w:ilvl w:val="0"/>
          <w:numId w:val="100516030"/>
        </w:numPr>
        <w:ind w:left="360"/>
      </w:pPr>
      <w:r>
        <w:t xml:space="preserve">Zo ja, bent u bereid in kaart te brengen voor hoeveel toeslagjaren er is gecompenseerd vanwege vooringenomen handelen waarbij er tevens niet gereageerd op een rappelbrief, bij hoeveel ouders dit speelt en bij hoeveel ouders dit alle gecompenseerde toeslagjaren betreft? Zo nee, waarom vindt u het ook met het oog op de evaluatie van de hersteloperatie niet van belang om de omvang van (mogelijke) onterechte compensatie in kaart te brengen, mede gelet op het trekken van lessen voor de toekomst?</w:t>
      </w:r>
      <w:r>
        <w:br/>
      </w:r>
    </w:p>
    <w:p>
      <w:pPr>
        <w:pStyle w:val="ListParagraph"/>
        <w:numPr>
          <w:ilvl w:val="0"/>
          <w:numId w:val="100516030"/>
        </w:numPr>
        <w:ind w:left="360"/>
      </w:pPr>
      <w:r>
        <w:t xml:space="preserve">Deelt u de conclusie dat de kans dat de desbetreffende ouders in dezelfde jaren ook op andere gronden zijn gedupeerd in de praktijk bijzonder klein is, aangezien dergelijke gronde (fraude/CAF-onderzoeken etc) zijn uitgesloten van de selectie voor het massale uitvraagproces? Zo nee, waarom niet, welke compensatiegronden kan dit dan betreffen en hoe vaak zouden deze onder de desbetreffende groep in hetzelfde toeslagjaar voorkomen?</w:t>
      </w:r>
      <w:r>
        <w:br/>
      </w:r>
    </w:p>
    <w:p>
      <w:pPr>
        <w:pStyle w:val="ListParagraph"/>
        <w:numPr>
          <w:ilvl w:val="0"/>
          <w:numId w:val="100516030"/>
        </w:numPr>
        <w:ind w:left="360"/>
      </w:pPr>
      <w:r>
        <w:t xml:space="preserve">Waarom heeft u al voorafgaand aan de uitkomsten van het ADR-onderzoek naar de brievenadministratie uw eigen speelruimte om te handelen inzake de betrokken dossiers publiekelijk zwaar ingeperkt? Deelt u de conclusie dat u nooit op deze manier een voorschot op dit onderzoek had moeten nemen, zeker nu de enorme omvang van mogelijke onterechte compensatie duidelijk is geworden? Zo nee, waarom niet?</w:t>
      </w:r>
      <w:r>
        <w:br/>
      </w:r>
    </w:p>
    <w:p>
      <w:pPr>
        <w:pStyle w:val="ListParagraph"/>
        <w:numPr>
          <w:ilvl w:val="0"/>
          <w:numId w:val="100516030"/>
        </w:numPr>
        <w:ind w:left="360"/>
      </w:pPr>
      <w:r>
        <w:t xml:space="preserve">Waarom vindt u het voorkomen van mogelijke onrust, zoals u in antwoord op vraag 2 van dezelfde set Kamervragen aangeeft, belangrijker dan het waarborgen van terechte besteding van (potentieel) miljarden euro’s aan compensatie?</w:t>
      </w:r>
      <w:r>
        <w:br/>
      </w:r>
    </w:p>
    <w:p>
      <w:pPr>
        <w:pStyle w:val="ListParagraph"/>
        <w:numPr>
          <w:ilvl w:val="0"/>
          <w:numId w:val="100516030"/>
        </w:numPr>
        <w:ind w:left="360"/>
      </w:pPr>
      <w:r>
        <w:t xml:space="preserve">Deelt u de conclusie dat in het theoretische geval van een herbeoordeling deze alleen gevolgen zou hebben voor ouders die blijkens de brievenadministratie ten onrechte als gedupeerde zijn aangemerkt? Zo nee, waarom niet? Zo ja, vindt u het voorkomen van onrust onder onterecht gecompenseerde ouders nog altijd belangrijker dan het bewaken van de geloofwaardigheid van de hersteloperatie?</w:t>
      </w:r>
      <w:r>
        <w:br/>
      </w:r>
    </w:p>
    <w:p>
      <w:pPr>
        <w:pStyle w:val="ListParagraph"/>
        <w:numPr>
          <w:ilvl w:val="0"/>
          <w:numId w:val="100516030"/>
        </w:numPr>
        <w:ind w:left="360"/>
      </w:pPr>
      <w:r>
        <w:t xml:space="preserve">Onderschrijft u dat het ouderverhaal bij ‘non-respons’ niet boven beschikbare feitelijke informatie gaat en dat het ouderverhaal dus ‘slechts’ leidend is bij het ontbreken van dergelijke informatie? Zo nee, waarom is dit dan nog altijd als zodanig opgenomen in het handboek voor beoordelingen bij UHT? Zo ja, waarom verklaart u het ouderverhaal dan alsnog generiek belangrijker dan de aangetroffen brievenadministratie?</w:t>
      </w:r>
      <w:r>
        <w:br/>
      </w:r>
    </w:p>
    <w:p>
      <w:pPr>
        <w:pStyle w:val="ListParagraph"/>
        <w:numPr>
          <w:ilvl w:val="0"/>
          <w:numId w:val="100516030"/>
        </w:numPr>
        <w:ind w:left="360"/>
      </w:pPr>
      <w:r>
        <w:t xml:space="preserve">Deelt u de conclusie dat er ver voor de zomer van 2024 bij UHT al interne discussies liepen over de mogelijke beschikbaarheid van een accurate brievenadministratie?</w:t>
      </w:r>
      <w:r>
        <w:br/>
      </w:r>
    </w:p>
    <w:p>
      <w:pPr>
        <w:pStyle w:val="ListParagraph"/>
        <w:numPr>
          <w:ilvl w:val="0"/>
          <w:numId w:val="100516030"/>
        </w:numPr>
        <w:ind w:left="360"/>
      </w:pPr>
      <w:r>
        <w:t xml:space="preserve">Waarom hebben dergelijke discussies niet tot een onderzoek geleid? Als dit wel is onderzocht, waarom is het bestaan van de administratie hier dan niet uit gebleken, mede gelet op het feit dat de werkwijze in dit proces nauwelijks tot niet is veranderd gedurende de jaren?</w:t>
      </w:r>
      <w:r>
        <w:br/>
      </w:r>
    </w:p>
    <w:p>
      <w:pPr>
        <w:pStyle w:val="ListParagraph"/>
        <w:numPr>
          <w:ilvl w:val="0"/>
          <w:numId w:val="100516030"/>
        </w:numPr>
        <w:ind w:left="360"/>
      </w:pPr>
      <w:r>
        <w:t xml:space="preserve">Waarom geeft u in de beantwoording aan dat na het signaal over het bestaan van de administratie in de zomer van 2024 ‘gelet op de mogelijke impact op ouders’ besloten is tot een onafhankelijk onderzoek door de ADR, aangezien u tegelijkertijd nog lopende het onderzoek heeft aangegeven dat de ouderverhalen sowieso leidend zouden blijven?</w:t>
      </w:r>
      <w:r>
        <w:br/>
      </w:r>
    </w:p>
    <w:p>
      <w:pPr>
        <w:pStyle w:val="ListParagraph"/>
        <w:numPr>
          <w:ilvl w:val="0"/>
          <w:numId w:val="100516030"/>
        </w:numPr>
        <w:ind w:left="360"/>
      </w:pPr>
      <w:r>
        <w:t xml:space="preserve">Waarom heeft u gedurende anderhalf jaar waarin het onderzoek liep de kans laten lopen om te handelen op basis van de brievenadministratie, terwijl de uitkomsten van het onderzoek voor u materieel niet van belang waren?</w:t>
      </w:r>
      <w:r>
        <w:br/>
      </w:r>
    </w:p>
    <w:p>
      <w:pPr>
        <w:pStyle w:val="ListParagraph"/>
        <w:numPr>
          <w:ilvl w:val="0"/>
          <w:numId w:val="100516030"/>
        </w:numPr>
        <w:ind w:left="360"/>
      </w:pPr>
      <w:r>
        <w:t xml:space="preserve">Zijn er specifieke interne werkinstructies gegeven over de afhandeling van dossiers gedurende de looptijd van het ADR-onderzoek? Zo ja, welke? Zo nee, waarom kon de financieel zeer kostbare werkwijze van blind varen op ouderverhalen ongewijzigd doorgang vinden terwijl er dermate sterke aanwijzingen voor het bestaan van ontkrachtende informatie waren dat u zich genoodzaakt zag de ADR hier onderzoek naar te laten verrichten?</w:t>
      </w:r>
      <w:r>
        <w:br/>
      </w:r>
    </w:p>
    <w:p>
      <w:pPr>
        <w:pStyle w:val="ListParagraph"/>
        <w:numPr>
          <w:ilvl w:val="0"/>
          <w:numId w:val="100516030"/>
        </w:numPr>
        <w:ind w:left="360"/>
      </w:pPr>
      <w:r>
        <w:t xml:space="preserve">Hoe aannemelijk acht u het dat er op dermate grote schaal sprake is geweest van de uitzonderingssituaties zoals geschetst in antwoord op vraag 8, dat niet meer in algemene zin te stellen is dat een het versturen van een stopbrief inhoudt dat er niet (tijdig) is gereageerd op uitvraag- en rappelbrieven?</w:t>
      </w:r>
      <w:r>
        <w:br/>
      </w:r>
    </w:p>
    <w:p>
      <w:pPr>
        <w:pStyle w:val="ListParagraph"/>
        <w:numPr>
          <w:ilvl w:val="0"/>
          <w:numId w:val="100516030"/>
        </w:numPr>
        <w:ind w:left="360"/>
      </w:pPr>
      <w:r>
        <w:t xml:space="preserve">Onderschrijft u dat zelfs in de uitzonderingssituaties die u schetst veelal geen sprake is van verwijtbaarheid van de kant van de Belastingdienst/Toeslagen, zoals in het geval van pas reageren ná het ontvangen van de stopbrief? Waarom rechtvaardigen ook dergelijke situaties in uw ogen het oordeel van gedupeerdheid en compensatie?</w:t>
      </w:r>
      <w:r>
        <w:br/>
      </w:r>
    </w:p>
    <w:p>
      <w:pPr>
        <w:pStyle w:val="ListParagraph"/>
        <w:numPr>
          <w:ilvl w:val="0"/>
          <w:numId w:val="100516030"/>
        </w:numPr>
        <w:ind w:left="360"/>
      </w:pPr>
      <w:r>
        <w:t xml:space="preserve">Waarom geeft u in antwoord op vraag 12 aan dat de Belastingdienst geen cijfers bijhoudt over (het risico op) het kwijtraken van post (in vergelijking met andere overheidsorganisaties), terwijl uit een korte zoektocht al blijkt dat door Capgemini eind 2020 nog onderzoek is gedaan naar het kwijtraken van fysieke stukken bij Toeslagen? Welke conclusie trekt u uit de bevindingen uit dat onderzoek ten aanzien van de bruikbaarheid van de brievenadministratie in het kader van non-respons?</w:t>
      </w:r>
      <w:r>
        <w:br/>
      </w:r>
    </w:p>
    <w:p>
      <w:pPr>
        <w:pStyle w:val="ListParagraph"/>
        <w:numPr>
          <w:ilvl w:val="0"/>
          <w:numId w:val="100516030"/>
        </w:numPr>
        <w:ind w:left="360"/>
      </w:pPr>
      <w:r>
        <w:t xml:space="preserve">Hoe rijmt u uw conclusie dat de brievenadministratie geen antwoordt biedt op de vraag of ouders in de praktijk wel of niet gedupeerd zijn met uw antwoord op vraag 16, waaruit blijkt dat de werkwijze en administratie inzake het massale aanvraagproces nog altijd onveranderd zijn aangezien dit proces goed functioneert? Hoe kunt u tegelijkertijd stellen dat het proces altijd goed heeft gefunctioneerd én dat ouderverhalen over het vermeende massale disfunctioneren van dit proces leidend blijven?</w:t>
      </w:r>
      <w:r>
        <w:br/>
      </w:r>
    </w:p>
    <w:p>
      <w:pPr>
        <w:pStyle w:val="ListParagraph"/>
        <w:numPr>
          <w:ilvl w:val="0"/>
          <w:numId w:val="100516030"/>
        </w:numPr>
        <w:ind w:left="360"/>
      </w:pPr>
      <w:r>
        <w:t xml:space="preserve">Waarom neemt u afstand van het genoemde aantal in NRC Handelsblad van mogelijk 20.000 ouders die ten onrechte zijn gecompenseerd, terwijl u tegelijkertijd aangeeft dat u op basis van het ADR-onderzoek zelf geen beeld heeft van het aantal achteraf onterecht als gedupeerd aangemerkte personen?</w:t>
      </w:r>
      <w:r>
        <w:br/>
      </w:r>
    </w:p>
    <w:p>
      <w:pPr>
        <w:pStyle w:val="ListParagraph"/>
        <w:numPr>
          <w:ilvl w:val="0"/>
          <w:numId w:val="100516030"/>
        </w:numPr>
        <w:ind w:left="360"/>
      </w:pPr>
      <w:r>
        <w:t xml:space="preserve">Waarom geeft u in antwoord op vraag 12 over de rechterlijke uitspraak (Kamerstuk 2026Z15264) aan dat de vraag bij hoeveel van de 34.000 ouders die in één toeslagjaar als gedupeerde zijn aangemerkt op grond van institutioneel vooringenomen handelen sprake was van gedupeerdheid in het kader van het massale uitvraagproces alleen te beantwoorden is door dossiers handmatig te beoordelen? Waarom kunnen de toeslagenjaren niet gewoon naast de brievenadministratie worden gelegd en bent u bereid dit te doen in navolging van vraag 3?</w:t>
      </w:r>
      <w:r>
        <w:br/>
      </w:r>
    </w:p>
    <w:p>
      <w:pPr>
        <w:pStyle w:val="ListParagraph"/>
        <w:numPr>
          <w:ilvl w:val="0"/>
          <w:numId w:val="100516030"/>
        </w:numPr>
        <w:ind w:left="360"/>
      </w:pPr>
      <w:r>
        <w:t xml:space="preserve">Erkent u dat standaard werd uitgegaan van institutioneel vooringenomen handelen indien een ouder aangaf ten onrechte van non-respons beticht te worden? Zo ja, waarom geeft u dan aan dat ‘onterechte non-respons’ geen zelfstandige gedupeerdheidsgrond is, ook gelet op het beoordelingskader waarmee gewerkt wordt bij UHT?</w:t>
      </w:r>
      <w:r>
        <w:br/>
      </w:r>
    </w:p>
    <w:p>
      <w:pPr>
        <w:pStyle w:val="ListParagraph"/>
        <w:numPr>
          <w:ilvl w:val="0"/>
          <w:numId w:val="100516030"/>
        </w:numPr>
        <w:ind w:left="360"/>
      </w:pPr>
      <w:r>
        <w:t xml:space="preserve">Hoe is de ontdekking van de fysieke dozen met FIOD-dossiers, waarnaar u verwijst in antwoord op vraag 21 (Kamerstuk 2026Z14866) in zijn werk gegaan?</w:t>
      </w:r>
      <w:r>
        <w:br/>
      </w:r>
    </w:p>
    <w:p>
      <w:pPr>
        <w:pStyle w:val="ListParagraph"/>
        <w:numPr>
          <w:ilvl w:val="0"/>
          <w:numId w:val="100516030"/>
        </w:numPr>
        <w:ind w:left="360"/>
      </w:pPr>
      <w:r>
        <w:t xml:space="preserve">Wanneer was sprake van de eerste signalen inzake deze dossiers, hoe is hierop geacteerd en door welke partijen?</w:t>
      </w:r>
      <w:r>
        <w:br/>
      </w:r>
    </w:p>
    <w:p>
      <w:pPr>
        <w:pStyle w:val="ListParagraph"/>
        <w:numPr>
          <w:ilvl w:val="0"/>
          <w:numId w:val="100516030"/>
        </w:numPr>
        <w:ind w:left="360"/>
      </w:pPr>
      <w:r>
        <w:t xml:space="preserve">Wanneer was het bestaan van deze dossiers bij u bekend?</w:t>
      </w:r>
      <w:r>
        <w:br/>
      </w:r>
    </w:p>
    <w:p>
      <w:pPr>
        <w:pStyle w:val="ListParagraph"/>
        <w:numPr>
          <w:ilvl w:val="0"/>
          <w:numId w:val="100516030"/>
        </w:numPr>
        <w:ind w:left="360"/>
      </w:pPr>
      <w:r>
        <w:t xml:space="preserve">Betreft het hier dossiers die een (ander) licht (hadden kunnen) werpen op de vraag of als gedupeerde erkende ouders ook daadwerkelijk gedupeerd zijn? Zo ja, hoe beoordeelt u het dat deze dossiers kennelijk niet gebruikt zijn voor dit doel en hoe gaan deze alsnog worden ingezet?</w:t>
      </w:r>
      <w:r>
        <w:br/>
      </w:r>
    </w:p>
    <w:p>
      <w:pPr>
        <w:pStyle w:val="ListParagraph"/>
        <w:numPr>
          <w:ilvl w:val="0"/>
          <w:numId w:val="100516030"/>
        </w:numPr>
        <w:ind w:left="360"/>
      </w:pPr>
      <w:r>
        <w:t xml:space="preserve">Welke jaren bestrijken deze dossiers?</w:t>
      </w:r>
      <w:r>
        <w:br/>
      </w:r>
    </w:p>
    <w:p>
      <w:pPr>
        <w:pStyle w:val="ListParagraph"/>
        <w:numPr>
          <w:ilvl w:val="0"/>
          <w:numId w:val="100516030"/>
        </w:numPr>
        <w:ind w:left="360"/>
      </w:pPr>
      <w:r>
        <w:t xml:space="preserve">Bestaat de mogelijkheid dat zich onder de aangetroffen fysieke stukken ook stukken kunnen bevinden, die aan de PEFD verstrekt hadden moeten worden? Zo nee, hoe kunt u dit uitsluiten?</w:t>
      </w:r>
      <w:r>
        <w:br/>
      </w:r>
    </w:p>
    <w:p>
      <w:pPr>
        <w:pStyle w:val="ListParagraph"/>
        <w:numPr>
          <w:ilvl w:val="0"/>
          <w:numId w:val="100516030"/>
        </w:numPr>
        <w:ind w:left="360"/>
      </w:pPr>
      <w:r>
        <w:t xml:space="preserve">Wie is deze dozen met fysieke dossiers momenteel aan het beoordelen? Gebeurt dit door een externe partij? Zo nee, waarom is met betrekking tot deze informatiebron geen externe validatie nodig terwijl dit wel moest gebeuren bij de brievenadministratie door de ADR?</w:t>
      </w:r>
      <w:r>
        <w:br/>
      </w:r>
    </w:p>
    <w:p>
      <w:pPr>
        <w:pStyle w:val="ListParagraph"/>
        <w:numPr>
          <w:ilvl w:val="0"/>
          <w:numId w:val="100516030"/>
        </w:numPr>
        <w:ind w:left="360"/>
      </w:pPr>
      <w:r>
        <w:t xml:space="preserve">Garandeert u dat niets van deze fysieke dossiers wordt vernietigd zolang niet onomstotelijk is vastgesteld dat deze niet gebruikt kunnen worden bij het vaststellen van gedupeerdheid en voordat de Kamer hierover is geïnformeerd? Zo nee, waarom niet?</w:t>
      </w:r>
      <w:r>
        <w:br/>
      </w:r>
    </w:p>
    <w:p>
      <w:pPr>
        <w:pStyle w:val="ListParagraph"/>
        <w:numPr>
          <w:ilvl w:val="0"/>
          <w:numId w:val="100516030"/>
        </w:numPr>
        <w:ind w:left="360"/>
      </w:pPr>
      <w:r>
        <w:t xml:space="preserve">Hoe kunt u in antwoord op vraag 5 over de rechterlijke uitspraak op basis van de brievenadministratie (Kamerstuk 2026Z15264) stellen dat de rechterlijke uitspraak niet inhoudt dat er sprake is van onterecht aangemerkte gedupeerdheid, terwijl u tegelijkertijd aangeeft dat uit de rechterlijke uitspraak blijkt dat er geen sprake is geweest van institutionele vooringenomenheid richting de moeder?</w:t>
      </w:r>
      <w:r>
        <w:br/>
      </w:r>
    </w:p>
    <w:p>
      <w:pPr>
        <w:pStyle w:val="ListParagraph"/>
        <w:numPr>
          <w:ilvl w:val="0"/>
          <w:numId w:val="100516030"/>
        </w:numPr>
        <w:ind w:left="360"/>
      </w:pPr>
      <w:r>
        <w:t xml:space="preserve">Hoe aannemelijk acht u het dat er in deze zaak sprake is van andere gronden van gedupeerdheid, die niet door de verdediging aan de orde zijn gesteld? Deelt u de conclusie dat dit een puur theoretische redenering is?</w:t>
      </w:r>
      <w:r>
        <w:br/>
      </w:r>
    </w:p>
    <w:p>
      <w:pPr>
        <w:pStyle w:val="ListParagraph"/>
        <w:numPr>
          <w:ilvl w:val="0"/>
          <w:numId w:val="100516030"/>
        </w:numPr>
        <w:ind w:left="360"/>
      </w:pPr>
      <w:r>
        <w:t xml:space="preserve">Wat is de status van het onderzoek naar de bruikbaarheid van de brievenadministratie bij het verder voorkomen van stapelingsrisico’s in het kader van vervolgregelingen?</w:t>
      </w:r>
      <w:r>
        <w:br/>
      </w:r>
    </w:p>
    <w:p>
      <w:pPr>
        <w:pStyle w:val="ListParagraph"/>
        <w:numPr>
          <w:ilvl w:val="0"/>
          <w:numId w:val="100516030"/>
        </w:numPr>
        <w:ind w:left="360"/>
      </w:pPr>
      <w:r>
        <w:t xml:space="preserve">Betreft dit onder andere de brede ondersteuning en aanvullende schade? Zo nee, wat dan wel? Kunt u hier een uitputtend antwoord op geven?</w:t>
      </w:r>
      <w:r>
        <w:br/>
      </w:r>
    </w:p>
    <w:p>
      <w:pPr>
        <w:pStyle w:val="ListParagraph"/>
        <w:numPr>
          <w:ilvl w:val="0"/>
          <w:numId w:val="100516030"/>
        </w:numPr>
        <w:ind w:left="360"/>
      </w:pPr>
      <w:r>
        <w:t xml:space="preserve">Kunt u tevens aangeven hoe informatie uit de brievenadministratie praktisch zal worden ingezet, ook gelet op bijvoorbeeld de rol van gemeenten inzake de brede ondersteuning?</w:t>
      </w:r>
      <w:r>
        <w:br/>
      </w:r>
    </w:p>
    <w:p>
      <w:pPr>
        <w:pStyle w:val="ListParagraph"/>
        <w:numPr>
          <w:ilvl w:val="0"/>
          <w:numId w:val="100516030"/>
        </w:numPr>
        <w:ind w:left="360"/>
      </w:pPr>
      <w:r>
        <w:t xml:space="preserve">Deelt u het uitgangspunt dat geen cent, vanuit welke regeling in het kader van de afhandeling van de toeslagenaffaire dan ook, meer mag worden uitgekeerd aan personen, die voorkomen in de brievenadministratie zonder voorafgaande inhoudelijke check van deze administratie? Zo nee, waarom niet? Zo ja, hoe gaat u dit concreet vormgeven?</w:t>
      </w:r>
      <w:r>
        <w:br/>
      </w:r>
    </w:p>
    <w:p>
      <w:pPr>
        <w:pStyle w:val="ListParagraph"/>
        <w:numPr>
          <w:ilvl w:val="0"/>
          <w:numId w:val="100516030"/>
        </w:numPr>
        <w:ind w:left="360"/>
      </w:pPr>
      <w:r>
        <w:t xml:space="preserve">Bent u bereid een meldpunt in te stellen waar (al dan niet voormalige) werknemers van in ieder geval de Belastingdienst, Toeslagen, CAF en de FIOD zich (indien gewenst anoniem) kunnen melden wanneer zij kennis hebben over informatie, die van belang kan zijn met betrekking tot de afhandeling van de toeslagenaffaire en die (mogelijk) nog niet bekend of gebruikt is? Zo nee, waarom niet en welke mogelijkheden om dergelijke meldingen te doen zijn er dan wel? Zo ja, hoe gaat u dit vormgeven en wilt u de Kamer hierover nauwgezet informeren?</w:t>
      </w:r>
      <w:r>
        <w:br/>
      </w:r>
    </w:p>
    <w:p>
      <w:pPr>
        <w:pStyle w:val="ListParagraph"/>
        <w:numPr>
          <w:ilvl w:val="0"/>
          <w:numId w:val="100516030"/>
        </w:numPr>
        <w:ind w:left="360"/>
      </w:pPr>
      <w:r>
        <w:t xml:space="preserve">Wilt u deze vragen beantwoorden voorafgaand aan het plenaire debat over de datakluis?</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