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2026Z16667</w:t>
        <w:br/>
      </w:r>
      <w:proofErr w:type="spellEnd"/>
    </w:p>
    <w:p>
      <w:pPr>
        <w:pStyle w:val="Normal"/>
        <w:rPr>
          <w:b w:val="1"/>
          <w:bCs w:val="1"/>
        </w:rPr>
      </w:pPr>
      <w:r w:rsidR="250AE766">
        <w:rPr>
          <w:b w:val="0"/>
          <w:bCs w:val="0"/>
        </w:rPr>
        <w:t>(ingezonden 4 augustus 2026)</w:t>
        <w:br/>
      </w:r>
    </w:p>
    <w:p>
      <w:r>
        <w:t xml:space="preserve">Vragen van het lid Van den Berg (JA21) aan de minister van Klimaat en Groene Groei over de gevolgen van de overgangsregeling voor het invoedingstarief voor de subsidietenders IJmuiden Ver Gamma-A en Gamma-B</w:t>
      </w:r>
      <w:r>
        <w:br/>
      </w:r>
    </w:p>
    <w:p>
      <w:pPr>
        <w:pStyle w:val="ListParagraph"/>
        <w:numPr>
          <w:ilvl w:val="0"/>
          <w:numId w:val="100515550"/>
        </w:numPr>
        <w:ind w:left="360"/>
      </w:pPr>
      <w:r>
        <w:t xml:space="preserve">Bent u bekend met de door de Autoriteit Consument &amp; Markt (ACM) aangekondigde overgangsregeling voor het invoedingstarief?[1]</w:t>
      </w:r>
      <w:r>
        <w:br/>
      </w:r>
    </w:p>
    <w:p>
      <w:pPr>
        <w:pStyle w:val="ListParagraph"/>
        <w:numPr>
          <w:ilvl w:val="0"/>
          <w:numId w:val="100515550"/>
        </w:numPr>
        <w:ind w:left="360"/>
      </w:pPr>
      <w:r>
        <w:t xml:space="preserve">Klopt het dat het verplichtingenbudget voor de subsidietenders voor IJmuiden Ver Gamma-A en Gamma-B is verhoogd vanwege de mogelijke invoering van een invoedingstarief?</w:t>
      </w:r>
      <w:r>
        <w:br/>
      </w:r>
    </w:p>
    <w:p>
      <w:pPr>
        <w:pStyle w:val="ListParagraph"/>
        <w:numPr>
          <w:ilvl w:val="0"/>
          <w:numId w:val="100515550"/>
        </w:numPr>
        <w:ind w:left="360"/>
      </w:pPr>
      <w:r>
        <w:t xml:space="preserve">Wanneer bent u voor het eerst geïnformeerd over het voornemen van de ACM om een invoedingstarief in te voeren en wanneer heeft u besloten het verplichtingenbudget te verhogen?</w:t>
      </w:r>
      <w:r>
        <w:br/>
      </w:r>
    </w:p>
    <w:p>
      <w:pPr>
        <w:pStyle w:val="ListParagraph"/>
        <w:numPr>
          <w:ilvl w:val="0"/>
          <w:numId w:val="100515550"/>
        </w:numPr>
        <w:ind w:left="360"/>
      </w:pPr>
      <w:r>
        <w:t xml:space="preserve">Welke gevolgen heeft de aangekondigde overgangstermijn van twintig jaar voor de subsidietenders voor IJmuiden Ver Gamma-A en Gamma-B?</w:t>
      </w:r>
      <w:r>
        <w:br/>
      </w:r>
    </w:p>
    <w:p>
      <w:pPr>
        <w:pStyle w:val="ListParagraph"/>
        <w:numPr>
          <w:ilvl w:val="0"/>
          <w:numId w:val="100515550"/>
        </w:numPr>
        <w:ind w:left="360"/>
      </w:pPr>
      <w:r>
        <w:t xml:space="preserve">Kunt u bevestigen dat deze windparken onder het overgangsrecht vallen wanneer vóór de voorziene invoering van het invoedingstarief op 1 januari 2032 een definitieve investeringsbeslissing wordt genomen en dat zij daardoor gedurende hun volledige subsidieperiode van vijftien jaar geen invoedingstarief hoeven te betalen?</w:t>
      </w:r>
      <w:r>
        <w:br/>
      </w:r>
    </w:p>
    <w:p>
      <w:pPr>
        <w:pStyle w:val="ListParagraph"/>
        <w:numPr>
          <w:ilvl w:val="0"/>
          <w:numId w:val="100515550"/>
        </w:numPr>
        <w:ind w:left="360"/>
      </w:pPr>
      <w:r>
        <w:t xml:space="preserve">Deelt u de conclusie dat de onderbouwing voor de verhoging van de maximale tenderbedragen door de twintigjarige overgangstermijn grotendeels is komen te vervallen? Zo nee, waarom niet?</w:t>
      </w:r>
      <w:r>
        <w:br/>
      </w:r>
    </w:p>
    <w:p>
      <w:pPr>
        <w:pStyle w:val="ListParagraph"/>
        <w:numPr>
          <w:ilvl w:val="0"/>
          <w:numId w:val="100515550"/>
        </w:numPr>
        <w:ind w:left="360"/>
      </w:pPr>
      <w:r>
        <w:t xml:space="preserve">Welk deel van de verhoging van de maximale tenderbedragen met € 13 per MWh en de daarmee samenhangende verhoging van het verplichtingenbudget met € 1,56 miljard was bedoeld om het risico van het invoedingstarief op te vangen?</w:t>
      </w:r>
      <w:r>
        <w:br/>
      </w:r>
    </w:p>
    <w:p>
      <w:pPr>
        <w:pStyle w:val="ListParagraph"/>
        <w:numPr>
          <w:ilvl w:val="0"/>
          <w:numId w:val="100515550"/>
        </w:numPr>
        <w:ind w:left="360"/>
      </w:pPr>
      <w:r>
        <w:t xml:space="preserve">Bent u bereid het Planbureau voor de Leefomgeving (PBL) vóór de openstelling van de tenders opnieuw te laten berekenen welke maximale tenderbedragen nodig zijn, rekening houdend met de aangekondigde overgangsregeling?</w:t>
      </w:r>
      <w:r>
        <w:br/>
      </w:r>
    </w:p>
    <w:p>
      <w:pPr>
        <w:pStyle w:val="ListParagraph"/>
        <w:numPr>
          <w:ilvl w:val="0"/>
          <w:numId w:val="100515550"/>
        </w:numPr>
        <w:ind w:left="360"/>
      </w:pPr>
      <w:r>
        <w:t xml:space="preserve">Bent u bereid de maximale tenderbedragen en subsidieplafonds vóór de openstelling van de tenders te verlagen wanneer uit deze berekening blijkt dat de huidige bedragen niet langer noodzakelijk zijn?</w:t>
      </w:r>
      <w:r>
        <w:br/>
      </w:r>
    </w:p>
    <w:p>
      <w:pPr>
        <w:pStyle w:val="ListParagraph"/>
        <w:numPr>
          <w:ilvl w:val="0"/>
          <w:numId w:val="100515550"/>
        </w:numPr>
        <w:ind w:left="360"/>
      </w:pPr>
      <w:r>
        <w:t xml:space="preserve">Hoe voorkomt u dat windparkontwikkelaars subsidie ontvangen voor kosten die zij vanwege het overgangsrecht tijdens de subsidieperiode niet hoeven te maken?</w:t>
      </w:r>
      <w:r>
        <w:br/>
      </w:r>
    </w:p>
    <w:p>
      <w:r>
        <w:t xml:space="preserve"> </w:t>
      </w:r>
      <w:r>
        <w:br/>
      </w:r>
    </w:p>
    <w:p>
      <w:r>
        <w:t xml:space="preserve"> </w:t>
      </w:r>
      <w:r>
        <w:br/>
      </w:r>
    </w:p>
    <w:p>
      <w:r>
        <w:t xml:space="preserve">[1] https://www.acm.nl/nl/publicaties/acm-invoedingstarief-krijgt-een-met-duitsland-vergelijkbare-overgangstermijn-van-20-jaar-na-ingebruikname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