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2026Z16588</w:t>
        <w:br/>
      </w:r>
      <w:proofErr w:type="spellEnd"/>
    </w:p>
    <w:p>
      <w:pPr>
        <w:pStyle w:val="Normal"/>
        <w:rPr>
          <w:b w:val="1"/>
          <w:bCs w:val="1"/>
        </w:rPr>
      </w:pPr>
      <w:r w:rsidR="250AE766">
        <w:rPr>
          <w:b w:val="0"/>
          <w:bCs w:val="0"/>
        </w:rPr>
        <w:t>(ingezonden 30 juli 2026)</w:t>
        <w:br/>
      </w:r>
    </w:p>
    <w:p>
      <w:r>
        <w:t xml:space="preserve">Vragen van het lid Keijzer (Lid Keijzer) aan de staatssecretaris van Binnenlandse Zaken en Koninkrijksrelaties over het antwoord op vragen van het lid Keijzer over de kosten van adviesraden, commissies en non-gouvernementele organisaties van ministeries</w:t>
      </w:r>
      <w:r>
        <w:br/>
      </w:r>
    </w:p>
    <w:p>
      <w:r>
        <w:t xml:space="preserve">1. Kunt u bijgevoegd aan de beantwoording van deze vragen een volledig overzicht verstrekken van alle adviesorganen die worden beschouwd als adviesorganen in de zin van artikel 79 van de Grondwet? Zo nee, waarom niet?</w:t>
      </w:r>
      <w:r>
        <w:br/>
      </w:r>
    </w:p>
    <w:p>
      <w:r>
        <w:t xml:space="preserve">2. Kunt u per adviesorgaan in de zin van artikel 79 van de Grondwet de taken, de jaarlijkse financiële middelen tot en met 2030, begrotingsartikel en de overige apparaats- en uitvoeringskosten aangeven? Zo nee, waarom niet?</w:t>
      </w:r>
      <w:r>
        <w:br/>
      </w:r>
    </w:p>
    <w:p>
      <w:r>
        <w:t xml:space="preserve">3. Kunt u per adviescollege onder de Kaderwet specifiek de taken, de jaarlijkse financiële middelen tot en met 2030, begrotingsartikel en de overige apparaats- en uitvoeringskosten aangeven? Zo nee, waarom niet? [1]</w:t>
      </w:r>
      <w:r>
        <w:br/>
      </w:r>
    </w:p>
    <w:p>
      <w:r>
        <w:t xml:space="preserve">4. Kunt u per externe commissie met een adviestaak die actief is binnen de rijksoverheid de taken, de jaarlijkse financiële middelen tot en met 2030, begrotingsartikel en de overige apparaats- en uitvoeringskosten aangeven? Zo nee, waarom niet? [2]</w:t>
      </w:r>
      <w:r>
        <w:br/>
      </w:r>
    </w:p>
    <w:p>
      <w:r>
        <w:t xml:space="preserve">5. Kunt u een integraal overzicht verstrekken van alle non-gouvernementele organisaties die in de periode 2026 tot en met 2030 vanuit één of meer ministeries jaarlijks meer dan € 1 miljoen aan subsidie ontvangen of zullen ontvangen, waarbij per organisatie wordt aangegeven welk ministerie of welke ministeries de subsidie verstrekken en welk bedrag per jaar wordt verstrekt? Zo nee, waarom niet?</w:t>
      </w:r>
      <w:r>
        <w:br/>
      </w:r>
    </w:p>
    <w:p>
      <w:r>
        <w:t xml:space="preserve">6. Kunt u toezeggen om voor het einde van het zomerreces deze vragen te beantwoorden met daarbij de gevraagde overzichten (incl. de gevraagde overzichten van vorige vragen) en niet te verwijzen naar een op een later moment te verstrekken overzicht? Zo niet, hoe denkt u dan dat de Kamer haar controlerende taak goed kan uitvoeren wanneer zij niet beschikt over een volledig overzicht van alle adviesorganen, adviescolleges en externe adviescommissies, inclusief hun taken en de daarmee gemoeide publieke middelen? [3]</w:t>
      </w:r>
      <w:r>
        <w:br/>
      </w:r>
    </w:p>
    <w:p>
      <w:r>
        <w:t xml:space="preserve">[1] Overheid.nl, Adviescolleges (https://organisaties.overheid.nl/Adviescolleges/)</w:t>
      </w:r>
      <w:r>
        <w:br/>
      </w:r>
    </w:p>
    <w:p>
      <w:r>
        <w:t xml:space="preserve">[2] Overheid.nl, Externe commissies (https://organisaties.overheid.nl/Externe_commissies/)</w:t>
      </w:r>
      <w:r>
        <w:br/>
      </w:r>
    </w:p>
    <w:p>
      <w:r>
        <w:t xml:space="preserve">[3] Kamerstuk 2026Z11806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