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851" w:rsidRDefault="007D070A" w14:paraId="13C65206" w14:textId="77777777">
      <w:pPr>
        <w:pStyle w:val="StandaardAanhef"/>
      </w:pPr>
      <w:r>
        <w:t>Geachte voorzitter,</w:t>
      </w:r>
    </w:p>
    <w:p w:rsidR="00B3572B" w:rsidP="00B3572B" w:rsidRDefault="00B3572B" w14:paraId="3A457EDB" w14:textId="77777777">
      <w:r w:rsidRPr="00B3572B">
        <w:t xml:space="preserve">Met deze brief informeer ik u dat </w:t>
      </w:r>
      <w:r w:rsidR="00CA6205">
        <w:t xml:space="preserve">het </w:t>
      </w:r>
      <w:r w:rsidRPr="00B3572B">
        <w:t>verkoopprogramma ABN AMRO</w:t>
      </w:r>
      <w:r w:rsidR="00CA6205">
        <w:t xml:space="preserve">, dat ik op 9 september 2025 heb aangekondigd, </w:t>
      </w:r>
      <w:r>
        <w:t>v</w:t>
      </w:r>
      <w:r w:rsidRPr="00B3572B">
        <w:t>andaag is afgerond.</w:t>
      </w:r>
      <w:r w:rsidR="00CA6205">
        <w:rPr>
          <w:rStyle w:val="Voetnootmarkering"/>
        </w:rPr>
        <w:footnoteReference w:id="1"/>
      </w:r>
      <w:r w:rsidRPr="00B3572B">
        <w:t xml:space="preserve"> Zie ook het persbericht van NLFI in de bijlage. Ik licht de afronding en de verkoopopbrengst van dit verkoopprogramma hieronder toe. </w:t>
      </w:r>
    </w:p>
    <w:p w:rsidR="00B3572B" w:rsidP="00B3572B" w:rsidRDefault="00B3572B" w14:paraId="172066C3" w14:textId="77777777"/>
    <w:p w:rsidR="00244DF7" w:rsidP="00244DF7" w:rsidRDefault="00B3572B" w14:paraId="5112FA17" w14:textId="52FA4F2F">
      <w:r w:rsidRPr="00B3572B">
        <w:t xml:space="preserve">Het verkoopprogramma is op </w:t>
      </w:r>
      <w:r>
        <w:t xml:space="preserve">9 september 2025 </w:t>
      </w:r>
      <w:r w:rsidRPr="00B3572B">
        <w:t xml:space="preserve">gestart met als doel het staatsbelang in ABN AMRO af te bouwen tot </w:t>
      </w:r>
      <w:r>
        <w:t>2</w:t>
      </w:r>
      <w:r w:rsidRPr="00B3572B">
        <w:t xml:space="preserve">0,5 procent. Deze verkoop vond plaats via een zogeheten </w:t>
      </w:r>
      <w:proofErr w:type="spellStart"/>
      <w:r w:rsidRPr="00B3572B">
        <w:t>dribble</w:t>
      </w:r>
      <w:proofErr w:type="spellEnd"/>
      <w:r w:rsidRPr="00B3572B">
        <w:t xml:space="preserve">-out. Dit betekent dat NLFI over een langere periode kleine hoeveelheden certificaten </w:t>
      </w:r>
      <w:r w:rsidR="00CA6205">
        <w:t xml:space="preserve">van aandelen </w:t>
      </w:r>
      <w:r w:rsidRPr="00B3572B">
        <w:t xml:space="preserve">verkocht. Voor deze verkoop heeft NLFI een minimumprijs gehanteerd. Met deze afspraak werd gewaarborgd dat er geen verkopen plaatsvonden op een koersniveau dat te laag werd geacht. NLFI heeft binnen dit mandaat </w:t>
      </w:r>
      <w:proofErr w:type="gramStart"/>
      <w:r w:rsidRPr="00B3572B">
        <w:t>circa</w:t>
      </w:r>
      <w:proofErr w:type="gramEnd"/>
      <w:r w:rsidRPr="00B3572B">
        <w:t xml:space="preserve"> </w:t>
      </w:r>
      <w:r w:rsidR="00CE4AEA">
        <w:t>81</w:t>
      </w:r>
      <w:r w:rsidRPr="00B3572B">
        <w:t xml:space="preserve"> mln. certificaten van aandelen verkocht. De totale bruto verkoopopbrengst hiervan was </w:t>
      </w:r>
      <w:proofErr w:type="gramStart"/>
      <w:r w:rsidRPr="00B3572B">
        <w:t>circa</w:t>
      </w:r>
      <w:proofErr w:type="gramEnd"/>
      <w:r w:rsidRPr="00B3572B">
        <w:t xml:space="preserve"> EUR </w:t>
      </w:r>
      <w:r w:rsidR="005B7EB3">
        <w:t>2,46</w:t>
      </w:r>
      <w:r w:rsidRPr="00B3572B">
        <w:t xml:space="preserve"> mld. De verkoopopbrengsten van dit programma zijn </w:t>
      </w:r>
      <w:proofErr w:type="gramStart"/>
      <w:r w:rsidRPr="00B3572B">
        <w:t>conform</w:t>
      </w:r>
      <w:proofErr w:type="gramEnd"/>
      <w:r w:rsidRPr="00B3572B">
        <w:t xml:space="preserve"> de begrotingsregels niet kader- en </w:t>
      </w:r>
      <w:r w:rsidR="00CE4AEA">
        <w:t xml:space="preserve">niet </w:t>
      </w:r>
      <w:r w:rsidRPr="00B3572B">
        <w:t>EMU-saldo relevant. Met de opbrengst is een deel van de staatsschuld afgelost, maar dit heeft geen gevolgen voor de budgettaire ruimte van het kabinet of het EMU</w:t>
      </w:r>
      <w:r>
        <w:t>-</w:t>
      </w:r>
      <w:r w:rsidRPr="00B3572B">
        <w:t>saldo.</w:t>
      </w:r>
      <w:r w:rsidR="00DD30BD">
        <w:t xml:space="preserve"> </w:t>
      </w:r>
      <w:r w:rsidRPr="00154D21" w:rsidR="00244DF7">
        <w:t xml:space="preserve">In tabel 1 vindt u het geactualiseerde overzicht van de historische uitgaven en ontvangsten rond de nationalisatie van ABN AMRO. </w:t>
      </w:r>
    </w:p>
    <w:p w:rsidR="00440815" w:rsidP="00244DF7" w:rsidRDefault="00440815" w14:paraId="6011277C" w14:textId="77777777"/>
    <w:p w:rsidR="00440815" w:rsidP="00440815" w:rsidRDefault="00440815" w14:paraId="0D24A5CE" w14:textId="269E4F5A">
      <w:r>
        <w:t xml:space="preserve">Overigens heeft ABN AMRO op </w:t>
      </w:r>
      <w:r w:rsidR="00635AAF">
        <w:t xml:space="preserve">28 </w:t>
      </w:r>
      <w:r>
        <w:t xml:space="preserve">mei 2026 een </w:t>
      </w:r>
      <w:proofErr w:type="spellStart"/>
      <w:r>
        <w:t>aandeleninkoopprogramma</w:t>
      </w:r>
      <w:proofErr w:type="spellEnd"/>
      <w:r>
        <w:t xml:space="preserve"> van EUR 250 mln. afgerond, waaraan NLFI</w:t>
      </w:r>
      <w:r w:rsidR="00534683">
        <w:t>, in lijn met het doelpercentage van het bovengenoemde verkoopprogramma,</w:t>
      </w:r>
      <w:r>
        <w:t xml:space="preserve"> voor 20 procent deelnam. ABN AMRO zal de ingekochte aandelen waarschijnlijk binnen enkele weken intrekken, waardoor het staatsbelang stijgt van 20,5 procent naar 20,7 procent.</w:t>
      </w:r>
    </w:p>
    <w:p w:rsidRPr="00154D21" w:rsidR="00244DF7" w:rsidP="00244DF7" w:rsidRDefault="00244DF7" w14:paraId="51F97693" w14:textId="77777777"/>
    <w:p w:rsidR="00244DF7" w:rsidP="00244DF7" w:rsidRDefault="00E3549F" w14:paraId="6A46BBB8" w14:textId="6CB925DF">
      <w:r>
        <w:t xml:space="preserve">Ik heb u in het verleden vaker geïnformeerd over de totale uitgaven en ontvangsten </w:t>
      </w:r>
      <w:r w:rsidR="0058533E">
        <w:t>met betrekking tot</w:t>
      </w:r>
      <w:r>
        <w:t xml:space="preserve"> ABN AMRO.</w:t>
      </w:r>
      <w:r>
        <w:rPr>
          <w:rStyle w:val="Voetnootmarkering"/>
        </w:rPr>
        <w:footnoteReference w:id="2"/>
      </w:r>
      <w:r>
        <w:t xml:space="preserve"> </w:t>
      </w:r>
      <w:r w:rsidRPr="00154D21" w:rsidR="00244DF7">
        <w:t xml:space="preserve">Uit tabel 1 blijkt dat de marktwaarde </w:t>
      </w:r>
      <w:r w:rsidR="00D262D8">
        <w:t xml:space="preserve">van de </w:t>
      </w:r>
      <w:r w:rsidR="0058533E">
        <w:t xml:space="preserve">resterende </w:t>
      </w:r>
      <w:r w:rsidR="00CA6205">
        <w:t xml:space="preserve">(certificaten van) </w:t>
      </w:r>
      <w:r w:rsidR="00D262D8">
        <w:t xml:space="preserve">aandelen in staatshanden </w:t>
      </w:r>
      <w:r w:rsidRPr="00154D21" w:rsidR="00244DF7">
        <w:t xml:space="preserve">o.b.v. de slotkoers op </w:t>
      </w:r>
      <w:r w:rsidR="0050126E">
        <w:t>2</w:t>
      </w:r>
      <w:r w:rsidR="0057420D">
        <w:t>1</w:t>
      </w:r>
      <w:r>
        <w:t xml:space="preserve"> juli 2026</w:t>
      </w:r>
      <w:r w:rsidR="00051745">
        <w:t xml:space="preserve"> (I) en de verkoopopbrengsten (D)</w:t>
      </w:r>
      <w:r>
        <w:t xml:space="preserve"> nog steeds</w:t>
      </w:r>
      <w:r w:rsidRPr="00154D21" w:rsidR="00244DF7">
        <w:t xml:space="preserve"> onvoldoende </w:t>
      </w:r>
      <w:r w:rsidR="009B5A28">
        <w:t xml:space="preserve">zijn </w:t>
      </w:r>
      <w:r w:rsidRPr="00154D21" w:rsidR="00244DF7">
        <w:t xml:space="preserve">om de </w:t>
      </w:r>
      <w:r w:rsidR="00051745">
        <w:t>oorspronkelijke</w:t>
      </w:r>
      <w:r w:rsidRPr="00154D21" w:rsidR="00051745">
        <w:t xml:space="preserve"> </w:t>
      </w:r>
      <w:r w:rsidRPr="00154D21" w:rsidR="00244DF7">
        <w:t>kapitaaluitgaven</w:t>
      </w:r>
      <w:r w:rsidR="00051745">
        <w:t xml:space="preserve"> (A)</w:t>
      </w:r>
      <w:r w:rsidRPr="00154D21" w:rsidR="00244DF7">
        <w:t xml:space="preserve"> terug te verdienen (J). </w:t>
      </w:r>
      <w:r w:rsidR="0058533E">
        <w:t xml:space="preserve">Echter </w:t>
      </w:r>
      <w:proofErr w:type="gramStart"/>
      <w:r w:rsidR="0058533E">
        <w:t>i</w:t>
      </w:r>
      <w:r w:rsidR="00051745">
        <w:t>ndien</w:t>
      </w:r>
      <w:proofErr w:type="gramEnd"/>
      <w:r w:rsidR="00051745">
        <w:t xml:space="preserve"> </w:t>
      </w:r>
      <w:r w:rsidR="00051745">
        <w:lastRenderedPageBreak/>
        <w:t xml:space="preserve">de rentelasten (B) en dividendontvangsten (E) worden meegenomen, zijn de huidige </w:t>
      </w:r>
      <w:r w:rsidRPr="00154D21" w:rsidR="00051745">
        <w:t>marktwaarde</w:t>
      </w:r>
      <w:r w:rsidR="00051745">
        <w:t xml:space="preserve"> van de aandelen in staatshanden</w:t>
      </w:r>
      <w:r w:rsidRPr="00154D21" w:rsidR="00051745">
        <w:t xml:space="preserve"> (I) en de </w:t>
      </w:r>
      <w:r w:rsidR="00051745">
        <w:t>totale ontvangsten</w:t>
      </w:r>
      <w:r w:rsidRPr="00154D21" w:rsidR="00051745">
        <w:t xml:space="preserve"> (</w:t>
      </w:r>
      <w:r w:rsidR="00051745">
        <w:t>F</w:t>
      </w:r>
      <w:r w:rsidRPr="00154D21" w:rsidR="00051745">
        <w:t xml:space="preserve">) op dit moment </w:t>
      </w:r>
      <w:r w:rsidR="0058533E">
        <w:t>hoger dan</w:t>
      </w:r>
      <w:r w:rsidRPr="00154D21" w:rsidR="00051745">
        <w:t xml:space="preserve"> de </w:t>
      </w:r>
      <w:r w:rsidR="00051745">
        <w:t>totale uitgaven</w:t>
      </w:r>
      <w:r w:rsidRPr="00154D21" w:rsidR="00051745">
        <w:t xml:space="preserve"> (</w:t>
      </w:r>
      <w:r w:rsidR="00051745">
        <w:t>C</w:t>
      </w:r>
      <w:r w:rsidRPr="00154D21" w:rsidR="00051745">
        <w:t>).</w:t>
      </w:r>
      <w:r w:rsidR="0058533E">
        <w:t xml:space="preserve"> Dit komt </w:t>
      </w:r>
      <w:r w:rsidR="005B7EB3">
        <w:t xml:space="preserve">onder andere </w:t>
      </w:r>
      <w:r w:rsidR="0058533E">
        <w:t>doordat de beurskoers van ABN AMRO de afgelopen periode verder gestegen is.</w:t>
      </w:r>
      <w:r w:rsidR="00051745">
        <w:t xml:space="preserve"> </w:t>
      </w:r>
      <w:r w:rsidRPr="00051745" w:rsidR="00051745">
        <w:t xml:space="preserve">Voor beide rekenmethodes geldt </w:t>
      </w:r>
      <w:r w:rsidR="00051745">
        <w:t xml:space="preserve">wel </w:t>
      </w:r>
      <w:r w:rsidRPr="00051745" w:rsidR="00051745">
        <w:t xml:space="preserve">dat het uiteindelijke resultaat voor de schatkist pas bepaald kan worden na de verkoop van het laatste aandeel. </w:t>
      </w:r>
      <w:r w:rsidR="00051745">
        <w:t xml:space="preserve"> </w:t>
      </w:r>
    </w:p>
    <w:p w:rsidR="00955B03" w:rsidP="00244DF7" w:rsidRDefault="00955B03" w14:paraId="369C6546" w14:textId="77777777"/>
    <w:p w:rsidR="00244DF7" w:rsidP="00244DF7" w:rsidRDefault="00244DF7" w14:paraId="28E609B2" w14:textId="39C921C5">
      <w:r w:rsidRPr="00154D21">
        <w:t xml:space="preserve">Om </w:t>
      </w:r>
      <w:r w:rsidR="009B5A28">
        <w:t xml:space="preserve">ook </w:t>
      </w:r>
      <w:r w:rsidRPr="00154D21">
        <w:t xml:space="preserve">de totale kapitaaluitgaven terug te verdienen zou het gehele resterende belang tegen een koers van </w:t>
      </w:r>
      <w:r>
        <w:t xml:space="preserve">EUR </w:t>
      </w:r>
      <w:r w:rsidR="0057420D">
        <w:t>39,10</w:t>
      </w:r>
      <w:r w:rsidRPr="00154D21" w:rsidR="00E3549F">
        <w:t xml:space="preserve"> </w:t>
      </w:r>
      <w:r w:rsidRPr="00154D21">
        <w:t xml:space="preserve">verkocht dienen te worden. De slotkoers op </w:t>
      </w:r>
      <w:r w:rsidR="0050126E">
        <w:t>2</w:t>
      </w:r>
      <w:r w:rsidR="005B7EB3">
        <w:t>1</w:t>
      </w:r>
      <w:r w:rsidR="00E3549F">
        <w:t xml:space="preserve"> juli 2026</w:t>
      </w:r>
      <w:r w:rsidRPr="00154D21" w:rsidR="00E3549F">
        <w:t xml:space="preserve"> </w:t>
      </w:r>
      <w:r w:rsidRPr="00154D21">
        <w:t xml:space="preserve">was </w:t>
      </w:r>
      <w:r>
        <w:t xml:space="preserve">EUR </w:t>
      </w:r>
      <w:r w:rsidR="005B7EB3">
        <w:t>38,</w:t>
      </w:r>
      <w:r w:rsidR="00DF71C6">
        <w:t>0</w:t>
      </w:r>
      <w:r w:rsidR="005B7EB3">
        <w:t>9.</w:t>
      </w:r>
      <w:r w:rsidRPr="00154D21">
        <w:t xml:space="preserve"> De staat is geen belegger en investeert dus niet risicovol als daar geen publiek belang mee is gediend. ABN AMRO is in staatshanden gekomen om de stabiliteit van het financiële stelsel te borgen en niet als investering om rendement op te maken.</w:t>
      </w:r>
    </w:p>
    <w:p w:rsidRPr="00154D21" w:rsidR="00244DF7" w:rsidP="00244DF7" w:rsidRDefault="00244DF7" w14:paraId="1C0EAE49" w14:textId="77777777"/>
    <w:p w:rsidRPr="00154D21" w:rsidR="00244DF7" w:rsidP="00244DF7" w:rsidRDefault="00244DF7" w14:paraId="7A40D7F8" w14:textId="77777777">
      <w:pPr>
        <w:rPr>
          <w:i/>
          <w:iCs/>
        </w:rPr>
      </w:pPr>
      <w:r w:rsidRPr="00154D21">
        <w:rPr>
          <w:i/>
          <w:iCs/>
        </w:rPr>
        <w:t>Tabel 1: Kosten en opbrengsten ABN AMRO</w:t>
      </w:r>
    </w:p>
    <w:tbl>
      <w:tblPr>
        <w:tblW w:w="7396" w:type="dxa"/>
        <w:tblInd w:w="-5" w:type="dxa"/>
        <w:tblCellMar>
          <w:left w:w="70" w:type="dxa"/>
          <w:right w:w="70" w:type="dxa"/>
        </w:tblCellMar>
        <w:tblLook w:val="04A0" w:firstRow="1" w:lastRow="0" w:firstColumn="1" w:lastColumn="0" w:noHBand="0" w:noVBand="1"/>
      </w:tblPr>
      <w:tblGrid>
        <w:gridCol w:w="398"/>
        <w:gridCol w:w="3855"/>
        <w:gridCol w:w="1985"/>
        <w:gridCol w:w="1158"/>
      </w:tblGrid>
      <w:tr w:rsidRPr="00154D21" w:rsidR="00244DF7" w:rsidTr="00F9067F" w14:paraId="76524BCE" w14:textId="77777777">
        <w:trPr>
          <w:trHeight w:val="315"/>
        </w:trPr>
        <w:tc>
          <w:tcPr>
            <w:tcW w:w="39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154D21" w:rsidR="00244DF7" w:rsidP="005C5093" w:rsidRDefault="00244DF7" w14:paraId="24AA40CD" w14:textId="77777777">
            <w:r w:rsidRPr="00154D21">
              <w:t> </w:t>
            </w:r>
          </w:p>
        </w:tc>
        <w:tc>
          <w:tcPr>
            <w:tcW w:w="3855" w:type="dxa"/>
            <w:tcBorders>
              <w:top w:val="single" w:color="auto" w:sz="4" w:space="0"/>
              <w:left w:val="nil"/>
              <w:bottom w:val="single" w:color="auto" w:sz="4" w:space="0"/>
              <w:right w:val="single" w:color="auto" w:sz="4" w:space="0"/>
            </w:tcBorders>
            <w:shd w:val="clear" w:color="000000" w:fill="FFFFFF"/>
            <w:noWrap/>
            <w:vAlign w:val="center"/>
            <w:hideMark/>
          </w:tcPr>
          <w:p w:rsidRPr="00154D21" w:rsidR="00244DF7" w:rsidP="005C5093" w:rsidRDefault="00244DF7" w14:paraId="3284CE1E" w14:textId="77777777">
            <w:r w:rsidRPr="00154D21">
              <w:t> </w:t>
            </w:r>
          </w:p>
        </w:tc>
        <w:tc>
          <w:tcPr>
            <w:tcW w:w="1985" w:type="dxa"/>
            <w:tcBorders>
              <w:top w:val="single" w:color="auto" w:sz="4" w:space="0"/>
              <w:left w:val="nil"/>
              <w:bottom w:val="single" w:color="auto" w:sz="4" w:space="0"/>
              <w:right w:val="single" w:color="auto" w:sz="4" w:space="0"/>
            </w:tcBorders>
            <w:shd w:val="clear" w:color="000000" w:fill="FFFFFF"/>
            <w:noWrap/>
            <w:vAlign w:val="center"/>
            <w:hideMark/>
          </w:tcPr>
          <w:p w:rsidRPr="00154D21" w:rsidR="00244DF7" w:rsidP="005C5093" w:rsidRDefault="00244DF7" w14:paraId="2BE41FFA" w14:textId="77777777">
            <w:r w:rsidRPr="00154D21">
              <w:t>Bedrag in EUR mld.</w:t>
            </w:r>
          </w:p>
        </w:tc>
        <w:tc>
          <w:tcPr>
            <w:tcW w:w="1158" w:type="dxa"/>
            <w:tcBorders>
              <w:top w:val="single" w:color="auto" w:sz="4" w:space="0"/>
              <w:left w:val="nil"/>
              <w:bottom w:val="single" w:color="auto" w:sz="4" w:space="0"/>
              <w:right w:val="single" w:color="auto" w:sz="4" w:space="0"/>
            </w:tcBorders>
            <w:shd w:val="clear" w:color="000000" w:fill="FFFFFF"/>
            <w:noWrap/>
            <w:vAlign w:val="center"/>
            <w:hideMark/>
          </w:tcPr>
          <w:p w:rsidRPr="00154D21" w:rsidR="00244DF7" w:rsidP="005C5093" w:rsidRDefault="00244DF7" w14:paraId="69AB93CF" w14:textId="77777777">
            <w:r w:rsidRPr="00154D21">
              <w:t>Berekening</w:t>
            </w:r>
          </w:p>
        </w:tc>
      </w:tr>
      <w:tr w:rsidRPr="00154D21" w:rsidR="00E3549F" w:rsidTr="00F9067F" w14:paraId="41D09443"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4E331559" w14:textId="77777777">
            <w:r w:rsidRPr="00154D21">
              <w:t>A</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E3549F" w:rsidP="00E3549F" w:rsidRDefault="00E3549F" w14:paraId="18C6C662" w14:textId="77777777">
            <w:r w:rsidRPr="00154D21">
              <w:t>Kapitaaluitgaven</w:t>
            </w:r>
          </w:p>
        </w:tc>
        <w:tc>
          <w:tcPr>
            <w:tcW w:w="1985" w:type="dxa"/>
            <w:tcBorders>
              <w:top w:val="nil"/>
              <w:left w:val="nil"/>
              <w:bottom w:val="single" w:color="auto" w:sz="4" w:space="0"/>
              <w:right w:val="single" w:color="auto" w:sz="4" w:space="0"/>
            </w:tcBorders>
            <w:shd w:val="clear" w:color="auto" w:fill="auto"/>
            <w:hideMark/>
          </w:tcPr>
          <w:p w:rsidRPr="006D2F8D" w:rsidR="00E3549F" w:rsidP="00F9067F" w:rsidRDefault="00E3549F" w14:paraId="1CB56948" w14:textId="5B43C1EA">
            <w:pPr>
              <w:jc w:val="center"/>
              <w:rPr>
                <w:highlight w:val="yellow"/>
              </w:rPr>
            </w:pPr>
            <w:r w:rsidRPr="00755615">
              <w:t>-21,7</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7694B42A" w14:textId="77777777">
            <w:pPr>
              <w:jc w:val="center"/>
            </w:pPr>
          </w:p>
        </w:tc>
      </w:tr>
      <w:tr w:rsidRPr="00154D21" w:rsidR="00E3549F" w:rsidTr="00F9067F" w14:paraId="782BE1DC"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79D4A27B" w14:textId="77777777">
            <w:r w:rsidRPr="00154D21">
              <w:t>B</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E3549F" w:rsidP="00E3549F" w:rsidRDefault="00E3549F" w14:paraId="6D6A4836" w14:textId="77777777">
            <w:r w:rsidRPr="00154D21">
              <w:t>Toerekenbare rentelasten</w:t>
            </w:r>
          </w:p>
        </w:tc>
        <w:tc>
          <w:tcPr>
            <w:tcW w:w="1985" w:type="dxa"/>
            <w:tcBorders>
              <w:top w:val="nil"/>
              <w:left w:val="nil"/>
              <w:bottom w:val="single" w:color="auto" w:sz="4" w:space="0"/>
              <w:right w:val="single" w:color="auto" w:sz="4" w:space="0"/>
            </w:tcBorders>
            <w:shd w:val="clear" w:color="auto" w:fill="auto"/>
            <w:hideMark/>
          </w:tcPr>
          <w:p w:rsidRPr="006D2F8D" w:rsidR="00E3549F" w:rsidP="00F9067F" w:rsidRDefault="00E3549F" w14:paraId="21611F74" w14:textId="447407D7">
            <w:pPr>
              <w:jc w:val="center"/>
              <w:rPr>
                <w:highlight w:val="yellow"/>
              </w:rPr>
            </w:pPr>
            <w:r w:rsidRPr="00755615">
              <w:t>-6,4 </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260064E8" w14:textId="77777777">
            <w:pPr>
              <w:jc w:val="center"/>
            </w:pPr>
          </w:p>
        </w:tc>
      </w:tr>
      <w:tr w:rsidRPr="00154D21" w:rsidR="00E3549F" w:rsidTr="00F9067F" w14:paraId="78897935" w14:textId="77777777">
        <w:trPr>
          <w:trHeight w:val="113"/>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46849CFF" w14:textId="77777777">
            <w:r w:rsidRPr="00154D21">
              <w:t>C</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E3549F" w:rsidP="00E3549F" w:rsidRDefault="00E3549F" w14:paraId="6887C803" w14:textId="77777777">
            <w:r w:rsidRPr="00154D21">
              <w:t>Totale uitgaven</w:t>
            </w:r>
          </w:p>
        </w:tc>
        <w:tc>
          <w:tcPr>
            <w:tcW w:w="1985" w:type="dxa"/>
            <w:tcBorders>
              <w:top w:val="nil"/>
              <w:left w:val="nil"/>
              <w:bottom w:val="single" w:color="auto" w:sz="4" w:space="0"/>
              <w:right w:val="single" w:color="auto" w:sz="4" w:space="0"/>
            </w:tcBorders>
            <w:shd w:val="clear" w:color="auto" w:fill="auto"/>
            <w:hideMark/>
          </w:tcPr>
          <w:p w:rsidRPr="00F9067F" w:rsidR="00E3549F" w:rsidP="00F9067F" w:rsidRDefault="00E3549F" w14:paraId="3C111214" w14:textId="4DCD90E7">
            <w:pPr>
              <w:jc w:val="center"/>
              <w:rPr>
                <w:b/>
                <w:bCs/>
                <w:highlight w:val="yellow"/>
              </w:rPr>
            </w:pPr>
            <w:r w:rsidRPr="00F9067F">
              <w:rPr>
                <w:b/>
                <w:bCs/>
              </w:rPr>
              <w:t>-28,1 </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75EF4DD2" w14:textId="77777777">
            <w:pPr>
              <w:jc w:val="center"/>
            </w:pPr>
            <w:r w:rsidRPr="00154D21">
              <w:t>(A+B)</w:t>
            </w:r>
          </w:p>
        </w:tc>
      </w:tr>
      <w:tr w:rsidRPr="00154D21" w:rsidR="00244DF7" w:rsidTr="00F9067F" w14:paraId="374F38B3"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244DF7" w:rsidP="005C5093" w:rsidRDefault="00244DF7" w14:paraId="4CFBD346" w14:textId="77777777">
            <w:r w:rsidRPr="00154D21">
              <w:t> </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244DF7" w:rsidP="005C5093" w:rsidRDefault="00244DF7" w14:paraId="73E5095B" w14:textId="77777777">
            <w:r w:rsidRPr="00154D21">
              <w:t> </w:t>
            </w:r>
          </w:p>
        </w:tc>
        <w:tc>
          <w:tcPr>
            <w:tcW w:w="1985" w:type="dxa"/>
            <w:tcBorders>
              <w:top w:val="nil"/>
              <w:left w:val="nil"/>
              <w:bottom w:val="single" w:color="auto" w:sz="4" w:space="0"/>
              <w:right w:val="single" w:color="auto" w:sz="4" w:space="0"/>
            </w:tcBorders>
            <w:shd w:val="clear" w:color="auto" w:fill="auto"/>
            <w:vAlign w:val="center"/>
            <w:hideMark/>
          </w:tcPr>
          <w:p w:rsidRPr="006D2F8D" w:rsidR="00244DF7" w:rsidP="00F9067F" w:rsidRDefault="00244DF7" w14:paraId="34A4DB99" w14:textId="77777777">
            <w:pPr>
              <w:jc w:val="center"/>
              <w:rPr>
                <w:highlight w:val="yellow"/>
              </w:rPr>
            </w:pP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244DF7" w:rsidP="00F9067F" w:rsidRDefault="00244DF7" w14:paraId="33895A05" w14:textId="77777777">
            <w:pPr>
              <w:jc w:val="center"/>
            </w:pPr>
          </w:p>
        </w:tc>
      </w:tr>
      <w:tr w:rsidRPr="00154D21" w:rsidR="00E3549F" w:rsidTr="00F9067F" w14:paraId="54744035"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753EFE6B" w14:textId="77777777">
            <w:r w:rsidRPr="00154D21">
              <w:t>D</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E3549F" w:rsidP="00E3549F" w:rsidRDefault="00E3549F" w14:paraId="0CB35572" w14:textId="77777777">
            <w:r w:rsidRPr="00154D21">
              <w:t xml:space="preserve">Netto verkoopopbrengst </w:t>
            </w:r>
          </w:p>
        </w:tc>
        <w:tc>
          <w:tcPr>
            <w:tcW w:w="1985" w:type="dxa"/>
            <w:tcBorders>
              <w:top w:val="nil"/>
              <w:left w:val="nil"/>
              <w:bottom w:val="single" w:color="auto" w:sz="4" w:space="0"/>
              <w:right w:val="single" w:color="auto" w:sz="4" w:space="0"/>
            </w:tcBorders>
            <w:shd w:val="clear" w:color="auto" w:fill="auto"/>
            <w:hideMark/>
          </w:tcPr>
          <w:p w:rsidRPr="006D2F8D" w:rsidR="00E3549F" w:rsidP="00F9067F" w:rsidRDefault="00E3549F" w14:paraId="56E1B295" w14:textId="0DAACFCF">
            <w:pPr>
              <w:jc w:val="center"/>
              <w:rPr>
                <w:highlight w:val="yellow"/>
              </w:rPr>
            </w:pPr>
            <w:r w:rsidRPr="00E33D24">
              <w:t>15,1 </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2B8CD280" w14:textId="77777777">
            <w:pPr>
              <w:jc w:val="center"/>
            </w:pPr>
          </w:p>
        </w:tc>
      </w:tr>
      <w:tr w:rsidRPr="00154D21" w:rsidR="00E3549F" w:rsidTr="00F9067F" w14:paraId="16FAD431"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0AD00494" w14:textId="77777777">
            <w:r w:rsidRPr="00154D21">
              <w:t>E</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E3549F" w:rsidP="00E3549F" w:rsidRDefault="00E3549F" w14:paraId="694C54A4" w14:textId="77777777">
            <w:r w:rsidRPr="00154D21">
              <w:t>Dividendontvangsten</w:t>
            </w:r>
          </w:p>
        </w:tc>
        <w:tc>
          <w:tcPr>
            <w:tcW w:w="1985" w:type="dxa"/>
            <w:tcBorders>
              <w:top w:val="nil"/>
              <w:left w:val="nil"/>
              <w:bottom w:val="single" w:color="auto" w:sz="4" w:space="0"/>
              <w:right w:val="single" w:color="auto" w:sz="4" w:space="0"/>
            </w:tcBorders>
            <w:shd w:val="clear" w:color="auto" w:fill="auto"/>
            <w:hideMark/>
          </w:tcPr>
          <w:p w:rsidRPr="006D2F8D" w:rsidR="00E3549F" w:rsidP="00F9067F" w:rsidRDefault="00E3549F" w14:paraId="3057FE3B" w14:textId="6CF2DE56">
            <w:pPr>
              <w:jc w:val="center"/>
              <w:rPr>
                <w:highlight w:val="yellow"/>
              </w:rPr>
            </w:pPr>
            <w:r w:rsidRPr="00E33D24">
              <w:t>6,8</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3AC0F16E" w14:textId="77777777">
            <w:pPr>
              <w:jc w:val="center"/>
            </w:pPr>
          </w:p>
        </w:tc>
      </w:tr>
      <w:tr w:rsidRPr="00154D21" w:rsidR="00E3549F" w:rsidTr="00F9067F" w14:paraId="709F8208"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2FAB1D5D" w14:textId="77777777">
            <w:r w:rsidRPr="00154D21">
              <w:t>F</w:t>
            </w:r>
          </w:p>
        </w:tc>
        <w:tc>
          <w:tcPr>
            <w:tcW w:w="3855" w:type="dxa"/>
            <w:tcBorders>
              <w:top w:val="nil"/>
              <w:left w:val="nil"/>
              <w:bottom w:val="single" w:color="auto" w:sz="4" w:space="0"/>
              <w:right w:val="single" w:color="auto" w:sz="4" w:space="0"/>
            </w:tcBorders>
            <w:shd w:val="clear" w:color="auto" w:fill="auto"/>
            <w:noWrap/>
            <w:vAlign w:val="center"/>
            <w:hideMark/>
          </w:tcPr>
          <w:p w:rsidRPr="00154D21" w:rsidR="00E3549F" w:rsidP="00E3549F" w:rsidRDefault="00E3549F" w14:paraId="52925027" w14:textId="77777777">
            <w:r w:rsidRPr="00154D21">
              <w:t>Totale ontvangsten</w:t>
            </w:r>
          </w:p>
        </w:tc>
        <w:tc>
          <w:tcPr>
            <w:tcW w:w="1985" w:type="dxa"/>
            <w:tcBorders>
              <w:top w:val="nil"/>
              <w:left w:val="nil"/>
              <w:bottom w:val="single" w:color="auto" w:sz="4" w:space="0"/>
              <w:right w:val="single" w:color="auto" w:sz="4" w:space="0"/>
            </w:tcBorders>
            <w:shd w:val="clear" w:color="auto" w:fill="auto"/>
            <w:hideMark/>
          </w:tcPr>
          <w:p w:rsidRPr="00F9067F" w:rsidR="00E3549F" w:rsidP="00F9067F" w:rsidRDefault="00E3549F" w14:paraId="5219BA10" w14:textId="3C48748A">
            <w:pPr>
              <w:jc w:val="center"/>
              <w:rPr>
                <w:b/>
                <w:bCs/>
                <w:highlight w:val="yellow"/>
              </w:rPr>
            </w:pPr>
            <w:r w:rsidRPr="00F9067F">
              <w:rPr>
                <w:b/>
                <w:bCs/>
              </w:rPr>
              <w:t>21,9 </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4003E61B" w14:textId="77777777">
            <w:pPr>
              <w:jc w:val="center"/>
            </w:pPr>
            <w:r w:rsidRPr="00154D21">
              <w:t>(D+E)</w:t>
            </w:r>
          </w:p>
        </w:tc>
      </w:tr>
      <w:tr w:rsidRPr="00154D21" w:rsidR="00E3549F" w:rsidTr="00F9067F" w14:paraId="4E06BC20"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324C6026" w14:textId="77777777">
            <w:r w:rsidRPr="00154D21">
              <w:t> </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3711535E" w14:textId="77777777">
            <w:r w:rsidRPr="00154D21">
              <w:t> </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2EB81484" w14:textId="77777777">
            <w:pPr>
              <w:jc w:val="center"/>
              <w:rPr>
                <w:highlight w:val="yellow"/>
              </w:rPr>
            </w:pP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66F7DDD9" w14:textId="77777777">
            <w:pPr>
              <w:jc w:val="center"/>
            </w:pPr>
          </w:p>
        </w:tc>
      </w:tr>
      <w:tr w:rsidRPr="00154D21" w:rsidR="00E3549F" w:rsidTr="00F9067F" w14:paraId="3129AC7B"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736BFFD9" w14:textId="77777777">
            <w:r w:rsidRPr="00154D21">
              <w:t>G</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11431B13" w14:textId="77777777">
            <w:r w:rsidRPr="00154D21">
              <w:t>Openstaande kapitaaluitgaven</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56726977" w14:textId="4F9239E3">
            <w:pPr>
              <w:jc w:val="center"/>
              <w:rPr>
                <w:highlight w:val="yellow"/>
              </w:rPr>
            </w:pPr>
            <w:r w:rsidRPr="00E33D24">
              <w:t>-6,6 </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7E44D198" w14:textId="77777777">
            <w:pPr>
              <w:jc w:val="center"/>
            </w:pPr>
            <w:r w:rsidRPr="00154D21">
              <w:t>(A+D)</w:t>
            </w:r>
          </w:p>
        </w:tc>
      </w:tr>
      <w:tr w:rsidRPr="00154D21" w:rsidR="00E3549F" w:rsidTr="00F9067F" w14:paraId="1B287047"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26CAB2B1" w14:textId="77777777">
            <w:r w:rsidRPr="00154D21">
              <w:t>H</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4935F921" w14:textId="77777777">
            <w:r w:rsidRPr="00154D21">
              <w:t>Openstaande investering</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36A3561C" w14:textId="677C00A5">
            <w:pPr>
              <w:jc w:val="center"/>
              <w:rPr>
                <w:highlight w:val="yellow"/>
              </w:rPr>
            </w:pPr>
            <w:r w:rsidRPr="00E33D24">
              <w:t>-6,1</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332B31F6" w14:textId="77777777">
            <w:pPr>
              <w:jc w:val="center"/>
            </w:pPr>
            <w:r w:rsidRPr="00154D21">
              <w:t>(C+F)</w:t>
            </w:r>
          </w:p>
        </w:tc>
      </w:tr>
      <w:tr w:rsidRPr="00154D21" w:rsidR="00E3549F" w:rsidTr="00F9067F" w14:paraId="48002AD9" w14:textId="77777777">
        <w:trPr>
          <w:trHeight w:val="126"/>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79681953" w14:textId="77777777">
            <w:r w:rsidRPr="00154D21">
              <w:t> </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29A07493" w14:textId="77777777">
            <w:r w:rsidRPr="00154D21">
              <w:t> </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0BA4E2C7" w14:textId="77777777">
            <w:pPr>
              <w:jc w:val="center"/>
              <w:rPr>
                <w:highlight w:val="yellow"/>
              </w:rPr>
            </w:pP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4F9CA8AF" w14:textId="77777777">
            <w:pPr>
              <w:jc w:val="center"/>
            </w:pPr>
          </w:p>
        </w:tc>
      </w:tr>
      <w:tr w:rsidRPr="00154D21" w:rsidR="00E3549F" w:rsidTr="00F9067F" w14:paraId="67ED04DD"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4978A88A" w14:textId="77777777">
            <w:r w:rsidRPr="00154D21">
              <w:t>I</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34E68A94" w14:textId="78C108BE">
            <w:r w:rsidRPr="00154D21">
              <w:t xml:space="preserve">Marktwaarde aandelen (o.b.v. slotkoers </w:t>
            </w:r>
            <w:r w:rsidR="00B0703B">
              <w:t>2</w:t>
            </w:r>
            <w:r w:rsidR="0057420D">
              <w:t>1</w:t>
            </w:r>
            <w:r w:rsidR="00051745">
              <w:t xml:space="preserve"> juli 2026</w:t>
            </w:r>
            <w:r w:rsidR="0057420D">
              <w:t>)</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0B5F1E72" w14:textId="5D562883">
            <w:pPr>
              <w:jc w:val="center"/>
              <w:rPr>
                <w:highlight w:val="yellow"/>
              </w:rPr>
            </w:pPr>
            <w:r w:rsidRPr="00E33D24">
              <w:t>6,</w:t>
            </w:r>
            <w:r w:rsidR="0057420D">
              <w:t>4</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5B1FA440" w14:textId="77777777">
            <w:pPr>
              <w:jc w:val="center"/>
            </w:pPr>
          </w:p>
        </w:tc>
      </w:tr>
      <w:tr w:rsidRPr="00154D21" w:rsidR="00E3549F" w:rsidTr="00F9067F" w14:paraId="16F5C695"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0AE0756B" w14:textId="77777777">
            <w:r w:rsidRPr="00154D21">
              <w:t> </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60054942" w14:textId="77777777">
            <w:r w:rsidRPr="00154D21">
              <w:t> </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45D85C71" w14:textId="77777777">
            <w:pPr>
              <w:jc w:val="center"/>
              <w:rPr>
                <w:highlight w:val="yellow"/>
              </w:rPr>
            </w:pP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185F315F" w14:textId="77777777">
            <w:pPr>
              <w:jc w:val="center"/>
            </w:pPr>
          </w:p>
        </w:tc>
      </w:tr>
      <w:tr w:rsidRPr="00154D21" w:rsidR="00E3549F" w:rsidTr="00F9067F" w14:paraId="68039524"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6DCFF707" w14:textId="77777777">
            <w:r w:rsidRPr="00154D21">
              <w:t>J</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5E44AA86" w14:textId="77777777">
            <w:r w:rsidRPr="00154D21">
              <w:t>Huidig resultaat kapitaaluitgaven</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0B4EAE93" w14:textId="69C214C4">
            <w:pPr>
              <w:jc w:val="center"/>
              <w:rPr>
                <w:highlight w:val="yellow"/>
              </w:rPr>
            </w:pPr>
            <w:r w:rsidRPr="00E33D24">
              <w:t>-0,</w:t>
            </w:r>
            <w:r w:rsidR="0057420D">
              <w:t>2</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648BF359" w14:textId="77777777">
            <w:pPr>
              <w:jc w:val="center"/>
            </w:pPr>
            <w:r w:rsidRPr="00154D21">
              <w:t>(I+G)</w:t>
            </w:r>
          </w:p>
        </w:tc>
      </w:tr>
      <w:tr w:rsidRPr="00154D21" w:rsidR="00E3549F" w:rsidTr="00F9067F" w14:paraId="6E0C8D34"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E3549F" w:rsidP="00E3549F" w:rsidRDefault="00E3549F" w14:paraId="6C7D70EC" w14:textId="77777777">
            <w:r w:rsidRPr="00154D21">
              <w:t>K</w:t>
            </w:r>
          </w:p>
        </w:tc>
        <w:tc>
          <w:tcPr>
            <w:tcW w:w="3855" w:type="dxa"/>
            <w:tcBorders>
              <w:top w:val="nil"/>
              <w:left w:val="nil"/>
              <w:bottom w:val="single" w:color="auto" w:sz="4" w:space="0"/>
              <w:right w:val="single" w:color="auto" w:sz="4" w:space="0"/>
            </w:tcBorders>
            <w:shd w:val="clear" w:color="000000" w:fill="FFFFFF"/>
            <w:noWrap/>
            <w:vAlign w:val="center"/>
            <w:hideMark/>
          </w:tcPr>
          <w:p w:rsidRPr="00154D21" w:rsidR="00E3549F" w:rsidP="00E3549F" w:rsidRDefault="00E3549F" w14:paraId="23620EB0" w14:textId="77777777">
            <w:r w:rsidRPr="00154D21">
              <w:t>Huidig resultaat investering</w:t>
            </w:r>
          </w:p>
        </w:tc>
        <w:tc>
          <w:tcPr>
            <w:tcW w:w="1985" w:type="dxa"/>
            <w:tcBorders>
              <w:top w:val="nil"/>
              <w:left w:val="nil"/>
              <w:bottom w:val="single" w:color="auto" w:sz="4" w:space="0"/>
              <w:right w:val="single" w:color="auto" w:sz="4" w:space="0"/>
            </w:tcBorders>
            <w:shd w:val="clear" w:color="000000" w:fill="FFFFFF"/>
            <w:noWrap/>
            <w:hideMark/>
          </w:tcPr>
          <w:p w:rsidRPr="006D2F8D" w:rsidR="00E3549F" w:rsidP="00F9067F" w:rsidRDefault="00E3549F" w14:paraId="03DA40A5" w14:textId="7F4F0B79">
            <w:pPr>
              <w:jc w:val="center"/>
              <w:rPr>
                <w:highlight w:val="yellow"/>
              </w:rPr>
            </w:pPr>
            <w:r w:rsidRPr="00E33D24">
              <w:t>0</w:t>
            </w:r>
            <w:r w:rsidR="00B0703B">
              <w:t>,</w:t>
            </w:r>
            <w:r w:rsidR="0057420D">
              <w:t>3</w:t>
            </w:r>
          </w:p>
        </w:tc>
        <w:tc>
          <w:tcPr>
            <w:tcW w:w="1158" w:type="dxa"/>
            <w:tcBorders>
              <w:top w:val="nil"/>
              <w:left w:val="nil"/>
              <w:bottom w:val="single" w:color="auto" w:sz="4" w:space="0"/>
              <w:right w:val="single" w:color="auto" w:sz="4" w:space="0"/>
            </w:tcBorders>
            <w:shd w:val="clear" w:color="000000" w:fill="FFFFFF"/>
            <w:noWrap/>
            <w:vAlign w:val="center"/>
            <w:hideMark/>
          </w:tcPr>
          <w:p w:rsidRPr="00154D21" w:rsidR="00E3549F" w:rsidP="00F9067F" w:rsidRDefault="00E3549F" w14:paraId="66EEB116" w14:textId="77777777">
            <w:pPr>
              <w:jc w:val="center"/>
            </w:pPr>
            <w:r w:rsidRPr="00154D21">
              <w:t>(I+H)</w:t>
            </w:r>
          </w:p>
        </w:tc>
      </w:tr>
    </w:tbl>
    <w:p w:rsidR="00B3572B" w:rsidP="00B3572B" w:rsidRDefault="00B3572B" w14:paraId="7291F986" w14:textId="77777777"/>
    <w:p w:rsidR="00B3572B" w:rsidP="00B3572B" w:rsidRDefault="00B3572B" w14:paraId="651E90C6" w14:textId="77777777">
      <w:r w:rsidRPr="00B3572B">
        <w:t>Met de afronding van dit verkoopprogramma is een volgende stap gezet in het op verantwoorde wijze terugbrengen van ABN AMRO naar de markt. Zoals gebruikelijk zal ik uw Kamer (indien nodig vertrouwelijk) informeren op het moment dat er nieuwe ontwikkelingen zijn.</w:t>
      </w:r>
    </w:p>
    <w:p w:rsidR="00B3572B" w:rsidP="00B3572B" w:rsidRDefault="00B3572B" w14:paraId="60A4E8F3" w14:textId="77777777"/>
    <w:p w:rsidR="00641851" w:rsidP="00B3572B" w:rsidRDefault="007D070A" w14:paraId="31899722" w14:textId="77777777">
      <w:r>
        <w:t>Hoogachtend,</w:t>
      </w:r>
    </w:p>
    <w:p w:rsidR="00641851" w:rsidRDefault="00641851" w14:paraId="0677B99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41851" w14:paraId="1A1B706F" w14:textId="77777777">
        <w:tc>
          <w:tcPr>
            <w:tcW w:w="3592" w:type="dxa"/>
          </w:tcPr>
          <w:p w:rsidR="00641851" w:rsidRDefault="007D070A" w14:paraId="3A16845B" w14:textId="77777777">
            <w:proofErr w:type="gramStart"/>
            <w:r>
              <w:t>de</w:t>
            </w:r>
            <w:proofErr w:type="gramEnd"/>
            <w:r>
              <w:t xml:space="preserve"> minister van Financiën,</w:t>
            </w:r>
            <w:r>
              <w:br/>
            </w:r>
            <w:r>
              <w:br/>
            </w:r>
            <w:r>
              <w:br/>
            </w:r>
            <w:r>
              <w:br/>
            </w:r>
            <w:r>
              <w:br/>
              <w:t>E. Heinen</w:t>
            </w:r>
          </w:p>
        </w:tc>
        <w:tc>
          <w:tcPr>
            <w:tcW w:w="3892" w:type="dxa"/>
          </w:tcPr>
          <w:p w:rsidR="00641851" w:rsidRDefault="00641851" w14:paraId="0CE075FF" w14:textId="77777777"/>
        </w:tc>
      </w:tr>
      <w:tr w:rsidR="00641851" w14:paraId="645A591E" w14:textId="77777777">
        <w:tc>
          <w:tcPr>
            <w:tcW w:w="3592" w:type="dxa"/>
          </w:tcPr>
          <w:p w:rsidR="00641851" w:rsidRDefault="00641851" w14:paraId="798B2792" w14:textId="77777777"/>
        </w:tc>
        <w:tc>
          <w:tcPr>
            <w:tcW w:w="3892" w:type="dxa"/>
          </w:tcPr>
          <w:p w:rsidR="00641851" w:rsidRDefault="00641851" w14:paraId="6A79F935" w14:textId="77777777"/>
        </w:tc>
      </w:tr>
      <w:tr w:rsidR="00641851" w14:paraId="0F5BDFDF" w14:textId="77777777">
        <w:tc>
          <w:tcPr>
            <w:tcW w:w="3592" w:type="dxa"/>
          </w:tcPr>
          <w:p w:rsidR="00641851" w:rsidRDefault="00641851" w14:paraId="7919BF31" w14:textId="77777777"/>
        </w:tc>
        <w:tc>
          <w:tcPr>
            <w:tcW w:w="3892" w:type="dxa"/>
          </w:tcPr>
          <w:p w:rsidR="00641851" w:rsidRDefault="00641851" w14:paraId="6BC8BF32" w14:textId="77777777"/>
        </w:tc>
      </w:tr>
      <w:tr w:rsidR="00641851" w14:paraId="3FD43846" w14:textId="77777777">
        <w:tc>
          <w:tcPr>
            <w:tcW w:w="3592" w:type="dxa"/>
          </w:tcPr>
          <w:p w:rsidR="00641851" w:rsidRDefault="00641851" w14:paraId="52A8277B" w14:textId="77777777"/>
        </w:tc>
        <w:tc>
          <w:tcPr>
            <w:tcW w:w="3892" w:type="dxa"/>
          </w:tcPr>
          <w:p w:rsidR="00641851" w:rsidRDefault="00641851" w14:paraId="17FF7FBD" w14:textId="77777777"/>
        </w:tc>
      </w:tr>
    </w:tbl>
    <w:p w:rsidR="00641851" w:rsidP="00F9067F" w:rsidRDefault="00641851" w14:paraId="4B7F9B43" w14:textId="77777777">
      <w:pPr>
        <w:pStyle w:val="Verdana7"/>
      </w:pPr>
    </w:p>
    <w:sectPr w:rsidR="0064185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021F" w14:textId="77777777" w:rsidR="00E97FC9" w:rsidRDefault="00E97FC9">
      <w:pPr>
        <w:spacing w:line="240" w:lineRule="auto"/>
      </w:pPr>
      <w:r>
        <w:separator/>
      </w:r>
    </w:p>
  </w:endnote>
  <w:endnote w:type="continuationSeparator" w:id="0">
    <w:p w14:paraId="7BB5D1AD" w14:textId="77777777" w:rsidR="00E97FC9" w:rsidRDefault="00E97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4E4F" w14:textId="77777777" w:rsidR="00E97FC9" w:rsidRDefault="00E97FC9">
      <w:pPr>
        <w:spacing w:line="240" w:lineRule="auto"/>
      </w:pPr>
      <w:r>
        <w:separator/>
      </w:r>
    </w:p>
  </w:footnote>
  <w:footnote w:type="continuationSeparator" w:id="0">
    <w:p w14:paraId="70DA7192" w14:textId="77777777" w:rsidR="00E97FC9" w:rsidRDefault="00E97FC9">
      <w:pPr>
        <w:spacing w:line="240" w:lineRule="auto"/>
      </w:pPr>
      <w:r>
        <w:continuationSeparator/>
      </w:r>
    </w:p>
  </w:footnote>
  <w:footnote w:id="1">
    <w:p w14:paraId="1B33D2ED" w14:textId="77777777" w:rsidR="00CA6205" w:rsidRDefault="00CA6205" w:rsidP="00CA6205">
      <w:pPr>
        <w:pStyle w:val="Voetnoottekst"/>
      </w:pPr>
      <w:r>
        <w:rPr>
          <w:rStyle w:val="Voetnootmarkering"/>
        </w:rPr>
        <w:footnoteRef/>
      </w:r>
      <w:r w:rsidRPr="001E1A2D">
        <w:rPr>
          <w:sz w:val="18"/>
          <w:szCs w:val="18"/>
        </w:rPr>
        <w:t xml:space="preserve"> Kamerstukken 2024-2025, 31 789, nr. 122</w:t>
      </w:r>
    </w:p>
  </w:footnote>
  <w:footnote w:id="2">
    <w:p w14:paraId="2E2F90DD" w14:textId="77777777" w:rsidR="00E3549F" w:rsidRDefault="00E3549F">
      <w:pPr>
        <w:pStyle w:val="Voetnoottekst"/>
      </w:pPr>
      <w:r w:rsidRPr="00F9067F">
        <w:rPr>
          <w:sz w:val="18"/>
          <w:szCs w:val="18"/>
        </w:rPr>
        <w:footnoteRef/>
      </w:r>
      <w:r w:rsidRPr="00F9067F">
        <w:rPr>
          <w:sz w:val="18"/>
          <w:szCs w:val="18"/>
        </w:rPr>
        <w:t xml:space="preserve"> Meest recent in</w:t>
      </w:r>
      <w:r w:rsidR="007F2579" w:rsidRPr="00F9067F">
        <w:rPr>
          <w:sz w:val="18"/>
          <w:szCs w:val="18"/>
        </w:rPr>
        <w:t xml:space="preserve"> Kamerstukken 2025-2026, 28 165, nr. 468.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6F3E" w14:textId="77777777" w:rsidR="00641851" w:rsidRDefault="007D070A">
    <w:r>
      <w:rPr>
        <w:noProof/>
      </w:rPr>
      <mc:AlternateContent>
        <mc:Choice Requires="wps">
          <w:drawing>
            <wp:anchor distT="0" distB="0" distL="0" distR="0" simplePos="0" relativeHeight="251652096" behindDoc="0" locked="1" layoutInCell="1" allowOverlap="1" wp14:anchorId="21FE5855" wp14:editId="358F85E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06AA49" w14:textId="77777777" w:rsidR="00641851" w:rsidRDefault="007D070A">
                          <w:pPr>
                            <w:pStyle w:val="StandaardReferentiegegevensKop"/>
                          </w:pPr>
                          <w:r>
                            <w:t>Ons kenmerk</w:t>
                          </w:r>
                        </w:p>
                        <w:p w14:paraId="69BF8144" w14:textId="79DA3B75" w:rsidR="005C05DF" w:rsidRDefault="008C79C4">
                          <w:pPr>
                            <w:pStyle w:val="StandaardReferentiegegevens"/>
                          </w:pPr>
                          <w:fldSimple w:instr=" DOCPROPERTY  &quot;Kenmerk&quot;  \* MERGEFORMAT ">
                            <w:r w:rsidR="00B614A8">
                              <w:t>2026-0000267375</w:t>
                            </w:r>
                          </w:fldSimple>
                        </w:p>
                      </w:txbxContent>
                    </wps:txbx>
                    <wps:bodyPr vert="horz" wrap="square" lIns="0" tIns="0" rIns="0" bIns="0" anchor="t" anchorCtr="0"/>
                  </wps:wsp>
                </a:graphicData>
              </a:graphic>
            </wp:anchor>
          </w:drawing>
        </mc:Choice>
        <mc:Fallback>
          <w:pict>
            <v:shapetype w14:anchorId="21FE585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B06AA49" w14:textId="77777777" w:rsidR="00641851" w:rsidRDefault="007D070A">
                    <w:pPr>
                      <w:pStyle w:val="StandaardReferentiegegevensKop"/>
                    </w:pPr>
                    <w:r>
                      <w:t>Ons kenmerk</w:t>
                    </w:r>
                  </w:p>
                  <w:p w14:paraId="69BF8144" w14:textId="79DA3B75" w:rsidR="005C05DF" w:rsidRDefault="008C79C4">
                    <w:pPr>
                      <w:pStyle w:val="StandaardReferentiegegevens"/>
                    </w:pPr>
                    <w:fldSimple w:instr=" DOCPROPERTY  &quot;Kenmerk&quot;  \* MERGEFORMAT ">
                      <w:r w:rsidR="00B614A8">
                        <w:t>2026-0000267375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E0FC9C6" wp14:editId="1EBCA43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C8754B" w14:textId="77777777" w:rsidR="00D455E4" w:rsidRDefault="00CC231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E0FC9C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BC8754B" w14:textId="77777777" w:rsidR="00D455E4" w:rsidRDefault="00CC231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5F5CD44" wp14:editId="01D0956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BB54712" w14:textId="4D118405" w:rsidR="00D455E4" w:rsidRDefault="00CC231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F5CD4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BB54712" w14:textId="4D118405" w:rsidR="00D455E4" w:rsidRDefault="00CC231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A7C6" w14:textId="77777777" w:rsidR="00641851" w:rsidRDefault="007D070A">
    <w:pPr>
      <w:spacing w:after="7029" w:line="14" w:lineRule="exact"/>
    </w:pPr>
    <w:r>
      <w:rPr>
        <w:noProof/>
      </w:rPr>
      <mc:AlternateContent>
        <mc:Choice Requires="wps">
          <w:drawing>
            <wp:anchor distT="0" distB="0" distL="0" distR="0" simplePos="0" relativeHeight="251655168" behindDoc="0" locked="1" layoutInCell="1" allowOverlap="1" wp14:anchorId="39FF5E64" wp14:editId="14D4E5F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8ABB693" w14:textId="77777777" w:rsidR="00641851" w:rsidRDefault="007D070A">
                          <w:pPr>
                            <w:spacing w:line="240" w:lineRule="auto"/>
                          </w:pPr>
                          <w:r>
                            <w:rPr>
                              <w:noProof/>
                            </w:rPr>
                            <w:drawing>
                              <wp:inline distT="0" distB="0" distL="0" distR="0" wp14:anchorId="1B2ED574" wp14:editId="6EBF88E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FF5E6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8ABB693" w14:textId="77777777" w:rsidR="00641851" w:rsidRDefault="007D070A">
                    <w:pPr>
                      <w:spacing w:line="240" w:lineRule="auto"/>
                    </w:pPr>
                    <w:r>
                      <w:rPr>
                        <w:noProof/>
                      </w:rPr>
                      <w:drawing>
                        <wp:inline distT="0" distB="0" distL="0" distR="0" wp14:anchorId="1B2ED574" wp14:editId="6EBF88E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6880C94" wp14:editId="6C57524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9D131D" w14:textId="77777777" w:rsidR="007D070A" w:rsidRDefault="007D070A"/>
                      </w:txbxContent>
                    </wps:txbx>
                    <wps:bodyPr vert="horz" wrap="square" lIns="0" tIns="0" rIns="0" bIns="0" anchor="t" anchorCtr="0"/>
                  </wps:wsp>
                </a:graphicData>
              </a:graphic>
            </wp:anchor>
          </w:drawing>
        </mc:Choice>
        <mc:Fallback>
          <w:pict>
            <v:shape w14:anchorId="46880C9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9D131D" w14:textId="77777777" w:rsidR="007D070A" w:rsidRDefault="007D070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CFD00DA" wp14:editId="4116A3E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6F6896" w14:textId="77777777" w:rsidR="00641851" w:rsidRDefault="007D070A">
                          <w:pPr>
                            <w:pStyle w:val="StandaardReferentiegegevens"/>
                          </w:pPr>
                          <w:r>
                            <w:t>Korte Voorhout 7</w:t>
                          </w:r>
                        </w:p>
                        <w:p w14:paraId="2F0C137E" w14:textId="77777777" w:rsidR="00641851" w:rsidRDefault="007D070A">
                          <w:pPr>
                            <w:pStyle w:val="StandaardReferentiegegevens"/>
                          </w:pPr>
                          <w:r>
                            <w:t>2511 CW  'S-GRAVENHAGE</w:t>
                          </w:r>
                        </w:p>
                        <w:p w14:paraId="7D5489CF" w14:textId="77777777" w:rsidR="00641851" w:rsidRDefault="007D070A">
                          <w:pPr>
                            <w:pStyle w:val="StandaardReferentiegegevens"/>
                          </w:pPr>
                          <w:r>
                            <w:t>POSTBUS 20201</w:t>
                          </w:r>
                        </w:p>
                        <w:p w14:paraId="2F37BD84" w14:textId="77777777" w:rsidR="00641851" w:rsidRPr="00B3572B" w:rsidRDefault="007D070A">
                          <w:pPr>
                            <w:pStyle w:val="StandaardReferentiegegevens"/>
                            <w:rPr>
                              <w:lang w:val="es-ES"/>
                            </w:rPr>
                          </w:pPr>
                          <w:r w:rsidRPr="00B3572B">
                            <w:rPr>
                              <w:lang w:val="es-ES"/>
                            </w:rPr>
                            <w:t xml:space="preserve">2500 </w:t>
                          </w:r>
                          <w:proofErr w:type="gramStart"/>
                          <w:r w:rsidRPr="00B3572B">
                            <w:rPr>
                              <w:lang w:val="es-ES"/>
                            </w:rPr>
                            <w:t>EE  '</w:t>
                          </w:r>
                          <w:proofErr w:type="gramEnd"/>
                          <w:r w:rsidRPr="00B3572B">
                            <w:rPr>
                              <w:lang w:val="es-ES"/>
                            </w:rPr>
                            <w:t>S-GRAVENHAGE</w:t>
                          </w:r>
                        </w:p>
                        <w:p w14:paraId="086E396A" w14:textId="77777777" w:rsidR="00641851" w:rsidRPr="00B3572B" w:rsidRDefault="007D070A">
                          <w:pPr>
                            <w:pStyle w:val="StandaardReferentiegegevens"/>
                            <w:rPr>
                              <w:lang w:val="es-ES"/>
                            </w:rPr>
                          </w:pPr>
                          <w:r w:rsidRPr="00B3572B">
                            <w:rPr>
                              <w:lang w:val="es-ES"/>
                            </w:rPr>
                            <w:t>www.rijksoverheid.nl/fin</w:t>
                          </w:r>
                        </w:p>
                        <w:p w14:paraId="079D3D6D" w14:textId="77777777" w:rsidR="00641851" w:rsidRPr="00B3572B" w:rsidRDefault="00641851">
                          <w:pPr>
                            <w:pStyle w:val="WitregelW2"/>
                            <w:rPr>
                              <w:lang w:val="es-ES"/>
                            </w:rPr>
                          </w:pPr>
                        </w:p>
                        <w:p w14:paraId="364A2EA1" w14:textId="77777777" w:rsidR="00641851" w:rsidRDefault="007D070A">
                          <w:pPr>
                            <w:pStyle w:val="StandaardReferentiegegevensKop"/>
                          </w:pPr>
                          <w:r>
                            <w:t>Ons kenmerk</w:t>
                          </w:r>
                        </w:p>
                        <w:p w14:paraId="56EB9A86" w14:textId="6109D750" w:rsidR="005C05DF" w:rsidRDefault="008C79C4">
                          <w:pPr>
                            <w:pStyle w:val="StandaardReferentiegegevens"/>
                          </w:pPr>
                          <w:fldSimple w:instr=" DOCPROPERTY  &quot;Kenmerk&quot;  \* MERGEFORMAT ">
                            <w:r w:rsidR="00B614A8">
                              <w:t>2026-0000267375</w:t>
                            </w:r>
                          </w:fldSimple>
                        </w:p>
                        <w:p w14:paraId="2793DDD3" w14:textId="77777777" w:rsidR="00641851" w:rsidRDefault="00641851">
                          <w:pPr>
                            <w:pStyle w:val="WitregelW1"/>
                          </w:pPr>
                        </w:p>
                        <w:p w14:paraId="6EB1A4A4" w14:textId="77777777" w:rsidR="00641851" w:rsidRDefault="007D070A">
                          <w:pPr>
                            <w:pStyle w:val="StandaardReferentiegegevensKop"/>
                          </w:pPr>
                          <w:r>
                            <w:t>Uw brief (kenmerk)</w:t>
                          </w:r>
                        </w:p>
                        <w:p w14:paraId="3006223D" w14:textId="0442307E" w:rsidR="00D455E4" w:rsidRDefault="00CC2316">
                          <w:pPr>
                            <w:pStyle w:val="StandaardReferentiegegevens"/>
                          </w:pPr>
                          <w:r>
                            <w:fldChar w:fldCharType="begin"/>
                          </w:r>
                          <w:r>
                            <w:instrText xml:space="preserve"> DOCPROPERTY  "UwKenmerk"  \* MERGEFORMAT </w:instrText>
                          </w:r>
                          <w:r>
                            <w:fldChar w:fldCharType="end"/>
                          </w:r>
                        </w:p>
                        <w:p w14:paraId="765C3EF8" w14:textId="77777777" w:rsidR="00641851" w:rsidRDefault="00641851">
                          <w:pPr>
                            <w:pStyle w:val="WitregelW1"/>
                          </w:pPr>
                        </w:p>
                        <w:p w14:paraId="4BE8B4DE" w14:textId="77777777" w:rsidR="00641851" w:rsidRDefault="007D070A">
                          <w:pPr>
                            <w:pStyle w:val="StandaardReferentiegegevensKop"/>
                          </w:pPr>
                          <w:r>
                            <w:t>Bijlagen</w:t>
                          </w:r>
                        </w:p>
                        <w:p w14:paraId="396F7D65" w14:textId="77777777" w:rsidR="00641851" w:rsidRDefault="007D070A">
                          <w:pPr>
                            <w:pStyle w:val="StandaardReferentiegegevens"/>
                          </w:pPr>
                          <w:r>
                            <w:t>1. Persbericht NLFI</w:t>
                          </w:r>
                        </w:p>
                      </w:txbxContent>
                    </wps:txbx>
                    <wps:bodyPr vert="horz" wrap="square" lIns="0" tIns="0" rIns="0" bIns="0" anchor="t" anchorCtr="0"/>
                  </wps:wsp>
                </a:graphicData>
              </a:graphic>
            </wp:anchor>
          </w:drawing>
        </mc:Choice>
        <mc:Fallback>
          <w:pict>
            <v:shape w14:anchorId="6CFD00D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A6F6896" w14:textId="77777777" w:rsidR="00641851" w:rsidRDefault="007D070A">
                    <w:pPr>
                      <w:pStyle w:val="StandaardReferentiegegevens"/>
                    </w:pPr>
                    <w:r>
                      <w:t>Korte Voorhout 7</w:t>
                    </w:r>
                  </w:p>
                  <w:p w14:paraId="2F0C137E" w14:textId="77777777" w:rsidR="00641851" w:rsidRDefault="007D070A">
                    <w:pPr>
                      <w:pStyle w:val="StandaardReferentiegegevens"/>
                    </w:pPr>
                    <w:r>
                      <w:t>2511 CW  'S-GRAVENHAGE</w:t>
                    </w:r>
                  </w:p>
                  <w:p w14:paraId="7D5489CF" w14:textId="77777777" w:rsidR="00641851" w:rsidRDefault="007D070A">
                    <w:pPr>
                      <w:pStyle w:val="StandaardReferentiegegevens"/>
                    </w:pPr>
                    <w:r>
                      <w:t>POSTBUS 20201</w:t>
                    </w:r>
                  </w:p>
                  <w:p w14:paraId="2F37BD84" w14:textId="77777777" w:rsidR="00641851" w:rsidRPr="00B3572B" w:rsidRDefault="007D070A">
                    <w:pPr>
                      <w:pStyle w:val="StandaardReferentiegegevens"/>
                      <w:rPr>
                        <w:lang w:val="es-ES"/>
                      </w:rPr>
                    </w:pPr>
                    <w:r w:rsidRPr="00B3572B">
                      <w:rPr>
                        <w:lang w:val="es-ES"/>
                      </w:rPr>
                      <w:t xml:space="preserve">2500 </w:t>
                    </w:r>
                    <w:proofErr w:type="gramStart"/>
                    <w:r w:rsidRPr="00B3572B">
                      <w:rPr>
                        <w:lang w:val="es-ES"/>
                      </w:rPr>
                      <w:t>EE  '</w:t>
                    </w:r>
                    <w:proofErr w:type="gramEnd"/>
                    <w:r w:rsidRPr="00B3572B">
                      <w:rPr>
                        <w:lang w:val="es-ES"/>
                      </w:rPr>
                      <w:t>S-GRAVENHAGE</w:t>
                    </w:r>
                  </w:p>
                  <w:p w14:paraId="086E396A" w14:textId="77777777" w:rsidR="00641851" w:rsidRPr="00B3572B" w:rsidRDefault="007D070A">
                    <w:pPr>
                      <w:pStyle w:val="StandaardReferentiegegevens"/>
                      <w:rPr>
                        <w:lang w:val="es-ES"/>
                      </w:rPr>
                    </w:pPr>
                    <w:r w:rsidRPr="00B3572B">
                      <w:rPr>
                        <w:lang w:val="es-ES"/>
                      </w:rPr>
                      <w:t>www.rijksoverheid.nl/fin</w:t>
                    </w:r>
                  </w:p>
                  <w:p w14:paraId="079D3D6D" w14:textId="77777777" w:rsidR="00641851" w:rsidRPr="00B3572B" w:rsidRDefault="00641851">
                    <w:pPr>
                      <w:pStyle w:val="WitregelW2"/>
                      <w:rPr>
                        <w:lang w:val="es-ES"/>
                      </w:rPr>
                    </w:pPr>
                  </w:p>
                  <w:p w14:paraId="364A2EA1" w14:textId="77777777" w:rsidR="00641851" w:rsidRDefault="007D070A">
                    <w:pPr>
                      <w:pStyle w:val="StandaardReferentiegegevensKop"/>
                    </w:pPr>
                    <w:r>
                      <w:t>Ons kenmerk</w:t>
                    </w:r>
                  </w:p>
                  <w:p w14:paraId="56EB9A86" w14:textId="6109D750" w:rsidR="005C05DF" w:rsidRDefault="008C79C4">
                    <w:pPr>
                      <w:pStyle w:val="StandaardReferentiegegevens"/>
                    </w:pPr>
                    <w:fldSimple w:instr=" DOCPROPERTY  &quot;Kenmerk&quot;  \* MERGEFORMAT ">
                      <w:r w:rsidR="00B614A8">
                        <w:t>2026-0000267375</w:t>
                      </w:r>
                    </w:fldSimple>
                  </w:p>
                  <w:p w14:paraId="2793DDD3" w14:textId="77777777" w:rsidR="00641851" w:rsidRDefault="00641851">
                    <w:pPr>
                      <w:pStyle w:val="WitregelW1"/>
                    </w:pPr>
                  </w:p>
                  <w:p w14:paraId="6EB1A4A4" w14:textId="77777777" w:rsidR="00641851" w:rsidRDefault="007D070A">
                    <w:pPr>
                      <w:pStyle w:val="StandaardReferentiegegevensKop"/>
                    </w:pPr>
                    <w:r>
                      <w:t>Uw brief (kenmerk)</w:t>
                    </w:r>
                  </w:p>
                  <w:p w14:paraId="3006223D" w14:textId="0442307E" w:rsidR="00D455E4" w:rsidRDefault="00CC2316">
                    <w:pPr>
                      <w:pStyle w:val="StandaardReferentiegegevens"/>
                    </w:pPr>
                    <w:r>
                      <w:fldChar w:fldCharType="begin"/>
                    </w:r>
                    <w:r>
                      <w:instrText xml:space="preserve"> DOCPROPERTY  "UwKenmerk"  \* MERGEFORMAT </w:instrText>
                    </w:r>
                    <w:r>
                      <w:fldChar w:fldCharType="end"/>
                    </w:r>
                  </w:p>
                  <w:p w14:paraId="765C3EF8" w14:textId="77777777" w:rsidR="00641851" w:rsidRDefault="00641851">
                    <w:pPr>
                      <w:pStyle w:val="WitregelW1"/>
                    </w:pPr>
                  </w:p>
                  <w:p w14:paraId="4BE8B4DE" w14:textId="77777777" w:rsidR="00641851" w:rsidRDefault="007D070A">
                    <w:pPr>
                      <w:pStyle w:val="StandaardReferentiegegevensKop"/>
                    </w:pPr>
                    <w:r>
                      <w:t>Bijlagen</w:t>
                    </w:r>
                  </w:p>
                  <w:p w14:paraId="396F7D65" w14:textId="77777777" w:rsidR="00641851" w:rsidRDefault="007D070A">
                    <w:pPr>
                      <w:pStyle w:val="StandaardReferentiegegevens"/>
                    </w:pPr>
                    <w:r>
                      <w:t>1. Persbericht NLFI</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9AC6BD" wp14:editId="78C6F0C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3472974" w14:textId="77777777" w:rsidR="00641851" w:rsidRDefault="007D070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C9AC6B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3472974" w14:textId="77777777" w:rsidR="00641851" w:rsidRDefault="007D070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30F5A36" wp14:editId="7F04765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544ECA8" w14:textId="2D234242" w:rsidR="00D455E4" w:rsidRDefault="00CC2316">
                          <w:pPr>
                            <w:pStyle w:val="Rubricering"/>
                          </w:pPr>
                          <w:r>
                            <w:fldChar w:fldCharType="begin"/>
                          </w:r>
                          <w:r>
                            <w:instrText xml:space="preserve"> DOCPROPERTY  "Rubricering"  \* MERGEFORMAT </w:instrText>
                          </w:r>
                          <w:r>
                            <w:fldChar w:fldCharType="end"/>
                          </w:r>
                        </w:p>
                        <w:p w14:paraId="050E8AD5" w14:textId="77777777" w:rsidR="00B614A8" w:rsidRDefault="007D070A">
                          <w:r>
                            <w:fldChar w:fldCharType="begin"/>
                          </w:r>
                          <w:r w:rsidR="00CC2316">
                            <w:instrText xml:space="preserve"> DOCPROPERTY  "Aan"  \* MERGEFORMAT </w:instrText>
                          </w:r>
                          <w:r>
                            <w:fldChar w:fldCharType="separate"/>
                          </w:r>
                          <w:r w:rsidR="00B614A8">
                            <w:t>Voorzitter van de Tweede Kamer der Staten-Generaal</w:t>
                          </w:r>
                        </w:p>
                        <w:p w14:paraId="4290F556" w14:textId="77777777" w:rsidR="00B614A8" w:rsidRDefault="00B614A8">
                          <w:r>
                            <w:t>Postbus 20018</w:t>
                          </w:r>
                        </w:p>
                        <w:p w14:paraId="59513B7D" w14:textId="77777777" w:rsidR="00B614A8" w:rsidRDefault="00B614A8">
                          <w:r>
                            <w:t>2500 EA  DEN HAAG</w:t>
                          </w:r>
                        </w:p>
                        <w:p w14:paraId="46CCBCD9" w14:textId="77777777" w:rsidR="00B614A8" w:rsidRDefault="00B614A8"/>
                        <w:p w14:paraId="642DFBF7" w14:textId="77777777" w:rsidR="00641851" w:rsidRDefault="007D070A">
                          <w:r>
                            <w:fldChar w:fldCharType="end"/>
                          </w:r>
                        </w:p>
                      </w:txbxContent>
                    </wps:txbx>
                    <wps:bodyPr vert="horz" wrap="square" lIns="0" tIns="0" rIns="0" bIns="0" anchor="t" anchorCtr="0"/>
                  </wps:wsp>
                </a:graphicData>
              </a:graphic>
            </wp:anchor>
          </w:drawing>
        </mc:Choice>
        <mc:Fallback>
          <w:pict>
            <v:shape w14:anchorId="030F5A3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544ECA8" w14:textId="2D234242" w:rsidR="00D455E4" w:rsidRDefault="00CC2316">
                    <w:pPr>
                      <w:pStyle w:val="Rubricering"/>
                    </w:pPr>
                    <w:r>
                      <w:fldChar w:fldCharType="begin"/>
                    </w:r>
                    <w:r>
                      <w:instrText xml:space="preserve"> DOCPROPERTY  "Rubricering"  \* MERGEFORMAT </w:instrText>
                    </w:r>
                    <w:r>
                      <w:fldChar w:fldCharType="end"/>
                    </w:r>
                  </w:p>
                  <w:p w14:paraId="050E8AD5" w14:textId="77777777" w:rsidR="00B614A8" w:rsidRDefault="007D070A">
                    <w:r>
                      <w:fldChar w:fldCharType="begin"/>
                    </w:r>
                    <w:r w:rsidR="00CC2316">
                      <w:instrText xml:space="preserve"> DOCPROPERTY  "Aan"  \* MERGEFORMAT </w:instrText>
                    </w:r>
                    <w:r>
                      <w:fldChar w:fldCharType="separate"/>
                    </w:r>
                    <w:r w:rsidR="00B614A8">
                      <w:t>Voorzitter van de Tweede Kamer der Staten-Generaal</w:t>
                    </w:r>
                  </w:p>
                  <w:p w14:paraId="4290F556" w14:textId="77777777" w:rsidR="00B614A8" w:rsidRDefault="00B614A8">
                    <w:r>
                      <w:t>Postbus 20018</w:t>
                    </w:r>
                  </w:p>
                  <w:p w14:paraId="59513B7D" w14:textId="77777777" w:rsidR="00B614A8" w:rsidRDefault="00B614A8">
                    <w:r>
                      <w:t>2500 EA  DEN HAAG</w:t>
                    </w:r>
                  </w:p>
                  <w:p w14:paraId="46CCBCD9" w14:textId="77777777" w:rsidR="00B614A8" w:rsidRDefault="00B614A8"/>
                  <w:p w14:paraId="642DFBF7" w14:textId="77777777" w:rsidR="00641851" w:rsidRDefault="007D070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93D1F08" wp14:editId="68DC59A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D02AB4" w14:textId="77777777" w:rsidR="00D455E4" w:rsidRDefault="00CC231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93D1F0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D02AB4" w14:textId="77777777" w:rsidR="00D455E4" w:rsidRDefault="00CC231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86792FC" wp14:editId="687EC66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41851" w14:paraId="2448EA45" w14:textId="77777777">
                            <w:trPr>
                              <w:trHeight w:val="200"/>
                            </w:trPr>
                            <w:tc>
                              <w:tcPr>
                                <w:tcW w:w="1140" w:type="dxa"/>
                              </w:tcPr>
                              <w:p w14:paraId="5A5B40BC" w14:textId="77777777" w:rsidR="00641851" w:rsidRDefault="00641851"/>
                            </w:tc>
                            <w:tc>
                              <w:tcPr>
                                <w:tcW w:w="5400" w:type="dxa"/>
                              </w:tcPr>
                              <w:p w14:paraId="79CF6454" w14:textId="77777777" w:rsidR="00641851" w:rsidRDefault="00641851"/>
                            </w:tc>
                          </w:tr>
                          <w:tr w:rsidR="00641851" w14:paraId="731E19DD" w14:textId="77777777">
                            <w:trPr>
                              <w:trHeight w:val="240"/>
                            </w:trPr>
                            <w:tc>
                              <w:tcPr>
                                <w:tcW w:w="1140" w:type="dxa"/>
                              </w:tcPr>
                              <w:p w14:paraId="1C50275E" w14:textId="77777777" w:rsidR="00641851" w:rsidRDefault="007D070A">
                                <w:r>
                                  <w:t>Datum</w:t>
                                </w:r>
                              </w:p>
                            </w:tc>
                            <w:tc>
                              <w:tcPr>
                                <w:tcW w:w="5400" w:type="dxa"/>
                              </w:tcPr>
                              <w:p w14:paraId="4A0313DE" w14:textId="2B096C8A" w:rsidR="00641851" w:rsidRDefault="0003133A">
                                <w:r>
                                  <w:t>22 juli 2026</w:t>
                                </w:r>
                              </w:p>
                            </w:tc>
                          </w:tr>
                          <w:tr w:rsidR="00641851" w14:paraId="6D2EF5EF" w14:textId="77777777">
                            <w:trPr>
                              <w:trHeight w:val="240"/>
                            </w:trPr>
                            <w:tc>
                              <w:tcPr>
                                <w:tcW w:w="1140" w:type="dxa"/>
                              </w:tcPr>
                              <w:p w14:paraId="64D33AE7" w14:textId="77777777" w:rsidR="00641851" w:rsidRDefault="007D070A">
                                <w:r>
                                  <w:t>Betreft</w:t>
                                </w:r>
                              </w:p>
                            </w:tc>
                            <w:tc>
                              <w:tcPr>
                                <w:tcW w:w="5400" w:type="dxa"/>
                              </w:tcPr>
                              <w:p w14:paraId="1687A76E" w14:textId="3A210323" w:rsidR="005C05DF" w:rsidRDefault="008C79C4">
                                <w:fldSimple w:instr=" DOCPROPERTY  &quot;Onderwerp&quot;  \* MERGEFORMAT ">
                                  <w:r w:rsidR="00B614A8">
                                    <w:t>Afronding verkoopprogramma ABN AMRO</w:t>
                                  </w:r>
                                </w:fldSimple>
                              </w:p>
                            </w:tc>
                          </w:tr>
                          <w:tr w:rsidR="00641851" w14:paraId="1778DA14" w14:textId="77777777">
                            <w:trPr>
                              <w:trHeight w:val="200"/>
                            </w:trPr>
                            <w:tc>
                              <w:tcPr>
                                <w:tcW w:w="1140" w:type="dxa"/>
                              </w:tcPr>
                              <w:p w14:paraId="3D9DBCE6" w14:textId="77777777" w:rsidR="00641851" w:rsidRDefault="00641851"/>
                            </w:tc>
                            <w:tc>
                              <w:tcPr>
                                <w:tcW w:w="4738" w:type="dxa"/>
                              </w:tcPr>
                              <w:p w14:paraId="67648CC2" w14:textId="77777777" w:rsidR="00641851" w:rsidRDefault="00641851"/>
                            </w:tc>
                          </w:tr>
                        </w:tbl>
                        <w:p w14:paraId="1252DE73" w14:textId="77777777" w:rsidR="007D070A" w:rsidRDefault="007D070A"/>
                      </w:txbxContent>
                    </wps:txbx>
                    <wps:bodyPr vert="horz" wrap="square" lIns="0" tIns="0" rIns="0" bIns="0" anchor="t" anchorCtr="0"/>
                  </wps:wsp>
                </a:graphicData>
              </a:graphic>
            </wp:anchor>
          </w:drawing>
        </mc:Choice>
        <mc:Fallback>
          <w:pict>
            <v:shape w14:anchorId="686792F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41851" w14:paraId="2448EA45" w14:textId="77777777">
                      <w:trPr>
                        <w:trHeight w:val="200"/>
                      </w:trPr>
                      <w:tc>
                        <w:tcPr>
                          <w:tcW w:w="1140" w:type="dxa"/>
                        </w:tcPr>
                        <w:p w14:paraId="5A5B40BC" w14:textId="77777777" w:rsidR="00641851" w:rsidRDefault="00641851"/>
                      </w:tc>
                      <w:tc>
                        <w:tcPr>
                          <w:tcW w:w="5400" w:type="dxa"/>
                        </w:tcPr>
                        <w:p w14:paraId="79CF6454" w14:textId="77777777" w:rsidR="00641851" w:rsidRDefault="00641851"/>
                      </w:tc>
                    </w:tr>
                    <w:tr w:rsidR="00641851" w14:paraId="731E19DD" w14:textId="77777777">
                      <w:trPr>
                        <w:trHeight w:val="240"/>
                      </w:trPr>
                      <w:tc>
                        <w:tcPr>
                          <w:tcW w:w="1140" w:type="dxa"/>
                        </w:tcPr>
                        <w:p w14:paraId="1C50275E" w14:textId="77777777" w:rsidR="00641851" w:rsidRDefault="007D070A">
                          <w:r>
                            <w:t>Datum</w:t>
                          </w:r>
                        </w:p>
                      </w:tc>
                      <w:tc>
                        <w:tcPr>
                          <w:tcW w:w="5400" w:type="dxa"/>
                        </w:tcPr>
                        <w:p w14:paraId="4A0313DE" w14:textId="2B096C8A" w:rsidR="00641851" w:rsidRDefault="0003133A">
                          <w:r>
                            <w:t>22 juli 2026</w:t>
                          </w:r>
                        </w:p>
                      </w:tc>
                    </w:tr>
                    <w:tr w:rsidR="00641851" w14:paraId="6D2EF5EF" w14:textId="77777777">
                      <w:trPr>
                        <w:trHeight w:val="240"/>
                      </w:trPr>
                      <w:tc>
                        <w:tcPr>
                          <w:tcW w:w="1140" w:type="dxa"/>
                        </w:tcPr>
                        <w:p w14:paraId="64D33AE7" w14:textId="77777777" w:rsidR="00641851" w:rsidRDefault="007D070A">
                          <w:r>
                            <w:t>Betreft</w:t>
                          </w:r>
                        </w:p>
                      </w:tc>
                      <w:tc>
                        <w:tcPr>
                          <w:tcW w:w="5400" w:type="dxa"/>
                        </w:tcPr>
                        <w:p w14:paraId="1687A76E" w14:textId="3A210323" w:rsidR="005C05DF" w:rsidRDefault="008C79C4">
                          <w:fldSimple w:instr=" DOCPROPERTY  &quot;Onderwerp&quot;  \* MERGEFORMAT ">
                            <w:r w:rsidR="00B614A8">
                              <w:t>Afronding verkoopprogramma ABN AMRO</w:t>
                            </w:r>
                          </w:fldSimple>
                        </w:p>
                      </w:tc>
                    </w:tr>
                    <w:tr w:rsidR="00641851" w14:paraId="1778DA14" w14:textId="77777777">
                      <w:trPr>
                        <w:trHeight w:val="200"/>
                      </w:trPr>
                      <w:tc>
                        <w:tcPr>
                          <w:tcW w:w="1140" w:type="dxa"/>
                        </w:tcPr>
                        <w:p w14:paraId="3D9DBCE6" w14:textId="77777777" w:rsidR="00641851" w:rsidRDefault="00641851"/>
                      </w:tc>
                      <w:tc>
                        <w:tcPr>
                          <w:tcW w:w="4738" w:type="dxa"/>
                        </w:tcPr>
                        <w:p w14:paraId="67648CC2" w14:textId="77777777" w:rsidR="00641851" w:rsidRDefault="00641851"/>
                      </w:tc>
                    </w:tr>
                  </w:tbl>
                  <w:p w14:paraId="1252DE73" w14:textId="77777777" w:rsidR="007D070A" w:rsidRDefault="007D070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28E5D18" wp14:editId="0A964F5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C71AD3E" w14:textId="5FA3B50D" w:rsidR="00D455E4" w:rsidRDefault="00CC231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8E5D1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C71AD3E" w14:textId="5FA3B50D" w:rsidR="00D455E4" w:rsidRDefault="00CC231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36E8C7B" wp14:editId="0310164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A02D4D3" w14:textId="77777777" w:rsidR="007D070A" w:rsidRDefault="007D070A"/>
                      </w:txbxContent>
                    </wps:txbx>
                    <wps:bodyPr vert="horz" wrap="square" lIns="0" tIns="0" rIns="0" bIns="0" anchor="t" anchorCtr="0"/>
                  </wps:wsp>
                </a:graphicData>
              </a:graphic>
            </wp:anchor>
          </w:drawing>
        </mc:Choice>
        <mc:Fallback>
          <w:pict>
            <v:shape w14:anchorId="436E8C7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A02D4D3" w14:textId="77777777" w:rsidR="007D070A" w:rsidRDefault="007D070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E3EC"/>
    <w:multiLevelType w:val="multilevel"/>
    <w:tmpl w:val="048D28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108734"/>
    <w:multiLevelType w:val="multilevel"/>
    <w:tmpl w:val="B602AC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32D9642"/>
    <w:multiLevelType w:val="multilevel"/>
    <w:tmpl w:val="1E162F0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CCD69"/>
    <w:multiLevelType w:val="multilevel"/>
    <w:tmpl w:val="44D2C18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6D1534"/>
    <w:multiLevelType w:val="multilevel"/>
    <w:tmpl w:val="365156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867215F"/>
    <w:multiLevelType w:val="multilevel"/>
    <w:tmpl w:val="F1E7E8E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1771755">
    <w:abstractNumId w:val="0"/>
  </w:num>
  <w:num w:numId="2" w16cid:durableId="323899592">
    <w:abstractNumId w:val="5"/>
  </w:num>
  <w:num w:numId="3" w16cid:durableId="1086079154">
    <w:abstractNumId w:val="1"/>
  </w:num>
  <w:num w:numId="4" w16cid:durableId="898789009">
    <w:abstractNumId w:val="4"/>
  </w:num>
  <w:num w:numId="5" w16cid:durableId="51083183">
    <w:abstractNumId w:val="3"/>
  </w:num>
  <w:num w:numId="6" w16cid:durableId="1142651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51"/>
    <w:rsid w:val="0003133A"/>
    <w:rsid w:val="000339FF"/>
    <w:rsid w:val="0004337A"/>
    <w:rsid w:val="00051745"/>
    <w:rsid w:val="000832C7"/>
    <w:rsid w:val="000A5222"/>
    <w:rsid w:val="000B1624"/>
    <w:rsid w:val="000D6ECF"/>
    <w:rsid w:val="00106605"/>
    <w:rsid w:val="00184A17"/>
    <w:rsid w:val="00185A27"/>
    <w:rsid w:val="001E1A2D"/>
    <w:rsid w:val="00201896"/>
    <w:rsid w:val="00205705"/>
    <w:rsid w:val="00206439"/>
    <w:rsid w:val="002329C2"/>
    <w:rsid w:val="00237F25"/>
    <w:rsid w:val="00244DF7"/>
    <w:rsid w:val="00272ED2"/>
    <w:rsid w:val="002D734E"/>
    <w:rsid w:val="002E0304"/>
    <w:rsid w:val="00300C12"/>
    <w:rsid w:val="003166AB"/>
    <w:rsid w:val="003C5F15"/>
    <w:rsid w:val="003D3CB5"/>
    <w:rsid w:val="0040065D"/>
    <w:rsid w:val="00440815"/>
    <w:rsid w:val="004446F8"/>
    <w:rsid w:val="00450C25"/>
    <w:rsid w:val="00451983"/>
    <w:rsid w:val="0050126E"/>
    <w:rsid w:val="00504148"/>
    <w:rsid w:val="00534683"/>
    <w:rsid w:val="00564564"/>
    <w:rsid w:val="0057420D"/>
    <w:rsid w:val="00585216"/>
    <w:rsid w:val="0058533E"/>
    <w:rsid w:val="005B703E"/>
    <w:rsid w:val="005B790C"/>
    <w:rsid w:val="005B7EB3"/>
    <w:rsid w:val="005C05DF"/>
    <w:rsid w:val="005E2DDD"/>
    <w:rsid w:val="00635AAF"/>
    <w:rsid w:val="0063784D"/>
    <w:rsid w:val="00641851"/>
    <w:rsid w:val="006564BB"/>
    <w:rsid w:val="00681562"/>
    <w:rsid w:val="006B0854"/>
    <w:rsid w:val="006D2F8D"/>
    <w:rsid w:val="006D7616"/>
    <w:rsid w:val="00713289"/>
    <w:rsid w:val="00767A62"/>
    <w:rsid w:val="007B1C91"/>
    <w:rsid w:val="007D070A"/>
    <w:rsid w:val="007E0958"/>
    <w:rsid w:val="007F2579"/>
    <w:rsid w:val="008354E2"/>
    <w:rsid w:val="00872DD8"/>
    <w:rsid w:val="008825D7"/>
    <w:rsid w:val="008B0AB8"/>
    <w:rsid w:val="008C79C4"/>
    <w:rsid w:val="008D1BCA"/>
    <w:rsid w:val="008F76C4"/>
    <w:rsid w:val="00943790"/>
    <w:rsid w:val="00955B03"/>
    <w:rsid w:val="00986825"/>
    <w:rsid w:val="009B5A28"/>
    <w:rsid w:val="00A6370A"/>
    <w:rsid w:val="00A75235"/>
    <w:rsid w:val="00A87E15"/>
    <w:rsid w:val="00B0703B"/>
    <w:rsid w:val="00B3572B"/>
    <w:rsid w:val="00B614A8"/>
    <w:rsid w:val="00B62A3C"/>
    <w:rsid w:val="00BA1210"/>
    <w:rsid w:val="00BC5A89"/>
    <w:rsid w:val="00C92501"/>
    <w:rsid w:val="00C9769B"/>
    <w:rsid w:val="00CA6205"/>
    <w:rsid w:val="00CB5D54"/>
    <w:rsid w:val="00CB7EDB"/>
    <w:rsid w:val="00CC2316"/>
    <w:rsid w:val="00CE4AEA"/>
    <w:rsid w:val="00CE5E66"/>
    <w:rsid w:val="00D262D8"/>
    <w:rsid w:val="00D455E4"/>
    <w:rsid w:val="00DB3D7C"/>
    <w:rsid w:val="00DB5374"/>
    <w:rsid w:val="00DD28F5"/>
    <w:rsid w:val="00DD30BD"/>
    <w:rsid w:val="00DF1494"/>
    <w:rsid w:val="00DF71C6"/>
    <w:rsid w:val="00E03036"/>
    <w:rsid w:val="00E04DD1"/>
    <w:rsid w:val="00E3549F"/>
    <w:rsid w:val="00E37420"/>
    <w:rsid w:val="00E97FC9"/>
    <w:rsid w:val="00EF6BC1"/>
    <w:rsid w:val="00F105B3"/>
    <w:rsid w:val="00F9067F"/>
    <w:rsid w:val="00FA623D"/>
    <w:rsid w:val="00FC1D0A"/>
    <w:rsid w:val="00FD06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A23C8"/>
  <w15:docId w15:val="{9D0DC61B-3C56-422A-9DD8-ECD1F9C4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357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572B"/>
    <w:rPr>
      <w:rFonts w:ascii="Verdana" w:hAnsi="Verdana"/>
      <w:color w:val="000000"/>
      <w:sz w:val="18"/>
      <w:szCs w:val="18"/>
    </w:rPr>
  </w:style>
  <w:style w:type="paragraph" w:styleId="Voettekst">
    <w:name w:val="footer"/>
    <w:basedOn w:val="Standaard"/>
    <w:link w:val="VoettekstChar"/>
    <w:uiPriority w:val="99"/>
    <w:unhideWhenUsed/>
    <w:rsid w:val="00B357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572B"/>
    <w:rPr>
      <w:rFonts w:ascii="Verdana" w:hAnsi="Verdana"/>
      <w:color w:val="000000"/>
      <w:sz w:val="18"/>
      <w:szCs w:val="18"/>
    </w:rPr>
  </w:style>
  <w:style w:type="paragraph" w:styleId="Voetnoottekst">
    <w:name w:val="footnote text"/>
    <w:basedOn w:val="Standaard"/>
    <w:link w:val="VoetnoottekstChar"/>
    <w:uiPriority w:val="99"/>
    <w:semiHidden/>
    <w:unhideWhenUsed/>
    <w:rsid w:val="00B3572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572B"/>
    <w:rPr>
      <w:rFonts w:ascii="Verdana" w:hAnsi="Verdana"/>
      <w:color w:val="000000"/>
    </w:rPr>
  </w:style>
  <w:style w:type="character" w:styleId="Voetnootmarkering">
    <w:name w:val="footnote reference"/>
    <w:basedOn w:val="Standaardalinea-lettertype"/>
    <w:uiPriority w:val="99"/>
    <w:semiHidden/>
    <w:unhideWhenUsed/>
    <w:rsid w:val="00B3572B"/>
    <w:rPr>
      <w:vertAlign w:val="superscript"/>
    </w:rPr>
  </w:style>
  <w:style w:type="table" w:styleId="Rastertabel1licht-Accent1">
    <w:name w:val="Grid Table 1 Light Accent 1"/>
    <w:basedOn w:val="Standaardtabel"/>
    <w:uiPriority w:val="46"/>
    <w:rsid w:val="007D070A"/>
    <w:pPr>
      <w:textAlignment w:val="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504148"/>
    <w:rPr>
      <w:sz w:val="16"/>
      <w:szCs w:val="16"/>
    </w:rPr>
  </w:style>
  <w:style w:type="paragraph" w:styleId="Tekstopmerking">
    <w:name w:val="annotation text"/>
    <w:basedOn w:val="Standaard"/>
    <w:link w:val="TekstopmerkingChar"/>
    <w:uiPriority w:val="99"/>
    <w:unhideWhenUsed/>
    <w:rsid w:val="00504148"/>
    <w:pPr>
      <w:spacing w:line="240" w:lineRule="auto"/>
    </w:pPr>
    <w:rPr>
      <w:sz w:val="20"/>
      <w:szCs w:val="20"/>
    </w:rPr>
  </w:style>
  <w:style w:type="character" w:customStyle="1" w:styleId="TekstopmerkingChar">
    <w:name w:val="Tekst opmerking Char"/>
    <w:basedOn w:val="Standaardalinea-lettertype"/>
    <w:link w:val="Tekstopmerking"/>
    <w:uiPriority w:val="99"/>
    <w:rsid w:val="0050414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4148"/>
    <w:rPr>
      <w:b/>
      <w:bCs/>
    </w:rPr>
  </w:style>
  <w:style w:type="character" w:customStyle="1" w:styleId="OnderwerpvanopmerkingChar">
    <w:name w:val="Onderwerp van opmerking Char"/>
    <w:basedOn w:val="TekstopmerkingChar"/>
    <w:link w:val="Onderwerpvanopmerking"/>
    <w:uiPriority w:val="99"/>
    <w:semiHidden/>
    <w:rsid w:val="00504148"/>
    <w:rPr>
      <w:rFonts w:ascii="Verdana" w:hAnsi="Verdana"/>
      <w:b/>
      <w:bCs/>
      <w:color w:val="000000"/>
    </w:rPr>
  </w:style>
  <w:style w:type="paragraph" w:styleId="Revisie">
    <w:name w:val="Revision"/>
    <w:hidden/>
    <w:uiPriority w:val="99"/>
    <w:semiHidden/>
    <w:rsid w:val="00D262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580</ap:Words>
  <ap:Characters>3193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Afronding verkoopprogramma ABN AMRO</vt:lpstr>
    </vt:vector>
  </ap:TitlesOfParts>
  <ap:LinksUpToDate>false</ap:LinksUpToDate>
  <ap:CharactersWithSpaces>3766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2026-07-22T10:57:00.0000000Z</lastPrinted>
  <dcterms:created xsi:type="dcterms:W3CDTF">2026-07-22T15:12:00.0000000Z</dcterms:created>
  <dcterms:modified xsi:type="dcterms:W3CDTF">2026-07-22T15:12:00.0000000Z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Afronding verkoopprogramma ABN AMRO</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2026-0000267375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Afronding verkoopprogramma ABN AMRO</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2026-06-03T11:25:20Z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b4220601-9fa3-4e48-8bb8-650994397ca2</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