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69E9" w:rsidR="00C101C2" w:rsidP="00C101C2" w:rsidRDefault="00755251" w14:paraId="38BCA4E2" w14:textId="3DCC816D">
      <w:pPr>
        <w:contextualSpacing/>
        <w:rPr>
          <w:b/>
          <w:szCs w:val="18"/>
          <w:lang w:val="nl-NL"/>
        </w:rPr>
      </w:pPr>
      <w:bookmarkStart w:name="_Hlk108774585" w:id="0"/>
      <w:r w:rsidRPr="002D69E9">
        <w:rPr>
          <w:b/>
          <w:szCs w:val="18"/>
          <w:lang w:val="nl-NL"/>
        </w:rPr>
        <w:t xml:space="preserve">VERSLAG RAAD ALGEMENE ZAKEN VAN </w:t>
      </w:r>
      <w:r>
        <w:rPr>
          <w:b/>
          <w:szCs w:val="18"/>
          <w:lang w:val="nl-NL"/>
        </w:rPr>
        <w:t>14 JULI 2026</w:t>
      </w:r>
      <w:r w:rsidRPr="002D69E9">
        <w:rPr>
          <w:b/>
          <w:szCs w:val="18"/>
          <w:lang w:val="nl-NL"/>
        </w:rPr>
        <w:t xml:space="preserve"> </w:t>
      </w:r>
    </w:p>
    <w:p w:rsidRPr="002D69E9" w:rsidR="00F607AB" w:rsidP="003054C1" w:rsidRDefault="00F607AB" w14:paraId="01F07FF8" w14:textId="77777777">
      <w:pPr>
        <w:contextualSpacing/>
        <w:rPr>
          <w:szCs w:val="18"/>
          <w:lang w:val="nl-NL" w:eastAsia="ja-JP"/>
        </w:rPr>
      </w:pPr>
    </w:p>
    <w:p w:rsidRPr="00AC7DB6" w:rsidR="0061563F" w:rsidP="00AC7DB6" w:rsidRDefault="0061563F" w14:paraId="29B70F32" w14:textId="25B2CC1D">
      <w:pPr>
        <w:contextualSpacing/>
        <w:rPr>
          <w:szCs w:val="18"/>
          <w:lang w:val="nl-NL" w:eastAsia="ja-JP"/>
        </w:rPr>
      </w:pPr>
      <w:r w:rsidRPr="0061563F">
        <w:rPr>
          <w:lang w:val="nl-NL"/>
        </w:rPr>
        <w:t xml:space="preserve">De Raad Algemene Zaken (RAZ) vond plaats in Brussel op dinsdag </w:t>
      </w:r>
      <w:r>
        <w:rPr>
          <w:lang w:val="nl-NL"/>
        </w:rPr>
        <w:t>14 juli jl.</w:t>
      </w:r>
      <w:r w:rsidRPr="0061563F">
        <w:rPr>
          <w:lang w:val="nl-NL"/>
        </w:rPr>
        <w:t xml:space="preserve"> De Raad</w:t>
      </w:r>
      <w:r>
        <w:rPr>
          <w:lang w:val="nl-NL"/>
        </w:rPr>
        <w:t xml:space="preserve"> </w:t>
      </w:r>
      <w:r w:rsidRPr="0061563F">
        <w:rPr>
          <w:lang w:val="nl-NL"/>
        </w:rPr>
        <w:t xml:space="preserve">sprak over </w:t>
      </w:r>
      <w:r>
        <w:rPr>
          <w:lang w:val="nl-NL"/>
        </w:rPr>
        <w:t>het</w:t>
      </w:r>
      <w:r w:rsidRPr="0061563F">
        <w:rPr>
          <w:lang w:val="nl-NL"/>
        </w:rPr>
        <w:t xml:space="preserve"> Meerjarig Financieel Kader</w:t>
      </w:r>
      <w:r w:rsidR="004C3D57">
        <w:rPr>
          <w:lang w:val="nl-NL"/>
        </w:rPr>
        <w:t>, de</w:t>
      </w:r>
      <w:r>
        <w:rPr>
          <w:lang w:val="nl-NL"/>
        </w:rPr>
        <w:t xml:space="preserve"> </w:t>
      </w:r>
      <w:r w:rsidR="0020140B">
        <w:rPr>
          <w:lang w:val="nl-NL"/>
        </w:rPr>
        <w:t xml:space="preserve">vereenvoudigingsagenda in relatie tot het instrument van de </w:t>
      </w:r>
      <w:r>
        <w:rPr>
          <w:lang w:val="nl-NL"/>
        </w:rPr>
        <w:t xml:space="preserve">omnibussen, </w:t>
      </w:r>
      <w:r w:rsidR="00AC7DB6">
        <w:rPr>
          <w:lang w:val="nl-NL"/>
        </w:rPr>
        <w:t xml:space="preserve">de </w:t>
      </w:r>
      <w:r>
        <w:rPr>
          <w:lang w:val="nl-NL"/>
        </w:rPr>
        <w:t>evaluatie van</w:t>
      </w:r>
      <w:r w:rsidR="004C3D57">
        <w:rPr>
          <w:lang w:val="nl-NL"/>
        </w:rPr>
        <w:t xml:space="preserve"> de</w:t>
      </w:r>
      <w:r>
        <w:rPr>
          <w:lang w:val="nl-NL"/>
        </w:rPr>
        <w:t xml:space="preserve"> jaarlijk</w:t>
      </w:r>
      <w:r w:rsidR="004C3D57">
        <w:rPr>
          <w:lang w:val="nl-NL"/>
        </w:rPr>
        <w:t>s</w:t>
      </w:r>
      <w:r>
        <w:rPr>
          <w:lang w:val="nl-NL"/>
        </w:rPr>
        <w:t>e rechtstaatdialoog</w:t>
      </w:r>
      <w:r w:rsidR="00AC7DB6">
        <w:rPr>
          <w:lang w:val="nl-NL"/>
        </w:rPr>
        <w:t xml:space="preserve"> en</w:t>
      </w:r>
      <w:r w:rsidR="004C3D57">
        <w:rPr>
          <w:lang w:val="nl-NL"/>
        </w:rPr>
        <w:t xml:space="preserve"> </w:t>
      </w:r>
      <w:r w:rsidR="00AC7DB6">
        <w:rPr>
          <w:lang w:val="nl-NL"/>
        </w:rPr>
        <w:t xml:space="preserve">de </w:t>
      </w:r>
      <w:r>
        <w:rPr>
          <w:lang w:val="nl-NL"/>
        </w:rPr>
        <w:t>‘</w:t>
      </w:r>
      <w:r w:rsidR="00F82A6A">
        <w:rPr>
          <w:i/>
          <w:lang w:val="nl-NL"/>
        </w:rPr>
        <w:t>O</w:t>
      </w:r>
      <w:r w:rsidRPr="004C3D57">
        <w:rPr>
          <w:i/>
          <w:lang w:val="nl-NL"/>
        </w:rPr>
        <w:t xml:space="preserve">ne </w:t>
      </w:r>
      <w:r w:rsidR="00F82A6A">
        <w:rPr>
          <w:i/>
          <w:lang w:val="nl-NL"/>
        </w:rPr>
        <w:t>M</w:t>
      </w:r>
      <w:r w:rsidRPr="004C3D57">
        <w:rPr>
          <w:i/>
          <w:lang w:val="nl-NL"/>
        </w:rPr>
        <w:t>arket</w:t>
      </w:r>
      <w:r w:rsidR="006B3200">
        <w:rPr>
          <w:i/>
          <w:lang w:val="nl-NL"/>
        </w:rPr>
        <w:t>,</w:t>
      </w:r>
      <w:r w:rsidRPr="004C3D57">
        <w:rPr>
          <w:i/>
          <w:lang w:val="nl-NL"/>
        </w:rPr>
        <w:t xml:space="preserve"> </w:t>
      </w:r>
      <w:r w:rsidR="00F82A6A">
        <w:rPr>
          <w:i/>
          <w:lang w:val="nl-NL"/>
        </w:rPr>
        <w:t>O</w:t>
      </w:r>
      <w:r w:rsidRPr="004C3D57">
        <w:rPr>
          <w:i/>
          <w:lang w:val="nl-NL"/>
        </w:rPr>
        <w:t>ne</w:t>
      </w:r>
      <w:r w:rsidRPr="004C3D57">
        <w:rPr>
          <w:i/>
          <w:iCs/>
          <w:lang w:val="nl-NL"/>
        </w:rPr>
        <w:t xml:space="preserve"> Europe</w:t>
      </w:r>
      <w:r>
        <w:rPr>
          <w:lang w:val="nl-NL"/>
        </w:rPr>
        <w:t xml:space="preserve"> </w:t>
      </w:r>
      <w:r w:rsidR="00F82A6A">
        <w:rPr>
          <w:i/>
          <w:iCs/>
          <w:lang w:val="nl-NL"/>
        </w:rPr>
        <w:t>R</w:t>
      </w:r>
      <w:r w:rsidRPr="00F82A6A">
        <w:rPr>
          <w:i/>
          <w:iCs/>
          <w:lang w:val="nl-NL"/>
        </w:rPr>
        <w:t>oadmap</w:t>
      </w:r>
      <w:r w:rsidR="00AC7DB6">
        <w:rPr>
          <w:lang w:val="nl-NL"/>
        </w:rPr>
        <w:t>.</w:t>
      </w:r>
      <w:r w:rsidR="004C3D57">
        <w:rPr>
          <w:lang w:val="nl-NL"/>
        </w:rPr>
        <w:t xml:space="preserve"> </w:t>
      </w:r>
      <w:r w:rsidR="00AC7DB6">
        <w:rPr>
          <w:lang w:val="nl-NL"/>
        </w:rPr>
        <w:t xml:space="preserve">Verder gaf </w:t>
      </w:r>
      <w:r w:rsidR="004C3D57">
        <w:rPr>
          <w:lang w:val="nl-NL"/>
        </w:rPr>
        <w:t xml:space="preserve">Ierland </w:t>
      </w:r>
      <w:r w:rsidR="00AC7DB6">
        <w:rPr>
          <w:lang w:val="nl-NL"/>
        </w:rPr>
        <w:t>e</w:t>
      </w:r>
      <w:r w:rsidR="004C3D57">
        <w:rPr>
          <w:lang w:val="nl-NL"/>
        </w:rPr>
        <w:t xml:space="preserve">en presentatie over de prioriteiten van </w:t>
      </w:r>
      <w:r w:rsidR="0020140B">
        <w:rPr>
          <w:lang w:val="nl-NL"/>
        </w:rPr>
        <w:t xml:space="preserve">zijn </w:t>
      </w:r>
      <w:r w:rsidR="004C3D57">
        <w:rPr>
          <w:lang w:val="nl-NL"/>
        </w:rPr>
        <w:t>voorzitterschap</w:t>
      </w:r>
      <w:r w:rsidR="0020140B">
        <w:rPr>
          <w:lang w:val="nl-NL"/>
        </w:rPr>
        <w:t xml:space="preserve"> van de Raad van Ministers</w:t>
      </w:r>
      <w:r>
        <w:rPr>
          <w:lang w:val="nl-NL"/>
        </w:rPr>
        <w:t xml:space="preserve">. En marge van de Raad </w:t>
      </w:r>
      <w:r w:rsidR="007340ED">
        <w:rPr>
          <w:lang w:val="nl-NL"/>
        </w:rPr>
        <w:t>vonden</w:t>
      </w:r>
      <w:r>
        <w:rPr>
          <w:lang w:val="nl-NL"/>
        </w:rPr>
        <w:t xml:space="preserve"> </w:t>
      </w:r>
      <w:r w:rsidR="004C3D57">
        <w:rPr>
          <w:lang w:val="nl-NL"/>
        </w:rPr>
        <w:t>vier</w:t>
      </w:r>
      <w:r>
        <w:rPr>
          <w:lang w:val="nl-NL"/>
        </w:rPr>
        <w:t xml:space="preserve"> </w:t>
      </w:r>
      <w:r w:rsidRPr="0061563F">
        <w:rPr>
          <w:lang w:val="nl-NL"/>
        </w:rPr>
        <w:t>Intergouvernementele Conferentie</w:t>
      </w:r>
      <w:r>
        <w:rPr>
          <w:lang w:val="nl-NL"/>
        </w:rPr>
        <w:t xml:space="preserve">s </w:t>
      </w:r>
      <w:r w:rsidRPr="0061563F">
        <w:rPr>
          <w:lang w:val="nl-NL"/>
        </w:rPr>
        <w:t>(IGC)</w:t>
      </w:r>
      <w:r>
        <w:rPr>
          <w:lang w:val="nl-NL"/>
        </w:rPr>
        <w:t xml:space="preserve"> </w:t>
      </w:r>
      <w:r w:rsidR="007340ED">
        <w:rPr>
          <w:lang w:val="nl-NL"/>
        </w:rPr>
        <w:t xml:space="preserve">plaats </w:t>
      </w:r>
      <w:r>
        <w:rPr>
          <w:lang w:val="nl-NL"/>
        </w:rPr>
        <w:t>met kandidaat</w:t>
      </w:r>
      <w:r w:rsidR="00F82A6A">
        <w:rPr>
          <w:lang w:val="nl-NL"/>
        </w:rPr>
        <w:t>-</w:t>
      </w:r>
      <w:r>
        <w:rPr>
          <w:lang w:val="nl-NL"/>
        </w:rPr>
        <w:t xml:space="preserve">lidstaten in het kader van het toetredingsproces. </w:t>
      </w:r>
      <w:r w:rsidR="00BB0E88">
        <w:rPr>
          <w:iCs/>
          <w:szCs w:val="18"/>
          <w:lang w:val="nl-NL" w:eastAsia="ja-JP"/>
        </w:rPr>
        <w:t xml:space="preserve">De minister van Buitenlandse Zaken was niet in de gelegenheid deel te nemen. Nederland werd </w:t>
      </w:r>
      <w:r w:rsidR="0020140B">
        <w:rPr>
          <w:iCs/>
          <w:szCs w:val="18"/>
          <w:lang w:val="nl-NL" w:eastAsia="ja-JP"/>
        </w:rPr>
        <w:t xml:space="preserve">bij de Raad </w:t>
      </w:r>
      <w:r w:rsidR="00BB0E88">
        <w:rPr>
          <w:iCs/>
          <w:szCs w:val="18"/>
          <w:lang w:val="nl-NL" w:eastAsia="ja-JP"/>
        </w:rPr>
        <w:t>vertegenwoordigd door de Permanente Vertegenwoordiger bij de EU.</w:t>
      </w:r>
    </w:p>
    <w:p w:rsidRPr="00F93E53" w:rsidR="00953179" w:rsidP="00F93E53" w:rsidRDefault="002D69E9" w14:paraId="203D7460" w14:textId="6AB4775E">
      <w:pPr>
        <w:pStyle w:val="NoSpacing"/>
        <w:rPr>
          <w:b/>
          <w:szCs w:val="18"/>
          <w:lang w:val="nl-NL"/>
        </w:rPr>
      </w:pPr>
      <w:r w:rsidRPr="002D69E9">
        <w:rPr>
          <w:b/>
          <w:szCs w:val="18"/>
          <w:lang w:val="nl-NL"/>
        </w:rPr>
        <w:t>Meerjarig Financieel Kader</w:t>
      </w:r>
      <w:bookmarkEnd w:id="0"/>
    </w:p>
    <w:p w:rsidRPr="00953179" w:rsidR="000D1EC1" w:rsidP="00953179" w:rsidRDefault="00953179" w14:paraId="686BDA25" w14:textId="12896A73">
      <w:pPr>
        <w:spacing w:after="160" w:line="259" w:lineRule="auto"/>
        <w:rPr>
          <w:lang w:val="nl-NL"/>
        </w:rPr>
      </w:pPr>
      <w:r w:rsidRPr="00210E64">
        <w:rPr>
          <w:lang w:val="nl-NL"/>
        </w:rPr>
        <w:t xml:space="preserve">Het Ierse voorzitterschap </w:t>
      </w:r>
      <w:r w:rsidR="007340ED">
        <w:rPr>
          <w:lang w:val="nl-NL"/>
        </w:rPr>
        <w:t>gaf aan</w:t>
      </w:r>
      <w:r>
        <w:rPr>
          <w:lang w:val="nl-NL"/>
        </w:rPr>
        <w:t xml:space="preserve"> dat</w:t>
      </w:r>
      <w:r w:rsidRPr="00210E64">
        <w:rPr>
          <w:lang w:val="nl-NL"/>
        </w:rPr>
        <w:t xml:space="preserve"> het bereiken van een akkoord over het Meerjarig Financieel Kader (MFK) </w:t>
      </w:r>
      <w:r w:rsidR="00DD6B6A">
        <w:rPr>
          <w:lang w:val="nl-NL"/>
        </w:rPr>
        <w:t xml:space="preserve">in het najaar van 2026 </w:t>
      </w:r>
      <w:r w:rsidRPr="00210E64">
        <w:rPr>
          <w:lang w:val="nl-NL"/>
        </w:rPr>
        <w:t>de hoogste prioriteit heeft, omdat dit van fundamenteel belang is voor de toekomst van de Unie. Tegelijkertijd benadrukte het voorzitterschap dat er nog veel werk te verrichten is voordat overeenstemming kan worden bereikt.</w:t>
      </w:r>
      <w:r>
        <w:rPr>
          <w:lang w:val="nl-NL"/>
        </w:rPr>
        <w:t xml:space="preserve"> </w:t>
      </w:r>
      <w:r w:rsidRPr="00210E64">
        <w:rPr>
          <w:lang w:val="nl-NL"/>
        </w:rPr>
        <w:t xml:space="preserve">De komende periode zal het voorzitterschap zich richten op de belangrijkste openstaande politieke vraagstukken, waaronder de omvang van het MFK, de </w:t>
      </w:r>
      <w:r w:rsidR="00F93E53">
        <w:rPr>
          <w:lang w:val="nl-NL"/>
        </w:rPr>
        <w:t xml:space="preserve">mogelijkheden voor nieuwe </w:t>
      </w:r>
      <w:r w:rsidRPr="00210E64">
        <w:rPr>
          <w:lang w:val="nl-NL"/>
        </w:rPr>
        <w:t>eigen middelen en het vinden van een evenwichtig</w:t>
      </w:r>
      <w:r w:rsidR="00F93E53">
        <w:rPr>
          <w:lang w:val="nl-NL"/>
        </w:rPr>
        <w:t xml:space="preserve"> akkoord</w:t>
      </w:r>
      <w:r w:rsidRPr="00210E64">
        <w:rPr>
          <w:lang w:val="nl-NL"/>
        </w:rPr>
        <w:t xml:space="preserve">. Hiervoor zal </w:t>
      </w:r>
      <w:r w:rsidR="00DD6B6A">
        <w:rPr>
          <w:lang w:val="nl-NL"/>
        </w:rPr>
        <w:t>het</w:t>
      </w:r>
      <w:r w:rsidRPr="00210E64">
        <w:rPr>
          <w:lang w:val="nl-NL"/>
        </w:rPr>
        <w:t xml:space="preserve"> huidige </w:t>
      </w:r>
      <w:r w:rsidR="00DD6B6A">
        <w:rPr>
          <w:lang w:val="nl-NL"/>
        </w:rPr>
        <w:t>onderhandelingsdocument</w:t>
      </w:r>
      <w:r w:rsidRPr="00210E64">
        <w:rPr>
          <w:lang w:val="nl-NL"/>
        </w:rPr>
        <w:t xml:space="preserve"> (</w:t>
      </w:r>
      <w:r w:rsidRPr="00F82A6A">
        <w:rPr>
          <w:i/>
          <w:lang w:val="nl-NL"/>
        </w:rPr>
        <w:t>negotiating box</w:t>
      </w:r>
      <w:r w:rsidRPr="00210E64">
        <w:rPr>
          <w:lang w:val="nl-NL"/>
        </w:rPr>
        <w:t>) worden herzien</w:t>
      </w:r>
      <w:r w:rsidR="000A7DD9">
        <w:rPr>
          <w:lang w:val="nl-NL"/>
        </w:rPr>
        <w:t xml:space="preserve"> en gepresenteerd v</w:t>
      </w:r>
      <w:r w:rsidRPr="00210E64" w:rsidR="000A7DD9">
        <w:rPr>
          <w:lang w:val="nl-NL"/>
        </w:rPr>
        <w:t>oor de Europese Raad in oktober</w:t>
      </w:r>
      <w:r w:rsidRPr="00210E64">
        <w:rPr>
          <w:lang w:val="nl-NL"/>
        </w:rPr>
        <w:t>, met als doel tijdig tot een akkoord te komen</w:t>
      </w:r>
      <w:r w:rsidRPr="00953179">
        <w:rPr>
          <w:lang w:val="nl-NL"/>
        </w:rPr>
        <w:t xml:space="preserve">. </w:t>
      </w:r>
      <w:r w:rsidR="0020140B">
        <w:rPr>
          <w:lang w:val="nl-NL"/>
        </w:rPr>
        <w:t xml:space="preserve">Er vond geen uitwisseling plaats tussen lidstaten onder dit agendapunt. </w:t>
      </w:r>
    </w:p>
    <w:p w:rsidRPr="002D69E9" w:rsidR="002D69E9" w:rsidP="002D69E9" w:rsidRDefault="002D69E9" w14:paraId="07BFF0AB" w14:textId="3E65D02C">
      <w:pPr>
        <w:pStyle w:val="NoSpacing"/>
        <w:rPr>
          <w:b/>
          <w:szCs w:val="18"/>
          <w:lang w:val="nl-NL"/>
        </w:rPr>
      </w:pPr>
      <w:r w:rsidRPr="002D69E9">
        <w:rPr>
          <w:b/>
          <w:szCs w:val="18"/>
          <w:lang w:val="nl-NL"/>
        </w:rPr>
        <w:t>Iers voorzitterschap</w:t>
      </w:r>
    </w:p>
    <w:p w:rsidRPr="002D69E9" w:rsidR="002D69E9" w:rsidP="002D69E9" w:rsidRDefault="00F93E53" w14:paraId="69807728" w14:textId="69FD8D82">
      <w:pPr>
        <w:rPr>
          <w:iCs/>
          <w:szCs w:val="18"/>
          <w:lang w:val="nl-NL"/>
        </w:rPr>
      </w:pPr>
      <w:r w:rsidRPr="00F93E53">
        <w:rPr>
          <w:iCs/>
          <w:szCs w:val="18"/>
          <w:lang w:val="nl-NL"/>
        </w:rPr>
        <w:t xml:space="preserve">Het Ierse voorzitterschap presenteerde </w:t>
      </w:r>
      <w:r w:rsidR="0020140B">
        <w:rPr>
          <w:iCs/>
          <w:szCs w:val="18"/>
          <w:lang w:val="nl-NL"/>
        </w:rPr>
        <w:t>zijn</w:t>
      </w:r>
      <w:r w:rsidRPr="00F93E53">
        <w:rPr>
          <w:iCs/>
          <w:szCs w:val="18"/>
          <w:lang w:val="nl-NL"/>
        </w:rPr>
        <w:t xml:space="preserve"> prioriteiten voor de komende zes maanden, met een focus op drie hoofdthema's: concurrentievermogen, waarden en veiligheid en defensie</w:t>
      </w:r>
      <w:r>
        <w:rPr>
          <w:iCs/>
          <w:szCs w:val="18"/>
          <w:lang w:val="nl-NL"/>
        </w:rPr>
        <w:t xml:space="preserve">. </w:t>
      </w:r>
      <w:r w:rsidRPr="00F93E53">
        <w:rPr>
          <w:iCs/>
          <w:szCs w:val="18"/>
          <w:lang w:val="nl-NL"/>
        </w:rPr>
        <w:t>Op het terrein van concurrentievermogen benadrukte het voorzitterschap het belang van een sterk en concurrerend Europa</w:t>
      </w:r>
      <w:r>
        <w:rPr>
          <w:iCs/>
          <w:szCs w:val="18"/>
          <w:lang w:val="nl-NL"/>
        </w:rPr>
        <w:t xml:space="preserve">, </w:t>
      </w:r>
      <w:r w:rsidRPr="00F93E53">
        <w:rPr>
          <w:iCs/>
          <w:szCs w:val="18"/>
          <w:lang w:val="nl-NL"/>
        </w:rPr>
        <w:t xml:space="preserve">verdere vereenvoudiging van EU-regelgeving en het benutten van het huidige momentum om overeenstemming te bereiken over de Omnibus-pakketten. Daarnaast werd het belang onderstreept van </w:t>
      </w:r>
      <w:r w:rsidR="00F950CB">
        <w:rPr>
          <w:iCs/>
          <w:szCs w:val="18"/>
          <w:lang w:val="nl-NL"/>
        </w:rPr>
        <w:t>een akkoord</w:t>
      </w:r>
      <w:r>
        <w:rPr>
          <w:iCs/>
          <w:szCs w:val="18"/>
          <w:lang w:val="nl-NL"/>
        </w:rPr>
        <w:t xml:space="preserve"> </w:t>
      </w:r>
      <w:r w:rsidR="009E3E45">
        <w:rPr>
          <w:iCs/>
          <w:szCs w:val="18"/>
          <w:lang w:val="nl-NL"/>
        </w:rPr>
        <w:t>op</w:t>
      </w:r>
      <w:r w:rsidR="00CE291C">
        <w:rPr>
          <w:iCs/>
          <w:szCs w:val="18"/>
          <w:lang w:val="nl-NL"/>
        </w:rPr>
        <w:t xml:space="preserve"> </w:t>
      </w:r>
      <w:r w:rsidR="009E3E45">
        <w:rPr>
          <w:iCs/>
          <w:szCs w:val="18"/>
          <w:lang w:val="nl-NL"/>
        </w:rPr>
        <w:t>het</w:t>
      </w:r>
      <w:r>
        <w:rPr>
          <w:iCs/>
          <w:szCs w:val="18"/>
          <w:lang w:val="nl-NL"/>
        </w:rPr>
        <w:t xml:space="preserve"> MFK. </w:t>
      </w:r>
      <w:r w:rsidRPr="00F93E53">
        <w:rPr>
          <w:iCs/>
          <w:szCs w:val="18"/>
          <w:lang w:val="nl-NL"/>
        </w:rPr>
        <w:t>Ten aanzien van waarden kondigde het voorzitterschap aan bijzondere aandacht te besteden aan de rechtsstaat, democratie en het uitbreidingsproces. Daarbij ligt de nadruk op een merites-gebaseerde benadering van kandidaat-lidstaten, met bijzondere aandacht voor Montenegro, Moldavië en Oekraïne.</w:t>
      </w:r>
      <w:r>
        <w:rPr>
          <w:iCs/>
          <w:szCs w:val="18"/>
          <w:lang w:val="nl-NL"/>
        </w:rPr>
        <w:t xml:space="preserve"> </w:t>
      </w:r>
      <w:r w:rsidRPr="00F93E53">
        <w:rPr>
          <w:iCs/>
          <w:szCs w:val="18"/>
          <w:lang w:val="nl-NL"/>
        </w:rPr>
        <w:t>Op het gebied van veiligheid en defensie benadrukte het voorzitterschap het belang van blijvende en onverminderde steun aan Oekraïne.</w:t>
      </w:r>
      <w:r>
        <w:rPr>
          <w:iCs/>
          <w:szCs w:val="18"/>
          <w:lang w:val="nl-NL"/>
        </w:rPr>
        <w:t xml:space="preserve"> </w:t>
      </w:r>
      <w:r w:rsidRPr="00F93E53">
        <w:rPr>
          <w:iCs/>
          <w:szCs w:val="18"/>
          <w:lang w:val="nl-NL"/>
        </w:rPr>
        <w:t xml:space="preserve">Nederland sprak steun uit voor de prioriteiten van het Ierse voorzitterschap, in het bijzonder voor </w:t>
      </w:r>
      <w:r>
        <w:rPr>
          <w:iCs/>
          <w:szCs w:val="18"/>
          <w:lang w:val="nl-NL"/>
        </w:rPr>
        <w:t xml:space="preserve">het belang van een gemoderniseerd en betaalbaar MFK, </w:t>
      </w:r>
      <w:r w:rsidRPr="00F93E53">
        <w:rPr>
          <w:iCs/>
          <w:szCs w:val="18"/>
          <w:lang w:val="nl-NL"/>
        </w:rPr>
        <w:t>de voortdurende steun aan Oekraïne, de nadruk op de rechtsstaat en een</w:t>
      </w:r>
      <w:r>
        <w:rPr>
          <w:iCs/>
          <w:szCs w:val="18"/>
          <w:lang w:val="nl-NL"/>
        </w:rPr>
        <w:t xml:space="preserve"> op</w:t>
      </w:r>
      <w:r w:rsidRPr="00F93E53">
        <w:rPr>
          <w:iCs/>
          <w:szCs w:val="18"/>
          <w:lang w:val="nl-NL"/>
        </w:rPr>
        <w:t xml:space="preserve"> merites-gebaseerd uitbreidingsproces.</w:t>
      </w:r>
    </w:p>
    <w:p w:rsidRPr="002D69E9" w:rsidR="002D69E9" w:rsidP="002D69E9" w:rsidRDefault="002D69E9" w14:paraId="00682BBA" w14:textId="591E3B3A">
      <w:pPr>
        <w:pStyle w:val="NoSpacing"/>
        <w:rPr>
          <w:b/>
          <w:szCs w:val="18"/>
          <w:lang w:val="nl-NL"/>
        </w:rPr>
      </w:pPr>
      <w:bookmarkStart w:name="_Hlk235003305" w:id="1"/>
      <w:r w:rsidRPr="002D69E9">
        <w:rPr>
          <w:b/>
          <w:szCs w:val="18"/>
          <w:lang w:val="nl-NL"/>
        </w:rPr>
        <w:t>Omnibus versimpeling regelgeving</w:t>
      </w:r>
    </w:p>
    <w:p w:rsidRPr="002D69E9" w:rsidR="002D69E9" w:rsidP="002D69E9" w:rsidRDefault="005A13DD" w14:paraId="37622B27" w14:textId="5D77E77F">
      <w:pPr>
        <w:rPr>
          <w:iCs/>
          <w:szCs w:val="18"/>
          <w:lang w:val="nl-NL"/>
        </w:rPr>
      </w:pPr>
      <w:r>
        <w:rPr>
          <w:rFonts w:cs="Times New Roman"/>
          <w:iCs/>
          <w:szCs w:val="18"/>
          <w:lang w:val="nl-NL" w:eastAsia="ja-JP"/>
        </w:rPr>
        <w:t xml:space="preserve">De Raad voerde een beleidsdebat over de stand van zaken van de vereenvoudigingsagenda en </w:t>
      </w:r>
      <w:r w:rsidR="00811120">
        <w:rPr>
          <w:rFonts w:cs="Times New Roman"/>
          <w:iCs/>
          <w:szCs w:val="18"/>
          <w:lang w:val="nl-NL" w:eastAsia="ja-JP"/>
        </w:rPr>
        <w:t xml:space="preserve">de gewenste </w:t>
      </w:r>
      <w:r>
        <w:rPr>
          <w:rFonts w:cs="Times New Roman"/>
          <w:iCs/>
          <w:szCs w:val="18"/>
          <w:lang w:val="nl-NL" w:eastAsia="ja-JP"/>
        </w:rPr>
        <w:t>aanpak voor de toekomst. Alle lidstaten</w:t>
      </w:r>
      <w:r w:rsidR="0024061A">
        <w:rPr>
          <w:rFonts w:cs="Times New Roman"/>
          <w:iCs/>
          <w:szCs w:val="18"/>
          <w:lang w:val="nl-NL" w:eastAsia="ja-JP"/>
        </w:rPr>
        <w:t xml:space="preserve"> </w:t>
      </w:r>
      <w:r>
        <w:rPr>
          <w:rFonts w:cs="Times New Roman"/>
          <w:iCs/>
          <w:szCs w:val="18"/>
          <w:lang w:val="nl-NL" w:eastAsia="ja-JP"/>
        </w:rPr>
        <w:t xml:space="preserve">steunden de ambitie van de huidige vereenvoudigingsagenda van de </w:t>
      </w:r>
      <w:r w:rsidR="00811120">
        <w:rPr>
          <w:rFonts w:cs="Times New Roman"/>
          <w:iCs/>
          <w:szCs w:val="18"/>
          <w:lang w:val="nl-NL" w:eastAsia="ja-JP"/>
        </w:rPr>
        <w:t>C</w:t>
      </w:r>
      <w:r>
        <w:rPr>
          <w:rFonts w:cs="Times New Roman"/>
          <w:iCs/>
          <w:szCs w:val="18"/>
          <w:lang w:val="nl-NL" w:eastAsia="ja-JP"/>
        </w:rPr>
        <w:t xml:space="preserve">ommissie en benadrukten onder meer het belang van het beginsel </w:t>
      </w:r>
      <w:r>
        <w:rPr>
          <w:rFonts w:cs="Times New Roman"/>
          <w:i/>
          <w:szCs w:val="18"/>
          <w:lang w:val="nl-NL" w:eastAsia="ja-JP"/>
        </w:rPr>
        <w:t>simplicity by design</w:t>
      </w:r>
      <w:r>
        <w:rPr>
          <w:rFonts w:cs="Times New Roman"/>
          <w:iCs/>
          <w:szCs w:val="18"/>
          <w:lang w:val="nl-NL" w:eastAsia="ja-JP"/>
        </w:rPr>
        <w:t xml:space="preserve"> en van effectbeoordelingen. Ook benadrukten meerdere lidstaten dat betere regelgeving niet moet leiden tot deregulering en dat het beschermingsniveau, juridische zekerheid en bestaande compromissen moeten worden gerespecteerd. Sommige lidstaten vroegen om nieuwe vereenvoudigingsvoorstellen of omnibussen</w:t>
      </w:r>
      <w:r w:rsidR="00983B64">
        <w:rPr>
          <w:rFonts w:cs="Times New Roman"/>
          <w:iCs/>
          <w:szCs w:val="18"/>
          <w:lang w:val="nl-NL" w:eastAsia="ja-JP"/>
        </w:rPr>
        <w:t xml:space="preserve"> op diverse beleidsterreinen</w:t>
      </w:r>
      <w:r>
        <w:rPr>
          <w:rFonts w:cs="Times New Roman"/>
          <w:iCs/>
          <w:szCs w:val="18"/>
          <w:lang w:val="nl-NL" w:eastAsia="ja-JP"/>
        </w:rPr>
        <w:t xml:space="preserve">. </w:t>
      </w:r>
      <w:r w:rsidR="00CF4F25">
        <w:rPr>
          <w:rFonts w:cs="Times New Roman"/>
          <w:iCs/>
          <w:szCs w:val="18"/>
          <w:lang w:val="nl-NL" w:eastAsia="ja-JP"/>
        </w:rPr>
        <w:t>In die context riep Nederland op tot vereenvoudiging van het statistiek acquis omdat dit kan leiden tot concrete lastenvermindering voor bedrijven, met name voor het MKB.</w:t>
      </w:r>
    </w:p>
    <w:bookmarkEnd w:id="1"/>
    <w:p w:rsidRPr="002D69E9" w:rsidR="002D69E9" w:rsidP="002D69E9" w:rsidRDefault="002D69E9" w14:paraId="4C1E53EE" w14:textId="21E8F567">
      <w:pPr>
        <w:pStyle w:val="NoSpacing"/>
        <w:rPr>
          <w:b/>
          <w:szCs w:val="18"/>
          <w:lang w:val="nl-NL"/>
        </w:rPr>
      </w:pPr>
      <w:r w:rsidRPr="002D69E9">
        <w:rPr>
          <w:b/>
          <w:szCs w:val="18"/>
          <w:lang w:val="nl-NL"/>
        </w:rPr>
        <w:t>Evaluatie jaarlijkse rechtsstaatsdialoog</w:t>
      </w:r>
    </w:p>
    <w:p w:rsidRPr="003A2295" w:rsidR="002D69E9" w:rsidP="002D69E9" w:rsidRDefault="003A2295" w14:paraId="4286B4BE" w14:textId="60B51F38">
      <w:pPr>
        <w:rPr>
          <w:iCs/>
          <w:szCs w:val="18"/>
          <w:lang w:val="nl-NL"/>
        </w:rPr>
      </w:pPr>
      <w:r w:rsidRPr="003A2295">
        <w:rPr>
          <w:rFonts w:cs="Times New Roman"/>
          <w:iCs/>
          <w:szCs w:val="18"/>
          <w:lang w:val="nl-NL" w:eastAsia="ja-JP"/>
        </w:rPr>
        <w:t>Tijdens de Raad werden d</w:t>
      </w:r>
      <w:r>
        <w:rPr>
          <w:rFonts w:cs="Times New Roman"/>
          <w:iCs/>
          <w:szCs w:val="18"/>
          <w:lang w:val="nl-NL" w:eastAsia="ja-JP"/>
        </w:rPr>
        <w:t xml:space="preserve">e Spaanse </w:t>
      </w:r>
      <w:r w:rsidRPr="00FA2B7A" w:rsidR="00FA2B7A">
        <w:rPr>
          <w:rFonts w:cs="Times New Roman"/>
          <w:iCs/>
          <w:szCs w:val="18"/>
          <w:lang w:val="nl-NL" w:eastAsia="ja-JP"/>
        </w:rPr>
        <w:t>EU-voorzitterschapsconclusies</w:t>
      </w:r>
      <w:r>
        <w:rPr>
          <w:rFonts w:cs="Times New Roman"/>
          <w:iCs/>
          <w:szCs w:val="18"/>
          <w:lang w:val="nl-NL" w:eastAsia="ja-JP"/>
        </w:rPr>
        <w:t xml:space="preserve"> over de evaluatie van de jaarlijkse rechtsstaatdialoog uit december 2023 </w:t>
      </w:r>
      <w:r w:rsidRPr="00FA2B7A" w:rsidR="00FA2B7A">
        <w:rPr>
          <w:rFonts w:cs="Times New Roman"/>
          <w:iCs/>
          <w:szCs w:val="18"/>
          <w:lang w:val="nl-NL" w:eastAsia="ja-JP"/>
        </w:rPr>
        <w:t>aangenomen als Raadsconclusies</w:t>
      </w:r>
      <w:r>
        <w:rPr>
          <w:rFonts w:cs="Times New Roman"/>
          <w:iCs/>
          <w:szCs w:val="18"/>
          <w:lang w:val="nl-NL" w:eastAsia="ja-JP"/>
        </w:rPr>
        <w:t>.</w:t>
      </w:r>
      <w:r>
        <w:rPr>
          <w:rStyle w:val="FootnoteReference"/>
          <w:rFonts w:cs="Times New Roman"/>
          <w:iCs/>
          <w:szCs w:val="18"/>
          <w:lang w:val="nl-NL" w:eastAsia="ja-JP"/>
        </w:rPr>
        <w:footnoteReference w:id="1"/>
      </w:r>
      <w:r>
        <w:rPr>
          <w:rFonts w:cs="Times New Roman"/>
          <w:iCs/>
          <w:szCs w:val="18"/>
          <w:lang w:val="nl-NL" w:eastAsia="ja-JP"/>
        </w:rPr>
        <w:t xml:space="preserve"> Indertijd konden Polen en Hongarije niet instemmen met de</w:t>
      </w:r>
      <w:r w:rsidR="00FA2B7A">
        <w:rPr>
          <w:rFonts w:cs="Times New Roman"/>
          <w:iCs/>
          <w:szCs w:val="18"/>
          <w:lang w:val="nl-NL" w:eastAsia="ja-JP"/>
        </w:rPr>
        <w:t>ze</w:t>
      </w:r>
      <w:r>
        <w:rPr>
          <w:rFonts w:cs="Times New Roman"/>
          <w:iCs/>
          <w:szCs w:val="18"/>
          <w:lang w:val="nl-NL" w:eastAsia="ja-JP"/>
        </w:rPr>
        <w:t xml:space="preserve"> conclusies. Beide lidstaten hebben inmiddels hun steun voor de conclusies en voor de jaarlijkse rechtsstaatdialoog uitgesproken.</w:t>
      </w:r>
      <w:r>
        <w:rPr>
          <w:rStyle w:val="FootnoteReference"/>
          <w:rFonts w:cs="Times New Roman"/>
          <w:iCs/>
          <w:szCs w:val="18"/>
          <w:lang w:val="nl-NL" w:eastAsia="ja-JP"/>
        </w:rPr>
        <w:footnoteReference w:id="2"/>
      </w:r>
      <w:r>
        <w:rPr>
          <w:rFonts w:cs="Times New Roman"/>
          <w:iCs/>
          <w:szCs w:val="18"/>
          <w:lang w:val="nl-NL" w:eastAsia="ja-JP"/>
        </w:rPr>
        <w:t xml:space="preserve"> </w:t>
      </w:r>
      <w:r w:rsidR="00FA2B7A">
        <w:rPr>
          <w:rFonts w:cs="Times New Roman"/>
          <w:iCs/>
          <w:szCs w:val="18"/>
          <w:lang w:val="nl-NL" w:eastAsia="ja-JP"/>
        </w:rPr>
        <w:t>Een andere lidstaat</w:t>
      </w:r>
      <w:r>
        <w:rPr>
          <w:rFonts w:cs="Times New Roman"/>
          <w:iCs/>
          <w:szCs w:val="18"/>
          <w:lang w:val="nl-NL" w:eastAsia="ja-JP"/>
        </w:rPr>
        <w:t xml:space="preserve"> legde een verklaring af waarin het steun voor de conclusies</w:t>
      </w:r>
      <w:r w:rsidR="00FA2B7A">
        <w:rPr>
          <w:rFonts w:cs="Times New Roman"/>
          <w:iCs/>
          <w:szCs w:val="18"/>
          <w:lang w:val="nl-NL" w:eastAsia="ja-JP"/>
        </w:rPr>
        <w:t xml:space="preserve"> uitspreekt</w:t>
      </w:r>
      <w:r>
        <w:rPr>
          <w:rFonts w:cs="Times New Roman"/>
          <w:iCs/>
          <w:szCs w:val="18"/>
          <w:lang w:val="nl-NL" w:eastAsia="ja-JP"/>
        </w:rPr>
        <w:t xml:space="preserve">, maar ook </w:t>
      </w:r>
      <w:r w:rsidR="00FA2B7A">
        <w:rPr>
          <w:rFonts w:cs="Times New Roman"/>
          <w:iCs/>
          <w:szCs w:val="18"/>
          <w:lang w:val="nl-NL" w:eastAsia="ja-JP"/>
        </w:rPr>
        <w:t>benadrukt dat</w:t>
      </w:r>
      <w:r>
        <w:rPr>
          <w:rFonts w:cs="Times New Roman"/>
          <w:iCs/>
          <w:szCs w:val="18"/>
          <w:lang w:val="nl-NL" w:eastAsia="ja-JP"/>
        </w:rPr>
        <w:t xml:space="preserve"> het rechtsstaatmechanisme </w:t>
      </w:r>
      <w:r w:rsidR="00FA2B7A">
        <w:rPr>
          <w:rFonts w:cs="Times New Roman"/>
          <w:iCs/>
          <w:szCs w:val="18"/>
          <w:lang w:val="nl-NL" w:eastAsia="ja-JP"/>
        </w:rPr>
        <w:t>niet-bindend is en een informeel karakter heeft.</w:t>
      </w:r>
      <w:r>
        <w:rPr>
          <w:rFonts w:cs="Times New Roman"/>
          <w:iCs/>
          <w:szCs w:val="18"/>
          <w:lang w:val="nl-NL" w:eastAsia="ja-JP"/>
        </w:rPr>
        <w:t xml:space="preserve"> Verder vond geen </w:t>
      </w:r>
      <w:r>
        <w:rPr>
          <w:rFonts w:cs="Times New Roman"/>
          <w:iCs/>
          <w:szCs w:val="18"/>
          <w:lang w:val="nl-NL" w:eastAsia="ja-JP"/>
        </w:rPr>
        <w:lastRenderedPageBreak/>
        <w:t xml:space="preserve">inhoudelijke discussie plaats. Eind 2027 zal opnieuw een evaluatie van de jaarlijkse rechtsstaatdialoog plaatsvinden.  </w:t>
      </w:r>
    </w:p>
    <w:p w:rsidRPr="00CF4F25" w:rsidR="002D69E9" w:rsidP="002D69E9" w:rsidRDefault="002D69E9" w14:paraId="44D0AA59" w14:textId="02141E58">
      <w:pPr>
        <w:pStyle w:val="NoSpacing"/>
        <w:rPr>
          <w:b/>
          <w:szCs w:val="18"/>
          <w:lang w:val="nl-NL"/>
        </w:rPr>
      </w:pPr>
      <w:r w:rsidRPr="00CF4F25">
        <w:rPr>
          <w:b/>
          <w:szCs w:val="18"/>
          <w:lang w:val="nl-NL"/>
        </w:rPr>
        <w:t>One Market</w:t>
      </w:r>
      <w:r w:rsidR="00DF3C79">
        <w:rPr>
          <w:b/>
          <w:szCs w:val="18"/>
          <w:lang w:val="nl-NL"/>
        </w:rPr>
        <w:t>,</w:t>
      </w:r>
      <w:r w:rsidRPr="00CF4F25">
        <w:rPr>
          <w:b/>
          <w:szCs w:val="18"/>
          <w:lang w:val="nl-NL"/>
        </w:rPr>
        <w:t xml:space="preserve"> One Europe Roadmap</w:t>
      </w:r>
    </w:p>
    <w:p w:rsidRPr="00E75ABA" w:rsidR="002D69E9" w:rsidP="002D69E9" w:rsidRDefault="00E75ABA" w14:paraId="1424038F" w14:textId="4DA95A85">
      <w:pPr>
        <w:rPr>
          <w:rFonts w:cs="Times New Roman"/>
          <w:szCs w:val="18"/>
          <w:lang w:val="nl-NL" w:eastAsia="ja-JP"/>
        </w:rPr>
      </w:pPr>
      <w:bookmarkStart w:name="_Hlk235011812" w:id="2"/>
      <w:r w:rsidRPr="00E75ABA">
        <w:rPr>
          <w:rFonts w:cs="Times New Roman"/>
          <w:szCs w:val="18"/>
          <w:lang w:val="nl-NL" w:eastAsia="ja-JP"/>
        </w:rPr>
        <w:t xml:space="preserve">Tijdens de </w:t>
      </w:r>
      <w:r w:rsidR="002B4C41">
        <w:rPr>
          <w:rFonts w:cs="Times New Roman"/>
          <w:szCs w:val="18"/>
          <w:lang w:val="nl-NL" w:eastAsia="ja-JP"/>
        </w:rPr>
        <w:t>werk</w:t>
      </w:r>
      <w:r w:rsidRPr="00E75ABA">
        <w:rPr>
          <w:rFonts w:cs="Times New Roman"/>
          <w:szCs w:val="18"/>
          <w:lang w:val="nl-NL" w:eastAsia="ja-JP"/>
        </w:rPr>
        <w:t xml:space="preserve">lunch vond een </w:t>
      </w:r>
      <w:r w:rsidR="002B4C41">
        <w:rPr>
          <w:rFonts w:cs="Times New Roman"/>
          <w:szCs w:val="18"/>
          <w:lang w:val="nl-NL" w:eastAsia="ja-JP"/>
        </w:rPr>
        <w:t>gedachtewisseling</w:t>
      </w:r>
      <w:r w:rsidRPr="00E75ABA">
        <w:rPr>
          <w:rFonts w:cs="Times New Roman"/>
          <w:szCs w:val="18"/>
          <w:lang w:val="nl-NL" w:eastAsia="ja-JP"/>
        </w:rPr>
        <w:t xml:space="preserve"> plaats over de </w:t>
      </w:r>
      <w:r w:rsidRPr="00E75ABA">
        <w:rPr>
          <w:rFonts w:cs="Times New Roman"/>
          <w:i/>
          <w:iCs/>
          <w:szCs w:val="18"/>
          <w:lang w:val="nl-NL" w:eastAsia="ja-JP"/>
        </w:rPr>
        <w:t>One Europe, One Market Roadmap</w:t>
      </w:r>
      <w:r w:rsidR="00970570">
        <w:rPr>
          <w:rStyle w:val="FootnoteReference"/>
          <w:rFonts w:cs="Times New Roman"/>
          <w:i/>
          <w:iCs/>
          <w:szCs w:val="18"/>
          <w:lang w:val="nl-NL" w:eastAsia="ja-JP"/>
        </w:rPr>
        <w:footnoteReference w:id="3"/>
      </w:r>
      <w:r w:rsidRPr="00E75ABA">
        <w:rPr>
          <w:rFonts w:cs="Times New Roman"/>
          <w:szCs w:val="18"/>
          <w:lang w:val="nl-NL" w:eastAsia="ja-JP"/>
        </w:rPr>
        <w:t xml:space="preserve"> in aanwezigheid van </w:t>
      </w:r>
      <w:proofErr w:type="spellStart"/>
      <w:r w:rsidRPr="00E75ABA">
        <w:rPr>
          <w:rFonts w:cs="Times New Roman"/>
          <w:szCs w:val="18"/>
          <w:lang w:val="nl-NL" w:eastAsia="ja-JP"/>
        </w:rPr>
        <w:t>Enrico</w:t>
      </w:r>
      <w:proofErr w:type="spellEnd"/>
      <w:r w:rsidRPr="00E75ABA">
        <w:rPr>
          <w:rFonts w:cs="Times New Roman"/>
          <w:szCs w:val="18"/>
          <w:lang w:val="nl-NL" w:eastAsia="ja-JP"/>
        </w:rPr>
        <w:t xml:space="preserve"> </w:t>
      </w:r>
      <w:proofErr w:type="spellStart"/>
      <w:r w:rsidRPr="00E75ABA">
        <w:rPr>
          <w:rFonts w:cs="Times New Roman"/>
          <w:szCs w:val="18"/>
          <w:lang w:val="nl-NL" w:eastAsia="ja-JP"/>
        </w:rPr>
        <w:t>Letta</w:t>
      </w:r>
      <w:proofErr w:type="spellEnd"/>
      <w:r w:rsidRPr="00E75ABA">
        <w:rPr>
          <w:rFonts w:cs="Times New Roman"/>
          <w:szCs w:val="18"/>
          <w:lang w:val="nl-NL" w:eastAsia="ja-JP"/>
        </w:rPr>
        <w:t xml:space="preserve">, opsteller van het </w:t>
      </w:r>
      <w:r w:rsidR="002B4C41">
        <w:rPr>
          <w:rFonts w:cs="Times New Roman"/>
          <w:szCs w:val="18"/>
          <w:lang w:val="nl-NL" w:eastAsia="ja-JP"/>
        </w:rPr>
        <w:t xml:space="preserve">rapport </w:t>
      </w:r>
      <w:proofErr w:type="spellStart"/>
      <w:r w:rsidRPr="00E75ABA">
        <w:rPr>
          <w:rFonts w:cs="Times New Roman"/>
          <w:i/>
          <w:iCs/>
          <w:szCs w:val="18"/>
          <w:lang w:val="nl-NL" w:eastAsia="ja-JP"/>
        </w:rPr>
        <w:t>Much</w:t>
      </w:r>
      <w:proofErr w:type="spellEnd"/>
      <w:r w:rsidRPr="00E75ABA">
        <w:rPr>
          <w:rFonts w:cs="Times New Roman"/>
          <w:i/>
          <w:iCs/>
          <w:szCs w:val="18"/>
          <w:lang w:val="nl-NL" w:eastAsia="ja-JP"/>
        </w:rPr>
        <w:t xml:space="preserve"> more </w:t>
      </w:r>
      <w:proofErr w:type="spellStart"/>
      <w:r w:rsidRPr="00E75ABA">
        <w:rPr>
          <w:rFonts w:cs="Times New Roman"/>
          <w:i/>
          <w:iCs/>
          <w:szCs w:val="18"/>
          <w:lang w:val="nl-NL" w:eastAsia="ja-JP"/>
        </w:rPr>
        <w:t>than</w:t>
      </w:r>
      <w:proofErr w:type="spellEnd"/>
      <w:r w:rsidRPr="00E75ABA">
        <w:rPr>
          <w:rFonts w:cs="Times New Roman"/>
          <w:i/>
          <w:iCs/>
          <w:szCs w:val="18"/>
          <w:lang w:val="nl-NL" w:eastAsia="ja-JP"/>
        </w:rPr>
        <w:t xml:space="preserve"> a Market</w:t>
      </w:r>
      <w:r w:rsidRPr="00E75ABA">
        <w:rPr>
          <w:rFonts w:cs="Times New Roman"/>
          <w:szCs w:val="18"/>
          <w:lang w:val="nl-NL" w:eastAsia="ja-JP"/>
        </w:rPr>
        <w:t xml:space="preserve"> over de Europese interne markt</w:t>
      </w:r>
      <w:r>
        <w:rPr>
          <w:rFonts w:cs="Times New Roman"/>
          <w:szCs w:val="18"/>
          <w:lang w:val="nl-NL" w:eastAsia="ja-JP"/>
        </w:rPr>
        <w:t>.</w:t>
      </w:r>
      <w:r>
        <w:rPr>
          <w:rStyle w:val="FootnoteReference"/>
          <w:rFonts w:cs="Times New Roman"/>
          <w:szCs w:val="18"/>
          <w:lang w:val="nl-NL" w:eastAsia="ja-JP"/>
        </w:rPr>
        <w:footnoteReference w:id="4"/>
      </w:r>
      <w:r>
        <w:rPr>
          <w:rFonts w:cs="Times New Roman"/>
          <w:szCs w:val="18"/>
          <w:lang w:val="nl-NL" w:eastAsia="ja-JP"/>
        </w:rPr>
        <w:t xml:space="preserve"> </w:t>
      </w:r>
      <w:r w:rsidR="002B4C41">
        <w:rPr>
          <w:rFonts w:cs="Times New Roman"/>
          <w:szCs w:val="18"/>
          <w:lang w:val="nl-NL" w:eastAsia="ja-JP"/>
        </w:rPr>
        <w:t>In de discussie werd het belang benadrukt van politiek eigenaarschap om barrières op de interne markt aan te pakken.</w:t>
      </w:r>
    </w:p>
    <w:p w:rsidR="00E75ABA" w:rsidP="002D69E9" w:rsidRDefault="00E75ABA" w14:paraId="5C8AE32D" w14:textId="2C56783D">
      <w:pPr>
        <w:rPr>
          <w:rFonts w:cs="Times New Roman"/>
          <w:szCs w:val="18"/>
          <w:lang w:val="nl-NL" w:eastAsia="ja-JP"/>
        </w:rPr>
      </w:pPr>
      <w:r w:rsidRPr="00E75ABA">
        <w:rPr>
          <w:rFonts w:cs="Times New Roman"/>
          <w:szCs w:val="18"/>
          <w:lang w:val="nl-NL" w:eastAsia="ja-JP"/>
        </w:rPr>
        <w:t xml:space="preserve">Nederland heeft </w:t>
      </w:r>
      <w:r w:rsidR="002B4C41">
        <w:rPr>
          <w:rFonts w:cs="Times New Roman"/>
          <w:szCs w:val="18"/>
          <w:lang w:val="nl-NL" w:eastAsia="ja-JP"/>
        </w:rPr>
        <w:t>onderstreept</w:t>
      </w:r>
      <w:r w:rsidR="00970570">
        <w:rPr>
          <w:rFonts w:cs="Times New Roman"/>
          <w:szCs w:val="18"/>
          <w:lang w:val="nl-NL" w:eastAsia="ja-JP"/>
        </w:rPr>
        <w:t xml:space="preserve"> dat druk op </w:t>
      </w:r>
      <w:r w:rsidR="002B4C41">
        <w:rPr>
          <w:rFonts w:cs="Times New Roman"/>
          <w:szCs w:val="18"/>
          <w:lang w:val="nl-NL" w:eastAsia="ja-JP"/>
        </w:rPr>
        <w:t>de tijdige uitvoering</w:t>
      </w:r>
      <w:r w:rsidR="00970570">
        <w:rPr>
          <w:rFonts w:cs="Times New Roman"/>
          <w:szCs w:val="18"/>
          <w:lang w:val="nl-NL" w:eastAsia="ja-JP"/>
        </w:rPr>
        <w:t xml:space="preserve"> van de </w:t>
      </w:r>
      <w:r w:rsidRPr="00F82A6A" w:rsidR="00970570">
        <w:rPr>
          <w:rFonts w:cs="Times New Roman"/>
          <w:i/>
          <w:iCs/>
          <w:szCs w:val="18"/>
          <w:lang w:val="nl-NL" w:eastAsia="ja-JP"/>
        </w:rPr>
        <w:t>Roadmap</w:t>
      </w:r>
      <w:r w:rsidR="00970570">
        <w:rPr>
          <w:rFonts w:cs="Times New Roman"/>
          <w:szCs w:val="18"/>
          <w:lang w:val="nl-NL" w:eastAsia="ja-JP"/>
        </w:rPr>
        <w:t xml:space="preserve"> </w:t>
      </w:r>
      <w:r w:rsidR="002B4C41">
        <w:rPr>
          <w:rFonts w:cs="Times New Roman"/>
          <w:szCs w:val="18"/>
          <w:lang w:val="nl-NL" w:eastAsia="ja-JP"/>
        </w:rPr>
        <w:t>noodzakelijk</w:t>
      </w:r>
      <w:r w:rsidR="00970570">
        <w:rPr>
          <w:rFonts w:cs="Times New Roman"/>
          <w:szCs w:val="18"/>
          <w:lang w:val="nl-NL" w:eastAsia="ja-JP"/>
        </w:rPr>
        <w:t xml:space="preserve"> is</w:t>
      </w:r>
      <w:r w:rsidR="00AC7DB6">
        <w:rPr>
          <w:rFonts w:cs="Times New Roman"/>
          <w:szCs w:val="18"/>
          <w:lang w:val="nl-NL" w:eastAsia="ja-JP"/>
        </w:rPr>
        <w:t xml:space="preserve"> </w:t>
      </w:r>
      <w:r w:rsidR="002B4C41">
        <w:rPr>
          <w:rFonts w:cs="Times New Roman"/>
          <w:szCs w:val="18"/>
          <w:lang w:val="nl-NL" w:eastAsia="ja-JP"/>
        </w:rPr>
        <w:t>en</w:t>
      </w:r>
      <w:r w:rsidR="00AC7DB6">
        <w:rPr>
          <w:rFonts w:cs="Times New Roman"/>
          <w:szCs w:val="18"/>
          <w:lang w:val="nl-NL" w:eastAsia="ja-JP"/>
        </w:rPr>
        <w:t xml:space="preserve"> heeft</w:t>
      </w:r>
      <w:r w:rsidR="002B4C41">
        <w:rPr>
          <w:rFonts w:cs="Times New Roman"/>
          <w:szCs w:val="18"/>
          <w:lang w:val="nl-NL" w:eastAsia="ja-JP"/>
        </w:rPr>
        <w:t xml:space="preserve"> daarbij </w:t>
      </w:r>
      <w:r w:rsidR="00970570">
        <w:rPr>
          <w:rFonts w:cs="Times New Roman"/>
          <w:szCs w:val="18"/>
          <w:lang w:val="nl-NL" w:eastAsia="ja-JP"/>
        </w:rPr>
        <w:t>benadrukt dat de kwaliteit van wet</w:t>
      </w:r>
      <w:r w:rsidR="002B4C41">
        <w:rPr>
          <w:rFonts w:cs="Times New Roman"/>
          <w:szCs w:val="18"/>
          <w:lang w:val="nl-NL" w:eastAsia="ja-JP"/>
        </w:rPr>
        <w:t>- en regel</w:t>
      </w:r>
      <w:r w:rsidR="00970570">
        <w:rPr>
          <w:rFonts w:cs="Times New Roman"/>
          <w:szCs w:val="18"/>
          <w:lang w:val="nl-NL" w:eastAsia="ja-JP"/>
        </w:rPr>
        <w:t xml:space="preserve">geving niet </w:t>
      </w:r>
      <w:r w:rsidR="002B4C41">
        <w:rPr>
          <w:rFonts w:cs="Times New Roman"/>
          <w:szCs w:val="18"/>
          <w:lang w:val="nl-NL" w:eastAsia="ja-JP"/>
        </w:rPr>
        <w:t>mag</w:t>
      </w:r>
      <w:r w:rsidR="00970570">
        <w:rPr>
          <w:rFonts w:cs="Times New Roman"/>
          <w:szCs w:val="18"/>
          <w:lang w:val="nl-NL" w:eastAsia="ja-JP"/>
        </w:rPr>
        <w:t xml:space="preserve"> l</w:t>
      </w:r>
      <w:r w:rsidR="002B4C41">
        <w:rPr>
          <w:rFonts w:cs="Times New Roman"/>
          <w:szCs w:val="18"/>
          <w:lang w:val="nl-NL" w:eastAsia="ja-JP"/>
        </w:rPr>
        <w:t>ij</w:t>
      </w:r>
      <w:r w:rsidR="00970570">
        <w:rPr>
          <w:rFonts w:cs="Times New Roman"/>
          <w:szCs w:val="18"/>
          <w:lang w:val="nl-NL" w:eastAsia="ja-JP"/>
        </w:rPr>
        <w:t xml:space="preserve">den onder die tijdsdruk. Nederland heeft tevens aandacht gevraagd voor het </w:t>
      </w:r>
      <w:r w:rsidR="002B4C41">
        <w:rPr>
          <w:rFonts w:cs="Times New Roman"/>
          <w:szCs w:val="18"/>
          <w:lang w:val="nl-NL" w:eastAsia="ja-JP"/>
        </w:rPr>
        <w:t xml:space="preserve">wegnemen van de meest knellende barrières op de interne markt, in het bijzonder op terrein van diensten en territoriale leveringsbeperkingen. </w:t>
      </w:r>
    </w:p>
    <w:bookmarkEnd w:id="2"/>
    <w:p w:rsidR="002A1C09" w:rsidP="002A1C09" w:rsidRDefault="002A1C09" w14:paraId="1A510440" w14:textId="77777777">
      <w:pPr>
        <w:contextualSpacing/>
        <w:rPr>
          <w:b/>
          <w:bCs/>
          <w:szCs w:val="18"/>
          <w:lang w:val="nl-NL"/>
        </w:rPr>
      </w:pPr>
      <w:r w:rsidRPr="002A1C09">
        <w:rPr>
          <w:b/>
          <w:bCs/>
          <w:szCs w:val="18"/>
          <w:lang w:val="nl-NL"/>
        </w:rPr>
        <w:t>EU-toetredingsproces Oekraïne en Moldavië</w:t>
      </w:r>
    </w:p>
    <w:p w:rsidRPr="00AF553B" w:rsidR="00AF553B" w:rsidP="00AF553B" w:rsidRDefault="00AF553B" w14:paraId="60BC001E" w14:textId="5CC5917A">
      <w:pPr>
        <w:rPr>
          <w:szCs w:val="18"/>
          <w:lang w:val="nl-NL"/>
        </w:rPr>
      </w:pPr>
      <w:r w:rsidRPr="00AF553B">
        <w:rPr>
          <w:szCs w:val="18"/>
          <w:lang w:val="nl-NL"/>
        </w:rPr>
        <w:t xml:space="preserve">En marge van de Raad vonden intergouvernementele conferenties (IGC) plaats, waarin met Oekraïne en Moldavië cluster 6 (Externe betrekkingen) werd geopend. </w:t>
      </w:r>
      <w:r w:rsidR="00397237">
        <w:rPr>
          <w:szCs w:val="18"/>
          <w:lang w:val="nl-NL"/>
        </w:rPr>
        <w:t>Het</w:t>
      </w:r>
      <w:r w:rsidRPr="00AF553B">
        <w:rPr>
          <w:szCs w:val="18"/>
          <w:lang w:val="nl-NL"/>
        </w:rPr>
        <w:t xml:space="preserve"> openen van de clusters werd door veel lidstaten verwelkomd, waaronder door Nederland namens de Benelux. In de Benelux-interventie sprak Nederland zijn solidariteit uit met Oekraïne in het licht van de toenemende Russische luchtaanvallen, prees het de inzet van Oekraïne en Moldavië tegen buitenlandse inmenging en hybride dreigingen en hun hoge mate van </w:t>
      </w:r>
      <w:r w:rsidR="00915FE3">
        <w:rPr>
          <w:szCs w:val="18"/>
          <w:lang w:val="nl-NL"/>
        </w:rPr>
        <w:t>GBVB-</w:t>
      </w:r>
      <w:r w:rsidRPr="00AF553B">
        <w:rPr>
          <w:szCs w:val="18"/>
          <w:lang w:val="nl-NL"/>
        </w:rPr>
        <w:t xml:space="preserve">aansluiting en moedigde </w:t>
      </w:r>
      <w:r w:rsidR="008D436B">
        <w:rPr>
          <w:szCs w:val="18"/>
          <w:lang w:val="nl-NL"/>
        </w:rPr>
        <w:t>Nederland</w:t>
      </w:r>
      <w:r w:rsidRPr="00AF553B">
        <w:rPr>
          <w:szCs w:val="18"/>
          <w:lang w:val="nl-NL"/>
        </w:rPr>
        <w:t xml:space="preserve"> beide landen aan hun hervormingen op het gebied van corruptiebestrijding en versterking van de rechtsstaat onverminderd voort te zetten. Tevens riep Nederland</w:t>
      </w:r>
      <w:r w:rsidR="00230AA0">
        <w:rPr>
          <w:szCs w:val="18"/>
          <w:lang w:val="nl-NL"/>
        </w:rPr>
        <w:t xml:space="preserve"> </w:t>
      </w:r>
      <w:r w:rsidRPr="00AF553B">
        <w:rPr>
          <w:szCs w:val="18"/>
          <w:lang w:val="nl-NL"/>
        </w:rPr>
        <w:t>hen</w:t>
      </w:r>
      <w:r w:rsidR="00230AA0">
        <w:rPr>
          <w:szCs w:val="18"/>
          <w:lang w:val="nl-NL"/>
        </w:rPr>
        <w:t xml:space="preserve"> namens de Benelux</w:t>
      </w:r>
      <w:r w:rsidRPr="00AF553B">
        <w:rPr>
          <w:szCs w:val="18"/>
          <w:lang w:val="nl-NL"/>
        </w:rPr>
        <w:t xml:space="preserve"> op om voortvarend werk te maken van de specifieke aandachtspunten onder cluster 6, zoals hervormingen in de defensiesector, FDI</w:t>
      </w:r>
      <w:r w:rsidRPr="00AF553B">
        <w:rPr>
          <w:szCs w:val="18"/>
          <w:lang w:val="nl-NL"/>
        </w:rPr>
        <w:noBreakHyphen/>
        <w:t>screening en de aanpak van illegale wapenhandel. Veel lidstaten, waaronder Nederland namens de Benelux, benadrukten daarnaast dat de vier overige clusters zo spoedig mogelijk geopend moeten worden.</w:t>
      </w:r>
    </w:p>
    <w:p w:rsidRPr="002A1C09" w:rsidR="002A1C09" w:rsidP="002A1C09" w:rsidRDefault="002A1C09" w14:paraId="3FAAEDC9" w14:textId="591A10EA">
      <w:pPr>
        <w:contextualSpacing/>
        <w:rPr>
          <w:b/>
          <w:bCs/>
          <w:szCs w:val="18"/>
          <w:lang w:val="nl-NL"/>
        </w:rPr>
      </w:pPr>
      <w:r w:rsidRPr="002A1C09">
        <w:rPr>
          <w:b/>
          <w:bCs/>
          <w:szCs w:val="18"/>
          <w:lang w:val="nl-NL"/>
        </w:rPr>
        <w:t>EU-toetredingsproces Montenegro</w:t>
      </w:r>
    </w:p>
    <w:p w:rsidRPr="002A1C09" w:rsidR="002A1C09" w:rsidP="002A1C09" w:rsidRDefault="002A1C09" w14:paraId="5D59647D" w14:textId="1DE4DFC9">
      <w:pPr>
        <w:rPr>
          <w:bCs/>
          <w:szCs w:val="18"/>
          <w:lang w:val="nl-NL"/>
        </w:rPr>
      </w:pPr>
      <w:r w:rsidRPr="002A1C09">
        <w:rPr>
          <w:bCs/>
          <w:szCs w:val="18"/>
          <w:lang w:val="nl-NL"/>
        </w:rPr>
        <w:t>Tevens vond en marge van de Raad een IGC met Montenegro plaats, waarbij twee hoofdstukken onder voorbehoud werden gesloten: hoofdstuk 8 (mededingingsbeleid) en hoofdstuk 29 (douane-unie). Het sluiten van deze hoofdstukken werd breed verwelkomd als een nieuwe stap op het toetredingspad van Montenegro, ook door Nederland namens de Benelux. In de Benelux-interventie verwelkomde Nederland het werk dat Montenegro heeft verzet op deze onderdelen van het EU</w:t>
      </w:r>
      <w:r w:rsidRPr="002A1C09">
        <w:rPr>
          <w:bCs/>
          <w:szCs w:val="18"/>
          <w:lang w:val="nl-NL"/>
        </w:rPr>
        <w:noBreakHyphen/>
        <w:t xml:space="preserve">acquis, </w:t>
      </w:r>
      <w:r w:rsidR="00A369B5">
        <w:rPr>
          <w:bCs/>
          <w:szCs w:val="18"/>
          <w:lang w:val="nl-NL"/>
        </w:rPr>
        <w:t>en</w:t>
      </w:r>
      <w:r w:rsidRPr="002A1C09">
        <w:rPr>
          <w:bCs/>
          <w:szCs w:val="18"/>
          <w:lang w:val="nl-NL"/>
        </w:rPr>
        <w:t xml:space="preserve"> onderstreepte Nederland het belang van voldoende administratieve capaciteit en effectieve handhaving van het mededingingsrecht</w:t>
      </w:r>
      <w:r w:rsidR="00A369B5">
        <w:rPr>
          <w:bCs/>
          <w:szCs w:val="18"/>
          <w:lang w:val="nl-NL"/>
        </w:rPr>
        <w:t>.</w:t>
      </w:r>
      <w:r w:rsidRPr="002A1C09">
        <w:rPr>
          <w:bCs/>
          <w:szCs w:val="18"/>
          <w:lang w:val="nl-NL"/>
        </w:rPr>
        <w:t xml:space="preserve"> </w:t>
      </w:r>
      <w:r w:rsidR="00A369B5">
        <w:rPr>
          <w:bCs/>
          <w:szCs w:val="18"/>
          <w:lang w:val="nl-NL"/>
        </w:rPr>
        <w:t>Ook</w:t>
      </w:r>
      <w:r w:rsidRPr="002A1C09">
        <w:rPr>
          <w:bCs/>
          <w:szCs w:val="18"/>
          <w:lang w:val="nl-NL"/>
        </w:rPr>
        <w:t xml:space="preserve"> benadrukte Nederland </w:t>
      </w:r>
      <w:r w:rsidR="00A369B5">
        <w:rPr>
          <w:bCs/>
          <w:szCs w:val="18"/>
          <w:lang w:val="nl-NL"/>
        </w:rPr>
        <w:t xml:space="preserve">namens de Benelux </w:t>
      </w:r>
      <w:r w:rsidRPr="002A1C09">
        <w:rPr>
          <w:bCs/>
          <w:szCs w:val="18"/>
          <w:lang w:val="nl-NL"/>
        </w:rPr>
        <w:t>dat verdere voortgang op het gebied van de rechtsstaat en de bestrijding van corruptie en georganiseerde misdaad van groot belang blijft voor het verdere EU</w:t>
      </w:r>
      <w:r w:rsidRPr="002A1C09">
        <w:rPr>
          <w:bCs/>
          <w:szCs w:val="18"/>
          <w:lang w:val="nl-NL"/>
        </w:rPr>
        <w:noBreakHyphen/>
        <w:t>toetredingsproces van Montenegro.</w:t>
      </w:r>
    </w:p>
    <w:p w:rsidRPr="002A1C09" w:rsidR="002A1C09" w:rsidP="002A1C09" w:rsidRDefault="002A1C09" w14:paraId="0B66514A" w14:textId="5807CD5A">
      <w:pPr>
        <w:contextualSpacing/>
        <w:rPr>
          <w:b/>
          <w:bCs/>
          <w:szCs w:val="18"/>
          <w:lang w:val="nl-NL"/>
        </w:rPr>
      </w:pPr>
      <w:r w:rsidRPr="002A1C09">
        <w:rPr>
          <w:b/>
          <w:bCs/>
          <w:szCs w:val="18"/>
          <w:lang w:val="nl-NL"/>
        </w:rPr>
        <w:t xml:space="preserve">EU-toetredingsproces Albanië </w:t>
      </w:r>
    </w:p>
    <w:p w:rsidRPr="002A1C09" w:rsidR="002A1C09" w:rsidP="002A1C09" w:rsidRDefault="002A1C09" w14:paraId="659BA494" w14:textId="36343166">
      <w:pPr>
        <w:rPr>
          <w:bCs/>
          <w:szCs w:val="18"/>
          <w:lang w:val="nl-NL"/>
        </w:rPr>
      </w:pPr>
      <w:r w:rsidRPr="002A1C09">
        <w:rPr>
          <w:bCs/>
          <w:szCs w:val="18"/>
          <w:lang w:val="nl-NL"/>
        </w:rPr>
        <w:t>Ten slotte vond en marge van de Raad ook een IGC met Albanië plaats, waarbij drie hoofdstukken onder voorbehoud werden gesloten: hoofdstuk 25 (wetenschap en onderzoek), hoofdstuk 26 (onderwijs en cultuur) en hoofdstuk 30 (externe betrekkingen). Deze stap werd breed verwelkomd als belangrijke nieuwe stap op het toetredingspad van Albanië, ook door Nederland namens de Benelux en de Nordics</w:t>
      </w:r>
      <w:r w:rsidRPr="002A1C09">
        <w:rPr>
          <w:bCs/>
          <w:szCs w:val="18"/>
          <w:lang w:val="nl-NL"/>
        </w:rPr>
        <w:noBreakHyphen/>
        <w:t>Baltics, omdat dit de eerste hoofdstukken zijn die met Albanië onder voorbehoud worden gesloten. In deze gezamenlijke interventie verwelkomde Nederland de voortgang die Albanië heeft geboekt, waaronder het in lijn brengen van hun wettelijk kader met EU</w:t>
      </w:r>
      <w:r w:rsidRPr="002A1C09">
        <w:rPr>
          <w:bCs/>
          <w:szCs w:val="18"/>
          <w:lang w:val="nl-NL"/>
        </w:rPr>
        <w:noBreakHyphen/>
        <w:t>verordeningen inzake exportcontrole en FDI</w:t>
      </w:r>
      <w:r w:rsidRPr="002A1C09">
        <w:rPr>
          <w:bCs/>
          <w:szCs w:val="18"/>
          <w:lang w:val="nl-NL"/>
        </w:rPr>
        <w:noBreakHyphen/>
        <w:t xml:space="preserve">screening. Mede in het licht van de protesten in Albanië werd door Nederland, </w:t>
      </w:r>
      <w:r>
        <w:rPr>
          <w:bCs/>
          <w:szCs w:val="18"/>
          <w:lang w:val="nl-NL"/>
        </w:rPr>
        <w:t>ook</w:t>
      </w:r>
      <w:r w:rsidRPr="002A1C09">
        <w:rPr>
          <w:bCs/>
          <w:szCs w:val="18"/>
          <w:lang w:val="nl-NL"/>
        </w:rPr>
        <w:t xml:space="preserve"> namens de Benelux en de Nordics</w:t>
      </w:r>
      <w:r w:rsidRPr="002A1C09">
        <w:rPr>
          <w:bCs/>
          <w:szCs w:val="18"/>
          <w:lang w:val="nl-NL"/>
        </w:rPr>
        <w:noBreakHyphen/>
        <w:t>Baltics, onderstreept dat verdere vooruitgang op het gebied van de rechtsstaat, de bestrijding van corruptie en de bescherming van fundamentele rechten van groot belang blij</w:t>
      </w:r>
      <w:r w:rsidR="00A60A3C">
        <w:rPr>
          <w:bCs/>
          <w:szCs w:val="18"/>
          <w:lang w:val="nl-NL"/>
        </w:rPr>
        <w:t>ven</w:t>
      </w:r>
      <w:r w:rsidRPr="002A1C09">
        <w:rPr>
          <w:bCs/>
          <w:szCs w:val="18"/>
          <w:lang w:val="nl-NL"/>
        </w:rPr>
        <w:t xml:space="preserve"> voor het verdere EU</w:t>
      </w:r>
      <w:r w:rsidRPr="002A1C09">
        <w:rPr>
          <w:bCs/>
          <w:szCs w:val="18"/>
          <w:lang w:val="nl-NL"/>
        </w:rPr>
        <w:noBreakHyphen/>
        <w:t xml:space="preserve">toetredingsproces van Albanië. Albanië werd opgeroepen om een sterk </w:t>
      </w:r>
      <w:r w:rsidRPr="002A1C09" w:rsidR="00E1426D">
        <w:rPr>
          <w:bCs/>
          <w:szCs w:val="18"/>
          <w:lang w:val="nl-NL"/>
        </w:rPr>
        <w:t>trackrecord</w:t>
      </w:r>
      <w:r w:rsidRPr="002A1C09">
        <w:rPr>
          <w:bCs/>
          <w:szCs w:val="18"/>
          <w:lang w:val="nl-NL"/>
        </w:rPr>
        <w:t xml:space="preserve"> op te bouwen en te zorgen voor effectieve implementatie.</w:t>
      </w:r>
    </w:p>
    <w:p w:rsidRPr="000B0AEB" w:rsidR="000B0AEB" w:rsidP="000B0AEB" w:rsidRDefault="002A1C09" w14:paraId="3C795BF9" w14:textId="342C97B5">
      <w:pPr>
        <w:contextualSpacing/>
        <w:rPr>
          <w:bCs/>
          <w:szCs w:val="18"/>
          <w:lang w:val="nl-NL"/>
        </w:rPr>
      </w:pPr>
      <w:r w:rsidRPr="002A1C09">
        <w:rPr>
          <w:b/>
          <w:bCs/>
          <w:szCs w:val="18"/>
          <w:lang w:val="nl-NL"/>
        </w:rPr>
        <w:t>EU-toetredingsproces Servië</w:t>
      </w:r>
      <w:r w:rsidRPr="002A1C09">
        <w:rPr>
          <w:b/>
          <w:bCs/>
          <w:szCs w:val="18"/>
          <w:lang w:val="nl-NL"/>
        </w:rPr>
        <w:br/>
      </w:r>
      <w:r w:rsidRPr="00DF6EC9" w:rsidR="00DF6EC9">
        <w:rPr>
          <w:lang w:val="nl-NL"/>
        </w:rPr>
        <w:t xml:space="preserve">In aanloop naar de Raad heeft in Brussel discussie plaatsgevonden over het EU-toetredingsproces van Servië en de aanbeveling van de Commissie om de drie resterende hoofdstukken onder Cluster 3 te </w:t>
      </w:r>
      <w:r w:rsidRPr="00DF6EC9" w:rsidR="00DF6EC9">
        <w:rPr>
          <w:lang w:val="nl-NL"/>
        </w:rPr>
        <w:lastRenderedPageBreak/>
        <w:t xml:space="preserve">openen. De Commissie heeft daarbij een mondelinge update gegeven van recente ontwikkelingen, waaronder de  opvolging door Servië van aanbevelingen van de Venetië Commissie over justitiewetten die de organisatie en bevoegdheden van de rechtspraak in Servië aantastten, stappen richting de oprichting van een raad voor mediatoezichthouder REM en ontwikkelingen die raken aan kieswetgeving. Er is een brede groep lidstaten in de Raad die voorstander is van het openen van Cluster 3, mede onder verwijzing naar het geostrategisch perspectief van EU-uitbreiding, waarbij het onwenselijk zou zijn het grootste land van de Westelijke Balkan te ver achterop te laten. Aan de technische vereisten voor de opening van Cluster 3 is, op voorspraak van de Commissie, immers al sinds 2022 voldaan. Nederland heeft aangegeven het openen van Cluster 3 vanuit een bredere beoordeling van de rechtsstaat op dit moment niet te steunen en dat verdere opvolging van hervormingsstappen noodzakelijk is. </w:t>
      </w:r>
      <w:r w:rsidRPr="001F4E47" w:rsidR="00DF6EC9">
        <w:rPr>
          <w:lang w:val="nl-NL"/>
        </w:rPr>
        <w:t>Tevens is het kabinet van mening dat betere aansluiting van Servië bij het gemeenschappelijk buitenland- en veiligheidsbeleid (GBVB) een aandachtpunt blijft. De GBVB-aansluiting blijft laag met 63%, onder andere door het gebrek aan aansluiting bij EU-sancties.</w:t>
      </w:r>
      <w:r w:rsidRPr="00DF6EC9" w:rsidR="00DF6EC9">
        <w:rPr>
          <w:lang w:val="nl-NL"/>
        </w:rPr>
        <w:t xml:space="preserve"> Naar verwachting zal deze discussie in de Raad worden vervolgd.</w:t>
      </w:r>
      <w:r w:rsidR="004B6A06">
        <w:rPr>
          <w:lang w:val="nl-NL"/>
        </w:rPr>
        <w:t xml:space="preserve"> </w:t>
      </w:r>
      <w:r w:rsidRPr="00DF6EC9" w:rsidR="00DF6EC9">
        <w:rPr>
          <w:lang w:val="nl-NL"/>
        </w:rPr>
        <w:t>Afgelopen vrijdag heeft de Commissie het rechtsstaatsrapport 2026 gepubliceerd, waarin naast de EU-lidstaten vier kandidaat-lidstaten, waaronder Servië, zijn opgenomen. Het kabinet zal, zoals gebruikelijk in de kabinetsappreciatie van het jaarlijkse uitbreidingspakket, een appreciatie geven van de constateringen van de Commissie over de kandidaat-lidstaten in dit rechtsstaatrapport.</w:t>
      </w:r>
    </w:p>
    <w:p w:rsidRPr="002A1C09" w:rsidR="002A1C09" w:rsidP="002A1C09" w:rsidRDefault="002A1C09" w14:paraId="3551D96E" w14:textId="16CA296A">
      <w:pPr>
        <w:rPr>
          <w:b/>
          <w:szCs w:val="18"/>
          <w:lang w:val="nl-NL"/>
        </w:rPr>
      </w:pPr>
    </w:p>
    <w:p w:rsidRPr="007300D1" w:rsidR="002D69E9" w:rsidP="00191A35" w:rsidRDefault="002D69E9" w14:paraId="10A21145" w14:textId="77777777">
      <w:pPr>
        <w:rPr>
          <w:iCs/>
          <w:szCs w:val="18"/>
          <w:lang w:val="nl-NL"/>
        </w:rPr>
      </w:pPr>
    </w:p>
    <w:sectPr w:rsidRPr="007300D1" w:rsidR="002D69E9" w:rsidSect="00485BC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73533" w14:textId="77777777" w:rsidR="005F4E43" w:rsidRDefault="005F4E43" w:rsidP="00823D7C">
      <w:pPr>
        <w:spacing w:after="0"/>
      </w:pPr>
      <w:r>
        <w:separator/>
      </w:r>
    </w:p>
  </w:endnote>
  <w:endnote w:type="continuationSeparator" w:id="0">
    <w:p w14:paraId="2265E983" w14:textId="77777777" w:rsidR="005F4E43" w:rsidRDefault="005F4E43" w:rsidP="00823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D0C3" w14:textId="77777777" w:rsidR="00823D7C" w:rsidRDefault="00823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2996"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BF609" w14:textId="77777777" w:rsidR="005F4E43" w:rsidRDefault="005F4E43" w:rsidP="00823D7C">
      <w:pPr>
        <w:spacing w:after="0"/>
      </w:pPr>
      <w:r>
        <w:separator/>
      </w:r>
    </w:p>
  </w:footnote>
  <w:footnote w:type="continuationSeparator" w:id="0">
    <w:p w14:paraId="7EBAD71F" w14:textId="77777777" w:rsidR="005F4E43" w:rsidRDefault="005F4E43" w:rsidP="00823D7C">
      <w:pPr>
        <w:spacing w:after="0"/>
      </w:pPr>
      <w:r>
        <w:continuationSeparator/>
      </w:r>
    </w:p>
  </w:footnote>
  <w:footnote w:id="1">
    <w:p w14:paraId="0D66539C" w14:textId="0D834E91" w:rsidR="003A2295" w:rsidRPr="00AC7DB6" w:rsidRDefault="003A2295">
      <w:pPr>
        <w:pStyle w:val="FootnoteText"/>
        <w:rPr>
          <w:sz w:val="16"/>
          <w:szCs w:val="16"/>
          <w:lang w:val="nl-NL"/>
        </w:rPr>
      </w:pPr>
      <w:r w:rsidRPr="00AC7DB6">
        <w:rPr>
          <w:rStyle w:val="FootnoteReference"/>
          <w:sz w:val="16"/>
          <w:szCs w:val="16"/>
        </w:rPr>
        <w:footnoteRef/>
      </w:r>
      <w:r w:rsidRPr="00AC7DB6">
        <w:rPr>
          <w:sz w:val="16"/>
          <w:szCs w:val="16"/>
          <w:lang w:val="nl-NL"/>
        </w:rPr>
        <w:t xml:space="preserve"> Kamerstuk</w:t>
      </w:r>
      <w:r w:rsidR="003C2D56">
        <w:rPr>
          <w:sz w:val="16"/>
          <w:szCs w:val="16"/>
          <w:lang w:val="nl-NL"/>
        </w:rPr>
        <w:t xml:space="preserve"> </w:t>
      </w:r>
      <w:r w:rsidRPr="00AC7DB6">
        <w:rPr>
          <w:sz w:val="16"/>
          <w:szCs w:val="16"/>
          <w:lang w:val="nl-NL"/>
        </w:rPr>
        <w:t>21</w:t>
      </w:r>
      <w:r w:rsidR="003C2D56">
        <w:rPr>
          <w:sz w:val="16"/>
          <w:szCs w:val="16"/>
          <w:lang w:val="nl-NL"/>
        </w:rPr>
        <w:t xml:space="preserve"> </w:t>
      </w:r>
      <w:r w:rsidRPr="00AC7DB6">
        <w:rPr>
          <w:sz w:val="16"/>
          <w:szCs w:val="16"/>
          <w:lang w:val="nl-NL"/>
        </w:rPr>
        <w:t>501-02, nr. 2795</w:t>
      </w:r>
    </w:p>
  </w:footnote>
  <w:footnote w:id="2">
    <w:p w14:paraId="494C8F2D" w14:textId="7FDE489B" w:rsidR="003A2295" w:rsidRPr="003A2295" w:rsidRDefault="003A2295">
      <w:pPr>
        <w:pStyle w:val="FootnoteText"/>
        <w:rPr>
          <w:lang w:val="nl-NL"/>
        </w:rPr>
      </w:pPr>
      <w:r w:rsidRPr="00AC7DB6">
        <w:rPr>
          <w:rStyle w:val="FootnoteReference"/>
          <w:sz w:val="16"/>
          <w:szCs w:val="16"/>
        </w:rPr>
        <w:footnoteRef/>
      </w:r>
      <w:r w:rsidRPr="00AC7DB6">
        <w:rPr>
          <w:sz w:val="16"/>
          <w:szCs w:val="16"/>
          <w:lang w:val="nl-NL"/>
        </w:rPr>
        <w:t xml:space="preserve"> Hongarije sprak deze steun uit tijdens de Raad Algemene Zaken van 26 mei jl. </w:t>
      </w:r>
    </w:p>
  </w:footnote>
  <w:footnote w:id="3">
    <w:p w14:paraId="6F80E4F9" w14:textId="08F6A087" w:rsidR="00970570" w:rsidRPr="00AC7DB6" w:rsidRDefault="00970570">
      <w:pPr>
        <w:pStyle w:val="FootnoteText"/>
        <w:rPr>
          <w:sz w:val="16"/>
          <w:szCs w:val="16"/>
          <w:lang w:val="nl-NL"/>
        </w:rPr>
      </w:pPr>
      <w:r w:rsidRPr="00AC7DB6">
        <w:rPr>
          <w:rStyle w:val="FootnoteReference"/>
          <w:sz w:val="16"/>
          <w:szCs w:val="16"/>
        </w:rPr>
        <w:footnoteRef/>
      </w:r>
      <w:r w:rsidRPr="00AC7DB6">
        <w:rPr>
          <w:sz w:val="16"/>
          <w:szCs w:val="16"/>
          <w:lang w:val="nl-NL"/>
        </w:rPr>
        <w:t xml:space="preserve"> Kamerstuk 21 501-20, nr. 2397</w:t>
      </w:r>
    </w:p>
  </w:footnote>
  <w:footnote w:id="4">
    <w:p w14:paraId="0C30E812" w14:textId="0169D2D7" w:rsidR="00E75ABA" w:rsidRPr="00E75ABA" w:rsidRDefault="00E75ABA">
      <w:pPr>
        <w:pStyle w:val="FootnoteText"/>
        <w:rPr>
          <w:lang w:val="nl-NL"/>
        </w:rPr>
      </w:pPr>
      <w:r w:rsidRPr="00AC7DB6">
        <w:rPr>
          <w:rStyle w:val="FootnoteReference"/>
          <w:sz w:val="16"/>
          <w:szCs w:val="16"/>
        </w:rPr>
        <w:footnoteRef/>
      </w:r>
      <w:r w:rsidRPr="00AC7DB6">
        <w:rPr>
          <w:sz w:val="16"/>
          <w:szCs w:val="16"/>
          <w:lang w:val="nl-NL"/>
        </w:rPr>
        <w:t xml:space="preserve"> Bijlage </w:t>
      </w:r>
      <w:r w:rsidR="00970570" w:rsidRPr="00AC7DB6">
        <w:rPr>
          <w:sz w:val="16"/>
          <w:szCs w:val="16"/>
          <w:lang w:val="nl-NL"/>
        </w:rPr>
        <w:t>“</w:t>
      </w:r>
      <w:r w:rsidR="00BC3872">
        <w:rPr>
          <w:sz w:val="16"/>
          <w:szCs w:val="16"/>
          <w:lang w:val="nl-NL"/>
        </w:rPr>
        <w:t>K</w:t>
      </w:r>
      <w:r w:rsidR="00970570" w:rsidRPr="00AC7DB6">
        <w:rPr>
          <w:sz w:val="16"/>
          <w:szCs w:val="16"/>
          <w:lang w:val="nl-NL"/>
        </w:rPr>
        <w:t>abinets</w:t>
      </w:r>
      <w:r w:rsidRPr="00AC7DB6">
        <w:rPr>
          <w:sz w:val="16"/>
          <w:szCs w:val="16"/>
          <w:lang w:val="nl-NL"/>
        </w:rPr>
        <w:t>appreciatie</w:t>
      </w:r>
      <w:r w:rsidR="00970570" w:rsidRPr="00AC7DB6">
        <w:rPr>
          <w:sz w:val="16"/>
          <w:szCs w:val="16"/>
          <w:lang w:val="nl-NL"/>
        </w:rPr>
        <w:t xml:space="preserve"> Letta Rapport”</w:t>
      </w:r>
      <w:r w:rsidRPr="00AC7DB6">
        <w:rPr>
          <w:sz w:val="16"/>
          <w:szCs w:val="16"/>
          <w:lang w:val="nl-NL"/>
        </w:rPr>
        <w:t xml:space="preserve"> </w:t>
      </w:r>
      <w:r w:rsidR="00970570" w:rsidRPr="00AC7DB6">
        <w:rPr>
          <w:sz w:val="16"/>
          <w:szCs w:val="16"/>
          <w:lang w:val="nl-NL"/>
        </w:rPr>
        <w:t>bij Kamerstuk 21 501-30, nr. 603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8D5D" w14:textId="77777777" w:rsidR="00823D7C" w:rsidRDefault="00823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297E" w14:textId="77777777" w:rsidR="00823D7C" w:rsidRDefault="00823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55C1" w14:textId="77777777" w:rsidR="00823D7C" w:rsidRDefault="00823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509101345">
    <w:abstractNumId w:val="3"/>
  </w:num>
  <w:num w:numId="2" w16cid:durableId="1198734178">
    <w:abstractNumId w:val="0"/>
  </w:num>
  <w:num w:numId="3" w16cid:durableId="1263146525">
    <w:abstractNumId w:val="2"/>
  </w:num>
  <w:num w:numId="4" w16cid:durableId="1713074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F1"/>
    <w:rsid w:val="00006769"/>
    <w:rsid w:val="00010CE2"/>
    <w:rsid w:val="000138AF"/>
    <w:rsid w:val="00016B8E"/>
    <w:rsid w:val="00023DAA"/>
    <w:rsid w:val="00025B27"/>
    <w:rsid w:val="00025B4B"/>
    <w:rsid w:val="00027282"/>
    <w:rsid w:val="00036803"/>
    <w:rsid w:val="00042639"/>
    <w:rsid w:val="00045EF8"/>
    <w:rsid w:val="00052562"/>
    <w:rsid w:val="00056E92"/>
    <w:rsid w:val="000613DF"/>
    <w:rsid w:val="00061E30"/>
    <w:rsid w:val="0006314F"/>
    <w:rsid w:val="00064457"/>
    <w:rsid w:val="00071626"/>
    <w:rsid w:val="00073D4B"/>
    <w:rsid w:val="00077F28"/>
    <w:rsid w:val="000812BD"/>
    <w:rsid w:val="000813F1"/>
    <w:rsid w:val="000830CA"/>
    <w:rsid w:val="00083992"/>
    <w:rsid w:val="00087C6A"/>
    <w:rsid w:val="00095BD2"/>
    <w:rsid w:val="000A2BF0"/>
    <w:rsid w:val="000A37FD"/>
    <w:rsid w:val="000A39C2"/>
    <w:rsid w:val="000A76A4"/>
    <w:rsid w:val="000A7DD9"/>
    <w:rsid w:val="000B0AEB"/>
    <w:rsid w:val="000B34D7"/>
    <w:rsid w:val="000B45BC"/>
    <w:rsid w:val="000B7E22"/>
    <w:rsid w:val="000C7049"/>
    <w:rsid w:val="000C739B"/>
    <w:rsid w:val="000D1EC1"/>
    <w:rsid w:val="000E1500"/>
    <w:rsid w:val="000E355F"/>
    <w:rsid w:val="000E35EF"/>
    <w:rsid w:val="000F3379"/>
    <w:rsid w:val="000F6273"/>
    <w:rsid w:val="00100BE9"/>
    <w:rsid w:val="00105509"/>
    <w:rsid w:val="00105DE6"/>
    <w:rsid w:val="0011288B"/>
    <w:rsid w:val="001146EF"/>
    <w:rsid w:val="00120268"/>
    <w:rsid w:val="00121B83"/>
    <w:rsid w:val="001230E2"/>
    <w:rsid w:val="00130635"/>
    <w:rsid w:val="00137661"/>
    <w:rsid w:val="00137F12"/>
    <w:rsid w:val="001405EA"/>
    <w:rsid w:val="00145E4A"/>
    <w:rsid w:val="0014743A"/>
    <w:rsid w:val="001524B4"/>
    <w:rsid w:val="001556D8"/>
    <w:rsid w:val="00156269"/>
    <w:rsid w:val="00163973"/>
    <w:rsid w:val="00163B35"/>
    <w:rsid w:val="00164C23"/>
    <w:rsid w:val="001762C0"/>
    <w:rsid w:val="00180793"/>
    <w:rsid w:val="00180D7B"/>
    <w:rsid w:val="00181A17"/>
    <w:rsid w:val="00190B31"/>
    <w:rsid w:val="0019132A"/>
    <w:rsid w:val="00191613"/>
    <w:rsid w:val="00191A35"/>
    <w:rsid w:val="00197A20"/>
    <w:rsid w:val="001A0185"/>
    <w:rsid w:val="001A041A"/>
    <w:rsid w:val="001A247B"/>
    <w:rsid w:val="001C246D"/>
    <w:rsid w:val="001C2ACC"/>
    <w:rsid w:val="001C40FD"/>
    <w:rsid w:val="001C43B1"/>
    <w:rsid w:val="001C5E95"/>
    <w:rsid w:val="001C79C0"/>
    <w:rsid w:val="001D42D7"/>
    <w:rsid w:val="001D4528"/>
    <w:rsid w:val="001D6992"/>
    <w:rsid w:val="001E19D9"/>
    <w:rsid w:val="001E1D82"/>
    <w:rsid w:val="001E5F2D"/>
    <w:rsid w:val="001F041E"/>
    <w:rsid w:val="001F4DDD"/>
    <w:rsid w:val="001F4E47"/>
    <w:rsid w:val="001F6852"/>
    <w:rsid w:val="001F7085"/>
    <w:rsid w:val="001F7BE1"/>
    <w:rsid w:val="0020140B"/>
    <w:rsid w:val="002026CA"/>
    <w:rsid w:val="0020351C"/>
    <w:rsid w:val="00204B45"/>
    <w:rsid w:val="0020682E"/>
    <w:rsid w:val="00220883"/>
    <w:rsid w:val="00230AA0"/>
    <w:rsid w:val="00236019"/>
    <w:rsid w:val="00236D05"/>
    <w:rsid w:val="0024061A"/>
    <w:rsid w:val="00241EE3"/>
    <w:rsid w:val="002505C0"/>
    <w:rsid w:val="00250CA9"/>
    <w:rsid w:val="002531FC"/>
    <w:rsid w:val="0025541B"/>
    <w:rsid w:val="00255E78"/>
    <w:rsid w:val="002634F1"/>
    <w:rsid w:val="00264180"/>
    <w:rsid w:val="002653F6"/>
    <w:rsid w:val="00265B3B"/>
    <w:rsid w:val="0026703A"/>
    <w:rsid w:val="00267AF9"/>
    <w:rsid w:val="002734F9"/>
    <w:rsid w:val="00275840"/>
    <w:rsid w:val="00276DBA"/>
    <w:rsid w:val="002814EF"/>
    <w:rsid w:val="00282DF6"/>
    <w:rsid w:val="002834D8"/>
    <w:rsid w:val="0028668E"/>
    <w:rsid w:val="002873B2"/>
    <w:rsid w:val="002938EB"/>
    <w:rsid w:val="00293DDD"/>
    <w:rsid w:val="00294874"/>
    <w:rsid w:val="00295A58"/>
    <w:rsid w:val="002978CF"/>
    <w:rsid w:val="002A1C09"/>
    <w:rsid w:val="002A6054"/>
    <w:rsid w:val="002B4891"/>
    <w:rsid w:val="002B4C41"/>
    <w:rsid w:val="002B625A"/>
    <w:rsid w:val="002C1D80"/>
    <w:rsid w:val="002D3251"/>
    <w:rsid w:val="002D3FFF"/>
    <w:rsid w:val="002D69E9"/>
    <w:rsid w:val="002D6A98"/>
    <w:rsid w:val="002D7FE4"/>
    <w:rsid w:val="002E226C"/>
    <w:rsid w:val="002E26BE"/>
    <w:rsid w:val="002E4B8D"/>
    <w:rsid w:val="002F03BD"/>
    <w:rsid w:val="002F0727"/>
    <w:rsid w:val="002F40A5"/>
    <w:rsid w:val="003054C1"/>
    <w:rsid w:val="00305F15"/>
    <w:rsid w:val="0030687E"/>
    <w:rsid w:val="00306956"/>
    <w:rsid w:val="00317FA1"/>
    <w:rsid w:val="00320089"/>
    <w:rsid w:val="003207F7"/>
    <w:rsid w:val="003222D8"/>
    <w:rsid w:val="003247F4"/>
    <w:rsid w:val="003254D2"/>
    <w:rsid w:val="00325BD7"/>
    <w:rsid w:val="00330ECA"/>
    <w:rsid w:val="003315AB"/>
    <w:rsid w:val="00331A19"/>
    <w:rsid w:val="00333680"/>
    <w:rsid w:val="00334F6B"/>
    <w:rsid w:val="00340258"/>
    <w:rsid w:val="003425D2"/>
    <w:rsid w:val="00345CCC"/>
    <w:rsid w:val="0034707F"/>
    <w:rsid w:val="00350A8D"/>
    <w:rsid w:val="00353E61"/>
    <w:rsid w:val="00360705"/>
    <w:rsid w:val="0036391A"/>
    <w:rsid w:val="003650A9"/>
    <w:rsid w:val="003651BE"/>
    <w:rsid w:val="00367075"/>
    <w:rsid w:val="003821EA"/>
    <w:rsid w:val="00383275"/>
    <w:rsid w:val="003848CB"/>
    <w:rsid w:val="00385E80"/>
    <w:rsid w:val="00387297"/>
    <w:rsid w:val="00397237"/>
    <w:rsid w:val="003A0F6B"/>
    <w:rsid w:val="003A2295"/>
    <w:rsid w:val="003A563F"/>
    <w:rsid w:val="003B0443"/>
    <w:rsid w:val="003B1793"/>
    <w:rsid w:val="003B48E8"/>
    <w:rsid w:val="003B4FA1"/>
    <w:rsid w:val="003B60CC"/>
    <w:rsid w:val="003B6FA4"/>
    <w:rsid w:val="003C2C70"/>
    <w:rsid w:val="003C2D56"/>
    <w:rsid w:val="003C4450"/>
    <w:rsid w:val="003D2F6A"/>
    <w:rsid w:val="003D43C5"/>
    <w:rsid w:val="003D5008"/>
    <w:rsid w:val="003D7833"/>
    <w:rsid w:val="003E071D"/>
    <w:rsid w:val="003E3165"/>
    <w:rsid w:val="003E6655"/>
    <w:rsid w:val="003E72E3"/>
    <w:rsid w:val="003F0793"/>
    <w:rsid w:val="00407062"/>
    <w:rsid w:val="00416BE8"/>
    <w:rsid w:val="00427437"/>
    <w:rsid w:val="00431371"/>
    <w:rsid w:val="00432BE4"/>
    <w:rsid w:val="004428AE"/>
    <w:rsid w:val="004504E6"/>
    <w:rsid w:val="00454028"/>
    <w:rsid w:val="00460135"/>
    <w:rsid w:val="004642B4"/>
    <w:rsid w:val="004668E7"/>
    <w:rsid w:val="00466942"/>
    <w:rsid w:val="00471AEE"/>
    <w:rsid w:val="00473886"/>
    <w:rsid w:val="00473D18"/>
    <w:rsid w:val="004753A7"/>
    <w:rsid w:val="004827FB"/>
    <w:rsid w:val="00483067"/>
    <w:rsid w:val="00485BC5"/>
    <w:rsid w:val="00486FBB"/>
    <w:rsid w:val="00490AF5"/>
    <w:rsid w:val="004A0AC5"/>
    <w:rsid w:val="004A27EF"/>
    <w:rsid w:val="004A6C9D"/>
    <w:rsid w:val="004A7376"/>
    <w:rsid w:val="004B1196"/>
    <w:rsid w:val="004B1691"/>
    <w:rsid w:val="004B5052"/>
    <w:rsid w:val="004B6A06"/>
    <w:rsid w:val="004B7240"/>
    <w:rsid w:val="004C0896"/>
    <w:rsid w:val="004C0F72"/>
    <w:rsid w:val="004C325A"/>
    <w:rsid w:val="004C3D57"/>
    <w:rsid w:val="004C47E4"/>
    <w:rsid w:val="004D2DCA"/>
    <w:rsid w:val="004D4D93"/>
    <w:rsid w:val="004D6228"/>
    <w:rsid w:val="004E09B1"/>
    <w:rsid w:val="004F0A05"/>
    <w:rsid w:val="004F177A"/>
    <w:rsid w:val="004F32B9"/>
    <w:rsid w:val="004F6046"/>
    <w:rsid w:val="004F629F"/>
    <w:rsid w:val="00505D7F"/>
    <w:rsid w:val="005067A8"/>
    <w:rsid w:val="00512192"/>
    <w:rsid w:val="005130C0"/>
    <w:rsid w:val="00513744"/>
    <w:rsid w:val="00520D1C"/>
    <w:rsid w:val="0052109B"/>
    <w:rsid w:val="00523CE5"/>
    <w:rsid w:val="00524564"/>
    <w:rsid w:val="005254DC"/>
    <w:rsid w:val="005261DC"/>
    <w:rsid w:val="00532DE9"/>
    <w:rsid w:val="00541844"/>
    <w:rsid w:val="00543453"/>
    <w:rsid w:val="00547209"/>
    <w:rsid w:val="0055040D"/>
    <w:rsid w:val="005505B7"/>
    <w:rsid w:val="005529ED"/>
    <w:rsid w:val="00552AA9"/>
    <w:rsid w:val="00553353"/>
    <w:rsid w:val="0056058F"/>
    <w:rsid w:val="00563162"/>
    <w:rsid w:val="005635D8"/>
    <w:rsid w:val="00566F2D"/>
    <w:rsid w:val="00570ED8"/>
    <w:rsid w:val="00571047"/>
    <w:rsid w:val="00591483"/>
    <w:rsid w:val="0059456B"/>
    <w:rsid w:val="0059768A"/>
    <w:rsid w:val="00597724"/>
    <w:rsid w:val="005977AB"/>
    <w:rsid w:val="005A1192"/>
    <w:rsid w:val="005A13DD"/>
    <w:rsid w:val="005B099A"/>
    <w:rsid w:val="005B1748"/>
    <w:rsid w:val="005B2317"/>
    <w:rsid w:val="005C0E84"/>
    <w:rsid w:val="005C3BD3"/>
    <w:rsid w:val="005C6938"/>
    <w:rsid w:val="005C6B52"/>
    <w:rsid w:val="005D38DF"/>
    <w:rsid w:val="005E1E4B"/>
    <w:rsid w:val="005E57E1"/>
    <w:rsid w:val="005F042D"/>
    <w:rsid w:val="005F4E43"/>
    <w:rsid w:val="005F6EE6"/>
    <w:rsid w:val="005F746A"/>
    <w:rsid w:val="00600646"/>
    <w:rsid w:val="00604961"/>
    <w:rsid w:val="0061563F"/>
    <w:rsid w:val="00616C6A"/>
    <w:rsid w:val="00617A26"/>
    <w:rsid w:val="00620AF5"/>
    <w:rsid w:val="00623AFB"/>
    <w:rsid w:val="0062716A"/>
    <w:rsid w:val="00627BA6"/>
    <w:rsid w:val="00631E87"/>
    <w:rsid w:val="00632322"/>
    <w:rsid w:val="00632FCD"/>
    <w:rsid w:val="0063472D"/>
    <w:rsid w:val="00643B3B"/>
    <w:rsid w:val="006466B2"/>
    <w:rsid w:val="00656ECC"/>
    <w:rsid w:val="00660A1E"/>
    <w:rsid w:val="006628DC"/>
    <w:rsid w:val="006653E8"/>
    <w:rsid w:val="0067363F"/>
    <w:rsid w:val="006769AF"/>
    <w:rsid w:val="00680246"/>
    <w:rsid w:val="00687E25"/>
    <w:rsid w:val="00690652"/>
    <w:rsid w:val="0069367B"/>
    <w:rsid w:val="00693BBF"/>
    <w:rsid w:val="006958AC"/>
    <w:rsid w:val="006A6DF2"/>
    <w:rsid w:val="006B07FA"/>
    <w:rsid w:val="006B1210"/>
    <w:rsid w:val="006B3200"/>
    <w:rsid w:val="006C0877"/>
    <w:rsid w:val="006D036F"/>
    <w:rsid w:val="006D0DDF"/>
    <w:rsid w:val="006D439C"/>
    <w:rsid w:val="006D5585"/>
    <w:rsid w:val="006E013C"/>
    <w:rsid w:val="006E4B19"/>
    <w:rsid w:val="006F46BD"/>
    <w:rsid w:val="006F4B38"/>
    <w:rsid w:val="006F5192"/>
    <w:rsid w:val="006F64DF"/>
    <w:rsid w:val="006F6C63"/>
    <w:rsid w:val="00701164"/>
    <w:rsid w:val="00703C63"/>
    <w:rsid w:val="00711C26"/>
    <w:rsid w:val="00713C5F"/>
    <w:rsid w:val="00721955"/>
    <w:rsid w:val="007264DF"/>
    <w:rsid w:val="007300D1"/>
    <w:rsid w:val="007309B3"/>
    <w:rsid w:val="007340ED"/>
    <w:rsid w:val="007349F5"/>
    <w:rsid w:val="007411C3"/>
    <w:rsid w:val="00747308"/>
    <w:rsid w:val="00752050"/>
    <w:rsid w:val="00752F22"/>
    <w:rsid w:val="00754062"/>
    <w:rsid w:val="007543D5"/>
    <w:rsid w:val="00755251"/>
    <w:rsid w:val="00761CC8"/>
    <w:rsid w:val="007659AD"/>
    <w:rsid w:val="00765E92"/>
    <w:rsid w:val="00765F42"/>
    <w:rsid w:val="007736D1"/>
    <w:rsid w:val="00774828"/>
    <w:rsid w:val="007765C0"/>
    <w:rsid w:val="00782C34"/>
    <w:rsid w:val="007830E7"/>
    <w:rsid w:val="007839EA"/>
    <w:rsid w:val="00790D77"/>
    <w:rsid w:val="00791A91"/>
    <w:rsid w:val="00792850"/>
    <w:rsid w:val="00796B51"/>
    <w:rsid w:val="007A311B"/>
    <w:rsid w:val="007A385A"/>
    <w:rsid w:val="007A42D2"/>
    <w:rsid w:val="007A7361"/>
    <w:rsid w:val="007B3A76"/>
    <w:rsid w:val="007B3E05"/>
    <w:rsid w:val="007B5866"/>
    <w:rsid w:val="007B74F0"/>
    <w:rsid w:val="007B7CDE"/>
    <w:rsid w:val="007B7F48"/>
    <w:rsid w:val="007B7F6A"/>
    <w:rsid w:val="007C0C12"/>
    <w:rsid w:val="007D25B1"/>
    <w:rsid w:val="007D3A24"/>
    <w:rsid w:val="007D679F"/>
    <w:rsid w:val="007D6D37"/>
    <w:rsid w:val="007E60D7"/>
    <w:rsid w:val="007E76C4"/>
    <w:rsid w:val="007E7D70"/>
    <w:rsid w:val="007F11CE"/>
    <w:rsid w:val="007F5E85"/>
    <w:rsid w:val="007F621C"/>
    <w:rsid w:val="00800BC0"/>
    <w:rsid w:val="00800DD1"/>
    <w:rsid w:val="00811120"/>
    <w:rsid w:val="0081294C"/>
    <w:rsid w:val="00813D25"/>
    <w:rsid w:val="00816160"/>
    <w:rsid w:val="00823A71"/>
    <w:rsid w:val="00823D7C"/>
    <w:rsid w:val="00825243"/>
    <w:rsid w:val="008320AF"/>
    <w:rsid w:val="00832276"/>
    <w:rsid w:val="0083579E"/>
    <w:rsid w:val="008360F7"/>
    <w:rsid w:val="0084009C"/>
    <w:rsid w:val="0084250A"/>
    <w:rsid w:val="00842528"/>
    <w:rsid w:val="00842BD6"/>
    <w:rsid w:val="00843DC0"/>
    <w:rsid w:val="00843EEF"/>
    <w:rsid w:val="00843F15"/>
    <w:rsid w:val="00852F62"/>
    <w:rsid w:val="008532A2"/>
    <w:rsid w:val="00855F42"/>
    <w:rsid w:val="008605C0"/>
    <w:rsid w:val="00864D2A"/>
    <w:rsid w:val="00866155"/>
    <w:rsid w:val="0087217F"/>
    <w:rsid w:val="008825EE"/>
    <w:rsid w:val="00884382"/>
    <w:rsid w:val="00894A66"/>
    <w:rsid w:val="00895784"/>
    <w:rsid w:val="00895ADD"/>
    <w:rsid w:val="008A046A"/>
    <w:rsid w:val="008A1378"/>
    <w:rsid w:val="008B1AAB"/>
    <w:rsid w:val="008B7610"/>
    <w:rsid w:val="008C11EC"/>
    <w:rsid w:val="008C7A78"/>
    <w:rsid w:val="008D38F2"/>
    <w:rsid w:val="008D436B"/>
    <w:rsid w:val="008D44B0"/>
    <w:rsid w:val="008D5A25"/>
    <w:rsid w:val="008E0128"/>
    <w:rsid w:val="008F2310"/>
    <w:rsid w:val="008F5B61"/>
    <w:rsid w:val="008F76FF"/>
    <w:rsid w:val="00902D9B"/>
    <w:rsid w:val="00906CC5"/>
    <w:rsid w:val="00907C34"/>
    <w:rsid w:val="00915FE3"/>
    <w:rsid w:val="00920592"/>
    <w:rsid w:val="00923C95"/>
    <w:rsid w:val="00925E12"/>
    <w:rsid w:val="00930C84"/>
    <w:rsid w:val="00931031"/>
    <w:rsid w:val="009337FF"/>
    <w:rsid w:val="009350A3"/>
    <w:rsid w:val="00937A1D"/>
    <w:rsid w:val="00937A35"/>
    <w:rsid w:val="009470C6"/>
    <w:rsid w:val="00951D6F"/>
    <w:rsid w:val="00952467"/>
    <w:rsid w:val="00953179"/>
    <w:rsid w:val="00957DB1"/>
    <w:rsid w:val="009605AD"/>
    <w:rsid w:val="00961C7F"/>
    <w:rsid w:val="00962FD0"/>
    <w:rsid w:val="00970570"/>
    <w:rsid w:val="00972B17"/>
    <w:rsid w:val="009752F0"/>
    <w:rsid w:val="00975FA2"/>
    <w:rsid w:val="009760C7"/>
    <w:rsid w:val="0097624C"/>
    <w:rsid w:val="0098218A"/>
    <w:rsid w:val="00983B64"/>
    <w:rsid w:val="009859A6"/>
    <w:rsid w:val="00986FD4"/>
    <w:rsid w:val="00987A6C"/>
    <w:rsid w:val="0099096E"/>
    <w:rsid w:val="009910D7"/>
    <w:rsid w:val="00991C1F"/>
    <w:rsid w:val="00992A83"/>
    <w:rsid w:val="009937D5"/>
    <w:rsid w:val="009A3876"/>
    <w:rsid w:val="009B0995"/>
    <w:rsid w:val="009B1259"/>
    <w:rsid w:val="009B4CC8"/>
    <w:rsid w:val="009B51CF"/>
    <w:rsid w:val="009C126C"/>
    <w:rsid w:val="009C19CF"/>
    <w:rsid w:val="009D1BCA"/>
    <w:rsid w:val="009D52A6"/>
    <w:rsid w:val="009D6FD7"/>
    <w:rsid w:val="009E3E45"/>
    <w:rsid w:val="009E7061"/>
    <w:rsid w:val="009E7854"/>
    <w:rsid w:val="009F2293"/>
    <w:rsid w:val="009F5974"/>
    <w:rsid w:val="00A041C6"/>
    <w:rsid w:val="00A061AD"/>
    <w:rsid w:val="00A11593"/>
    <w:rsid w:val="00A22F62"/>
    <w:rsid w:val="00A23466"/>
    <w:rsid w:val="00A259B3"/>
    <w:rsid w:val="00A278BB"/>
    <w:rsid w:val="00A3562B"/>
    <w:rsid w:val="00A369B5"/>
    <w:rsid w:val="00A42AD0"/>
    <w:rsid w:val="00A444A5"/>
    <w:rsid w:val="00A527EC"/>
    <w:rsid w:val="00A548E2"/>
    <w:rsid w:val="00A54C06"/>
    <w:rsid w:val="00A55267"/>
    <w:rsid w:val="00A60A3C"/>
    <w:rsid w:val="00A617C0"/>
    <w:rsid w:val="00A62483"/>
    <w:rsid w:val="00A63B1D"/>
    <w:rsid w:val="00A63E5F"/>
    <w:rsid w:val="00A71F18"/>
    <w:rsid w:val="00A730CA"/>
    <w:rsid w:val="00A74CC4"/>
    <w:rsid w:val="00A755A0"/>
    <w:rsid w:val="00A939FD"/>
    <w:rsid w:val="00A94194"/>
    <w:rsid w:val="00A96ABD"/>
    <w:rsid w:val="00A96FB3"/>
    <w:rsid w:val="00AA20C3"/>
    <w:rsid w:val="00AA3799"/>
    <w:rsid w:val="00AA6DF5"/>
    <w:rsid w:val="00AC0204"/>
    <w:rsid w:val="00AC7DB6"/>
    <w:rsid w:val="00AE31B5"/>
    <w:rsid w:val="00AE34D4"/>
    <w:rsid w:val="00AE3C69"/>
    <w:rsid w:val="00AE4804"/>
    <w:rsid w:val="00AE4819"/>
    <w:rsid w:val="00AE721A"/>
    <w:rsid w:val="00AF0742"/>
    <w:rsid w:val="00AF3143"/>
    <w:rsid w:val="00AF4502"/>
    <w:rsid w:val="00AF553B"/>
    <w:rsid w:val="00AF7E34"/>
    <w:rsid w:val="00B01832"/>
    <w:rsid w:val="00B06732"/>
    <w:rsid w:val="00B068E6"/>
    <w:rsid w:val="00B1377B"/>
    <w:rsid w:val="00B144A5"/>
    <w:rsid w:val="00B22DAB"/>
    <w:rsid w:val="00B248D2"/>
    <w:rsid w:val="00B305E9"/>
    <w:rsid w:val="00B316A8"/>
    <w:rsid w:val="00B33A7C"/>
    <w:rsid w:val="00B34D6E"/>
    <w:rsid w:val="00B35B2F"/>
    <w:rsid w:val="00B3694B"/>
    <w:rsid w:val="00B469F9"/>
    <w:rsid w:val="00B50934"/>
    <w:rsid w:val="00B518E7"/>
    <w:rsid w:val="00B52EFA"/>
    <w:rsid w:val="00B52F6E"/>
    <w:rsid w:val="00B56110"/>
    <w:rsid w:val="00B62878"/>
    <w:rsid w:val="00B64948"/>
    <w:rsid w:val="00B64A87"/>
    <w:rsid w:val="00B6680B"/>
    <w:rsid w:val="00B73D94"/>
    <w:rsid w:val="00B75816"/>
    <w:rsid w:val="00B77CE2"/>
    <w:rsid w:val="00B83098"/>
    <w:rsid w:val="00B84517"/>
    <w:rsid w:val="00B847B6"/>
    <w:rsid w:val="00B858A1"/>
    <w:rsid w:val="00B87A1B"/>
    <w:rsid w:val="00B91F2C"/>
    <w:rsid w:val="00B93B91"/>
    <w:rsid w:val="00B960AC"/>
    <w:rsid w:val="00B96523"/>
    <w:rsid w:val="00B97DA1"/>
    <w:rsid w:val="00BA0815"/>
    <w:rsid w:val="00BA1B65"/>
    <w:rsid w:val="00BA1EB3"/>
    <w:rsid w:val="00BA382D"/>
    <w:rsid w:val="00BA60F2"/>
    <w:rsid w:val="00BA6EC8"/>
    <w:rsid w:val="00BA7A51"/>
    <w:rsid w:val="00BB0E88"/>
    <w:rsid w:val="00BC1F7D"/>
    <w:rsid w:val="00BC335E"/>
    <w:rsid w:val="00BC3872"/>
    <w:rsid w:val="00BD6527"/>
    <w:rsid w:val="00BD67BC"/>
    <w:rsid w:val="00BD6BB1"/>
    <w:rsid w:val="00BD7C5F"/>
    <w:rsid w:val="00BE295E"/>
    <w:rsid w:val="00BF080E"/>
    <w:rsid w:val="00BF1CBD"/>
    <w:rsid w:val="00BF6710"/>
    <w:rsid w:val="00BF7922"/>
    <w:rsid w:val="00C0586A"/>
    <w:rsid w:val="00C101C2"/>
    <w:rsid w:val="00C15A61"/>
    <w:rsid w:val="00C16532"/>
    <w:rsid w:val="00C1775D"/>
    <w:rsid w:val="00C209AB"/>
    <w:rsid w:val="00C22B96"/>
    <w:rsid w:val="00C25407"/>
    <w:rsid w:val="00C2657C"/>
    <w:rsid w:val="00C351EC"/>
    <w:rsid w:val="00C35B5B"/>
    <w:rsid w:val="00C35B89"/>
    <w:rsid w:val="00C35C0F"/>
    <w:rsid w:val="00C36C48"/>
    <w:rsid w:val="00C36F66"/>
    <w:rsid w:val="00C41E08"/>
    <w:rsid w:val="00C4317E"/>
    <w:rsid w:val="00C434BF"/>
    <w:rsid w:val="00C4754D"/>
    <w:rsid w:val="00C503D1"/>
    <w:rsid w:val="00C51670"/>
    <w:rsid w:val="00C53325"/>
    <w:rsid w:val="00C551CE"/>
    <w:rsid w:val="00C617DE"/>
    <w:rsid w:val="00C61F09"/>
    <w:rsid w:val="00C63291"/>
    <w:rsid w:val="00C65B19"/>
    <w:rsid w:val="00C701FC"/>
    <w:rsid w:val="00C7077E"/>
    <w:rsid w:val="00C73B03"/>
    <w:rsid w:val="00C74BDB"/>
    <w:rsid w:val="00C807E2"/>
    <w:rsid w:val="00C81575"/>
    <w:rsid w:val="00C825E9"/>
    <w:rsid w:val="00C83AA9"/>
    <w:rsid w:val="00C9065C"/>
    <w:rsid w:val="00C94C26"/>
    <w:rsid w:val="00C95EFA"/>
    <w:rsid w:val="00C96211"/>
    <w:rsid w:val="00C96E29"/>
    <w:rsid w:val="00CA04B2"/>
    <w:rsid w:val="00CA083B"/>
    <w:rsid w:val="00CB4410"/>
    <w:rsid w:val="00CC3A3A"/>
    <w:rsid w:val="00CC76E9"/>
    <w:rsid w:val="00CD1D25"/>
    <w:rsid w:val="00CD1F04"/>
    <w:rsid w:val="00CD23EE"/>
    <w:rsid w:val="00CD410D"/>
    <w:rsid w:val="00CD4F03"/>
    <w:rsid w:val="00CD5011"/>
    <w:rsid w:val="00CD64A2"/>
    <w:rsid w:val="00CE0BF8"/>
    <w:rsid w:val="00CE291C"/>
    <w:rsid w:val="00CE4DD5"/>
    <w:rsid w:val="00CE5D9F"/>
    <w:rsid w:val="00CE73E9"/>
    <w:rsid w:val="00CE7792"/>
    <w:rsid w:val="00CF4F25"/>
    <w:rsid w:val="00D0228F"/>
    <w:rsid w:val="00D11161"/>
    <w:rsid w:val="00D11380"/>
    <w:rsid w:val="00D11734"/>
    <w:rsid w:val="00D1254E"/>
    <w:rsid w:val="00D141B2"/>
    <w:rsid w:val="00D16012"/>
    <w:rsid w:val="00D20640"/>
    <w:rsid w:val="00D22CDA"/>
    <w:rsid w:val="00D274EB"/>
    <w:rsid w:val="00D309B7"/>
    <w:rsid w:val="00D339DD"/>
    <w:rsid w:val="00D343BC"/>
    <w:rsid w:val="00D354F7"/>
    <w:rsid w:val="00D40507"/>
    <w:rsid w:val="00D41752"/>
    <w:rsid w:val="00D441BE"/>
    <w:rsid w:val="00D44534"/>
    <w:rsid w:val="00D468A0"/>
    <w:rsid w:val="00D507B6"/>
    <w:rsid w:val="00D525E3"/>
    <w:rsid w:val="00D559BD"/>
    <w:rsid w:val="00D562BA"/>
    <w:rsid w:val="00D601D4"/>
    <w:rsid w:val="00D75A66"/>
    <w:rsid w:val="00D77705"/>
    <w:rsid w:val="00D84233"/>
    <w:rsid w:val="00D93933"/>
    <w:rsid w:val="00D93DEF"/>
    <w:rsid w:val="00D96DE4"/>
    <w:rsid w:val="00D97927"/>
    <w:rsid w:val="00DA06A3"/>
    <w:rsid w:val="00DA1355"/>
    <w:rsid w:val="00DA47A8"/>
    <w:rsid w:val="00DA76AC"/>
    <w:rsid w:val="00DA7862"/>
    <w:rsid w:val="00DB2E3B"/>
    <w:rsid w:val="00DB56E1"/>
    <w:rsid w:val="00DB78C7"/>
    <w:rsid w:val="00DC022F"/>
    <w:rsid w:val="00DC5BE0"/>
    <w:rsid w:val="00DC5CFF"/>
    <w:rsid w:val="00DD06DB"/>
    <w:rsid w:val="00DD0BF1"/>
    <w:rsid w:val="00DD5C34"/>
    <w:rsid w:val="00DD665F"/>
    <w:rsid w:val="00DD6B6A"/>
    <w:rsid w:val="00DE135E"/>
    <w:rsid w:val="00DE18AF"/>
    <w:rsid w:val="00DE2DAA"/>
    <w:rsid w:val="00DE319E"/>
    <w:rsid w:val="00DE4093"/>
    <w:rsid w:val="00DE558B"/>
    <w:rsid w:val="00DE625E"/>
    <w:rsid w:val="00DE645C"/>
    <w:rsid w:val="00DF07F9"/>
    <w:rsid w:val="00DF1081"/>
    <w:rsid w:val="00DF3C79"/>
    <w:rsid w:val="00DF6EC9"/>
    <w:rsid w:val="00E01E21"/>
    <w:rsid w:val="00E0273A"/>
    <w:rsid w:val="00E12B26"/>
    <w:rsid w:val="00E1426D"/>
    <w:rsid w:val="00E14A71"/>
    <w:rsid w:val="00E27A30"/>
    <w:rsid w:val="00E316F7"/>
    <w:rsid w:val="00E31BA7"/>
    <w:rsid w:val="00E32BCC"/>
    <w:rsid w:val="00E353BF"/>
    <w:rsid w:val="00E41BBF"/>
    <w:rsid w:val="00E42154"/>
    <w:rsid w:val="00E42334"/>
    <w:rsid w:val="00E540B3"/>
    <w:rsid w:val="00E545F4"/>
    <w:rsid w:val="00E60B15"/>
    <w:rsid w:val="00E61FE9"/>
    <w:rsid w:val="00E642D6"/>
    <w:rsid w:val="00E6645F"/>
    <w:rsid w:val="00E738C4"/>
    <w:rsid w:val="00E75ABA"/>
    <w:rsid w:val="00E763BE"/>
    <w:rsid w:val="00E77024"/>
    <w:rsid w:val="00E80430"/>
    <w:rsid w:val="00E8154F"/>
    <w:rsid w:val="00E847B0"/>
    <w:rsid w:val="00E90EBF"/>
    <w:rsid w:val="00E96F90"/>
    <w:rsid w:val="00EA3A0F"/>
    <w:rsid w:val="00EA3AF8"/>
    <w:rsid w:val="00EA3E19"/>
    <w:rsid w:val="00EA53AD"/>
    <w:rsid w:val="00EA721A"/>
    <w:rsid w:val="00EA783E"/>
    <w:rsid w:val="00EB1D46"/>
    <w:rsid w:val="00EC14BC"/>
    <w:rsid w:val="00ED009D"/>
    <w:rsid w:val="00ED2118"/>
    <w:rsid w:val="00ED46C9"/>
    <w:rsid w:val="00ED5965"/>
    <w:rsid w:val="00ED69B8"/>
    <w:rsid w:val="00EE3A36"/>
    <w:rsid w:val="00EE44F9"/>
    <w:rsid w:val="00EE7705"/>
    <w:rsid w:val="00EF19C0"/>
    <w:rsid w:val="00EF443F"/>
    <w:rsid w:val="00EF4573"/>
    <w:rsid w:val="00EF5770"/>
    <w:rsid w:val="00EF7CD6"/>
    <w:rsid w:val="00F00507"/>
    <w:rsid w:val="00F00AEA"/>
    <w:rsid w:val="00F025AF"/>
    <w:rsid w:val="00F03FB1"/>
    <w:rsid w:val="00F05594"/>
    <w:rsid w:val="00F10AA1"/>
    <w:rsid w:val="00F14BFB"/>
    <w:rsid w:val="00F14E7C"/>
    <w:rsid w:val="00F213F8"/>
    <w:rsid w:val="00F25281"/>
    <w:rsid w:val="00F254FF"/>
    <w:rsid w:val="00F26FE3"/>
    <w:rsid w:val="00F276FB"/>
    <w:rsid w:val="00F278D7"/>
    <w:rsid w:val="00F301F9"/>
    <w:rsid w:val="00F54F8C"/>
    <w:rsid w:val="00F56BC6"/>
    <w:rsid w:val="00F607AB"/>
    <w:rsid w:val="00F60C10"/>
    <w:rsid w:val="00F624F3"/>
    <w:rsid w:val="00F70E62"/>
    <w:rsid w:val="00F720FD"/>
    <w:rsid w:val="00F82A6A"/>
    <w:rsid w:val="00F840BE"/>
    <w:rsid w:val="00F84DF0"/>
    <w:rsid w:val="00F93E53"/>
    <w:rsid w:val="00F94988"/>
    <w:rsid w:val="00F950CB"/>
    <w:rsid w:val="00FA2B7A"/>
    <w:rsid w:val="00FA5762"/>
    <w:rsid w:val="00FA7BB0"/>
    <w:rsid w:val="00FB0314"/>
    <w:rsid w:val="00FB18E7"/>
    <w:rsid w:val="00FC4B96"/>
    <w:rsid w:val="00FD1994"/>
    <w:rsid w:val="00FD4F2F"/>
    <w:rsid w:val="00FE19AF"/>
    <w:rsid w:val="00FE2CBA"/>
    <w:rsid w:val="00FE3A59"/>
    <w:rsid w:val="00FF54CC"/>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semiHidden/>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FootnoteText">
    <w:name w:val="footnote text"/>
    <w:basedOn w:val="Normal"/>
    <w:link w:val="FootnoteTextChar"/>
    <w:uiPriority w:val="99"/>
    <w:semiHidden/>
    <w:unhideWhenUsed/>
    <w:rsid w:val="003A2295"/>
    <w:pPr>
      <w:spacing w:after="0"/>
    </w:pPr>
    <w:rPr>
      <w:sz w:val="20"/>
      <w:szCs w:val="20"/>
    </w:rPr>
  </w:style>
  <w:style w:type="character" w:customStyle="1" w:styleId="FootnoteTextChar">
    <w:name w:val="Footnote Text Char"/>
    <w:basedOn w:val="DefaultParagraphFont"/>
    <w:link w:val="FootnoteText"/>
    <w:uiPriority w:val="99"/>
    <w:semiHidden/>
    <w:rsid w:val="003A2295"/>
    <w:rPr>
      <w:sz w:val="20"/>
      <w:szCs w:val="20"/>
    </w:rPr>
  </w:style>
  <w:style w:type="character" w:styleId="FootnoteReference">
    <w:name w:val="footnote reference"/>
    <w:basedOn w:val="DefaultParagraphFont"/>
    <w:uiPriority w:val="99"/>
    <w:semiHidden/>
    <w:unhideWhenUsed/>
    <w:rsid w:val="003A2295"/>
    <w:rPr>
      <w:vertAlign w:val="superscript"/>
    </w:rPr>
  </w:style>
  <w:style w:type="paragraph" w:styleId="Revision">
    <w:name w:val="Revision"/>
    <w:hidden/>
    <w:uiPriority w:val="99"/>
    <w:semiHidden/>
    <w:rsid w:val="00992A8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241834153">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639849867">
      <w:bodyDiv w:val="1"/>
      <w:marLeft w:val="0"/>
      <w:marRight w:val="0"/>
      <w:marTop w:val="0"/>
      <w:marBottom w:val="0"/>
      <w:divBdr>
        <w:top w:val="none" w:sz="0" w:space="0" w:color="auto"/>
        <w:left w:val="none" w:sz="0" w:space="0" w:color="auto"/>
        <w:bottom w:val="none" w:sz="0" w:space="0" w:color="auto"/>
        <w:right w:val="none" w:sz="0" w:space="0" w:color="auto"/>
      </w:divBdr>
    </w:div>
    <w:div w:id="753473817">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323078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370178263">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36639006">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790584761">
      <w:bodyDiv w:val="1"/>
      <w:marLeft w:val="0"/>
      <w:marRight w:val="0"/>
      <w:marTop w:val="0"/>
      <w:marBottom w:val="0"/>
      <w:divBdr>
        <w:top w:val="none" w:sz="0" w:space="0" w:color="auto"/>
        <w:left w:val="none" w:sz="0" w:space="0" w:color="auto"/>
        <w:bottom w:val="none" w:sz="0" w:space="0" w:color="auto"/>
        <w:right w:val="none" w:sz="0" w:space="0" w:color="auto"/>
      </w:divBdr>
    </w:div>
    <w:div w:id="1877548896">
      <w:bodyDiv w:val="1"/>
      <w:marLeft w:val="0"/>
      <w:marRight w:val="0"/>
      <w:marTop w:val="0"/>
      <w:marBottom w:val="0"/>
      <w:divBdr>
        <w:top w:val="none" w:sz="0" w:space="0" w:color="auto"/>
        <w:left w:val="none" w:sz="0" w:space="0" w:color="auto"/>
        <w:bottom w:val="none" w:sz="0" w:space="0" w:color="auto"/>
        <w:right w:val="none" w:sz="0" w:space="0" w:color="auto"/>
      </w:divBdr>
    </w:div>
    <w:div w:id="1892811304">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2050109930">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1569</ap:Words>
  <ap:Characters>8631</ap:Characters>
  <ap:DocSecurity>0</ap:DocSecurity>
  <ap:Lines>71</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2026-07-20T08:26:00.0000000Z</lastPrinted>
  <dcterms:created xsi:type="dcterms:W3CDTF">2026-07-22T11:59:00.0000000Z</dcterms:created>
  <dcterms:modified xsi:type="dcterms:W3CDTF">2026-07-22T11:59:00.0000000Z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0x0101009C7CE436063D44E9BE7DC0259EF7C32F006EB9F9836A634AE58B6169785FD3936F00AA5B09C34F670E4989DDFEF3957234AE</vt:lpwstr>
  </property>
  <property fmtid="{D5CDD505-2E9C-101B-9397-08002B2CF9AE}" pid="3" name="_dlc_DocIdItemGuid">
    <vt:lpwstr>d5dc4bf9-75d4-4f69-aaee-a53f0cb4cee5</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7;#Housing and real estate general|0bd32358-1e9d-4204-a5b5-3e5123d4968e</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https://247.plaza.buzaservices.nl/subject/PV-RK2026062026/BZ2630284/Verslag%20Raad%20Algemene%20Zaken%2014%20juli%202026.docx,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y fmtid="{D5CDD505-2E9C-101B-9397-08002B2CF9AE}" pid="65" name="BZDossierTemplate">
    <vt:lpwstr>ReguliereKamerbrief</vt:lpwstr>
  </property>
  <property fmtid="{D5CDD505-2E9C-101B-9397-08002B2CF9AE}" pid="66" name="_docset_NoMedatataSyncRequired">
    <vt:lpwstr>False</vt:lpwstr>
  </property>
</Properties>
</file>