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2026Z16406</w:t>
        <w:br/>
      </w:r>
      <w:proofErr w:type="spellEnd"/>
    </w:p>
    <w:p>
      <w:pPr>
        <w:pStyle w:val="Normal"/>
        <w:rPr>
          <w:b w:val="1"/>
          <w:bCs w:val="1"/>
        </w:rPr>
      </w:pPr>
      <w:r w:rsidR="250AE766">
        <w:rPr>
          <w:b w:val="0"/>
          <w:bCs w:val="0"/>
        </w:rPr>
        <w:t>(ingezonden 21 juli 2026)</w:t>
        <w:br/>
      </w:r>
    </w:p>
    <w:p>
      <w:r>
        <w:t xml:space="preserve">Vragen van het lid Coenradie (JA21) aan de minister van Justitie en Veiligheid over de inzet van RTGB-toetsers voor boa's.</w:t>
      </w:r>
      <w:r>
        <w:br/>
      </w:r>
    </w:p>
    <w:p>
      <w:pPr>
        <w:pStyle w:val="ListParagraph"/>
        <w:numPr>
          <w:ilvl w:val="0"/>
          <w:numId w:val="100514670"/>
        </w:numPr>
        <w:ind w:left="360"/>
      </w:pPr>
      <w:r>
        <w:t xml:space="preserve">Bent u bekend met signalen dat gecertificeerde RTGB-toetsers (Regeling Toetsing Geweldsbeheersing), die door de Politieacademie zijn opgeleid en gecertificeerd, hun bevoegdheid slechts beperkt kunnen inzetten omdat zij uitsluitend boa's mogen toetsen van gemeenten waarmee hun werkgever een convenant heeft?</w:t>
      </w:r>
      <w:r>
        <w:br/>
      </w:r>
      <w:r>
        <w:t xml:space="preserve"> </w:t>
      </w:r>
      <w:r>
        <w:br/>
      </w:r>
    </w:p>
    <w:p>
      <w:pPr>
        <w:pStyle w:val="ListParagraph"/>
        <w:numPr>
          <w:ilvl w:val="0"/>
          <w:numId w:val="100514670"/>
        </w:numPr>
        <w:ind w:left="360"/>
      </w:pPr>
      <w:r>
        <w:t xml:space="preserve">Hoe beoordeelt u de signalen dat beschikbare, gecertificeerde RTGB-toetsers door de huidige convenantconstructie niet volledig kunnen worden ingezet, terwijl er in de praktijk behoefte bestaat aan extra toetscapaciteit?</w:t>
      </w:r>
      <w:r>
        <w:br/>
      </w:r>
      <w:r>
        <w:t xml:space="preserve"> </w:t>
      </w:r>
      <w:r>
        <w:br/>
      </w:r>
    </w:p>
    <w:p>
      <w:pPr>
        <w:pStyle w:val="ListParagraph"/>
        <w:numPr>
          <w:ilvl w:val="0"/>
          <w:numId w:val="100514670"/>
        </w:numPr>
        <w:ind w:left="360"/>
      </w:pPr>
      <w:r>
        <w:t xml:space="preserve">Hoeveel gecertificeerde RTGB-toetsers zijn momenteel bevoegd om RTGB-toetsen af te nemen en hoeveel van hen kunnen vanwege de huidige convenantconstructie niet of slechts gedeeltelijk worden ingezet?</w:t>
      </w:r>
      <w:r>
        <w:br/>
      </w:r>
      <w:r>
        <w:t xml:space="preserve"> </w:t>
      </w:r>
      <w:r>
        <w:br/>
      </w:r>
    </w:p>
    <w:p>
      <w:pPr>
        <w:pStyle w:val="ListParagraph"/>
        <w:numPr>
          <w:ilvl w:val="0"/>
          <w:numId w:val="100514670"/>
        </w:numPr>
        <w:ind w:left="360"/>
      </w:pPr>
      <w:r>
        <w:t xml:space="preserve">Deelt u de opvatting dat beschikbare en gecertificeerde toetscapaciteit optimaal benut zou moeten worden, zeker nu er signalen zijn dat boa's moeite hebben om tijdig een RTGB-toets af te leggen? Zo nee, waarom niet?</w:t>
      </w:r>
      <w:r>
        <w:br/>
      </w:r>
      <w:r>
        <w:t xml:space="preserve"> </w:t>
      </w:r>
      <w:r>
        <w:br/>
      </w:r>
    </w:p>
    <w:p>
      <w:pPr>
        <w:pStyle w:val="ListParagraph"/>
        <w:numPr>
          <w:ilvl w:val="0"/>
          <w:numId w:val="100514670"/>
        </w:numPr>
        <w:ind w:left="360"/>
      </w:pPr>
      <w:r>
        <w:t xml:space="preserve">Bent u bereid te onderzoeken of de huidige convenantconstructie kan worden verruimd of worden aangepast, zodat gecertificeerde RTGB-toetsers ook buiten de bestaande convenanten kunnen worden ingezet? Zo nee, waarom niet?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610">
    <w:abstractNumId w:val="100514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