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2026Z16352</w:t>
        <w:br/>
      </w:r>
      <w:proofErr w:type="spellEnd"/>
    </w:p>
    <w:p>
      <w:pPr>
        <w:pStyle w:val="Normal"/>
        <w:rPr>
          <w:b w:val="1"/>
          <w:bCs w:val="1"/>
        </w:rPr>
      </w:pPr>
      <w:r w:rsidR="250AE766">
        <w:rPr>
          <w:b w:val="0"/>
          <w:bCs w:val="0"/>
        </w:rPr>
        <w:t>(ingezonden 20 juli 2026)</w:t>
        <w:br/>
      </w:r>
    </w:p>
    <w:p>
      <w:r>
        <w:t xml:space="preserve">Vragen van het lid El Abassi (DENK) aan de minister van Justitie en Veiligheid over het bericht dat rechters verkeersboetes te hoog vinden en dit mogelijk gevolgen heeft voor kabinetsbeleid.</w:t>
      </w:r>
      <w:r>
        <w:br/>
      </w:r>
    </w:p>
    <w:p>
      <w:r>
        <w:t xml:space="preserve"> </w:t>
      </w:r>
      <w:r>
        <w:br/>
      </w:r>
    </w:p>
    <w:p>
      <w:r>
        <w:t xml:space="preserve">1</w:t>
      </w:r>
      <w:r>
        <w:br/>
      </w:r>
    </w:p>
    <w:p>
      <w:r>
        <w:t xml:space="preserve">Bent u bekend met het bericht “Spectaculair: rechters vinden verkeersboetes te hoog, mogelijk gevolgen voor kabinetsbeleid” van het AD d.d. 3 juli 2026?[1]</w:t>
      </w:r>
      <w:r>
        <w:br/>
      </w:r>
    </w:p>
    <w:p>
      <w:r>
        <w:t xml:space="preserve"> </w:t>
      </w:r>
      <w:r>
        <w:br/>
      </w:r>
    </w:p>
    <w:p>
      <w:r>
        <w:t xml:space="preserve">2</w:t>
      </w:r>
      <w:r>
        <w:br/>
      </w:r>
    </w:p>
    <w:p>
      <w:r>
        <w:t xml:space="preserve">Bent u bekend met de recente uitspraken van de rechtbank Midden-Nederland en de daarin opgenomen rechtsoverwegingen waaruit blijkt dat de verhoging van de boetebedragen uit 2024 en 2025 onverbindend is verklaard wegens strijd met het evenredigheidsbeginsel?[2]</w:t>
      </w:r>
      <w:r>
        <w:br/>
      </w:r>
    </w:p>
    <w:p>
      <w:r>
        <w:t xml:space="preserve"> </w:t>
      </w:r>
      <w:r>
        <w:br/>
      </w:r>
    </w:p>
    <w:p>
      <w:r>
        <w:t xml:space="preserve">3</w:t>
      </w:r>
      <w:r>
        <w:br/>
      </w:r>
    </w:p>
    <w:p>
      <w:r>
        <w:t xml:space="preserve">Hoe reflecteert u op het oordeel van drie kantonrechters dat de verhogingen van de verkeersboetes in 2024 en 2025 onredelijk zijn en neerkomen op verkapte belastingheffing bij verkeersovertreders?[3]</w:t>
      </w:r>
      <w:r>
        <w:br/>
      </w:r>
    </w:p>
    <w:p>
      <w:r>
        <w:t xml:space="preserve"> </w:t>
      </w:r>
      <w:r>
        <w:br/>
      </w:r>
    </w:p>
    <w:p>
      <w:r>
        <w:t xml:space="preserve">4</w:t>
      </w:r>
      <w:r>
        <w:br/>
      </w:r>
    </w:p>
    <w:p>
      <w:r>
        <w:t xml:space="preserve">Hoe beoordeelt u, in het licht van het voorgaande, de kritiek dat de overheid daarmee haar boekje te buiten gaat wanneer zij een wettelijke bevoegdheid voor verkeersveiligheid inzet voor een ander, oneigenlijk budgettair doel, oftewel détournement de pouvoir?</w:t>
      </w:r>
      <w:r>
        <w:br/>
      </w:r>
    </w:p>
    <w:p>
      <w:r>
        <w:t xml:space="preserve"> </w:t>
      </w:r>
      <w:r>
        <w:br/>
      </w:r>
    </w:p>
    <w:p>
      <w:r>
        <w:t xml:space="preserve">5</w:t>
      </w:r>
      <w:r>
        <w:br/>
      </w:r>
    </w:p>
    <w:p>
      <w:r>
        <w:t xml:space="preserve">In hoeverre acht u uw beleid rechtsstatelijk houdbaar, nu de overheid burgers met steeds hogere verkeersboetes aanspreekt op naleving van de wet, terwijl diezelfde overheid deze boetes mede inzet als begrotingsinstrument en daarmee volgens meerdere rechters (on)geschreven regels, zoals het evenredigheidsbeginsel, schendt?[4]</w:t>
      </w:r>
      <w:r>
        <w:br/>
      </w:r>
    </w:p>
    <w:p>
      <w:r>
        <w:t xml:space="preserve"> </w:t>
      </w:r>
      <w:r>
        <w:br/>
      </w:r>
    </w:p>
    <w:p>
      <w:r>
        <w:t xml:space="preserve">6</w:t>
      </w:r>
      <w:r>
        <w:br/>
      </w:r>
    </w:p>
    <w:p>
      <w:r>
        <w:t xml:space="preserve">Waarom heeft u geen dragende juridische motivering gegeven voor de verhouding tussen de verhoogde boetes op grond van de Wet administratiefrechtelijke handhaving verkeersvoorschriften (hierna: Wahv) en boetes voor commune delicten, terwijl zowel het Openbaar Ministerie als de Raad van State nadrukkelijk op deze disbalans heeft gewezen?</w:t>
      </w:r>
      <w:r>
        <w:br/>
      </w:r>
    </w:p>
    <w:p>
      <w:r>
        <w:t xml:space="preserve"> </w:t>
      </w:r>
      <w:r>
        <w:br/>
      </w:r>
    </w:p>
    <w:p>
      <w:r>
        <w:t xml:space="preserve">7</w:t>
      </w:r>
      <w:r>
        <w:br/>
      </w:r>
    </w:p>
    <w:p>
      <w:r>
        <w:t xml:space="preserve">Deelt u de opvatting dat het maatschappelijk moeilijk uitlegbaar is dat foutparkeren op een gehandicaptenplaats kan leiden tot een hogere boete dan een geldboete die in de strafrechtpraktijk regelmatig wordt opgelegd voor mishandeling? Zo nee, waarom niet?</w:t>
      </w:r>
      <w:r>
        <w:br/>
      </w:r>
    </w:p>
    <w:p>
      <w:r>
        <w:t xml:space="preserve"> </w:t>
      </w:r>
      <w:r>
        <w:br/>
      </w:r>
    </w:p>
    <w:p>
      <w:r>
        <w:t xml:space="preserve">8</w:t>
      </w:r>
      <w:r>
        <w:br/>
      </w:r>
    </w:p>
    <w:p>
      <w:r>
        <w:t xml:space="preserve">Hoe gaat u nu voorkomen dat een wettelijke bevoegdheid die bedoeld is voor verkeersveiligheid, normhandhaving en bestraffing van verkeersovertredingen, wordt ingezet voor het dichten van begrotingsgaten?</w:t>
      </w:r>
      <w:r>
        <w:br/>
      </w:r>
    </w:p>
    <w:p>
      <w:r>
        <w:t xml:space="preserve"> </w:t>
      </w:r>
      <w:r>
        <w:br/>
      </w:r>
    </w:p>
    <w:p>
      <w:r>
        <w:t xml:space="preserve">9</w:t>
      </w:r>
      <w:r>
        <w:br/>
      </w:r>
    </w:p>
    <w:p>
      <w:r>
        <w:t xml:space="preserve">Kunt u de verhoging van de verkeersboetes in 2024 en 2025 uitsplitsen naar aard en hoogte, waarbij per boetecategorie inzichtelijk wordt gemaakt welk deel voortvloeit uit inflatiecorrectie en welk deel uit een beleidsmatige keuze, en hoeveel deze beleidsmatige verhogingen exact hebben opgeleverd voor de staatskas?</w:t>
      </w:r>
      <w:r>
        <w:br/>
      </w:r>
    </w:p>
    <w:p>
      <w:r>
        <w:t xml:space="preserve"> </w:t>
      </w:r>
      <w:r>
        <w:br/>
      </w:r>
    </w:p>
    <w:p>
      <w:r>
        <w:t xml:space="preserve">10</w:t>
      </w:r>
      <w:r>
        <w:br/>
      </w:r>
    </w:p>
    <w:p>
      <w:r>
        <w:t xml:space="preserve">Kunt u vervolgens uiteenzetten hoe deze extra opbrengsten budgettair zijn verwerkt, waaraan zij zijn besteed en welk concreet maatschappelijk of verkeersveiligheidseffect daarmee is bereikt?</w:t>
      </w:r>
      <w:r>
        <w:br/>
      </w:r>
    </w:p>
    <w:p>
      <w:r>
        <w:t xml:space="preserve"> </w:t>
      </w:r>
      <w:r>
        <w:br/>
      </w:r>
    </w:p>
    <w:p>
      <w:r>
        <w:t xml:space="preserve">11</w:t>
      </w:r>
      <w:r>
        <w:br/>
      </w:r>
    </w:p>
    <w:p>
      <w:r>
        <w:t xml:space="preserve">Hoe beoordeelt u het risico dat ook andere rechters de verhogingen van 2024, 2025 en 2026 exceptief gaan toetsen en onverbindend verklaren wegens strijd met het evenredigheidsbeginsel?</w:t>
      </w:r>
      <w:r>
        <w:br/>
      </w:r>
    </w:p>
    <w:p>
      <w:r>
        <w:t xml:space="preserve"> </w:t>
      </w:r>
      <w:r>
        <w:br/>
      </w:r>
    </w:p>
    <w:p>
      <w:r>
        <w:t xml:space="preserve">12</w:t>
      </w:r>
      <w:r>
        <w:br/>
      </w:r>
    </w:p>
    <w:p>
      <w:r>
        <w:t xml:space="preserve">Bent u zich ervan bewust dat, wanneer deze zaken uiteindelijk bij het gerechtshof of de Hoge Raad terechtkomen en ook daar wordt geoordeeld dat de verhogingen van de verkeersboetes uit 2024 en 2025 in strijd zijn met het evenredigheidsbeginsel, dit kan dwingen tot verlaging van de hoogte van verkeersboetes in Nederland?</w:t>
      </w:r>
      <w:r>
        <w:br/>
      </w:r>
    </w:p>
    <w:p>
      <w:r>
        <w:t xml:space="preserve"> </w:t>
      </w:r>
      <w:r>
        <w:br/>
      </w:r>
    </w:p>
    <w:p>
      <w:r>
        <w:t xml:space="preserve">13</w:t>
      </w:r>
      <w:r>
        <w:br/>
      </w:r>
    </w:p>
    <w:p>
      <w:r>
        <w:t xml:space="preserve">Op 3 juli 2026 heeft de advocaat-generaal bij het parket van de Hoge Raad advies uitgebracht. Hij stelt dat Wahv-verhogingen door hun afschrikwekkende en bestraffende karakter niet kunnen worden afgedaan als louter incassomaatregel. Hoe rechtvaardigt u dat deze verhogingen automatisch worden opgelegd zonder de rechtsbescherming die hoort bij een criminal charge onder artikel 6 van het Europees Verdrag voor de Rechten van de Mens?[5]</w:t>
      </w:r>
      <w:r>
        <w:br/>
      </w:r>
    </w:p>
    <w:p>
      <w:r>
        <w:t xml:space="preserve"> </w:t>
      </w:r>
      <w:r>
        <w:br/>
      </w:r>
    </w:p>
    <w:p>
      <w:r>
        <w:t xml:space="preserve">14</w:t>
      </w:r>
      <w:r>
        <w:br/>
      </w:r>
    </w:p>
    <w:p>
      <w:r>
        <w:t xml:space="preserve">Welke concrete maatregelen neemt u naar aanleiding van de uitspraken van de rechtbank Midden-Nederland en de conclusie van de advocaat-generaal bij de Hoge Raad?</w:t>
      </w:r>
      <w:r>
        <w:br/>
      </w:r>
    </w:p>
    <w:p>
      <w:r>
        <w:t xml:space="preserve"> </w:t>
      </w:r>
      <w:r>
        <w:br/>
      </w:r>
    </w:p>
    <w:p>
      <w:r>
        <w:t xml:space="preserve">15</w:t>
      </w:r>
      <w:r>
        <w:br/>
      </w:r>
    </w:p>
    <w:p>
      <w:r>
        <w:t xml:space="preserve">Bent u bereid om, mede naar aanleiding van deze rechterlijke uitspraken, met een integraal voorstel te komen om verkeersboetes, verhogingen en aanmaningskosten proportioneel te maken en te voorkomen dat verkeersboetes mensen onnodig in problematische schulden duwen? Zo nee, waarom niet?</w:t>
      </w:r>
      <w:r>
        <w:br/>
      </w:r>
    </w:p>
    <w:p>
      <w:r>
        <w:t xml:space="preserve"> </w:t>
      </w:r>
      <w:r>
        <w:br/>
      </w:r>
    </w:p>
    <w:p>
      <w:r>
        <w:t xml:space="preserve">[1] AD, 3 juli 2026 (Spectaculair: rechters vinden verkeersboetes te hoog, mogelijk gevolgen voor kabinetsbeleid | Nieuws | AD.nl).</w:t>
      </w:r>
      <w:r>
        <w:br/>
      </w:r>
    </w:p>
    <w:p>
      <w:r>
        <w:t xml:space="preserve">[2] Rb. Midden-Nederland, 30 juni 2026, ECLI:NL:RBMNE:2026:3707; Rb. Midden-Nederland, 30 juni 2026 ECLI:NL:RBMNE:2026:3708; Rb. Midden-Nederland, 1 juli 2026, ECLI:NL:RBMNE:2026:3889.</w:t>
      </w:r>
      <w:r>
        <w:br/>
      </w:r>
    </w:p>
    <w:p>
      <w:r>
        <w:t xml:space="preserve">[3] Rb. Midden-Nederland, 30 juni 2026, ECLI:NL:RBMNE:2026:3707, r.o. 47; Rb. Midden-Nederland, 30 juni 2026, ECLI:NL:RBMNE:2026:3708, r.o. 4-10; Rb. Midden-Nederland, 1 juli 2026, ECLI:NL:RBMNE:2026:3889 (onder beoordeling); AD, 3 juli 2026 (Spectaculair: rechters vinden verkeersboetes te hoog, mogelijk gevolgen voor kabinetsbeleid | Nieuws | AD.nl).</w:t>
      </w:r>
      <w:r>
        <w:br/>
      </w:r>
    </w:p>
    <w:p>
      <w:r>
        <w:t xml:space="preserve">[4] Het evenredigheidsbeginsel, motiveringsbeginsel, specialiteitsbeginsel, détournement de pouvoir, rechtszekerheidsbeginsel en zorgvuldige belangenafweging.</w:t>
      </w:r>
      <w:r>
        <w:br/>
      </w:r>
    </w:p>
    <w:p>
      <w:r>
        <w:t xml:space="preserve">[5] PHR, 3 juli 2026, ECLI:NL:PHR:2026:673, r.o. 5.20.</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43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4390">
    <w:abstractNumId w:val="1005143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