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1529E" w:rsidTr="00C1529E" w14:paraId="0D0DB3A2" w14:textId="77777777">
        <w:sdt>
          <w:sdtPr>
            <w:tag w:val="bmZaakNummerAdvies"/>
            <w:id w:val="2135368592"/>
            <w:lock w:val="sdtLocked"/>
            <w:placeholder>
              <w:docPart w:val="DefaultPlaceholder_-1854013440"/>
            </w:placeholder>
          </w:sdtPr>
          <w:sdtContent>
            <w:tc>
              <w:tcPr>
                <w:tcW w:w="4251" w:type="dxa"/>
              </w:tcPr>
              <w:p w:rsidR="00C1529E" w:rsidRDefault="00C1529E" w14:paraId="2A1D8AD9" w14:textId="500D136E">
                <w:r>
                  <w:t>No. W17.25.00352/IV</w:t>
                </w:r>
              </w:p>
            </w:tc>
          </w:sdtContent>
        </w:sdt>
        <w:sdt>
          <w:sdtPr>
            <w:tag w:val="bmDatumAdvies"/>
            <w:id w:val="1053582766"/>
            <w:lock w:val="sdtLocked"/>
            <w:placeholder>
              <w:docPart w:val="DefaultPlaceholder_-1854013440"/>
            </w:placeholder>
          </w:sdtPr>
          <w:sdtContent>
            <w:tc>
              <w:tcPr>
                <w:tcW w:w="4252" w:type="dxa"/>
              </w:tcPr>
              <w:p w:rsidR="00C1529E" w:rsidRDefault="00C1529E" w14:paraId="4A64834B" w14:textId="1E7B8A65">
                <w:r>
                  <w:t xml:space="preserve">'s-Gravenhage, </w:t>
                </w:r>
                <w:r w:rsidR="006866C3">
                  <w:t>1</w:t>
                </w:r>
                <w:r>
                  <w:t xml:space="preserve"> april 2026</w:t>
                </w:r>
              </w:p>
            </w:tc>
          </w:sdtContent>
        </w:sdt>
      </w:tr>
    </w:tbl>
    <w:p w:rsidR="00C1529E" w:rsidRDefault="00C1529E" w14:paraId="05CF12EA" w14:textId="77777777"/>
    <w:p w:rsidR="00C1529E" w:rsidRDefault="00C1529E" w14:paraId="6E9F11AB" w14:textId="77777777"/>
    <w:p w:rsidR="001978DD" w:rsidRDefault="00000000" w14:paraId="2F2421B5" w14:textId="48086335">
      <w:sdt>
        <w:sdtPr>
          <w:tag w:val="bmAanhef"/>
          <w:id w:val="1516505565"/>
          <w:lock w:val="sdtLocked"/>
          <w:placeholder>
            <w:docPart w:val="DefaultPlaceholder_-1854013440"/>
          </w:placeholder>
        </w:sdtPr>
        <w:sdtContent>
          <w:r w:rsidR="00C1529E">
            <w:rPr>
              <w:color w:val="000000"/>
            </w:rPr>
            <w:t>Bij Kabinetsmissive van 2 december 2025, no.2025002780, heeft Uwe Majesteit, op voordracht van de Minister van Infrastructuur en Waterstaat, bij de Afdeling advisering van de Raad van State ter overweging aanhangig gemaakt het voorstel van wet houdende wijziging van de Wet milieubeheer in verband met de invoering van de verplichting tot het stellen van milieuprestatie-eisen in aanbestedingen voor grond-, weg- en waterbouwwerken, met memorie van toelichting.</w:t>
          </w:r>
        </w:sdtContent>
      </w:sdt>
    </w:p>
    <w:p w:rsidR="001978DD" w:rsidRDefault="001978DD" w14:paraId="2F2421B6" w14:textId="77777777"/>
    <w:p w:rsidRPr="003D7AC5" w:rsidR="0051120D" w:rsidP="0051120D" w:rsidRDefault="0051120D" w14:paraId="07F75C47" w14:textId="4D928902">
      <w:r w:rsidRPr="003D7AC5">
        <w:t xml:space="preserve">Het </w:t>
      </w:r>
      <w:r w:rsidR="00323DAE">
        <w:t>wets</w:t>
      </w:r>
      <w:r w:rsidRPr="003D7AC5">
        <w:t xml:space="preserve">voorstel strekt tot wijziging van de Wet milieubeheer en </w:t>
      </w:r>
      <w:r w:rsidR="00B76AFA">
        <w:t>sterkt ertoe</w:t>
      </w:r>
      <w:r w:rsidR="004463F9">
        <w:t xml:space="preserve"> </w:t>
      </w:r>
      <w:r w:rsidRPr="003D7AC5">
        <w:t xml:space="preserve">dat aanbestedende diensten en speciale-sectorbedrijven als opdrachtgevers van werken in de Grond-, Weg en Waterbouw (hierna: GWW-werken) op consistente en uniforme wijze </w:t>
      </w:r>
      <w:r w:rsidR="00C9090F">
        <w:t>milieuprestatie-</w:t>
      </w:r>
      <w:r w:rsidRPr="003D7AC5">
        <w:t xml:space="preserve">eisen stellen bij hun inkoopprocedures om de milieubelasting </w:t>
      </w:r>
      <w:r w:rsidR="00B46294">
        <w:t xml:space="preserve">van </w:t>
      </w:r>
      <w:r w:rsidRPr="003D7AC5">
        <w:t>GWW</w:t>
      </w:r>
      <w:r w:rsidR="0009407E">
        <w:t>-werken</w:t>
      </w:r>
      <w:r w:rsidRPr="003D7AC5">
        <w:t xml:space="preserve"> te beperken. Tevens strekt het voorstel ertoe om de milieu-impact van GWW-werken </w:t>
      </w:r>
      <w:r>
        <w:t xml:space="preserve">te </w:t>
      </w:r>
      <w:r w:rsidRPr="003D7AC5">
        <w:t>verlagen.</w:t>
      </w:r>
    </w:p>
    <w:p w:rsidRPr="003D7AC5" w:rsidR="0051120D" w:rsidP="0051120D" w:rsidRDefault="0051120D" w14:paraId="379BD600" w14:textId="77777777"/>
    <w:p w:rsidRPr="003D7AC5" w:rsidR="0051120D" w:rsidP="0051120D" w:rsidRDefault="004463F9" w14:paraId="706D9F67" w14:textId="769E2CEA">
      <w:r>
        <w:t>H</w:t>
      </w:r>
      <w:r w:rsidRPr="003D7AC5" w:rsidR="0051120D">
        <w:t xml:space="preserve">et </w:t>
      </w:r>
      <w:r>
        <w:t>wets</w:t>
      </w:r>
      <w:r w:rsidRPr="003D7AC5" w:rsidR="0051120D">
        <w:t xml:space="preserve">voorstel </w:t>
      </w:r>
      <w:r>
        <w:t xml:space="preserve">verplicht </w:t>
      </w:r>
      <w:r w:rsidRPr="003D7AC5" w:rsidR="0051120D">
        <w:t>aanbestedende diensten en speciale-sectorbedrijven om bij de aanbesteding van GWW-werk</w:t>
      </w:r>
      <w:r w:rsidR="0009407E">
        <w:t>en</w:t>
      </w:r>
      <w:r w:rsidRPr="003D7AC5" w:rsidR="0051120D">
        <w:t xml:space="preserve"> als technische specificatie milieuprestatie-eisen te stellen</w:t>
      </w:r>
      <w:r w:rsidR="00596EC3">
        <w:t xml:space="preserve"> voor de</w:t>
      </w:r>
      <w:r w:rsidR="00AC2BC6">
        <w:t xml:space="preserve"> nader aan te wijzen</w:t>
      </w:r>
      <w:r w:rsidR="00596EC3">
        <w:t xml:space="preserve"> meest milieubelastende</w:t>
      </w:r>
      <w:r w:rsidR="00AC2BC6">
        <w:t xml:space="preserve"> </w:t>
      </w:r>
      <w:r w:rsidR="002F3A47">
        <w:t xml:space="preserve">materialen en </w:t>
      </w:r>
      <w:r w:rsidR="00AC2BC6">
        <w:t>producten</w:t>
      </w:r>
      <w:r w:rsidR="00F77B6B">
        <w:t>, voor zover deze binnen het betreffende GWW-werk worden toegepast</w:t>
      </w:r>
      <w:r w:rsidRPr="003D7AC5" w:rsidR="0051120D">
        <w:t xml:space="preserve">. Tevens verplicht het voorstel </w:t>
      </w:r>
      <w:bookmarkStart w:name="_Hlk201639394" w:id="0"/>
      <w:r w:rsidRPr="003D7AC5" w:rsidR="0051120D">
        <w:t xml:space="preserve">aanbestedende diensten en speciale-sectorbedrijven om </w:t>
      </w:r>
      <w:r w:rsidR="00635A59">
        <w:t xml:space="preserve">de </w:t>
      </w:r>
      <w:r w:rsidRPr="003D7AC5" w:rsidR="0051120D">
        <w:t>milieuprestatie</w:t>
      </w:r>
      <w:r w:rsidR="00635A59">
        <w:t xml:space="preserve"> als nader criterium</w:t>
      </w:r>
      <w:r w:rsidR="00C0335D">
        <w:t xml:space="preserve"> mee te nemen</w:t>
      </w:r>
      <w:r w:rsidRPr="003D7AC5" w:rsidR="0051120D">
        <w:t xml:space="preserve"> bij de aanbesteding van GWW-werken die een bij </w:t>
      </w:r>
      <w:r w:rsidR="00CC77EB">
        <w:t xml:space="preserve">algemene maatregel </w:t>
      </w:r>
      <w:r w:rsidRPr="003D7AC5" w:rsidR="0051120D">
        <w:t>v</w:t>
      </w:r>
      <w:r w:rsidR="00CC77EB">
        <w:t>an bestuur</w:t>
      </w:r>
      <w:r w:rsidRPr="003D7AC5" w:rsidR="0051120D">
        <w:t xml:space="preserve"> vast te stellen minimum geraamde opdrachtwaarde overschrijden.</w:t>
      </w:r>
    </w:p>
    <w:p w:rsidRPr="007D11A9" w:rsidR="0051120D" w:rsidP="0051120D" w:rsidRDefault="0051120D" w14:paraId="388937B7" w14:textId="77777777"/>
    <w:bookmarkEnd w:id="0"/>
    <w:p w:rsidR="006866C3" w:rsidP="00CC79CA" w:rsidRDefault="0051120D" w14:paraId="4383B088" w14:textId="77777777">
      <w:r>
        <w:t xml:space="preserve">De Afdeling </w:t>
      </w:r>
      <w:r w:rsidR="00BC39DA">
        <w:t xml:space="preserve">advisering van de Raad van State </w:t>
      </w:r>
      <w:r>
        <w:t xml:space="preserve">maakt </w:t>
      </w:r>
      <w:r w:rsidR="005B15C1">
        <w:t xml:space="preserve">twee </w:t>
      </w:r>
      <w:r>
        <w:t>opmerking</w:t>
      </w:r>
      <w:r w:rsidR="005B15C1">
        <w:t>en</w:t>
      </w:r>
      <w:r>
        <w:t xml:space="preserve"> van Unierechtelijke aard</w:t>
      </w:r>
      <w:r w:rsidR="007856E6">
        <w:t xml:space="preserve"> over </w:t>
      </w:r>
      <w:r w:rsidR="00B3515A">
        <w:t>de ruimte die de desbetreffende EU-</w:t>
      </w:r>
      <w:r w:rsidR="00691162">
        <w:t>aanbestedings</w:t>
      </w:r>
      <w:r w:rsidR="00B3515A">
        <w:t xml:space="preserve">richtlijn biedt voor de maatregelen die het voorstel introduceert en over </w:t>
      </w:r>
      <w:r w:rsidR="000F22B2">
        <w:t>de rechtvaardiging</w:t>
      </w:r>
      <w:r w:rsidR="00D94BD5">
        <w:t xml:space="preserve"> van de beperkingen die het met zich brengt voor het vrij verkeer van diensten. Ook </w:t>
      </w:r>
      <w:r w:rsidR="00CC79CA">
        <w:t>maakt de Afdeling</w:t>
      </w:r>
      <w:r w:rsidDel="00CC79CA">
        <w:t xml:space="preserve"> </w:t>
      </w:r>
      <w:r w:rsidR="005B15C1">
        <w:t xml:space="preserve">een </w:t>
      </w:r>
      <w:r w:rsidR="00645646">
        <w:t xml:space="preserve">opmerking </w:t>
      </w:r>
      <w:r>
        <w:t xml:space="preserve">over de verhouding van het voorstel tot het Nederlandse aanbestedingsrecht. </w:t>
      </w:r>
    </w:p>
    <w:p w:rsidR="006866C3" w:rsidP="00CC79CA" w:rsidRDefault="006866C3" w14:paraId="436E4778" w14:textId="77777777"/>
    <w:p w:rsidR="0051120D" w:rsidP="00CC79CA" w:rsidRDefault="00645646" w14:paraId="2E44AF27" w14:textId="00E05225">
      <w:r>
        <w:t xml:space="preserve">In verband met deze opmerkingen is aanpassing </w:t>
      </w:r>
      <w:r w:rsidR="006866C3">
        <w:t xml:space="preserve">wenselijk </w:t>
      </w:r>
      <w:r>
        <w:t>van de toelichting.</w:t>
      </w:r>
    </w:p>
    <w:p w:rsidR="00645646" w:rsidP="0051120D" w:rsidRDefault="00645646" w14:paraId="38A2C533" w14:textId="77777777"/>
    <w:p w:rsidR="0051120D" w:rsidP="0051120D" w:rsidRDefault="0051120D" w14:paraId="1C002864" w14:textId="6030F2AC">
      <w:r w:rsidRPr="00FA5B05">
        <w:t>1.</w:t>
      </w:r>
      <w:r>
        <w:tab/>
      </w:r>
      <w:r w:rsidR="00C16EB7">
        <w:rPr>
          <w:u w:val="single"/>
        </w:rPr>
        <w:t>Unierecht</w:t>
      </w:r>
      <w:r w:rsidR="00FE750B">
        <w:rPr>
          <w:u w:val="single"/>
        </w:rPr>
        <w:t>elijke opmerkingen</w:t>
      </w:r>
    </w:p>
    <w:p w:rsidR="0051120D" w:rsidP="0051120D" w:rsidRDefault="0051120D" w14:paraId="4D1A37CE" w14:textId="77777777"/>
    <w:p w:rsidR="00442087" w:rsidP="00C16EB7" w:rsidRDefault="00C16EB7" w14:paraId="504292FF" w14:textId="0E09BE47">
      <w:r>
        <w:t>Het Unierecht harmoniseert het aanbestedingsrecht voor werken in verregaande mate</w:t>
      </w:r>
      <w:r w:rsidR="00A1209D">
        <w:t xml:space="preserve"> om te </w:t>
      </w:r>
      <w:r w:rsidRPr="00A1209D" w:rsidR="00A1209D">
        <w:t xml:space="preserve">waarborgen dat de beginselen </w:t>
      </w:r>
      <w:r w:rsidR="00533A07">
        <w:t xml:space="preserve">van </w:t>
      </w:r>
      <w:r w:rsidRPr="00533A07" w:rsidR="00533A07">
        <w:t>het vrije verkeer van goederen, de vrijheid van vestiging en de vrijheid van dienstverlening</w:t>
      </w:r>
      <w:r w:rsidR="00FE750B">
        <w:t xml:space="preserve"> </w:t>
      </w:r>
      <w:r w:rsidRPr="00A1209D" w:rsidR="00A1209D">
        <w:t>in de praktijk worden geëerbiedigd</w:t>
      </w:r>
      <w:r w:rsidR="00533A07">
        <w:t xml:space="preserve">. </w:t>
      </w:r>
      <w:r>
        <w:t>D</w:t>
      </w:r>
      <w:r w:rsidR="00BE6AE8">
        <w:t xml:space="preserve">e toelichting besteedt geen aandacht aan </w:t>
      </w:r>
      <w:r>
        <w:t xml:space="preserve">de vraag of het </w:t>
      </w:r>
      <w:r>
        <w:lastRenderedPageBreak/>
        <w:t xml:space="preserve">Unierecht ter zake, </w:t>
      </w:r>
      <w:r w:rsidR="00E548ED">
        <w:t xml:space="preserve">vooral </w:t>
      </w:r>
      <w:r>
        <w:t>Richtlijn (EU) 2014/24,</w:t>
      </w:r>
      <w:r>
        <w:rPr>
          <w:rStyle w:val="Voetnootmarkering"/>
        </w:rPr>
        <w:footnoteReference w:id="1"/>
      </w:r>
      <w:r>
        <w:t xml:space="preserve"> ruimte laat voor </w:t>
      </w:r>
      <w:r w:rsidR="008707F2">
        <w:t xml:space="preserve">de </w:t>
      </w:r>
      <w:r>
        <w:t>aanvullende maatregelen die het voorstel introduceert</w:t>
      </w:r>
      <w:r w:rsidR="008B0107">
        <w:t>:</w:t>
      </w:r>
      <w:r w:rsidR="001E4C8F">
        <w:t xml:space="preserve"> </w:t>
      </w:r>
      <w:r w:rsidR="00831878">
        <w:t xml:space="preserve">de </w:t>
      </w:r>
      <w:r w:rsidR="0081493C">
        <w:t>verplicht</w:t>
      </w:r>
      <w:r w:rsidR="006465BD">
        <w:t>ing</w:t>
      </w:r>
      <w:r w:rsidDel="006465BD" w:rsidR="0081493C">
        <w:t xml:space="preserve"> </w:t>
      </w:r>
      <w:r w:rsidR="00A52989">
        <w:t xml:space="preserve">om </w:t>
      </w:r>
      <w:r w:rsidR="0099488F">
        <w:t xml:space="preserve">bij de aanbesteding van GWW-werken </w:t>
      </w:r>
      <w:r w:rsidR="0049205B">
        <w:t>milieuprestatie-eisen</w:t>
      </w:r>
      <w:r w:rsidR="00585349">
        <w:t xml:space="preserve"> </w:t>
      </w:r>
      <w:r w:rsidR="00A52989">
        <w:t xml:space="preserve">te stellen en om </w:t>
      </w:r>
      <w:r w:rsidR="004E6909">
        <w:t>de milieuprestatie</w:t>
      </w:r>
      <w:r w:rsidR="00462818">
        <w:t xml:space="preserve"> als nader criterium bij de aanbesteding van GWW-werken</w:t>
      </w:r>
      <w:r w:rsidR="00A52989">
        <w:t xml:space="preserve"> mee te nemen</w:t>
      </w:r>
      <w:r>
        <w:t xml:space="preserve">. </w:t>
      </w:r>
    </w:p>
    <w:p w:rsidR="00CB0E13" w:rsidP="00C16EB7" w:rsidRDefault="00CB0E13" w14:paraId="3756835B" w14:textId="77777777"/>
    <w:p w:rsidR="0051120D" w:rsidP="0051120D" w:rsidRDefault="00533A07" w14:paraId="7A13429F" w14:textId="7BAD0C7A">
      <w:r>
        <w:t>I</w:t>
      </w:r>
      <w:r w:rsidR="0051120D">
        <w:t xml:space="preserve">n de toelichting bij het </w:t>
      </w:r>
      <w:r w:rsidR="002C1AB3">
        <w:t>wets</w:t>
      </w:r>
      <w:r w:rsidR="0051120D">
        <w:t xml:space="preserve">voorstel </w:t>
      </w:r>
      <w:r>
        <w:t xml:space="preserve">wordt terecht </w:t>
      </w:r>
      <w:r w:rsidR="001016D8">
        <w:t xml:space="preserve">aandacht besteed </w:t>
      </w:r>
      <w:r w:rsidR="00255316">
        <w:t xml:space="preserve">aan de gevolgen van </w:t>
      </w:r>
      <w:r w:rsidR="0051120D">
        <w:t xml:space="preserve">de </w:t>
      </w:r>
      <w:r w:rsidR="002A2D5C">
        <w:t xml:space="preserve">voorgestelde </w:t>
      </w:r>
      <w:r w:rsidR="0051120D">
        <w:t xml:space="preserve">introductie van </w:t>
      </w:r>
      <w:r w:rsidR="00E93064">
        <w:t>milieu</w:t>
      </w:r>
      <w:r w:rsidR="00A87A8E">
        <w:t xml:space="preserve">prestatie-eisen </w:t>
      </w:r>
      <w:r w:rsidR="00255316">
        <w:t xml:space="preserve">voor de </w:t>
      </w:r>
      <w:r w:rsidR="0051120D">
        <w:t xml:space="preserve">Unierechtelijke vrij-verkeersregels. De introductie van de </w:t>
      </w:r>
      <w:r w:rsidR="00102775">
        <w:t xml:space="preserve">milieuprestatie-eisen </w:t>
      </w:r>
      <w:r w:rsidR="00147E9D">
        <w:t xml:space="preserve">wordt gerechtvaardigd </w:t>
      </w:r>
      <w:r w:rsidR="0051120D">
        <w:t xml:space="preserve">in het licht van </w:t>
      </w:r>
      <w:r w:rsidR="009603EB">
        <w:t xml:space="preserve">het </w:t>
      </w:r>
      <w:r w:rsidR="0051120D">
        <w:t>vrij verkeer van goederen omdat daarmee (indirect) eisen worden gesteld aan de kwaliteit van materialen die bij GWW-werken worden gebruikt.</w:t>
      </w:r>
      <w:r w:rsidR="00FD5C4C">
        <w:rPr>
          <w:rStyle w:val="Voetnootmarkering"/>
        </w:rPr>
        <w:footnoteReference w:id="2"/>
      </w:r>
      <w:r w:rsidR="0051120D">
        <w:t xml:space="preserve"> Eisen die </w:t>
      </w:r>
      <w:r w:rsidR="00FB2E2D">
        <w:t xml:space="preserve">in aanbestedingsrechtelijke context </w:t>
      </w:r>
      <w:r w:rsidR="0051120D">
        <w:t xml:space="preserve">worden gesteld </w:t>
      </w:r>
      <w:r w:rsidR="00FB2E2D">
        <w:t>aan opdrachten of opdrachtnemers</w:t>
      </w:r>
      <w:r w:rsidR="0051120D">
        <w:t xml:space="preserve"> worden in de regel </w:t>
      </w:r>
      <w:r w:rsidR="00631FD2">
        <w:t xml:space="preserve">evenwel </w:t>
      </w:r>
      <w:r w:rsidR="0051120D">
        <w:t xml:space="preserve">primair geduid als beperkingen van het vrij verkeer van diensten </w:t>
      </w:r>
      <w:r w:rsidR="003F2E90">
        <w:t>(c.q. de Dienstenrichtlijn</w:t>
      </w:r>
      <w:r w:rsidR="003F2E90">
        <w:rPr>
          <w:rStyle w:val="Voetnootmarkering"/>
        </w:rPr>
        <w:footnoteReference w:id="3"/>
      </w:r>
      <w:r w:rsidR="003F2E90">
        <w:t xml:space="preserve">) </w:t>
      </w:r>
      <w:r w:rsidR="0051120D">
        <w:t>en de vrijheid van vestiging.</w:t>
      </w:r>
      <w:r w:rsidR="0051120D">
        <w:rPr>
          <w:rStyle w:val="Voetnootmarkering"/>
        </w:rPr>
        <w:footnoteReference w:id="4"/>
      </w:r>
      <w:r w:rsidR="0051120D">
        <w:t xml:space="preserve"> </w:t>
      </w:r>
      <w:r w:rsidR="00981D97">
        <w:t xml:space="preserve">De toelichting zal </w:t>
      </w:r>
      <w:r w:rsidR="004A2621">
        <w:t xml:space="preserve">daarom </w:t>
      </w:r>
      <w:r w:rsidR="00981D97">
        <w:t xml:space="preserve">ook </w:t>
      </w:r>
      <w:r w:rsidR="00C34A33">
        <w:t xml:space="preserve">op </w:t>
      </w:r>
      <w:r w:rsidR="0066758A">
        <w:t xml:space="preserve">eventuele belemmeringen van het dienstenverkeer </w:t>
      </w:r>
      <w:r w:rsidR="00981D97">
        <w:t>moeten ingaan</w:t>
      </w:r>
      <w:r w:rsidR="0051120D">
        <w:t>.</w:t>
      </w:r>
    </w:p>
    <w:p w:rsidR="0051120D" w:rsidP="0051120D" w:rsidRDefault="0051120D" w14:paraId="4FEFD6E1" w14:textId="77777777"/>
    <w:p w:rsidR="0051120D" w:rsidP="0051120D" w:rsidRDefault="0051120D" w14:paraId="65369789" w14:textId="5621CB33">
      <w:r>
        <w:t xml:space="preserve">De Afdeling adviseert om de toelichting </w:t>
      </w:r>
      <w:r w:rsidR="00FB3634">
        <w:t xml:space="preserve">op deze punten </w:t>
      </w:r>
      <w:r>
        <w:t>aan te vullen.</w:t>
      </w:r>
    </w:p>
    <w:p w:rsidR="003C790F" w:rsidP="0051120D" w:rsidRDefault="003C790F" w14:paraId="037CCD1B" w14:textId="77777777"/>
    <w:p w:rsidRPr="00250814" w:rsidR="0051120D" w:rsidP="0051120D" w:rsidRDefault="0051120D" w14:paraId="7A605555" w14:textId="4FB2CB2D">
      <w:pPr>
        <w:rPr>
          <w:u w:val="single"/>
        </w:rPr>
      </w:pPr>
      <w:r w:rsidRPr="00250814">
        <w:t>2.</w:t>
      </w:r>
      <w:r w:rsidRPr="00250814">
        <w:tab/>
      </w:r>
      <w:r w:rsidRPr="00250814">
        <w:rPr>
          <w:u w:val="single"/>
        </w:rPr>
        <w:t xml:space="preserve">Verhouding tot het Nederlandse </w:t>
      </w:r>
      <w:r>
        <w:rPr>
          <w:u w:val="single"/>
        </w:rPr>
        <w:t>a</w:t>
      </w:r>
      <w:r w:rsidRPr="00250814">
        <w:rPr>
          <w:u w:val="single"/>
        </w:rPr>
        <w:t>anbestedingsrecht</w:t>
      </w:r>
    </w:p>
    <w:p w:rsidR="0051120D" w:rsidP="0051120D" w:rsidRDefault="0051120D" w14:paraId="5CB693AA" w14:textId="77777777"/>
    <w:p w:rsidR="00DC7DDB" w:rsidP="0051120D" w:rsidRDefault="0051120D" w14:paraId="4D8E3094" w14:textId="5F1CCE57">
      <w:r>
        <w:t xml:space="preserve">In het </w:t>
      </w:r>
      <w:r w:rsidR="002B1F01">
        <w:t>wets</w:t>
      </w:r>
      <w:r>
        <w:t xml:space="preserve">voorstel is de keuze gemaakt om </w:t>
      </w:r>
      <w:r w:rsidR="00936FE5">
        <w:t xml:space="preserve">eisen van </w:t>
      </w:r>
      <w:r>
        <w:t xml:space="preserve">aanbestedingsrechtelijke </w:t>
      </w:r>
      <w:r w:rsidR="00936FE5">
        <w:t xml:space="preserve">aard </w:t>
      </w:r>
      <w:r>
        <w:t>op te nemen in de Wet Milieubeheer.</w:t>
      </w:r>
      <w:r w:rsidR="00521A21">
        <w:rPr>
          <w:rStyle w:val="Voetnootmarkering"/>
        </w:rPr>
        <w:footnoteReference w:id="5"/>
      </w:r>
      <w:r>
        <w:t xml:space="preserve"> </w:t>
      </w:r>
      <w:r w:rsidR="0019356F">
        <w:t xml:space="preserve">Hoewel </w:t>
      </w:r>
      <w:r w:rsidR="0090209E">
        <w:t xml:space="preserve">met het voorstel </w:t>
      </w:r>
      <w:r w:rsidR="00456135">
        <w:t xml:space="preserve">deels </w:t>
      </w:r>
      <w:r w:rsidR="0090209E">
        <w:t>wordt aangesloten</w:t>
      </w:r>
      <w:r w:rsidR="00456135">
        <w:t xml:space="preserve"> bij </w:t>
      </w:r>
      <w:r w:rsidR="000633CD">
        <w:t>d</w:t>
      </w:r>
      <w:r w:rsidR="00456135">
        <w:t>e Aanbestedingswet 2012</w:t>
      </w:r>
      <w:r w:rsidR="008F3AC2">
        <w:t>,</w:t>
      </w:r>
      <w:r w:rsidR="00B84BAB">
        <w:rPr>
          <w:rStyle w:val="Voetnootmarkering"/>
        </w:rPr>
        <w:footnoteReference w:id="6"/>
      </w:r>
      <w:r w:rsidR="008F3AC2">
        <w:t xml:space="preserve"> </w:t>
      </w:r>
      <w:r w:rsidR="00DC7DDB">
        <w:t>beva</w:t>
      </w:r>
      <w:r w:rsidR="000633CD">
        <w:t xml:space="preserve">t de toelichting </w:t>
      </w:r>
      <w:r w:rsidR="00DC7DDB">
        <w:t xml:space="preserve">geen motivering </w:t>
      </w:r>
      <w:r w:rsidR="000633CD">
        <w:t>waarom de voorgestelde regeling niet in</w:t>
      </w:r>
      <w:r w:rsidR="005401EA">
        <w:t xml:space="preserve"> </w:t>
      </w:r>
      <w:r w:rsidR="000633CD">
        <w:t>de</w:t>
      </w:r>
      <w:r w:rsidR="00B84BAB">
        <w:t>ze</w:t>
      </w:r>
      <w:r w:rsidR="000633CD">
        <w:t xml:space="preserve"> </w:t>
      </w:r>
      <w:r w:rsidR="00B84BAB">
        <w:t xml:space="preserve">wet </w:t>
      </w:r>
      <w:r w:rsidR="000633CD">
        <w:t xml:space="preserve">wordt </w:t>
      </w:r>
      <w:r w:rsidR="004E1469">
        <w:t>opgenomen</w:t>
      </w:r>
      <w:r w:rsidR="000633CD">
        <w:t>.</w:t>
      </w:r>
      <w:r w:rsidR="0090209E">
        <w:t xml:space="preserve"> </w:t>
      </w:r>
      <w:r w:rsidR="00FC17FD">
        <w:t xml:space="preserve">Zoals de </w:t>
      </w:r>
      <w:r w:rsidR="00B85AAF">
        <w:t>regering</w:t>
      </w:r>
      <w:r w:rsidR="00FC17FD">
        <w:t xml:space="preserve"> zelf aan</w:t>
      </w:r>
      <w:r w:rsidR="00B85AAF">
        <w:t>geeft</w:t>
      </w:r>
      <w:r w:rsidR="00FC17FD">
        <w:t xml:space="preserve"> </w:t>
      </w:r>
      <w:r w:rsidR="005040C8">
        <w:t xml:space="preserve">is het </w:t>
      </w:r>
      <w:r w:rsidR="00846FE7">
        <w:t>wenselijk</w:t>
      </w:r>
      <w:r w:rsidR="005040C8">
        <w:t xml:space="preserve"> om de overzichtelijkheid van </w:t>
      </w:r>
      <w:r w:rsidR="001A0D7B">
        <w:t>regelgeving</w:t>
      </w:r>
      <w:r w:rsidR="005040C8">
        <w:t xml:space="preserve"> </w:t>
      </w:r>
      <w:r w:rsidR="00037F74">
        <w:t xml:space="preserve">die </w:t>
      </w:r>
      <w:r w:rsidR="0061170A">
        <w:t>invloed</w:t>
      </w:r>
      <w:r w:rsidR="00037F74">
        <w:t xml:space="preserve"> heeft op aanb</w:t>
      </w:r>
      <w:r w:rsidR="00CB1325">
        <w:t xml:space="preserve">estedingsplichtige opdrachten </w:t>
      </w:r>
      <w:r w:rsidR="005040C8">
        <w:t xml:space="preserve">te </w:t>
      </w:r>
      <w:r w:rsidR="005E3B48">
        <w:t>bevorderen</w:t>
      </w:r>
      <w:r w:rsidR="005040C8">
        <w:t>.</w:t>
      </w:r>
      <w:r w:rsidR="000F4750">
        <w:rPr>
          <w:rStyle w:val="Voetnootmarkering"/>
        </w:rPr>
        <w:footnoteReference w:id="7"/>
      </w:r>
    </w:p>
    <w:p w:rsidR="00DC7DDB" w:rsidP="0051120D" w:rsidRDefault="00DC7DDB" w14:paraId="2BBAA963" w14:textId="77777777"/>
    <w:p w:rsidR="0051120D" w:rsidP="0051120D" w:rsidRDefault="00B85AAF" w14:paraId="634BCF46" w14:textId="183739E7">
      <w:r>
        <w:t xml:space="preserve">De </w:t>
      </w:r>
      <w:r w:rsidR="00CB1325">
        <w:t>Afdeling</w:t>
      </w:r>
      <w:r>
        <w:t xml:space="preserve"> </w:t>
      </w:r>
      <w:r w:rsidR="00CB1325">
        <w:t>adviseert</w:t>
      </w:r>
      <w:r>
        <w:t xml:space="preserve"> om in de </w:t>
      </w:r>
      <w:r w:rsidR="00CB1325">
        <w:t>toelichting</w:t>
      </w:r>
      <w:r>
        <w:t xml:space="preserve"> in te gaan op de wijze waarop </w:t>
      </w:r>
      <w:r w:rsidR="00846FE7">
        <w:t>d</w:t>
      </w:r>
      <w:r w:rsidR="00CB1325">
        <w:t>i</w:t>
      </w:r>
      <w:r w:rsidR="00846FE7">
        <w:t>e overzichtelijkheid wordt be</w:t>
      </w:r>
      <w:r w:rsidR="00F061EE">
        <w:t xml:space="preserve">vorderd </w:t>
      </w:r>
      <w:r w:rsidR="00657ED9">
        <w:t xml:space="preserve">ten behoeve van de </w:t>
      </w:r>
      <w:r w:rsidR="00533B7D">
        <w:t xml:space="preserve">goede </w:t>
      </w:r>
      <w:r w:rsidR="00657ED9">
        <w:t xml:space="preserve">uitvoering van het </w:t>
      </w:r>
      <w:r w:rsidR="00657ED9">
        <w:lastRenderedPageBreak/>
        <w:t xml:space="preserve">voorstel door aanbestedende diensten en </w:t>
      </w:r>
      <w:r w:rsidR="00FD66C2">
        <w:t xml:space="preserve">andere </w:t>
      </w:r>
      <w:r w:rsidR="00533B7D">
        <w:t>betrokken</w:t>
      </w:r>
      <w:r w:rsidR="00FD66C2">
        <w:t xml:space="preserve"> partijen </w:t>
      </w:r>
      <w:r w:rsidR="00533B7D">
        <w:t>uit</w:t>
      </w:r>
      <w:r w:rsidR="00FD66C2">
        <w:t xml:space="preserve"> de</w:t>
      </w:r>
      <w:r w:rsidR="00533B7D">
        <w:t xml:space="preserve"> rechtspraktijk</w:t>
      </w:r>
      <w:r w:rsidR="0051120D">
        <w:t>.</w:t>
      </w:r>
      <w:r w:rsidR="004E1469">
        <w:rPr>
          <w:rStyle w:val="Voetnootmarkering"/>
        </w:rPr>
        <w:footnoteReference w:id="8"/>
      </w:r>
      <w:r w:rsidR="0051120D">
        <w:t xml:space="preserve"> </w:t>
      </w:r>
    </w:p>
    <w:p w:rsidR="0051120D" w:rsidP="0051120D" w:rsidRDefault="0051120D" w14:paraId="76D0E0A0" w14:textId="57965605"/>
    <w:p w:rsidR="001978DD" w:rsidRDefault="00861CB4" w14:paraId="2F2421B7" w14:textId="4904095B">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ectPr w:rsidR="001978DD" w:rsidSect="00C1529E">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845B" w14:textId="77777777" w:rsidR="001B6418" w:rsidRDefault="001B6418">
      <w:r>
        <w:separator/>
      </w:r>
    </w:p>
  </w:endnote>
  <w:endnote w:type="continuationSeparator" w:id="0">
    <w:p w14:paraId="4769B81E" w14:textId="77777777" w:rsidR="001B6418" w:rsidRDefault="001B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21BC"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71690" w14:paraId="2F2421BF" w14:textId="77777777" w:rsidTr="00D90098">
      <w:tc>
        <w:tcPr>
          <w:tcW w:w="4815" w:type="dxa"/>
        </w:tcPr>
        <w:p w14:paraId="2F2421BD" w14:textId="77777777" w:rsidR="00D90098" w:rsidRDefault="00D90098" w:rsidP="00D90098">
          <w:pPr>
            <w:pStyle w:val="Voettekst"/>
          </w:pPr>
        </w:p>
      </w:tc>
      <w:tc>
        <w:tcPr>
          <w:tcW w:w="4247" w:type="dxa"/>
        </w:tcPr>
        <w:p w14:paraId="2F2421BE" w14:textId="77777777" w:rsidR="00D90098" w:rsidRDefault="00D90098" w:rsidP="00D90098">
          <w:pPr>
            <w:pStyle w:val="Voettekst"/>
            <w:jc w:val="right"/>
          </w:pPr>
        </w:p>
      </w:tc>
    </w:tr>
  </w:tbl>
  <w:p w14:paraId="2F2421C0"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F5ED" w14:textId="1002BC63" w:rsidR="00C1529E" w:rsidRPr="00C1529E" w:rsidRDefault="00C1529E">
    <w:pPr>
      <w:pStyle w:val="Voettekst"/>
      <w:rPr>
        <w:rFonts w:ascii="Bembo" w:hAnsi="Bembo"/>
        <w:sz w:val="32"/>
      </w:rPr>
    </w:pPr>
    <w:r w:rsidRPr="00C1529E">
      <w:rPr>
        <w:rFonts w:ascii="Bembo" w:hAnsi="Bembo"/>
        <w:sz w:val="32"/>
      </w:rPr>
      <w:t>AAN DE KONING</w:t>
    </w:r>
  </w:p>
  <w:p w14:paraId="5B84C760" w14:textId="77777777" w:rsidR="00C1529E" w:rsidRDefault="00C152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63AD2" w14:textId="77777777" w:rsidR="001B6418" w:rsidRDefault="001B6418">
      <w:r>
        <w:separator/>
      </w:r>
    </w:p>
  </w:footnote>
  <w:footnote w:type="continuationSeparator" w:id="0">
    <w:p w14:paraId="6B504E8C" w14:textId="77777777" w:rsidR="001B6418" w:rsidRDefault="001B6418">
      <w:r>
        <w:continuationSeparator/>
      </w:r>
    </w:p>
  </w:footnote>
  <w:footnote w:id="1">
    <w:p w14:paraId="7E4B1DDE" w14:textId="77777777" w:rsidR="00C16EB7" w:rsidRDefault="00C16EB7" w:rsidP="00C16EB7">
      <w:pPr>
        <w:pStyle w:val="Voetnoottekst"/>
      </w:pPr>
      <w:r>
        <w:rPr>
          <w:rStyle w:val="Voetnootmarkering"/>
        </w:rPr>
        <w:footnoteRef/>
      </w:r>
      <w:r>
        <w:t xml:space="preserve"> </w:t>
      </w:r>
      <w:r w:rsidRPr="00F3342D">
        <w:t>Richtlijn 2014/24/EU van het Europees Parlement en de Raad van 26 februari 2014 betreffende het plaatsen van overheidsopdrachten en tot intrekking van Richtlijn 2004/18/EG Voor de EER relevante tekst (PbEU 2014, L94/65).</w:t>
      </w:r>
    </w:p>
  </w:footnote>
  <w:footnote w:id="2">
    <w:p w14:paraId="71F38773" w14:textId="2FF1A84D" w:rsidR="00FD5C4C" w:rsidRDefault="00FD5C4C">
      <w:pPr>
        <w:pStyle w:val="Voetnoottekst"/>
      </w:pPr>
      <w:r>
        <w:rPr>
          <w:rStyle w:val="Voetnootmarkering"/>
        </w:rPr>
        <w:footnoteRef/>
      </w:r>
      <w:r>
        <w:t xml:space="preserve"> </w:t>
      </w:r>
      <w:r w:rsidR="00255E2E">
        <w:t xml:space="preserve">Het voorstel is met deze toelichting genotificeerd </w:t>
      </w:r>
      <w:r w:rsidR="00287DB3">
        <w:t xml:space="preserve">(onder nummer </w:t>
      </w:r>
      <w:r w:rsidR="00F77BCE">
        <w:t>2025/0738/NL)</w:t>
      </w:r>
      <w:r w:rsidR="00287DB3">
        <w:t xml:space="preserve"> </w:t>
      </w:r>
      <w:r w:rsidR="00255E2E">
        <w:t xml:space="preserve">bij de Europese Commissie op grond van Richtlijn </w:t>
      </w:r>
      <w:r w:rsidR="00B90724" w:rsidRPr="00B90724">
        <w:t xml:space="preserve">(EU) 2015/1535 </w:t>
      </w:r>
      <w:r w:rsidR="00730E50">
        <w:t xml:space="preserve">betreffende </w:t>
      </w:r>
      <w:r w:rsidR="004064AB">
        <w:t>e</w:t>
      </w:r>
      <w:r w:rsidR="00730E50">
        <w:t>e</w:t>
      </w:r>
      <w:r w:rsidR="004064AB">
        <w:t>n</w:t>
      </w:r>
      <w:r w:rsidR="00730E50">
        <w:t xml:space="preserve"> </w:t>
      </w:r>
      <w:r w:rsidR="00B90724" w:rsidRPr="00B90724">
        <w:t>informatieprocedure op het gebied van technische voorschriften en regels betreffende de diensten van de informatiemaatschappij</w:t>
      </w:r>
      <w:r w:rsidR="00C44D91">
        <w:t xml:space="preserve"> (</w:t>
      </w:r>
      <w:r w:rsidR="00287DB3">
        <w:t xml:space="preserve">PbEU 2015, L </w:t>
      </w:r>
      <w:r w:rsidR="00000488">
        <w:t>241/1</w:t>
      </w:r>
      <w:r w:rsidR="00C44D91">
        <w:t>)</w:t>
      </w:r>
      <w:r w:rsidR="00287DB3">
        <w:t xml:space="preserve">. </w:t>
      </w:r>
      <w:r w:rsidR="00255E2E">
        <w:t>De</w:t>
      </w:r>
      <w:r w:rsidR="00FB3634">
        <w:t xml:space="preserve"> uitkomsten van deze notificatie zullen nog in de toelichting moeten worden verwerkt. </w:t>
      </w:r>
    </w:p>
  </w:footnote>
  <w:footnote w:id="3">
    <w:p w14:paraId="76F9A72C" w14:textId="4DD1BDB7" w:rsidR="003F2E90" w:rsidRDefault="003F2E90">
      <w:pPr>
        <w:pStyle w:val="Voetnoottekst"/>
      </w:pPr>
      <w:r>
        <w:rPr>
          <w:rStyle w:val="Voetnootmarkering"/>
        </w:rPr>
        <w:footnoteRef/>
      </w:r>
      <w:r>
        <w:t xml:space="preserve"> </w:t>
      </w:r>
      <w:r w:rsidR="00861A39" w:rsidRPr="00861A39">
        <w:t xml:space="preserve">Richtlijn 2006/123/EG van het Europees Parlement en de Raad van 12 december 2006 betreffende diensten op de interne markt, </w:t>
      </w:r>
      <w:r w:rsidR="00861A39">
        <w:t>(</w:t>
      </w:r>
      <w:r w:rsidR="00861A39" w:rsidRPr="00861A39">
        <w:t>PbEU 2006, L 376</w:t>
      </w:r>
      <w:r w:rsidR="00861A39">
        <w:t>/</w:t>
      </w:r>
      <w:r w:rsidR="00A53C5A">
        <w:t>36)</w:t>
      </w:r>
      <w:r w:rsidR="00861A39" w:rsidRPr="00861A39">
        <w:t>.</w:t>
      </w:r>
    </w:p>
  </w:footnote>
  <w:footnote w:id="4">
    <w:p w14:paraId="183515C0" w14:textId="40676195" w:rsidR="0051120D" w:rsidRDefault="0051120D" w:rsidP="0051120D">
      <w:pPr>
        <w:pStyle w:val="Voetnoottekst"/>
      </w:pPr>
      <w:r>
        <w:rPr>
          <w:rStyle w:val="Voetnootmarkering"/>
        </w:rPr>
        <w:footnoteRef/>
      </w:r>
      <w:r>
        <w:t xml:space="preserve"> </w:t>
      </w:r>
      <w:r w:rsidRPr="00B34956">
        <w:t>HvJ EG 21 juli 2005, zaak C-231/03, ECLI:EU:C:2005:487 (Coname) en HvJ EG 13</w:t>
      </w:r>
      <w:r w:rsidR="00761C02">
        <w:t> </w:t>
      </w:r>
      <w:r w:rsidRPr="00B34956">
        <w:t>oktober 2005, zaak C-458/03, ECLI:EU:C:2005:605 (Parking Brixen).</w:t>
      </w:r>
    </w:p>
  </w:footnote>
  <w:footnote w:id="5">
    <w:p w14:paraId="7F1B7D1C" w14:textId="7C8149EC" w:rsidR="00521A21" w:rsidRDefault="00521A21">
      <w:pPr>
        <w:pStyle w:val="Voetnoottekst"/>
      </w:pPr>
      <w:r>
        <w:rPr>
          <w:rStyle w:val="Voetnootmarkering"/>
        </w:rPr>
        <w:footnoteRef/>
      </w:r>
      <w:r>
        <w:t xml:space="preserve"> Memorie van toelicht</w:t>
      </w:r>
      <w:r w:rsidR="004E1469">
        <w:t>i</w:t>
      </w:r>
      <w:r>
        <w:t>ng, paragraaf 3</w:t>
      </w:r>
      <w:r w:rsidR="004E1469">
        <w:t xml:space="preserve"> Motivering instrumentkeuze.</w:t>
      </w:r>
    </w:p>
  </w:footnote>
  <w:footnote w:id="6">
    <w:p w14:paraId="65ACFABD" w14:textId="39306360" w:rsidR="00B84BAB" w:rsidRDefault="00B84BAB">
      <w:pPr>
        <w:pStyle w:val="Voetnoottekst"/>
      </w:pPr>
      <w:r>
        <w:rPr>
          <w:rStyle w:val="Voetnootmarkering"/>
        </w:rPr>
        <w:footnoteRef/>
      </w:r>
      <w:r>
        <w:t xml:space="preserve"> Memorie van toelicht</w:t>
      </w:r>
      <w:r w:rsidR="00A04FCA">
        <w:t>i</w:t>
      </w:r>
      <w:r>
        <w:t>ng,</w:t>
      </w:r>
      <w:r w:rsidR="00521A21">
        <w:t xml:space="preserve"> paragraaf 2.3 Probleemaanpak.</w:t>
      </w:r>
      <w:r>
        <w:t xml:space="preserve"> </w:t>
      </w:r>
    </w:p>
  </w:footnote>
  <w:footnote w:id="7">
    <w:p w14:paraId="58DE3179" w14:textId="77777777" w:rsidR="000F4750" w:rsidRDefault="000F4750" w:rsidP="000F4750">
      <w:pPr>
        <w:pStyle w:val="Voetnoottekst"/>
      </w:pPr>
      <w:r>
        <w:rPr>
          <w:rStyle w:val="Voetnootmarkering"/>
        </w:rPr>
        <w:footnoteRef/>
      </w:r>
      <w:r>
        <w:t xml:space="preserve"> </w:t>
      </w:r>
      <w:r w:rsidRPr="008D60C5">
        <w:t>Kamerstukken II 2024-2025, 36810, nr. 3, Paragraaf 4 ‘Verhouding tot andere wetgeving’.</w:t>
      </w:r>
    </w:p>
  </w:footnote>
  <w:footnote w:id="8">
    <w:p w14:paraId="4EC09336" w14:textId="78ACE731" w:rsidR="004E1469" w:rsidRDefault="004E1469" w:rsidP="004736B5">
      <w:pPr>
        <w:pStyle w:val="Voetnoottekst"/>
      </w:pPr>
      <w:r>
        <w:rPr>
          <w:rStyle w:val="Voetnootmarkering"/>
        </w:rPr>
        <w:footnoteRef/>
      </w:r>
      <w:r>
        <w:t xml:space="preserve"> </w:t>
      </w:r>
      <w:r w:rsidR="004736B5">
        <w:t xml:space="preserve">Zie </w:t>
      </w:r>
      <w:r w:rsidR="00ED228C">
        <w:t xml:space="preserve">ook </w:t>
      </w:r>
      <w:r w:rsidR="00BA599D">
        <w:t xml:space="preserve">het </w:t>
      </w:r>
      <w:r w:rsidR="004736B5">
        <w:t>advies</w:t>
      </w:r>
      <w:r w:rsidR="00BA599D">
        <w:t xml:space="preserve"> van 16 oktober 2025 van de Afdeling advisering van de Raad van State</w:t>
      </w:r>
      <w:r w:rsidR="00CD5A31">
        <w:t xml:space="preserve"> over</w:t>
      </w:r>
      <w:r w:rsidR="000A68D5">
        <w:t xml:space="preserve"> het voorstel </w:t>
      </w:r>
      <w:r w:rsidR="004736B5">
        <w:t>tot wijziging van de Wet uitvoering EU-handelingen energie-efficiëntie, de Energiewet en de Warmtewet in verband met de implementatie van richtlijn nr. (EU) 2023/1791 van het Europees Parlement en de Raad van 13 september 2023 betreffende energie-efficiëntie (</w:t>
      </w:r>
      <w:r w:rsidR="0036353B" w:rsidRPr="0036353B">
        <w:t>W19.25.00135/IV</w:t>
      </w:r>
      <w:r w:rsidR="0036353B">
        <w:t>)</w:t>
      </w:r>
      <w:r w:rsidR="00E90BC0">
        <w:t>, paragraaf 3.a.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21BA"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21BB" w14:textId="77777777" w:rsidR="00FA7BCD" w:rsidRDefault="00A6198D"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21C1" w14:textId="77777777" w:rsidR="00DA0CDA" w:rsidRDefault="00A6198D"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F2421C2" w14:textId="77777777" w:rsidR="00993C75" w:rsidRDefault="00A6198D">
    <w:pPr>
      <w:pStyle w:val="Koptekst"/>
    </w:pPr>
    <w:r>
      <w:rPr>
        <w:noProof/>
      </w:rPr>
      <w:drawing>
        <wp:anchor distT="0" distB="0" distL="114300" distR="114300" simplePos="0" relativeHeight="251658240" behindDoc="1" locked="0" layoutInCell="1" allowOverlap="1" wp14:anchorId="2F2421CD" wp14:editId="2F2421C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24F9C"/>
    <w:multiLevelType w:val="hybridMultilevel"/>
    <w:tmpl w:val="D48EF7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704207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90"/>
    <w:rsid w:val="00000488"/>
    <w:rsid w:val="00005777"/>
    <w:rsid w:val="0001711B"/>
    <w:rsid w:val="00017C54"/>
    <w:rsid w:val="000217BC"/>
    <w:rsid w:val="0002213C"/>
    <w:rsid w:val="00025FCF"/>
    <w:rsid w:val="00037B68"/>
    <w:rsid w:val="00037E51"/>
    <w:rsid w:val="00037F74"/>
    <w:rsid w:val="00052C70"/>
    <w:rsid w:val="00055938"/>
    <w:rsid w:val="00055C0E"/>
    <w:rsid w:val="00056DE8"/>
    <w:rsid w:val="000633CD"/>
    <w:rsid w:val="000642EF"/>
    <w:rsid w:val="00067ADF"/>
    <w:rsid w:val="000720C9"/>
    <w:rsid w:val="00087C91"/>
    <w:rsid w:val="0009407E"/>
    <w:rsid w:val="000A68D5"/>
    <w:rsid w:val="000B3EEA"/>
    <w:rsid w:val="000B48EB"/>
    <w:rsid w:val="000C1332"/>
    <w:rsid w:val="000C1A76"/>
    <w:rsid w:val="000F22B2"/>
    <w:rsid w:val="000F4750"/>
    <w:rsid w:val="000F52D5"/>
    <w:rsid w:val="000F78E2"/>
    <w:rsid w:val="001016D8"/>
    <w:rsid w:val="00102775"/>
    <w:rsid w:val="0010728D"/>
    <w:rsid w:val="0011304A"/>
    <w:rsid w:val="0012152A"/>
    <w:rsid w:val="00130A5F"/>
    <w:rsid w:val="00131BF7"/>
    <w:rsid w:val="00137AA0"/>
    <w:rsid w:val="00137FE3"/>
    <w:rsid w:val="0014110F"/>
    <w:rsid w:val="00147E9D"/>
    <w:rsid w:val="001521BC"/>
    <w:rsid w:val="0017218D"/>
    <w:rsid w:val="001740C4"/>
    <w:rsid w:val="00174D3C"/>
    <w:rsid w:val="00175B12"/>
    <w:rsid w:val="00184EFC"/>
    <w:rsid w:val="001859B3"/>
    <w:rsid w:val="0019356F"/>
    <w:rsid w:val="00193FC7"/>
    <w:rsid w:val="00194CA4"/>
    <w:rsid w:val="001977A0"/>
    <w:rsid w:val="001978DD"/>
    <w:rsid w:val="001A0D7B"/>
    <w:rsid w:val="001A12F1"/>
    <w:rsid w:val="001A1D9F"/>
    <w:rsid w:val="001A3329"/>
    <w:rsid w:val="001B3F14"/>
    <w:rsid w:val="001B6418"/>
    <w:rsid w:val="001C5076"/>
    <w:rsid w:val="001C543D"/>
    <w:rsid w:val="001D16E3"/>
    <w:rsid w:val="001D2A07"/>
    <w:rsid w:val="001D3792"/>
    <w:rsid w:val="001E1D06"/>
    <w:rsid w:val="001E4C8F"/>
    <w:rsid w:val="001F046E"/>
    <w:rsid w:val="001F2AEB"/>
    <w:rsid w:val="001F464A"/>
    <w:rsid w:val="001F5FDD"/>
    <w:rsid w:val="001F6ED5"/>
    <w:rsid w:val="002010AF"/>
    <w:rsid w:val="00211B3F"/>
    <w:rsid w:val="00211F19"/>
    <w:rsid w:val="0022342A"/>
    <w:rsid w:val="002323EF"/>
    <w:rsid w:val="00234449"/>
    <w:rsid w:val="0024173F"/>
    <w:rsid w:val="00251C87"/>
    <w:rsid w:val="002526A1"/>
    <w:rsid w:val="00255316"/>
    <w:rsid w:val="00255E2E"/>
    <w:rsid w:val="002567FC"/>
    <w:rsid w:val="00260674"/>
    <w:rsid w:val="00262500"/>
    <w:rsid w:val="00262C26"/>
    <w:rsid w:val="00264853"/>
    <w:rsid w:val="0026722D"/>
    <w:rsid w:val="002753EA"/>
    <w:rsid w:val="002878B4"/>
    <w:rsid w:val="00287DB3"/>
    <w:rsid w:val="00287E13"/>
    <w:rsid w:val="002A245F"/>
    <w:rsid w:val="002A2D5C"/>
    <w:rsid w:val="002B1F01"/>
    <w:rsid w:val="002B60E5"/>
    <w:rsid w:val="002C1AB3"/>
    <w:rsid w:val="002C5A26"/>
    <w:rsid w:val="002D4CB1"/>
    <w:rsid w:val="002E02BE"/>
    <w:rsid w:val="002E1885"/>
    <w:rsid w:val="002E27C6"/>
    <w:rsid w:val="002F3A47"/>
    <w:rsid w:val="002F3ABC"/>
    <w:rsid w:val="002F446D"/>
    <w:rsid w:val="00300076"/>
    <w:rsid w:val="003047C0"/>
    <w:rsid w:val="00304A38"/>
    <w:rsid w:val="00323DAE"/>
    <w:rsid w:val="00332C54"/>
    <w:rsid w:val="0033650F"/>
    <w:rsid w:val="003377B9"/>
    <w:rsid w:val="003462A0"/>
    <w:rsid w:val="00353106"/>
    <w:rsid w:val="00353209"/>
    <w:rsid w:val="003535A3"/>
    <w:rsid w:val="0036353B"/>
    <w:rsid w:val="003636B7"/>
    <w:rsid w:val="00371E95"/>
    <w:rsid w:val="00377FB0"/>
    <w:rsid w:val="003806E9"/>
    <w:rsid w:val="00381BD9"/>
    <w:rsid w:val="00384E2F"/>
    <w:rsid w:val="00387800"/>
    <w:rsid w:val="00393D2C"/>
    <w:rsid w:val="0039575A"/>
    <w:rsid w:val="003A0B25"/>
    <w:rsid w:val="003A6DC0"/>
    <w:rsid w:val="003B6ABD"/>
    <w:rsid w:val="003B7B1C"/>
    <w:rsid w:val="003C1AE5"/>
    <w:rsid w:val="003C1E0F"/>
    <w:rsid w:val="003C39C6"/>
    <w:rsid w:val="003C790F"/>
    <w:rsid w:val="003D1E97"/>
    <w:rsid w:val="003D299E"/>
    <w:rsid w:val="003D6991"/>
    <w:rsid w:val="003F2026"/>
    <w:rsid w:val="003F208A"/>
    <w:rsid w:val="003F2E90"/>
    <w:rsid w:val="003F7E13"/>
    <w:rsid w:val="004064AB"/>
    <w:rsid w:val="0040763B"/>
    <w:rsid w:val="004104BF"/>
    <w:rsid w:val="004169C1"/>
    <w:rsid w:val="004171D1"/>
    <w:rsid w:val="00427ACA"/>
    <w:rsid w:val="00441ABB"/>
    <w:rsid w:val="00442087"/>
    <w:rsid w:val="00442C5E"/>
    <w:rsid w:val="004436F5"/>
    <w:rsid w:val="00445636"/>
    <w:rsid w:val="004463F9"/>
    <w:rsid w:val="004518AE"/>
    <w:rsid w:val="00456135"/>
    <w:rsid w:val="00462818"/>
    <w:rsid w:val="00464072"/>
    <w:rsid w:val="0046755C"/>
    <w:rsid w:val="004724E0"/>
    <w:rsid w:val="004736B5"/>
    <w:rsid w:val="00477C41"/>
    <w:rsid w:val="004801A5"/>
    <w:rsid w:val="0048093F"/>
    <w:rsid w:val="0048658B"/>
    <w:rsid w:val="00486EF5"/>
    <w:rsid w:val="00491309"/>
    <w:rsid w:val="0049205B"/>
    <w:rsid w:val="00492A66"/>
    <w:rsid w:val="0049343A"/>
    <w:rsid w:val="00494CF3"/>
    <w:rsid w:val="004A0893"/>
    <w:rsid w:val="004A2621"/>
    <w:rsid w:val="004A288F"/>
    <w:rsid w:val="004B4D80"/>
    <w:rsid w:val="004B5261"/>
    <w:rsid w:val="004C3273"/>
    <w:rsid w:val="004C50DF"/>
    <w:rsid w:val="004C7DDB"/>
    <w:rsid w:val="004D2D02"/>
    <w:rsid w:val="004D37E3"/>
    <w:rsid w:val="004D56C7"/>
    <w:rsid w:val="004D5F6F"/>
    <w:rsid w:val="004D7DF0"/>
    <w:rsid w:val="004E1469"/>
    <w:rsid w:val="004E6909"/>
    <w:rsid w:val="004E7B93"/>
    <w:rsid w:val="005021EA"/>
    <w:rsid w:val="005040C8"/>
    <w:rsid w:val="005076FE"/>
    <w:rsid w:val="0051120D"/>
    <w:rsid w:val="0051506C"/>
    <w:rsid w:val="0051509D"/>
    <w:rsid w:val="00521A21"/>
    <w:rsid w:val="00524B48"/>
    <w:rsid w:val="00526329"/>
    <w:rsid w:val="005267F0"/>
    <w:rsid w:val="00526932"/>
    <w:rsid w:val="00531CFE"/>
    <w:rsid w:val="00532BC1"/>
    <w:rsid w:val="00533A07"/>
    <w:rsid w:val="00533B7D"/>
    <w:rsid w:val="00533FCB"/>
    <w:rsid w:val="00540134"/>
    <w:rsid w:val="005401EA"/>
    <w:rsid w:val="005449D1"/>
    <w:rsid w:val="00545959"/>
    <w:rsid w:val="00552BE3"/>
    <w:rsid w:val="00560DAE"/>
    <w:rsid w:val="00570077"/>
    <w:rsid w:val="005715EF"/>
    <w:rsid w:val="00581C4F"/>
    <w:rsid w:val="00585349"/>
    <w:rsid w:val="0058733E"/>
    <w:rsid w:val="00587783"/>
    <w:rsid w:val="0059532F"/>
    <w:rsid w:val="00596EC3"/>
    <w:rsid w:val="005A4B38"/>
    <w:rsid w:val="005A651E"/>
    <w:rsid w:val="005A7361"/>
    <w:rsid w:val="005B01E6"/>
    <w:rsid w:val="005B15C1"/>
    <w:rsid w:val="005B4933"/>
    <w:rsid w:val="005B5597"/>
    <w:rsid w:val="005B6A13"/>
    <w:rsid w:val="005C3FF8"/>
    <w:rsid w:val="005C7311"/>
    <w:rsid w:val="005D10B2"/>
    <w:rsid w:val="005D147F"/>
    <w:rsid w:val="005E252B"/>
    <w:rsid w:val="005E2DB8"/>
    <w:rsid w:val="005E3B48"/>
    <w:rsid w:val="005E58B3"/>
    <w:rsid w:val="006004BB"/>
    <w:rsid w:val="0061170A"/>
    <w:rsid w:val="006117AC"/>
    <w:rsid w:val="00615F8C"/>
    <w:rsid w:val="006179E4"/>
    <w:rsid w:val="00621419"/>
    <w:rsid w:val="00622FFE"/>
    <w:rsid w:val="006301B2"/>
    <w:rsid w:val="00630764"/>
    <w:rsid w:val="006308F2"/>
    <w:rsid w:val="00631ADE"/>
    <w:rsid w:val="00631FD2"/>
    <w:rsid w:val="0063392E"/>
    <w:rsid w:val="00635A59"/>
    <w:rsid w:val="00645646"/>
    <w:rsid w:val="006465BD"/>
    <w:rsid w:val="00646C64"/>
    <w:rsid w:val="00650762"/>
    <w:rsid w:val="00653F96"/>
    <w:rsid w:val="006545DB"/>
    <w:rsid w:val="006576D8"/>
    <w:rsid w:val="00657ED9"/>
    <w:rsid w:val="0066134C"/>
    <w:rsid w:val="00664F21"/>
    <w:rsid w:val="0066758A"/>
    <w:rsid w:val="006810BF"/>
    <w:rsid w:val="006819B8"/>
    <w:rsid w:val="006866C3"/>
    <w:rsid w:val="00691162"/>
    <w:rsid w:val="00692CAF"/>
    <w:rsid w:val="006A3B25"/>
    <w:rsid w:val="006B2871"/>
    <w:rsid w:val="006C1E18"/>
    <w:rsid w:val="006C351F"/>
    <w:rsid w:val="006C7EE6"/>
    <w:rsid w:val="006D5F6F"/>
    <w:rsid w:val="006E7BDC"/>
    <w:rsid w:val="006F4366"/>
    <w:rsid w:val="006F7108"/>
    <w:rsid w:val="00706C36"/>
    <w:rsid w:val="00710C4C"/>
    <w:rsid w:val="00715BF3"/>
    <w:rsid w:val="00716C1E"/>
    <w:rsid w:val="00720FF8"/>
    <w:rsid w:val="00721EC3"/>
    <w:rsid w:val="00730E50"/>
    <w:rsid w:val="00735027"/>
    <w:rsid w:val="00735B04"/>
    <w:rsid w:val="00750B4E"/>
    <w:rsid w:val="00761C02"/>
    <w:rsid w:val="007717BA"/>
    <w:rsid w:val="00772BC6"/>
    <w:rsid w:val="007744CE"/>
    <w:rsid w:val="00777C8C"/>
    <w:rsid w:val="007856E6"/>
    <w:rsid w:val="007A3FD3"/>
    <w:rsid w:val="007B5446"/>
    <w:rsid w:val="007C54C7"/>
    <w:rsid w:val="007C5D91"/>
    <w:rsid w:val="007D46F1"/>
    <w:rsid w:val="007E1B92"/>
    <w:rsid w:val="007F070A"/>
    <w:rsid w:val="007F1969"/>
    <w:rsid w:val="007F1F88"/>
    <w:rsid w:val="007F4158"/>
    <w:rsid w:val="007F675C"/>
    <w:rsid w:val="008024C6"/>
    <w:rsid w:val="008044C6"/>
    <w:rsid w:val="008100BA"/>
    <w:rsid w:val="00810E27"/>
    <w:rsid w:val="00812431"/>
    <w:rsid w:val="0081493C"/>
    <w:rsid w:val="008154B5"/>
    <w:rsid w:val="00825FFC"/>
    <w:rsid w:val="00831878"/>
    <w:rsid w:val="008349C9"/>
    <w:rsid w:val="00841CAF"/>
    <w:rsid w:val="00843500"/>
    <w:rsid w:val="00844A29"/>
    <w:rsid w:val="00846FE7"/>
    <w:rsid w:val="00847542"/>
    <w:rsid w:val="0085023F"/>
    <w:rsid w:val="00850995"/>
    <w:rsid w:val="00853731"/>
    <w:rsid w:val="00861A39"/>
    <w:rsid w:val="00861CB4"/>
    <w:rsid w:val="008707F2"/>
    <w:rsid w:val="008912A0"/>
    <w:rsid w:val="00891A62"/>
    <w:rsid w:val="0089496E"/>
    <w:rsid w:val="008A147F"/>
    <w:rsid w:val="008A59DC"/>
    <w:rsid w:val="008B0107"/>
    <w:rsid w:val="008B617E"/>
    <w:rsid w:val="008B7DA6"/>
    <w:rsid w:val="008D3664"/>
    <w:rsid w:val="008D60C5"/>
    <w:rsid w:val="008D79C6"/>
    <w:rsid w:val="008E1C64"/>
    <w:rsid w:val="008F3AC2"/>
    <w:rsid w:val="008F732C"/>
    <w:rsid w:val="0090209E"/>
    <w:rsid w:val="00902D94"/>
    <w:rsid w:val="00903A79"/>
    <w:rsid w:val="0090558F"/>
    <w:rsid w:val="00906380"/>
    <w:rsid w:val="009109B2"/>
    <w:rsid w:val="00910B3A"/>
    <w:rsid w:val="009111B0"/>
    <w:rsid w:val="009149A9"/>
    <w:rsid w:val="0092374F"/>
    <w:rsid w:val="00924BB1"/>
    <w:rsid w:val="00936FE5"/>
    <w:rsid w:val="0094765F"/>
    <w:rsid w:val="0095512C"/>
    <w:rsid w:val="0095617C"/>
    <w:rsid w:val="009603EB"/>
    <w:rsid w:val="00963EF4"/>
    <w:rsid w:val="0097109F"/>
    <w:rsid w:val="00973153"/>
    <w:rsid w:val="00981D97"/>
    <w:rsid w:val="00981E47"/>
    <w:rsid w:val="009930E6"/>
    <w:rsid w:val="009934CE"/>
    <w:rsid w:val="00993C75"/>
    <w:rsid w:val="0099488F"/>
    <w:rsid w:val="00994A88"/>
    <w:rsid w:val="00995BFB"/>
    <w:rsid w:val="009A0B56"/>
    <w:rsid w:val="009A0BC7"/>
    <w:rsid w:val="009A219D"/>
    <w:rsid w:val="009B068E"/>
    <w:rsid w:val="009B5173"/>
    <w:rsid w:val="009C73E7"/>
    <w:rsid w:val="009D4485"/>
    <w:rsid w:val="009D6A85"/>
    <w:rsid w:val="009E25F8"/>
    <w:rsid w:val="009E2AAD"/>
    <w:rsid w:val="009E35D5"/>
    <w:rsid w:val="009E3DC2"/>
    <w:rsid w:val="009F1EB2"/>
    <w:rsid w:val="009F6B7A"/>
    <w:rsid w:val="00A04C54"/>
    <w:rsid w:val="00A04FCA"/>
    <w:rsid w:val="00A065B0"/>
    <w:rsid w:val="00A066D3"/>
    <w:rsid w:val="00A1209D"/>
    <w:rsid w:val="00A157D0"/>
    <w:rsid w:val="00A169E4"/>
    <w:rsid w:val="00A21D63"/>
    <w:rsid w:val="00A27341"/>
    <w:rsid w:val="00A33A53"/>
    <w:rsid w:val="00A35F09"/>
    <w:rsid w:val="00A434C7"/>
    <w:rsid w:val="00A43E67"/>
    <w:rsid w:val="00A44B50"/>
    <w:rsid w:val="00A47062"/>
    <w:rsid w:val="00A50FF2"/>
    <w:rsid w:val="00A52653"/>
    <w:rsid w:val="00A52989"/>
    <w:rsid w:val="00A537FB"/>
    <w:rsid w:val="00A53C5A"/>
    <w:rsid w:val="00A54661"/>
    <w:rsid w:val="00A6198D"/>
    <w:rsid w:val="00A62821"/>
    <w:rsid w:val="00A673EA"/>
    <w:rsid w:val="00A67816"/>
    <w:rsid w:val="00A7579B"/>
    <w:rsid w:val="00A77837"/>
    <w:rsid w:val="00A82616"/>
    <w:rsid w:val="00A84846"/>
    <w:rsid w:val="00A84EA3"/>
    <w:rsid w:val="00A84F38"/>
    <w:rsid w:val="00A87A8E"/>
    <w:rsid w:val="00A9058B"/>
    <w:rsid w:val="00A96B1D"/>
    <w:rsid w:val="00AA2AFD"/>
    <w:rsid w:val="00AB14B2"/>
    <w:rsid w:val="00AB763C"/>
    <w:rsid w:val="00AC2BC6"/>
    <w:rsid w:val="00AD27D8"/>
    <w:rsid w:val="00AD380C"/>
    <w:rsid w:val="00B06083"/>
    <w:rsid w:val="00B075C7"/>
    <w:rsid w:val="00B078B0"/>
    <w:rsid w:val="00B11A9B"/>
    <w:rsid w:val="00B13A82"/>
    <w:rsid w:val="00B13CD9"/>
    <w:rsid w:val="00B17287"/>
    <w:rsid w:val="00B242D3"/>
    <w:rsid w:val="00B24BF0"/>
    <w:rsid w:val="00B3515A"/>
    <w:rsid w:val="00B35565"/>
    <w:rsid w:val="00B41BF3"/>
    <w:rsid w:val="00B4615B"/>
    <w:rsid w:val="00B46294"/>
    <w:rsid w:val="00B66754"/>
    <w:rsid w:val="00B711EE"/>
    <w:rsid w:val="00B71690"/>
    <w:rsid w:val="00B731B6"/>
    <w:rsid w:val="00B76AFA"/>
    <w:rsid w:val="00B84BAB"/>
    <w:rsid w:val="00B85AAF"/>
    <w:rsid w:val="00B86649"/>
    <w:rsid w:val="00B86C46"/>
    <w:rsid w:val="00B903E9"/>
    <w:rsid w:val="00B90724"/>
    <w:rsid w:val="00B974AF"/>
    <w:rsid w:val="00BA0904"/>
    <w:rsid w:val="00BA599D"/>
    <w:rsid w:val="00BA6F2D"/>
    <w:rsid w:val="00BA7E13"/>
    <w:rsid w:val="00BC24B6"/>
    <w:rsid w:val="00BC39DA"/>
    <w:rsid w:val="00BC5CE2"/>
    <w:rsid w:val="00BC7281"/>
    <w:rsid w:val="00BE2FC3"/>
    <w:rsid w:val="00BE3777"/>
    <w:rsid w:val="00BE6AE8"/>
    <w:rsid w:val="00BF18D9"/>
    <w:rsid w:val="00BF4901"/>
    <w:rsid w:val="00C02E87"/>
    <w:rsid w:val="00C0335D"/>
    <w:rsid w:val="00C06F71"/>
    <w:rsid w:val="00C1529E"/>
    <w:rsid w:val="00C15A40"/>
    <w:rsid w:val="00C16EB7"/>
    <w:rsid w:val="00C23332"/>
    <w:rsid w:val="00C26095"/>
    <w:rsid w:val="00C26DD1"/>
    <w:rsid w:val="00C275DB"/>
    <w:rsid w:val="00C30017"/>
    <w:rsid w:val="00C34A33"/>
    <w:rsid w:val="00C36633"/>
    <w:rsid w:val="00C407BD"/>
    <w:rsid w:val="00C44D91"/>
    <w:rsid w:val="00C44E43"/>
    <w:rsid w:val="00C4631D"/>
    <w:rsid w:val="00C52042"/>
    <w:rsid w:val="00C54598"/>
    <w:rsid w:val="00C566FD"/>
    <w:rsid w:val="00C603D0"/>
    <w:rsid w:val="00C63383"/>
    <w:rsid w:val="00C64E99"/>
    <w:rsid w:val="00C65B82"/>
    <w:rsid w:val="00C7202C"/>
    <w:rsid w:val="00C7279A"/>
    <w:rsid w:val="00C9090F"/>
    <w:rsid w:val="00C92CCB"/>
    <w:rsid w:val="00C92EC3"/>
    <w:rsid w:val="00C93FFA"/>
    <w:rsid w:val="00CA1F48"/>
    <w:rsid w:val="00CA5DA7"/>
    <w:rsid w:val="00CB0E13"/>
    <w:rsid w:val="00CB1325"/>
    <w:rsid w:val="00CC118D"/>
    <w:rsid w:val="00CC77EB"/>
    <w:rsid w:val="00CC79CA"/>
    <w:rsid w:val="00CD5A31"/>
    <w:rsid w:val="00CE2922"/>
    <w:rsid w:val="00CF2CB0"/>
    <w:rsid w:val="00D01814"/>
    <w:rsid w:val="00D02D12"/>
    <w:rsid w:val="00D057C3"/>
    <w:rsid w:val="00D069BF"/>
    <w:rsid w:val="00D13B94"/>
    <w:rsid w:val="00D17F71"/>
    <w:rsid w:val="00D21CEC"/>
    <w:rsid w:val="00D23C75"/>
    <w:rsid w:val="00D252F8"/>
    <w:rsid w:val="00D32B3C"/>
    <w:rsid w:val="00D4608D"/>
    <w:rsid w:val="00D47FCC"/>
    <w:rsid w:val="00D5020D"/>
    <w:rsid w:val="00D572A5"/>
    <w:rsid w:val="00D64DD8"/>
    <w:rsid w:val="00D669A5"/>
    <w:rsid w:val="00D67D80"/>
    <w:rsid w:val="00D80617"/>
    <w:rsid w:val="00D86B47"/>
    <w:rsid w:val="00D90098"/>
    <w:rsid w:val="00D91898"/>
    <w:rsid w:val="00D92DE1"/>
    <w:rsid w:val="00D94BD5"/>
    <w:rsid w:val="00DA0CDA"/>
    <w:rsid w:val="00DA1B99"/>
    <w:rsid w:val="00DA3D90"/>
    <w:rsid w:val="00DA4987"/>
    <w:rsid w:val="00DA60EC"/>
    <w:rsid w:val="00DC154B"/>
    <w:rsid w:val="00DC2EB3"/>
    <w:rsid w:val="00DC7DDB"/>
    <w:rsid w:val="00DE0A0C"/>
    <w:rsid w:val="00DF2AFD"/>
    <w:rsid w:val="00E0416E"/>
    <w:rsid w:val="00E07CC2"/>
    <w:rsid w:val="00E10712"/>
    <w:rsid w:val="00E112E2"/>
    <w:rsid w:val="00E31FA0"/>
    <w:rsid w:val="00E401FB"/>
    <w:rsid w:val="00E421F4"/>
    <w:rsid w:val="00E44F29"/>
    <w:rsid w:val="00E51338"/>
    <w:rsid w:val="00E548ED"/>
    <w:rsid w:val="00E57C19"/>
    <w:rsid w:val="00E613DE"/>
    <w:rsid w:val="00E679C6"/>
    <w:rsid w:val="00E70091"/>
    <w:rsid w:val="00E74607"/>
    <w:rsid w:val="00E81B89"/>
    <w:rsid w:val="00E8332E"/>
    <w:rsid w:val="00E83C57"/>
    <w:rsid w:val="00E85E88"/>
    <w:rsid w:val="00E90B7C"/>
    <w:rsid w:val="00E90BC0"/>
    <w:rsid w:val="00E93064"/>
    <w:rsid w:val="00E97711"/>
    <w:rsid w:val="00EA1DEC"/>
    <w:rsid w:val="00EA1FEC"/>
    <w:rsid w:val="00EA4A9D"/>
    <w:rsid w:val="00EA697B"/>
    <w:rsid w:val="00EB022D"/>
    <w:rsid w:val="00EB1530"/>
    <w:rsid w:val="00EB1C90"/>
    <w:rsid w:val="00EB37D6"/>
    <w:rsid w:val="00EB5334"/>
    <w:rsid w:val="00EC721F"/>
    <w:rsid w:val="00ED228C"/>
    <w:rsid w:val="00ED3001"/>
    <w:rsid w:val="00ED7762"/>
    <w:rsid w:val="00EE0E41"/>
    <w:rsid w:val="00EE2A92"/>
    <w:rsid w:val="00EE5B97"/>
    <w:rsid w:val="00EE6C7A"/>
    <w:rsid w:val="00EF01E3"/>
    <w:rsid w:val="00EF2A1F"/>
    <w:rsid w:val="00EF70A4"/>
    <w:rsid w:val="00EF762F"/>
    <w:rsid w:val="00F061EE"/>
    <w:rsid w:val="00F068A3"/>
    <w:rsid w:val="00F13A5F"/>
    <w:rsid w:val="00F17F31"/>
    <w:rsid w:val="00F23DA4"/>
    <w:rsid w:val="00F30E50"/>
    <w:rsid w:val="00F3342D"/>
    <w:rsid w:val="00F34D07"/>
    <w:rsid w:val="00F4040B"/>
    <w:rsid w:val="00F506E2"/>
    <w:rsid w:val="00F6309A"/>
    <w:rsid w:val="00F65800"/>
    <w:rsid w:val="00F666C2"/>
    <w:rsid w:val="00F73A41"/>
    <w:rsid w:val="00F75B32"/>
    <w:rsid w:val="00F76030"/>
    <w:rsid w:val="00F77B6B"/>
    <w:rsid w:val="00F77BCE"/>
    <w:rsid w:val="00F825BA"/>
    <w:rsid w:val="00F93AAE"/>
    <w:rsid w:val="00F94AB0"/>
    <w:rsid w:val="00FA132A"/>
    <w:rsid w:val="00FA7BCD"/>
    <w:rsid w:val="00FB2E2D"/>
    <w:rsid w:val="00FB3634"/>
    <w:rsid w:val="00FB3D72"/>
    <w:rsid w:val="00FC17FD"/>
    <w:rsid w:val="00FC3899"/>
    <w:rsid w:val="00FD024A"/>
    <w:rsid w:val="00FD0A28"/>
    <w:rsid w:val="00FD1267"/>
    <w:rsid w:val="00FD5C4C"/>
    <w:rsid w:val="00FD66C2"/>
    <w:rsid w:val="00FE2C5D"/>
    <w:rsid w:val="00FE750B"/>
    <w:rsid w:val="00FF0522"/>
    <w:rsid w:val="00FF2BF2"/>
    <w:rsid w:val="00FF64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421AD"/>
  <w15:docId w15:val="{F161294F-1D6F-42BC-8360-1EA502E9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35565"/>
    <w:rPr>
      <w:color w:val="666666"/>
    </w:rPr>
  </w:style>
  <w:style w:type="paragraph" w:styleId="Revisie">
    <w:name w:val="Revision"/>
    <w:hidden/>
    <w:uiPriority w:val="99"/>
    <w:semiHidden/>
    <w:rsid w:val="0051120D"/>
    <w:rPr>
      <w:rFonts w:ascii="Univers" w:hAnsi="Univers"/>
      <w:sz w:val="22"/>
      <w:szCs w:val="24"/>
    </w:rPr>
  </w:style>
  <w:style w:type="paragraph" w:styleId="Voetnoottekst">
    <w:name w:val="footnote text"/>
    <w:basedOn w:val="Standaard"/>
    <w:link w:val="VoetnoottekstChar"/>
    <w:uiPriority w:val="99"/>
    <w:unhideWhenUsed/>
    <w:qFormat/>
    <w:rsid w:val="0051120D"/>
    <w:rPr>
      <w:sz w:val="20"/>
      <w:szCs w:val="20"/>
    </w:rPr>
  </w:style>
  <w:style w:type="character" w:customStyle="1" w:styleId="VoetnoottekstChar">
    <w:name w:val="Voetnoottekst Char"/>
    <w:basedOn w:val="Standaardalinea-lettertype"/>
    <w:link w:val="Voetnoottekst"/>
    <w:uiPriority w:val="99"/>
    <w:rsid w:val="0051120D"/>
    <w:rPr>
      <w:rFonts w:ascii="Univers" w:hAnsi="Univers"/>
    </w:rPr>
  </w:style>
  <w:style w:type="character" w:styleId="Voetnootmarkering">
    <w:name w:val="footnote reference"/>
    <w:basedOn w:val="Standaardalinea-lettertype"/>
    <w:uiPriority w:val="99"/>
    <w:semiHidden/>
    <w:unhideWhenUsed/>
    <w:rsid w:val="0051120D"/>
    <w:rPr>
      <w:vertAlign w:val="superscript"/>
    </w:rPr>
  </w:style>
  <w:style w:type="paragraph" w:styleId="Lijstalinea">
    <w:name w:val="List Paragraph"/>
    <w:basedOn w:val="Standaard"/>
    <w:uiPriority w:val="34"/>
    <w:qFormat/>
    <w:rsid w:val="002E02BE"/>
    <w:pPr>
      <w:ind w:left="720"/>
      <w:contextualSpacing/>
    </w:pPr>
  </w:style>
  <w:style w:type="character" w:styleId="Verwijzingopmerking">
    <w:name w:val="annotation reference"/>
    <w:basedOn w:val="Standaardalinea-lettertype"/>
    <w:uiPriority w:val="99"/>
    <w:semiHidden/>
    <w:unhideWhenUsed/>
    <w:rsid w:val="0090558F"/>
    <w:rPr>
      <w:sz w:val="16"/>
      <w:szCs w:val="16"/>
    </w:rPr>
  </w:style>
  <w:style w:type="paragraph" w:styleId="Tekstopmerking">
    <w:name w:val="annotation text"/>
    <w:basedOn w:val="Standaard"/>
    <w:link w:val="TekstopmerkingChar"/>
    <w:uiPriority w:val="99"/>
    <w:unhideWhenUsed/>
    <w:rsid w:val="0090558F"/>
    <w:rPr>
      <w:sz w:val="20"/>
      <w:szCs w:val="20"/>
    </w:rPr>
  </w:style>
  <w:style w:type="character" w:customStyle="1" w:styleId="TekstopmerkingChar">
    <w:name w:val="Tekst opmerking Char"/>
    <w:basedOn w:val="Standaardalinea-lettertype"/>
    <w:link w:val="Tekstopmerking"/>
    <w:uiPriority w:val="99"/>
    <w:rsid w:val="0090558F"/>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0558F"/>
    <w:rPr>
      <w:b/>
      <w:bCs/>
    </w:rPr>
  </w:style>
  <w:style w:type="character" w:customStyle="1" w:styleId="OnderwerpvanopmerkingChar">
    <w:name w:val="Onderwerp van opmerking Char"/>
    <w:basedOn w:val="TekstopmerkingChar"/>
    <w:link w:val="Onderwerpvanopmerking"/>
    <w:uiPriority w:val="99"/>
    <w:semiHidden/>
    <w:rsid w:val="0090558F"/>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28687E6-036C-4462-8B3F-BE5151CC3845}"/>
      </w:docPartPr>
      <w:docPartBody>
        <w:p w:rsidR="008B1336" w:rsidRDefault="008B1336">
          <w:r w:rsidRPr="00B91E0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36"/>
    <w:rsid w:val="00131BF7"/>
    <w:rsid w:val="00193FC7"/>
    <w:rsid w:val="001D2A07"/>
    <w:rsid w:val="00234449"/>
    <w:rsid w:val="00300076"/>
    <w:rsid w:val="00332C54"/>
    <w:rsid w:val="003535A3"/>
    <w:rsid w:val="003757DF"/>
    <w:rsid w:val="003C39C6"/>
    <w:rsid w:val="004C3273"/>
    <w:rsid w:val="005449D1"/>
    <w:rsid w:val="00567A75"/>
    <w:rsid w:val="005A7762"/>
    <w:rsid w:val="005C7311"/>
    <w:rsid w:val="006301B2"/>
    <w:rsid w:val="006545DB"/>
    <w:rsid w:val="006C04A6"/>
    <w:rsid w:val="006E52F6"/>
    <w:rsid w:val="006F7108"/>
    <w:rsid w:val="00715BF3"/>
    <w:rsid w:val="008154B5"/>
    <w:rsid w:val="008B1336"/>
    <w:rsid w:val="00961A8D"/>
    <w:rsid w:val="009920E1"/>
    <w:rsid w:val="009F6B7A"/>
    <w:rsid w:val="00A066D3"/>
    <w:rsid w:val="00A33A53"/>
    <w:rsid w:val="00A537FB"/>
    <w:rsid w:val="00B06083"/>
    <w:rsid w:val="00B731B6"/>
    <w:rsid w:val="00C07C05"/>
    <w:rsid w:val="00CA7595"/>
    <w:rsid w:val="00D5020D"/>
    <w:rsid w:val="00E0416E"/>
    <w:rsid w:val="00E613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B133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ADV Document" ma:contentTypeID="0x010100D3DA649AE4B0D248BD463BA7E77D2FA400C02BFA5832112E4BB9420A75465FB040" ma:contentTypeVersion="5" ma:contentTypeDescription="" ma:contentTypeScope="" ma:versionID="7d74e80df68d72757ea68edd2ad648d2">
  <xsd:schema xmlns:xsd="http://www.w3.org/2001/XMLSchema" xmlns:xs="http://www.w3.org/2001/XMLSchema" xmlns:p="http://schemas.microsoft.com/office/2006/metadata/properties" xmlns:ns2="827f7445-b0ce-42dd-93ff-05d92a7419bb" xmlns:ns3="6782f317-c7e6-41cd-89ea-49db579b29e0" targetNamespace="http://schemas.microsoft.com/office/2006/metadata/properties" ma:root="true" ma:fieldsID="659165a2b7ac14d4f25dff48247efecc" ns2:_="" ns3:_="">
    <xsd:import namespace="827f7445-b0ce-42dd-93ff-05d92a7419bb"/>
    <xsd:import namespace="6782f317-c7e6-41cd-89ea-49db579b29e0"/>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402f28c-c060-462c-9826-6343e3e76617}" ma:internalName="TaxCatchAll" ma:showField="CatchAllData" ma:web="6782f317-c7e6-41cd-89ea-49db579b29e0">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402f28c-c060-462c-9826-6343e3e76617}" ma:internalName="TaxCatchAllLabel" ma:readOnly="true" ma:showField="CatchAllDataLabel" ma:web="6782f317-c7e6-41cd-89ea-49db579b29e0">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2f317-c7e6-41cd-89ea-49db579b29e0"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5.xml><?xml version="1.0" encoding="utf-8"?>
<ds:datastoreItem xmlns:ds="http://schemas.openxmlformats.org/officeDocument/2006/customXml" ds:itemID="{841AEBBB-5469-4B04-8691-3D8ADB66F574}">
  <ds:schemaRefs>
    <ds:schemaRef ds:uri="http://schemas.microsoft.com/sharepoint/events"/>
  </ds:schemaRefs>
</ds:datastoreItem>
</file>

<file path=customXml/itemProps6.xml><?xml version="1.0" encoding="utf-8"?>
<ds:datastoreItem xmlns:ds="http://schemas.openxmlformats.org/officeDocument/2006/customXml" ds:itemID="{817D2483-0194-4F45-B8DD-5E203C674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6782f317-c7e6-41cd-89ea-49db579b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3</ap:Pages>
  <ap:Words>701</ap:Words>
  <ap:Characters>3860</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2026-04-01T10:34:00.0000000Z</lastPrinted>
  <dcterms:created xsi:type="dcterms:W3CDTF">2026-07-07T10:00:00.0000000Z</dcterms:created>
  <dcterms:modified xsi:type="dcterms:W3CDTF">2026-07-07T10:00:00.0000000Z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W17.25.00352/IV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e3daa5a9-86ce-4c16-b77f-7390c234a759</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