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44A9" w:rsidR="00FF0FF0" w:rsidP="00D944A9" w:rsidRDefault="00FF0FF0" w14:paraId="36C89193" w14:textId="48615828">
      <w:pPr>
        <w:spacing w:line="276" w:lineRule="auto"/>
        <w:rPr>
          <w:rFonts w:ascii="Verdana" w:hAnsi="Verdana" w:eastAsia="Times New Roman" w:cstheme="majorBidi"/>
          <w:b/>
          <w:sz w:val="18"/>
          <w:szCs w:val="18"/>
        </w:rPr>
      </w:pPr>
    </w:p>
    <w:p w:rsidRPr="00E43A50" w:rsidR="006A0BF6" w:rsidP="00643E93" w:rsidRDefault="006A0BF6" w14:paraId="4833CCB6" w14:textId="2BD8C9F5">
      <w:pPr>
        <w:pStyle w:val="Kop1"/>
        <w:spacing w:line="276" w:lineRule="auto"/>
      </w:pPr>
      <w:r w:rsidRPr="00E43A50">
        <w:t>MEMORIE VAN TOELICHTING</w:t>
      </w:r>
    </w:p>
    <w:p w:rsidRPr="005B4CB1" w:rsidR="006A0BF6" w:rsidP="00643E93" w:rsidRDefault="006A0BF6" w14:paraId="06413405" w14:textId="77777777">
      <w:pPr>
        <w:spacing w:line="276" w:lineRule="auto"/>
        <w:rPr>
          <w:rFonts w:ascii="Verdana" w:hAnsi="Verdana"/>
        </w:rPr>
      </w:pPr>
    </w:p>
    <w:p w:rsidRPr="00E43A50" w:rsidR="00ED3273" w:rsidP="00643E93" w:rsidRDefault="006A0BF6" w14:paraId="02E698AA" w14:textId="5A8BD754">
      <w:pPr>
        <w:pStyle w:val="Kop2"/>
        <w:numPr>
          <w:ilvl w:val="0"/>
          <w:numId w:val="25"/>
        </w:numPr>
        <w:spacing w:line="276" w:lineRule="auto"/>
      </w:pPr>
      <w:r w:rsidRPr="00E43A50">
        <w:t>Algemeen</w:t>
      </w:r>
    </w:p>
    <w:p w:rsidRPr="00E43A50" w:rsidR="004F0533" w:rsidP="00643E93" w:rsidRDefault="004F0533" w14:paraId="3B2A3E76" w14:textId="77777777">
      <w:pPr>
        <w:pStyle w:val="Kop3"/>
        <w:spacing w:line="276" w:lineRule="auto"/>
      </w:pPr>
      <w:bookmarkStart w:name="_Toc195040746" w:id="0"/>
      <w:r w:rsidRPr="00E43A50">
        <w:t>Inleiding</w:t>
      </w:r>
      <w:bookmarkEnd w:id="0"/>
    </w:p>
    <w:p w:rsidR="00F73B9F" w:rsidP="00643E93" w:rsidRDefault="00FC3D14" w14:paraId="07344ED4" w14:textId="5619CD0A">
      <w:pPr>
        <w:spacing w:after="0" w:line="276" w:lineRule="auto"/>
        <w:rPr>
          <w:rFonts w:ascii="Verdana" w:hAnsi="Verdana" w:eastAsia="Times New Roman" w:cs="Times New Roman"/>
          <w:sz w:val="18"/>
          <w:szCs w:val="18"/>
          <w:lang w:eastAsia="nl-NL"/>
        </w:rPr>
      </w:pPr>
      <w:bookmarkStart w:name="footnote1" w:id="1"/>
      <w:bookmarkStart w:name="footnote2" w:id="2"/>
      <w:bookmarkStart w:name="footnote3" w:id="3"/>
      <w:bookmarkEnd w:id="1"/>
      <w:bookmarkEnd w:id="2"/>
      <w:bookmarkEnd w:id="3"/>
      <w:r w:rsidRPr="00F73B9F">
        <w:rPr>
          <w:rFonts w:ascii="Verdana" w:hAnsi="Verdana" w:eastAsia="Times New Roman" w:cs="Times New Roman"/>
          <w:sz w:val="18"/>
          <w:szCs w:val="18"/>
          <w:lang w:eastAsia="nl-NL"/>
        </w:rPr>
        <w:t xml:space="preserve">Het voorliggende wetsvoorstel strekt tot wijziging van de Wet </w:t>
      </w:r>
      <w:r w:rsidRPr="00F73B9F" w:rsidR="008453BD">
        <w:rPr>
          <w:rFonts w:ascii="Verdana" w:hAnsi="Verdana" w:eastAsia="Times New Roman" w:cs="Times New Roman"/>
          <w:sz w:val="18"/>
          <w:szCs w:val="18"/>
          <w:lang w:eastAsia="nl-NL"/>
        </w:rPr>
        <w:t>m</w:t>
      </w:r>
      <w:r w:rsidRPr="00F73B9F">
        <w:rPr>
          <w:rFonts w:ascii="Verdana" w:hAnsi="Verdana" w:eastAsia="Times New Roman" w:cs="Times New Roman"/>
          <w:sz w:val="18"/>
          <w:szCs w:val="18"/>
          <w:lang w:eastAsia="nl-NL"/>
        </w:rPr>
        <w:t xml:space="preserve">ilieubeheer </w:t>
      </w:r>
      <w:r w:rsidRPr="00F73B9F" w:rsidR="00856375">
        <w:rPr>
          <w:rFonts w:ascii="Verdana" w:hAnsi="Verdana" w:eastAsia="Times New Roman" w:cs="Times New Roman"/>
          <w:sz w:val="18"/>
          <w:szCs w:val="18"/>
          <w:lang w:eastAsia="nl-NL"/>
        </w:rPr>
        <w:t>en</w:t>
      </w:r>
      <w:r w:rsidRPr="00F73B9F">
        <w:rPr>
          <w:rFonts w:ascii="Verdana" w:hAnsi="Verdana" w:eastAsia="Times New Roman" w:cs="Times New Roman"/>
          <w:sz w:val="18"/>
          <w:szCs w:val="18"/>
          <w:lang w:eastAsia="nl-NL"/>
        </w:rPr>
        <w:t xml:space="preserve"> </w:t>
      </w:r>
      <w:r w:rsidRPr="00F73B9F" w:rsidR="0036584C">
        <w:rPr>
          <w:rFonts w:ascii="Verdana" w:hAnsi="Verdana" w:eastAsia="Times New Roman" w:cs="Times New Roman"/>
          <w:sz w:val="18"/>
          <w:szCs w:val="18"/>
          <w:lang w:eastAsia="nl-NL"/>
        </w:rPr>
        <w:t xml:space="preserve">beoogt </w:t>
      </w:r>
      <w:r w:rsidRPr="00F73B9F">
        <w:rPr>
          <w:rFonts w:ascii="Verdana" w:hAnsi="Verdana" w:eastAsia="Times New Roman" w:cs="Times New Roman"/>
          <w:sz w:val="18"/>
          <w:szCs w:val="18"/>
          <w:lang w:eastAsia="nl-NL"/>
        </w:rPr>
        <w:t xml:space="preserve">ervoor </w:t>
      </w:r>
      <w:r w:rsidRPr="00F73B9F" w:rsidR="0036584C">
        <w:rPr>
          <w:rFonts w:ascii="Verdana" w:hAnsi="Verdana" w:eastAsia="Times New Roman" w:cs="Times New Roman"/>
          <w:sz w:val="18"/>
          <w:szCs w:val="18"/>
          <w:lang w:eastAsia="nl-NL"/>
        </w:rPr>
        <w:t xml:space="preserve">te zorgen </w:t>
      </w:r>
      <w:r w:rsidRPr="00F73B9F">
        <w:rPr>
          <w:rFonts w:ascii="Verdana" w:hAnsi="Verdana" w:eastAsia="Times New Roman" w:cs="Times New Roman"/>
          <w:sz w:val="18"/>
          <w:szCs w:val="18"/>
          <w:lang w:eastAsia="nl-NL"/>
        </w:rPr>
        <w:t>dat aanbestedende diensten</w:t>
      </w:r>
      <w:r w:rsidRPr="00F73B9F" w:rsidR="00856375">
        <w:rPr>
          <w:rFonts w:ascii="Verdana" w:hAnsi="Verdana" w:eastAsia="Times New Roman" w:cs="Times New Roman"/>
          <w:sz w:val="18"/>
          <w:szCs w:val="18"/>
          <w:lang w:eastAsia="nl-NL"/>
        </w:rPr>
        <w:t xml:space="preserve"> en speciale</w:t>
      </w:r>
      <w:r w:rsidRPr="00F73B9F" w:rsidR="00DB4362">
        <w:rPr>
          <w:rFonts w:ascii="Verdana" w:hAnsi="Verdana" w:eastAsia="Times New Roman" w:cs="Times New Roman"/>
          <w:sz w:val="18"/>
          <w:szCs w:val="18"/>
          <w:lang w:eastAsia="nl-NL"/>
        </w:rPr>
        <w:t>-</w:t>
      </w:r>
      <w:r w:rsidRPr="00F73B9F" w:rsidR="00856375">
        <w:rPr>
          <w:rFonts w:ascii="Verdana" w:hAnsi="Verdana" w:eastAsia="Times New Roman" w:cs="Times New Roman"/>
          <w:sz w:val="18"/>
          <w:szCs w:val="18"/>
          <w:lang w:eastAsia="nl-NL"/>
        </w:rPr>
        <w:t>sectorbedrijven</w:t>
      </w:r>
      <w:r w:rsidRPr="00F73B9F" w:rsidR="00B566D3">
        <w:rPr>
          <w:rFonts w:ascii="Verdana" w:hAnsi="Verdana" w:eastAsia="Times New Roman" w:cs="Times New Roman"/>
          <w:sz w:val="18"/>
          <w:szCs w:val="18"/>
          <w:lang w:eastAsia="nl-NL"/>
        </w:rPr>
        <w:t xml:space="preserve"> als opdrachtgevers van werken in de Grond-, Weg en Waterbouw </w:t>
      </w:r>
      <w:r w:rsidRPr="00F73B9F" w:rsidR="004A5DD0">
        <w:rPr>
          <w:rFonts w:ascii="Verdana" w:hAnsi="Verdana" w:eastAsia="Times New Roman" w:cs="Times New Roman"/>
          <w:sz w:val="18"/>
          <w:szCs w:val="18"/>
          <w:lang w:eastAsia="nl-NL"/>
        </w:rPr>
        <w:t>(hierna: GWW-werken)</w:t>
      </w:r>
      <w:r w:rsidRPr="00F73B9F" w:rsidR="00F73B9F">
        <w:rPr>
          <w:rFonts w:ascii="Verdana" w:hAnsi="Verdana" w:eastAsia="Times New Roman" w:cs="Times New Roman"/>
          <w:sz w:val="18"/>
          <w:szCs w:val="18"/>
          <w:lang w:eastAsia="nl-NL"/>
        </w:rPr>
        <w:t>:</w:t>
      </w:r>
    </w:p>
    <w:p w:rsidRPr="00F73B9F" w:rsidR="007A30EB" w:rsidP="00643E93" w:rsidRDefault="007A30EB" w14:paraId="0A39EFD8" w14:textId="77777777">
      <w:pPr>
        <w:spacing w:after="0" w:line="276" w:lineRule="auto"/>
        <w:rPr>
          <w:rFonts w:ascii="Verdana" w:hAnsi="Verdana" w:eastAsia="Times New Roman" w:cs="Times New Roman"/>
          <w:sz w:val="18"/>
          <w:szCs w:val="18"/>
          <w:lang w:eastAsia="nl-NL"/>
        </w:rPr>
      </w:pPr>
    </w:p>
    <w:p w:rsidRPr="00F2248B" w:rsidR="00F73B9F" w:rsidP="00643E93" w:rsidRDefault="00F73B9F" w14:paraId="5A9170F5" w14:textId="02398CF0">
      <w:pPr>
        <w:pStyle w:val="Lijstalinea"/>
        <w:numPr>
          <w:ilvl w:val="0"/>
          <w:numId w:val="67"/>
        </w:numPr>
        <w:spacing w:after="0" w:line="276" w:lineRule="auto"/>
        <w:rPr>
          <w:rFonts w:ascii="Verdana" w:hAnsi="Verdana" w:eastAsia="Times New Roman" w:cs="Times New Roman"/>
          <w:sz w:val="18"/>
          <w:szCs w:val="18"/>
          <w:lang w:eastAsia="nl-NL"/>
        </w:rPr>
      </w:pPr>
      <w:r w:rsidRPr="00F73B9F">
        <w:rPr>
          <w:rFonts w:ascii="Verdana" w:hAnsi="Verdana" w:eastAsia="Times New Roman" w:cs="Times New Roman"/>
          <w:sz w:val="18"/>
          <w:szCs w:val="18"/>
          <w:lang w:eastAsia="nl-NL"/>
        </w:rPr>
        <w:t>O</w:t>
      </w:r>
      <w:r w:rsidRPr="00F2248B" w:rsidR="00FC3D14">
        <w:rPr>
          <w:rFonts w:ascii="Verdana" w:hAnsi="Verdana" w:eastAsia="Times New Roman" w:cs="Times New Roman"/>
          <w:sz w:val="18"/>
          <w:szCs w:val="18"/>
          <w:lang w:eastAsia="nl-NL"/>
        </w:rPr>
        <w:t xml:space="preserve">p consistente en uniforme wijze </w:t>
      </w:r>
      <w:r w:rsidR="007A0EBE">
        <w:rPr>
          <w:rFonts w:ascii="Verdana" w:hAnsi="Verdana" w:eastAsia="Times New Roman" w:cs="Times New Roman"/>
          <w:sz w:val="18"/>
          <w:szCs w:val="18"/>
          <w:lang w:eastAsia="nl-NL"/>
        </w:rPr>
        <w:t>eisen</w:t>
      </w:r>
      <w:r w:rsidRPr="00F2248B" w:rsidR="00FC3D14">
        <w:rPr>
          <w:rFonts w:ascii="Verdana" w:hAnsi="Verdana" w:eastAsia="Times New Roman" w:cs="Times New Roman"/>
          <w:sz w:val="18"/>
          <w:szCs w:val="18"/>
          <w:lang w:eastAsia="nl-NL"/>
        </w:rPr>
        <w:t xml:space="preserve"> </w:t>
      </w:r>
      <w:r w:rsidRPr="00F2248B" w:rsidR="0030046C">
        <w:rPr>
          <w:rFonts w:ascii="Verdana" w:hAnsi="Verdana" w:eastAsia="Times New Roman" w:cs="Times New Roman"/>
          <w:sz w:val="18"/>
          <w:szCs w:val="18"/>
          <w:lang w:eastAsia="nl-NL"/>
        </w:rPr>
        <w:t>stellen</w:t>
      </w:r>
      <w:r w:rsidRPr="00F2248B" w:rsidR="00FC3D14">
        <w:rPr>
          <w:rFonts w:ascii="Verdana" w:hAnsi="Verdana" w:eastAsia="Times New Roman" w:cs="Times New Roman"/>
          <w:sz w:val="18"/>
          <w:szCs w:val="18"/>
          <w:lang w:eastAsia="nl-NL"/>
        </w:rPr>
        <w:t xml:space="preserve"> bij hun inkoopprocedures</w:t>
      </w:r>
      <w:r w:rsidRPr="00F2248B" w:rsidR="00856375">
        <w:rPr>
          <w:rFonts w:ascii="Verdana" w:hAnsi="Verdana" w:eastAsia="Times New Roman" w:cs="Times New Roman"/>
          <w:sz w:val="18"/>
          <w:szCs w:val="18"/>
          <w:lang w:eastAsia="nl-NL"/>
        </w:rPr>
        <w:t xml:space="preserve"> </w:t>
      </w:r>
      <w:r w:rsidR="007A0EBE">
        <w:rPr>
          <w:rFonts w:ascii="Verdana" w:hAnsi="Verdana" w:eastAsia="Times New Roman" w:cs="Times New Roman"/>
          <w:sz w:val="18"/>
          <w:szCs w:val="18"/>
          <w:lang w:eastAsia="nl-NL"/>
        </w:rPr>
        <w:t xml:space="preserve">om de milieubelasting van </w:t>
      </w:r>
      <w:r w:rsidRPr="00F2248B" w:rsidR="00856375">
        <w:rPr>
          <w:rFonts w:ascii="Verdana" w:hAnsi="Verdana" w:eastAsia="Times New Roman" w:cs="Times New Roman"/>
          <w:sz w:val="18"/>
          <w:szCs w:val="18"/>
          <w:lang w:eastAsia="nl-NL"/>
        </w:rPr>
        <w:t>werken</w:t>
      </w:r>
      <w:r w:rsidRPr="00F2248B" w:rsidR="006F228C">
        <w:rPr>
          <w:rFonts w:ascii="Verdana" w:hAnsi="Verdana" w:eastAsia="Times New Roman" w:cs="Times New Roman"/>
          <w:sz w:val="18"/>
          <w:szCs w:val="18"/>
          <w:lang w:eastAsia="nl-NL"/>
        </w:rPr>
        <w:t xml:space="preserve"> in de </w:t>
      </w:r>
      <w:r w:rsidRPr="00F2248B" w:rsidR="004A5DD0">
        <w:rPr>
          <w:rFonts w:ascii="Verdana" w:hAnsi="Verdana" w:eastAsia="Times New Roman" w:cs="Times New Roman"/>
          <w:sz w:val="18"/>
          <w:szCs w:val="18"/>
          <w:lang w:eastAsia="nl-NL"/>
        </w:rPr>
        <w:t>GWW</w:t>
      </w:r>
      <w:r w:rsidR="007A0EBE">
        <w:rPr>
          <w:rFonts w:ascii="Verdana" w:hAnsi="Verdana" w:eastAsia="Times New Roman" w:cs="Times New Roman"/>
          <w:sz w:val="18"/>
          <w:szCs w:val="18"/>
          <w:lang w:eastAsia="nl-NL"/>
        </w:rPr>
        <w:t xml:space="preserve"> te beperken</w:t>
      </w:r>
      <w:r w:rsidRPr="00F2248B" w:rsidR="00FC3D14">
        <w:rPr>
          <w:rFonts w:ascii="Verdana" w:hAnsi="Verdana" w:eastAsia="Times New Roman" w:cs="Times New Roman"/>
          <w:sz w:val="18"/>
          <w:szCs w:val="18"/>
          <w:lang w:eastAsia="nl-NL"/>
        </w:rPr>
        <w:t xml:space="preserve">. </w:t>
      </w:r>
      <w:r w:rsidRPr="00F73B9F">
        <w:rPr>
          <w:rFonts w:ascii="Verdana" w:hAnsi="Verdana" w:eastAsia="Times New Roman" w:cs="Times New Roman"/>
          <w:sz w:val="18"/>
          <w:szCs w:val="18"/>
          <w:lang w:eastAsia="nl-NL"/>
        </w:rPr>
        <w:t xml:space="preserve">Op dit moment worden </w:t>
      </w:r>
      <w:r>
        <w:rPr>
          <w:rFonts w:ascii="Verdana" w:hAnsi="Verdana" w:eastAsia="Times New Roman" w:cs="Times New Roman"/>
          <w:sz w:val="18"/>
          <w:szCs w:val="18"/>
          <w:lang w:eastAsia="nl-NL"/>
        </w:rPr>
        <w:t>milieuprestatie-eisen</w:t>
      </w:r>
      <w:r w:rsidRPr="00F73B9F">
        <w:rPr>
          <w:rFonts w:ascii="Verdana" w:hAnsi="Verdana" w:eastAsia="Times New Roman" w:cs="Times New Roman"/>
          <w:sz w:val="18"/>
          <w:szCs w:val="18"/>
          <w:lang w:eastAsia="nl-NL"/>
        </w:rPr>
        <w:t xml:space="preserve"> in aanbestedingen van GWW-werken door publieke opdrachtgevers op verschillende manieren gesteld. Dat maakt dat de opdrachtnemers steeds weer aan andere eisen moeten voldoen.</w:t>
      </w:r>
      <w:r w:rsidRPr="00F2248B">
        <w:rPr>
          <w:rFonts w:ascii="Verdana" w:hAnsi="Verdana"/>
          <w:sz w:val="18"/>
          <w:szCs w:val="18"/>
        </w:rPr>
        <w:t xml:space="preserve"> Het wetsvoorstel biedt de mogelijkheid tot een eenduidige norm waarmee het bedrijfsleven en overheden aan de slag </w:t>
      </w:r>
      <w:r>
        <w:rPr>
          <w:rFonts w:ascii="Verdana" w:hAnsi="Verdana"/>
          <w:sz w:val="18"/>
          <w:szCs w:val="18"/>
        </w:rPr>
        <w:t>kan</w:t>
      </w:r>
      <w:r w:rsidR="00C04DC0">
        <w:rPr>
          <w:rFonts w:ascii="Verdana" w:hAnsi="Verdana"/>
          <w:sz w:val="18"/>
          <w:szCs w:val="18"/>
        </w:rPr>
        <w:t>.</w:t>
      </w:r>
    </w:p>
    <w:p w:rsidRPr="00F73B9F" w:rsidR="007A30EB" w:rsidP="00643E93" w:rsidRDefault="007A30EB" w14:paraId="4475E425" w14:textId="77777777">
      <w:pPr>
        <w:pStyle w:val="Lijstalinea"/>
        <w:spacing w:after="0" w:line="276" w:lineRule="auto"/>
        <w:rPr>
          <w:rFonts w:ascii="Verdana" w:hAnsi="Verdana" w:eastAsia="Times New Roman" w:cs="Times New Roman"/>
          <w:sz w:val="18"/>
          <w:szCs w:val="18"/>
          <w:lang w:eastAsia="nl-NL"/>
        </w:rPr>
      </w:pPr>
    </w:p>
    <w:p w:rsidRPr="00F73B9F" w:rsidR="00F73B9F" w:rsidP="00643E93" w:rsidRDefault="00F73B9F" w14:paraId="4892BBA1" w14:textId="13C09E28">
      <w:pPr>
        <w:pStyle w:val="Lijstalinea"/>
        <w:numPr>
          <w:ilvl w:val="0"/>
          <w:numId w:val="67"/>
        </w:numPr>
        <w:spacing w:after="0" w:line="276" w:lineRule="auto"/>
        <w:rPr>
          <w:rFonts w:ascii="Verdana" w:hAnsi="Verdana" w:eastAsia="Times New Roman" w:cs="Times New Roman"/>
          <w:sz w:val="18"/>
          <w:szCs w:val="18"/>
          <w:lang w:eastAsia="nl-NL"/>
        </w:rPr>
      </w:pPr>
      <w:r w:rsidRPr="00F73B9F">
        <w:rPr>
          <w:rFonts w:ascii="Verdana" w:hAnsi="Verdana" w:eastAsia="Times New Roman" w:cs="Times New Roman"/>
          <w:sz w:val="18"/>
          <w:szCs w:val="18"/>
          <w:lang w:eastAsia="nl-NL"/>
        </w:rPr>
        <w:t xml:space="preserve">De milieu-impact van het GWW-werk verlagen. De bouwsector is één van de meest impactvolle sectoren als het gaat om grondstoffenverbruik en milieu-impact. Dit wetsvoorstel </w:t>
      </w:r>
      <w:r w:rsidRPr="00F2248B" w:rsidR="000230A2">
        <w:rPr>
          <w:rFonts w:ascii="Verdana" w:hAnsi="Verdana" w:eastAsia="Times New Roman" w:cs="Times New Roman"/>
          <w:sz w:val="18"/>
          <w:szCs w:val="18"/>
          <w:lang w:eastAsia="nl-NL"/>
        </w:rPr>
        <w:t xml:space="preserve">geeft aanbestedende diensten en speciale-sectorbedrijven </w:t>
      </w:r>
      <w:r w:rsidR="007A30EB">
        <w:rPr>
          <w:rFonts w:ascii="Verdana" w:hAnsi="Verdana" w:eastAsia="Times New Roman" w:cs="Times New Roman"/>
          <w:sz w:val="18"/>
          <w:szCs w:val="18"/>
          <w:lang w:eastAsia="nl-NL"/>
        </w:rPr>
        <w:t xml:space="preserve">meer </w:t>
      </w:r>
      <w:r w:rsidRPr="00F2248B" w:rsidR="000230A2">
        <w:rPr>
          <w:rFonts w:ascii="Verdana" w:hAnsi="Verdana" w:eastAsia="Times New Roman" w:cs="Times New Roman"/>
          <w:sz w:val="18"/>
          <w:szCs w:val="18"/>
          <w:lang w:eastAsia="nl-NL"/>
        </w:rPr>
        <w:t>zekerheid</w:t>
      </w:r>
      <w:r w:rsidRPr="00F2248B" w:rsidR="0036584C">
        <w:rPr>
          <w:rFonts w:ascii="Verdana" w:hAnsi="Verdana" w:eastAsia="Times New Roman" w:cs="Times New Roman"/>
          <w:sz w:val="18"/>
          <w:szCs w:val="18"/>
          <w:lang w:eastAsia="nl-NL"/>
        </w:rPr>
        <w:t>, om te bereiken</w:t>
      </w:r>
      <w:r w:rsidRPr="00F2248B" w:rsidR="000230A2">
        <w:rPr>
          <w:rFonts w:ascii="Verdana" w:hAnsi="Verdana" w:eastAsia="Times New Roman" w:cs="Times New Roman"/>
          <w:sz w:val="18"/>
          <w:szCs w:val="18"/>
          <w:lang w:eastAsia="nl-NL"/>
        </w:rPr>
        <w:t xml:space="preserve"> dat zij minder vervuilende producten inkopen. </w:t>
      </w:r>
      <w:r w:rsidRPr="00F2248B" w:rsidR="004A5DD0">
        <w:rPr>
          <w:rFonts w:ascii="Verdana" w:hAnsi="Verdana" w:eastAsia="Times New Roman" w:cs="Times New Roman"/>
          <w:sz w:val="18"/>
          <w:szCs w:val="18"/>
          <w:lang w:eastAsia="nl-NL"/>
        </w:rPr>
        <w:t>Het stellen van eenduidige, haalbare eisen</w:t>
      </w:r>
      <w:r w:rsidRPr="00F2248B" w:rsidR="000230A2">
        <w:rPr>
          <w:rFonts w:ascii="Verdana" w:hAnsi="Verdana" w:eastAsia="Times New Roman" w:cs="Times New Roman"/>
          <w:sz w:val="18"/>
          <w:szCs w:val="18"/>
          <w:lang w:eastAsia="nl-NL"/>
        </w:rPr>
        <w:t xml:space="preserve"> bied</w:t>
      </w:r>
      <w:r w:rsidRPr="00F2248B" w:rsidR="004A5DD0">
        <w:rPr>
          <w:rFonts w:ascii="Verdana" w:hAnsi="Verdana" w:eastAsia="Times New Roman" w:cs="Times New Roman"/>
          <w:sz w:val="18"/>
          <w:szCs w:val="18"/>
          <w:lang w:eastAsia="nl-NL"/>
        </w:rPr>
        <w:t>t</w:t>
      </w:r>
      <w:r w:rsidRPr="00F2248B" w:rsidR="000230A2">
        <w:rPr>
          <w:rFonts w:ascii="Verdana" w:hAnsi="Verdana" w:eastAsia="Times New Roman" w:cs="Times New Roman"/>
          <w:sz w:val="18"/>
          <w:szCs w:val="18"/>
          <w:lang w:eastAsia="nl-NL"/>
        </w:rPr>
        <w:t xml:space="preserve"> </w:t>
      </w:r>
      <w:r w:rsidRPr="00F2248B" w:rsidR="00527FE3">
        <w:rPr>
          <w:rFonts w:ascii="Verdana" w:hAnsi="Verdana" w:eastAsia="Times New Roman" w:cs="Times New Roman"/>
          <w:sz w:val="18"/>
          <w:szCs w:val="18"/>
          <w:lang w:eastAsia="nl-NL"/>
        </w:rPr>
        <w:t xml:space="preserve">het bedrijfsleven </w:t>
      </w:r>
      <w:r w:rsidRPr="00F2248B" w:rsidR="00FC3D14">
        <w:rPr>
          <w:rFonts w:ascii="Verdana" w:hAnsi="Verdana" w:eastAsia="Times New Roman" w:cs="Times New Roman"/>
          <w:sz w:val="18"/>
          <w:szCs w:val="18"/>
          <w:lang w:eastAsia="nl-NL"/>
        </w:rPr>
        <w:t xml:space="preserve">zekerheid om te investeren in maatregelen die bijdragen aan minder grondstoffenverbruik en schonere productiemethodes. </w:t>
      </w:r>
      <w:r>
        <w:rPr>
          <w:rFonts w:ascii="Verdana" w:hAnsi="Verdana" w:eastAsia="Times New Roman" w:cs="Times New Roman"/>
          <w:sz w:val="18"/>
          <w:szCs w:val="18"/>
          <w:lang w:eastAsia="nl-NL"/>
        </w:rPr>
        <w:t>Het maakt</w:t>
      </w:r>
      <w:r w:rsidRPr="001A2299">
        <w:rPr>
          <w:rFonts w:ascii="Verdana" w:hAnsi="Verdana" w:eastAsia="Times New Roman" w:cs="Times New Roman"/>
          <w:sz w:val="18"/>
          <w:szCs w:val="18"/>
          <w:lang w:eastAsia="nl-NL"/>
        </w:rPr>
        <w:t xml:space="preserve"> Nederland </w:t>
      </w:r>
      <w:r>
        <w:rPr>
          <w:rFonts w:ascii="Verdana" w:hAnsi="Verdana" w:eastAsia="Times New Roman" w:cs="Times New Roman"/>
          <w:sz w:val="18"/>
          <w:szCs w:val="18"/>
          <w:lang w:eastAsia="nl-NL"/>
        </w:rPr>
        <w:t xml:space="preserve">daarmee </w:t>
      </w:r>
      <w:r w:rsidRPr="001A2299">
        <w:rPr>
          <w:rFonts w:ascii="Verdana" w:hAnsi="Verdana" w:eastAsia="Times New Roman" w:cs="Times New Roman"/>
          <w:sz w:val="18"/>
          <w:szCs w:val="18"/>
          <w:lang w:eastAsia="nl-NL"/>
        </w:rPr>
        <w:t>minder afhankelijk van grondstoffen uit het buitenland</w:t>
      </w:r>
      <w:r w:rsidR="00C04DC0">
        <w:rPr>
          <w:rFonts w:ascii="Verdana" w:hAnsi="Verdana" w:eastAsia="Times New Roman" w:cs="Times New Roman"/>
          <w:sz w:val="18"/>
          <w:szCs w:val="18"/>
          <w:lang w:eastAsia="nl-NL"/>
        </w:rPr>
        <w:t>.</w:t>
      </w:r>
    </w:p>
    <w:p w:rsidRPr="00F73B9F" w:rsidR="00F73B9F" w:rsidP="00643E93" w:rsidRDefault="00F73B9F" w14:paraId="1777F7CD" w14:textId="77777777">
      <w:pPr>
        <w:spacing w:after="0" w:line="276" w:lineRule="auto"/>
        <w:rPr>
          <w:rFonts w:ascii="Verdana" w:hAnsi="Verdana" w:eastAsia="Times New Roman" w:cs="Times New Roman"/>
          <w:sz w:val="18"/>
          <w:szCs w:val="18"/>
          <w:lang w:eastAsia="nl-NL"/>
        </w:rPr>
      </w:pPr>
    </w:p>
    <w:p w:rsidRPr="00F2248B" w:rsidR="00527FE3" w:rsidP="00643E93" w:rsidRDefault="00FC3D14" w14:paraId="049EAB3D" w14:textId="603A5892">
      <w:pPr>
        <w:spacing w:after="0" w:line="276" w:lineRule="auto"/>
        <w:rPr>
          <w:rFonts w:ascii="Verdana" w:hAnsi="Verdana" w:eastAsia="Times New Roman" w:cs="Times New Roman"/>
          <w:sz w:val="18"/>
          <w:szCs w:val="18"/>
          <w:lang w:eastAsia="nl-NL"/>
        </w:rPr>
      </w:pPr>
      <w:r w:rsidRPr="00F2248B" w:rsidDel="000727BD">
        <w:rPr>
          <w:rFonts w:ascii="Verdana" w:hAnsi="Verdana" w:eastAsia="Times New Roman" w:cs="Times New Roman"/>
          <w:sz w:val="18"/>
          <w:szCs w:val="18"/>
          <w:lang w:eastAsia="nl-NL"/>
        </w:rPr>
        <w:t xml:space="preserve">De voorgestelde wijzigingen </w:t>
      </w:r>
      <w:r w:rsidRPr="00F2248B" w:rsidR="006B5AEC">
        <w:rPr>
          <w:rFonts w:ascii="Verdana" w:hAnsi="Verdana" w:eastAsia="Times New Roman" w:cs="Times New Roman"/>
          <w:sz w:val="18"/>
          <w:szCs w:val="18"/>
          <w:lang w:eastAsia="nl-NL"/>
        </w:rPr>
        <w:t>geven invulling aan</w:t>
      </w:r>
      <w:r w:rsidRPr="00F2248B" w:rsidDel="000727BD" w:rsidR="00856375">
        <w:rPr>
          <w:rFonts w:ascii="Verdana" w:hAnsi="Verdana" w:eastAsia="Times New Roman" w:cs="Times New Roman"/>
          <w:sz w:val="18"/>
          <w:szCs w:val="18"/>
          <w:lang w:eastAsia="nl-NL"/>
        </w:rPr>
        <w:t xml:space="preserve"> een specifieke wens</w:t>
      </w:r>
      <w:r w:rsidRPr="00F2248B" w:rsidDel="000727BD">
        <w:rPr>
          <w:rFonts w:ascii="Verdana" w:hAnsi="Verdana" w:eastAsia="Times New Roman" w:cs="Times New Roman"/>
          <w:sz w:val="18"/>
          <w:szCs w:val="18"/>
          <w:lang w:eastAsia="nl-NL"/>
        </w:rPr>
        <w:t xml:space="preserve"> van het bedrijfsleven</w:t>
      </w:r>
      <w:r w:rsidRPr="00F2248B" w:rsidDel="000727BD" w:rsidR="00B566D3">
        <w:rPr>
          <w:rFonts w:ascii="Verdana" w:hAnsi="Verdana" w:eastAsia="Times New Roman" w:cs="Times New Roman"/>
          <w:sz w:val="18"/>
          <w:szCs w:val="18"/>
          <w:lang w:eastAsia="nl-NL"/>
        </w:rPr>
        <w:t xml:space="preserve">, opdrachtnemers </w:t>
      </w:r>
      <w:r w:rsidRPr="00F2248B" w:rsidR="006B5AEC">
        <w:rPr>
          <w:rFonts w:ascii="Verdana" w:hAnsi="Verdana" w:eastAsia="Times New Roman" w:cs="Times New Roman"/>
          <w:sz w:val="18"/>
          <w:szCs w:val="18"/>
          <w:lang w:eastAsia="nl-NL"/>
        </w:rPr>
        <w:t>é</w:t>
      </w:r>
      <w:r w:rsidRPr="00F2248B" w:rsidDel="000727BD" w:rsidR="00B566D3">
        <w:rPr>
          <w:rFonts w:ascii="Verdana" w:hAnsi="Verdana" w:eastAsia="Times New Roman" w:cs="Times New Roman"/>
          <w:sz w:val="18"/>
          <w:szCs w:val="18"/>
          <w:lang w:eastAsia="nl-NL"/>
        </w:rPr>
        <w:t>n opdrachtgevers</w:t>
      </w:r>
      <w:r w:rsidRPr="00F2248B" w:rsidDel="000727BD" w:rsidR="00856375">
        <w:rPr>
          <w:rFonts w:ascii="Verdana" w:hAnsi="Verdana" w:eastAsia="Times New Roman" w:cs="Times New Roman"/>
          <w:sz w:val="18"/>
          <w:szCs w:val="18"/>
          <w:lang w:eastAsia="nl-NL"/>
        </w:rPr>
        <w:t xml:space="preserve"> en zijn het resultaat van uitgebreid onderzoek en validatie daarvan bij de sector</w:t>
      </w:r>
      <w:r w:rsidRPr="00F2248B" w:rsidDel="000727BD">
        <w:rPr>
          <w:rFonts w:ascii="Verdana" w:hAnsi="Verdana" w:eastAsia="Times New Roman" w:cs="Times New Roman"/>
          <w:sz w:val="18"/>
          <w:szCs w:val="18"/>
          <w:lang w:eastAsia="nl-NL"/>
        </w:rPr>
        <w:t xml:space="preserve">. </w:t>
      </w:r>
    </w:p>
    <w:p w:rsidRPr="00E43A50" w:rsidR="0030046C" w:rsidP="00643E93" w:rsidRDefault="0030046C" w14:paraId="2D1A6780" w14:textId="77777777">
      <w:pPr>
        <w:spacing w:after="0" w:line="276" w:lineRule="auto"/>
        <w:rPr>
          <w:rFonts w:ascii="Verdana" w:hAnsi="Verdana" w:eastAsia="Times New Roman" w:cs="Times New Roman"/>
          <w:sz w:val="18"/>
          <w:szCs w:val="18"/>
          <w:lang w:eastAsia="nl-NL"/>
        </w:rPr>
      </w:pPr>
    </w:p>
    <w:p w:rsidRPr="00E43A50" w:rsidR="004F0533" w:rsidP="00643E93" w:rsidRDefault="004F0533" w14:paraId="2782B066" w14:textId="605DBBCF">
      <w:pPr>
        <w:spacing w:after="0" w:line="276" w:lineRule="auto"/>
        <w:rPr>
          <w:rFonts w:ascii="Verdana" w:hAnsi="Verdana" w:eastAsia="Times New Roman" w:cs="Times New Roman"/>
          <w:sz w:val="18"/>
          <w:szCs w:val="18"/>
          <w:lang w:eastAsia="nl-NL"/>
        </w:rPr>
      </w:pPr>
      <w:r w:rsidRPr="00E43A50">
        <w:rPr>
          <w:rFonts w:ascii="Verdana" w:hAnsi="Verdana" w:eastAsia="Times New Roman" w:cs="Times New Roman"/>
          <w:sz w:val="18"/>
          <w:szCs w:val="18"/>
          <w:lang w:eastAsia="nl-NL"/>
        </w:rPr>
        <w:t xml:space="preserve">Dit </w:t>
      </w:r>
      <w:r w:rsidRPr="00E43A50" w:rsidR="000A0B71">
        <w:rPr>
          <w:rFonts w:ascii="Verdana" w:hAnsi="Verdana" w:eastAsia="Times New Roman" w:cs="Times New Roman"/>
          <w:sz w:val="18"/>
          <w:szCs w:val="18"/>
          <w:lang w:eastAsia="nl-NL"/>
        </w:rPr>
        <w:t xml:space="preserve">wetsvoorstel </w:t>
      </w:r>
      <w:r w:rsidRPr="00E43A50">
        <w:rPr>
          <w:rFonts w:ascii="Verdana" w:hAnsi="Verdana" w:eastAsia="Times New Roman" w:cs="Times New Roman"/>
          <w:sz w:val="18"/>
          <w:szCs w:val="18"/>
          <w:lang w:eastAsia="nl-NL"/>
        </w:rPr>
        <w:t xml:space="preserve">bevat </w:t>
      </w:r>
      <w:r w:rsidRPr="00E43A50" w:rsidR="009D12CA">
        <w:rPr>
          <w:rFonts w:ascii="Verdana" w:hAnsi="Verdana" w:eastAsia="Times New Roman" w:cs="Times New Roman"/>
          <w:sz w:val="18"/>
          <w:szCs w:val="18"/>
          <w:lang w:eastAsia="nl-NL"/>
        </w:rPr>
        <w:t xml:space="preserve">wijzigingen van titel 9.6 van de Wet milieubeheer om het voorgaande mogelijk te maken. Het wetsvoorstel </w:t>
      </w:r>
      <w:r w:rsidR="000230A2">
        <w:rPr>
          <w:rFonts w:ascii="Verdana" w:hAnsi="Verdana" w:eastAsia="Times New Roman" w:cs="Times New Roman"/>
          <w:sz w:val="18"/>
          <w:szCs w:val="18"/>
          <w:lang w:eastAsia="nl-NL"/>
        </w:rPr>
        <w:t>regelt</w:t>
      </w:r>
      <w:r w:rsidRPr="00E43A50" w:rsidR="000230A2">
        <w:rPr>
          <w:rFonts w:ascii="Verdana" w:hAnsi="Verdana" w:eastAsia="Times New Roman" w:cs="Times New Roman"/>
          <w:sz w:val="18"/>
          <w:szCs w:val="18"/>
          <w:lang w:eastAsia="nl-NL"/>
        </w:rPr>
        <w:t xml:space="preserve"> </w:t>
      </w:r>
      <w:r w:rsidRPr="00E43A50" w:rsidR="009D12CA">
        <w:rPr>
          <w:rFonts w:ascii="Verdana" w:hAnsi="Verdana" w:eastAsia="Times New Roman" w:cs="Times New Roman"/>
          <w:sz w:val="18"/>
          <w:szCs w:val="18"/>
          <w:lang w:eastAsia="nl-NL"/>
        </w:rPr>
        <w:t>de volgende onderwerpen</w:t>
      </w:r>
      <w:r w:rsidRPr="00E43A50">
        <w:rPr>
          <w:rFonts w:ascii="Verdana" w:hAnsi="Verdana" w:eastAsia="Times New Roman" w:cs="Times New Roman"/>
          <w:sz w:val="18"/>
          <w:szCs w:val="18"/>
          <w:lang w:eastAsia="nl-NL"/>
        </w:rPr>
        <w:t xml:space="preserve">, die </w:t>
      </w:r>
      <w:r w:rsidRPr="00E43A50" w:rsidR="00742D99">
        <w:rPr>
          <w:rFonts w:ascii="Verdana" w:hAnsi="Verdana" w:eastAsia="Times New Roman" w:cs="Times New Roman"/>
          <w:sz w:val="18"/>
          <w:szCs w:val="18"/>
          <w:lang w:eastAsia="nl-NL"/>
        </w:rPr>
        <w:t xml:space="preserve">in </w:t>
      </w:r>
      <w:r w:rsidRPr="00E43A50" w:rsidR="00E0425E">
        <w:rPr>
          <w:rFonts w:ascii="Verdana" w:hAnsi="Verdana" w:eastAsia="Times New Roman" w:cs="Times New Roman"/>
          <w:sz w:val="18"/>
          <w:szCs w:val="18"/>
          <w:lang w:eastAsia="nl-NL"/>
        </w:rPr>
        <w:t>hoofdstuk 2</w:t>
      </w:r>
      <w:r w:rsidR="00142431">
        <w:rPr>
          <w:rFonts w:ascii="Verdana" w:hAnsi="Verdana" w:eastAsia="Times New Roman" w:cs="Times New Roman"/>
          <w:sz w:val="18"/>
          <w:szCs w:val="18"/>
          <w:lang w:eastAsia="nl-NL"/>
        </w:rPr>
        <w:t xml:space="preserve"> van deze toelichting</w:t>
      </w:r>
      <w:r w:rsidRPr="00E43A50" w:rsidR="00742D99">
        <w:rPr>
          <w:rFonts w:ascii="Verdana" w:hAnsi="Verdana" w:eastAsia="Times New Roman" w:cs="Times New Roman"/>
          <w:sz w:val="18"/>
          <w:szCs w:val="18"/>
          <w:lang w:eastAsia="nl-NL"/>
        </w:rPr>
        <w:t xml:space="preserve"> </w:t>
      </w:r>
      <w:r w:rsidRPr="00E43A50" w:rsidR="00E0425E">
        <w:rPr>
          <w:rFonts w:ascii="Verdana" w:hAnsi="Verdana" w:eastAsia="Times New Roman" w:cs="Times New Roman"/>
          <w:sz w:val="18"/>
          <w:szCs w:val="18"/>
          <w:lang w:eastAsia="nl-NL"/>
        </w:rPr>
        <w:t xml:space="preserve">nader </w:t>
      </w:r>
      <w:r w:rsidRPr="00E43A50">
        <w:rPr>
          <w:rFonts w:ascii="Verdana" w:hAnsi="Verdana" w:eastAsia="Times New Roman" w:cs="Times New Roman"/>
          <w:sz w:val="18"/>
          <w:szCs w:val="18"/>
          <w:lang w:eastAsia="nl-NL"/>
        </w:rPr>
        <w:t xml:space="preserve">worden toegelicht: </w:t>
      </w:r>
    </w:p>
    <w:p w:rsidRPr="00E43A50" w:rsidR="00E111BF" w:rsidP="00643E93" w:rsidRDefault="00E111BF" w14:paraId="59E04FBE" w14:textId="67755DCC">
      <w:pPr>
        <w:spacing w:after="0" w:line="276" w:lineRule="auto"/>
        <w:rPr>
          <w:rFonts w:ascii="Verdana" w:hAnsi="Verdana" w:eastAsia="Times New Roman" w:cs="Times New Roman"/>
          <w:sz w:val="18"/>
          <w:szCs w:val="18"/>
          <w:lang w:eastAsia="nl-NL"/>
        </w:rPr>
      </w:pPr>
    </w:p>
    <w:p w:rsidRPr="00E43A50" w:rsidR="00E111BF" w:rsidP="00643E93" w:rsidRDefault="00E111BF" w14:paraId="5328DC62" w14:textId="6337A9B8">
      <w:pPr>
        <w:pStyle w:val="Lijstalinea"/>
        <w:numPr>
          <w:ilvl w:val="0"/>
          <w:numId w:val="49"/>
        </w:numPr>
        <w:spacing w:after="0" w:line="276" w:lineRule="auto"/>
        <w:rPr>
          <w:rFonts w:ascii="Verdana" w:hAnsi="Verdana" w:eastAsia="Times New Roman" w:cs="Times New Roman"/>
          <w:sz w:val="18"/>
          <w:szCs w:val="18"/>
          <w:lang w:eastAsia="nl-NL"/>
        </w:rPr>
      </w:pPr>
      <w:r w:rsidRPr="005B4CB1">
        <w:rPr>
          <w:rFonts w:ascii="Verdana" w:hAnsi="Verdana" w:eastAsia="Times New Roman" w:cs="Times New Roman"/>
          <w:sz w:val="18"/>
          <w:szCs w:val="18"/>
          <w:lang w:eastAsia="nl-NL"/>
        </w:rPr>
        <w:t xml:space="preserve">Het verplichten van aanbestedende diensten </w:t>
      </w:r>
      <w:r w:rsidR="00DB4362">
        <w:rPr>
          <w:rFonts w:ascii="Verdana" w:hAnsi="Verdana" w:eastAsia="Times New Roman" w:cs="Times New Roman"/>
          <w:sz w:val="18"/>
          <w:szCs w:val="18"/>
          <w:lang w:eastAsia="nl-NL"/>
        </w:rPr>
        <w:t xml:space="preserve">en speciale-sectorbedrijven </w:t>
      </w:r>
      <w:r w:rsidRPr="005B4CB1">
        <w:rPr>
          <w:rFonts w:ascii="Verdana" w:hAnsi="Verdana" w:eastAsia="Times New Roman" w:cs="Times New Roman"/>
          <w:sz w:val="18"/>
          <w:szCs w:val="18"/>
          <w:lang w:eastAsia="nl-NL"/>
        </w:rPr>
        <w:t xml:space="preserve">om bij de </w:t>
      </w:r>
      <w:r w:rsidRPr="005B4CB1" w:rsidR="00621F61">
        <w:rPr>
          <w:rFonts w:ascii="Verdana" w:hAnsi="Verdana" w:eastAsia="Times New Roman" w:cs="Times New Roman"/>
          <w:sz w:val="18"/>
          <w:szCs w:val="18"/>
          <w:lang w:eastAsia="nl-NL"/>
        </w:rPr>
        <w:t>aanbesteding</w:t>
      </w:r>
      <w:r w:rsidRPr="005B4CB1">
        <w:rPr>
          <w:rFonts w:ascii="Verdana" w:hAnsi="Verdana" w:eastAsia="Times New Roman" w:cs="Times New Roman"/>
          <w:sz w:val="18"/>
          <w:szCs w:val="18"/>
          <w:lang w:eastAsia="nl-NL"/>
        </w:rPr>
        <w:t xml:space="preserve"> van</w:t>
      </w:r>
      <w:r w:rsidRPr="005B4CB1" w:rsidR="00702602">
        <w:rPr>
          <w:rFonts w:ascii="Verdana" w:hAnsi="Verdana" w:eastAsia="Times New Roman" w:cs="Times New Roman"/>
          <w:sz w:val="18"/>
          <w:szCs w:val="18"/>
          <w:lang w:eastAsia="nl-NL"/>
        </w:rPr>
        <w:t xml:space="preserve"> een</w:t>
      </w:r>
      <w:r w:rsidRPr="005B4CB1">
        <w:rPr>
          <w:rFonts w:ascii="Verdana" w:hAnsi="Verdana" w:eastAsia="Times New Roman" w:cs="Times New Roman"/>
          <w:sz w:val="18"/>
          <w:szCs w:val="18"/>
          <w:lang w:eastAsia="nl-NL"/>
        </w:rPr>
        <w:t xml:space="preserve"> GWW-werk</w:t>
      </w:r>
      <w:r w:rsidRPr="005B4CB1" w:rsidR="00702602">
        <w:rPr>
          <w:rFonts w:ascii="Verdana" w:hAnsi="Verdana" w:eastAsia="Times New Roman" w:cs="Times New Roman"/>
          <w:sz w:val="18"/>
          <w:szCs w:val="18"/>
          <w:lang w:eastAsia="nl-NL"/>
        </w:rPr>
        <w:t xml:space="preserve"> </w:t>
      </w:r>
      <w:r w:rsidR="009E051C">
        <w:rPr>
          <w:rFonts w:ascii="Verdana" w:hAnsi="Verdana" w:eastAsia="Times New Roman" w:cs="Times New Roman"/>
          <w:sz w:val="18"/>
          <w:szCs w:val="18"/>
          <w:lang w:eastAsia="nl-NL"/>
        </w:rPr>
        <w:t xml:space="preserve">als technische specificaties </w:t>
      </w:r>
      <w:r w:rsidRPr="005B4CB1">
        <w:rPr>
          <w:rFonts w:ascii="Verdana" w:hAnsi="Verdana" w:eastAsia="Times New Roman" w:cs="Times New Roman"/>
          <w:sz w:val="18"/>
          <w:szCs w:val="18"/>
          <w:lang w:eastAsia="nl-NL"/>
        </w:rPr>
        <w:t>milieuprestatie-eisen</w:t>
      </w:r>
      <w:r w:rsidR="007805EC">
        <w:rPr>
          <w:rFonts w:ascii="Verdana" w:hAnsi="Verdana" w:eastAsia="Times New Roman" w:cs="Times New Roman"/>
          <w:sz w:val="18"/>
          <w:szCs w:val="18"/>
          <w:lang w:eastAsia="nl-NL"/>
        </w:rPr>
        <w:t xml:space="preserve"> </w:t>
      </w:r>
      <w:r w:rsidR="009E051C">
        <w:rPr>
          <w:rFonts w:ascii="Verdana" w:hAnsi="Verdana" w:eastAsia="Times New Roman" w:cs="Times New Roman"/>
          <w:sz w:val="18"/>
          <w:szCs w:val="18"/>
          <w:lang w:eastAsia="nl-NL"/>
        </w:rPr>
        <w:t>te stellen</w:t>
      </w:r>
      <w:r w:rsidR="007A0EBE">
        <w:rPr>
          <w:rFonts w:ascii="Verdana" w:hAnsi="Verdana" w:eastAsia="Times New Roman" w:cs="Times New Roman"/>
          <w:sz w:val="18"/>
          <w:szCs w:val="18"/>
          <w:lang w:eastAsia="nl-NL"/>
        </w:rPr>
        <w:t xml:space="preserve"> (hierna: milieuprestatie-eisen)</w:t>
      </w:r>
      <w:r w:rsidR="008E36AE">
        <w:rPr>
          <w:rFonts w:ascii="Verdana" w:hAnsi="Verdana" w:eastAsia="Times New Roman" w:cs="Times New Roman"/>
          <w:sz w:val="18"/>
          <w:szCs w:val="18"/>
          <w:lang w:eastAsia="nl-NL"/>
        </w:rPr>
        <w:t>. Deze eisen gelden</w:t>
      </w:r>
      <w:r w:rsidRPr="005B4CB1" w:rsidDel="008E36AE">
        <w:rPr>
          <w:rFonts w:ascii="Verdana" w:hAnsi="Verdana" w:eastAsia="Times New Roman" w:cs="Times New Roman"/>
          <w:sz w:val="18"/>
          <w:szCs w:val="18"/>
          <w:lang w:eastAsia="nl-NL"/>
        </w:rPr>
        <w:t xml:space="preserve"> </w:t>
      </w:r>
      <w:r w:rsidRPr="005B4CB1" w:rsidR="002814E0">
        <w:rPr>
          <w:rFonts w:ascii="Verdana" w:hAnsi="Verdana" w:eastAsia="Times New Roman" w:cs="Times New Roman"/>
          <w:sz w:val="18"/>
          <w:szCs w:val="18"/>
          <w:lang w:eastAsia="nl-NL"/>
        </w:rPr>
        <w:t>voor</w:t>
      </w:r>
      <w:r w:rsidRPr="005B4CB1">
        <w:rPr>
          <w:rFonts w:ascii="Verdana" w:hAnsi="Verdana" w:eastAsia="Times New Roman" w:cs="Times New Roman"/>
          <w:sz w:val="18"/>
          <w:szCs w:val="18"/>
          <w:lang w:eastAsia="nl-NL"/>
        </w:rPr>
        <w:t xml:space="preserve"> de </w:t>
      </w:r>
      <w:r w:rsidRPr="005B4CB1" w:rsidR="002814E0">
        <w:rPr>
          <w:rFonts w:ascii="Verdana" w:hAnsi="Verdana" w:eastAsia="Times New Roman" w:cs="Times New Roman"/>
          <w:sz w:val="18"/>
          <w:szCs w:val="18"/>
          <w:lang w:eastAsia="nl-NL"/>
        </w:rPr>
        <w:t xml:space="preserve">bij </w:t>
      </w:r>
      <w:r w:rsidRPr="00E43A50" w:rsidR="00D9004F">
        <w:rPr>
          <w:rFonts w:ascii="Verdana" w:hAnsi="Verdana" w:eastAsia="Times New Roman" w:cs="Times New Roman"/>
          <w:sz w:val="18"/>
          <w:szCs w:val="18"/>
          <w:lang w:eastAsia="nl-NL"/>
        </w:rPr>
        <w:t xml:space="preserve">algemene maatregel van bestuur (hierna: </w:t>
      </w:r>
      <w:proofErr w:type="spellStart"/>
      <w:r w:rsidRPr="00E43A50" w:rsidR="00D9004F">
        <w:rPr>
          <w:rFonts w:ascii="Verdana" w:hAnsi="Verdana" w:eastAsia="Times New Roman" w:cs="Times New Roman"/>
          <w:sz w:val="18"/>
          <w:szCs w:val="18"/>
          <w:lang w:eastAsia="nl-NL"/>
        </w:rPr>
        <w:t>amvb</w:t>
      </w:r>
      <w:proofErr w:type="spellEnd"/>
      <w:r w:rsidRPr="00E43A50" w:rsidR="00D9004F">
        <w:rPr>
          <w:rFonts w:ascii="Verdana" w:hAnsi="Verdana" w:eastAsia="Times New Roman" w:cs="Times New Roman"/>
          <w:sz w:val="18"/>
          <w:szCs w:val="18"/>
          <w:lang w:eastAsia="nl-NL"/>
        </w:rPr>
        <w:t>)</w:t>
      </w:r>
      <w:r w:rsidRPr="005B4CB1" w:rsidR="002814E0">
        <w:rPr>
          <w:rFonts w:ascii="Verdana" w:hAnsi="Verdana" w:eastAsia="Times New Roman" w:cs="Times New Roman"/>
          <w:sz w:val="18"/>
          <w:szCs w:val="18"/>
          <w:lang w:eastAsia="nl-NL"/>
        </w:rPr>
        <w:t xml:space="preserve"> aangewezen </w:t>
      </w:r>
      <w:r w:rsidRPr="005B4CB1">
        <w:rPr>
          <w:rFonts w:ascii="Verdana" w:hAnsi="Verdana" w:eastAsia="Times New Roman" w:cs="Times New Roman"/>
          <w:sz w:val="18"/>
          <w:szCs w:val="18"/>
          <w:lang w:eastAsia="nl-NL"/>
        </w:rPr>
        <w:t xml:space="preserve">meest milieubelastende </w:t>
      </w:r>
      <w:r w:rsidRPr="005B4CB1" w:rsidR="002814E0">
        <w:rPr>
          <w:rFonts w:ascii="Verdana" w:hAnsi="Verdana" w:eastAsia="Times New Roman" w:cs="Times New Roman"/>
          <w:sz w:val="18"/>
          <w:szCs w:val="18"/>
          <w:lang w:eastAsia="nl-NL"/>
        </w:rPr>
        <w:t>producten</w:t>
      </w:r>
      <w:r w:rsidRPr="005B4CB1">
        <w:rPr>
          <w:rFonts w:ascii="Verdana" w:hAnsi="Verdana" w:eastAsia="Times New Roman" w:cs="Times New Roman"/>
          <w:sz w:val="18"/>
          <w:szCs w:val="18"/>
          <w:lang w:eastAsia="nl-NL"/>
        </w:rPr>
        <w:t xml:space="preserve"> in </w:t>
      </w:r>
      <w:r w:rsidRPr="005B4CB1" w:rsidR="002814E0">
        <w:rPr>
          <w:rFonts w:ascii="Verdana" w:hAnsi="Verdana" w:eastAsia="Times New Roman" w:cs="Times New Roman"/>
          <w:sz w:val="18"/>
          <w:szCs w:val="18"/>
          <w:lang w:eastAsia="nl-NL"/>
        </w:rPr>
        <w:t>de GWW</w:t>
      </w:r>
      <w:r w:rsidRPr="005B4CB1" w:rsidR="00702602">
        <w:rPr>
          <w:rFonts w:ascii="Verdana" w:hAnsi="Verdana" w:eastAsia="Times New Roman" w:cs="Times New Roman"/>
          <w:sz w:val="18"/>
          <w:szCs w:val="18"/>
          <w:lang w:eastAsia="nl-NL"/>
        </w:rPr>
        <w:t>, voor zover deze binnen het betreffende werk worden toegepast</w:t>
      </w:r>
      <w:r w:rsidR="005A28A5">
        <w:rPr>
          <w:rFonts w:ascii="Verdana" w:hAnsi="Verdana" w:eastAsia="Times New Roman" w:cs="Times New Roman"/>
          <w:sz w:val="18"/>
          <w:szCs w:val="18"/>
          <w:lang w:eastAsia="nl-NL"/>
        </w:rPr>
        <w:t>.</w:t>
      </w:r>
      <w:r w:rsidRPr="005B4CB1">
        <w:rPr>
          <w:rFonts w:ascii="Verdana" w:hAnsi="Verdana" w:eastAsia="Times New Roman" w:cs="Times New Roman"/>
          <w:sz w:val="18"/>
          <w:szCs w:val="18"/>
          <w:lang w:eastAsia="nl-NL"/>
        </w:rPr>
        <w:t xml:space="preserve"> </w:t>
      </w:r>
    </w:p>
    <w:p w:rsidRPr="00E43A50" w:rsidR="00E111BF" w:rsidP="00643E93" w:rsidRDefault="00E111BF" w14:paraId="243ADAAF" w14:textId="6708ECB6">
      <w:pPr>
        <w:spacing w:after="0" w:line="276" w:lineRule="auto"/>
        <w:rPr>
          <w:rFonts w:ascii="Verdana" w:hAnsi="Verdana" w:eastAsia="Times New Roman" w:cs="Times New Roman"/>
          <w:sz w:val="18"/>
          <w:szCs w:val="18"/>
          <w:lang w:eastAsia="nl-NL"/>
        </w:rPr>
      </w:pPr>
    </w:p>
    <w:p w:rsidRPr="004F7BA5" w:rsidR="00E111BF" w:rsidP="00643E93" w:rsidRDefault="00E111BF" w14:paraId="526D7F52" w14:textId="53C462B0">
      <w:pPr>
        <w:pStyle w:val="Lijstalinea"/>
        <w:numPr>
          <w:ilvl w:val="0"/>
          <w:numId w:val="49"/>
        </w:numPr>
        <w:spacing w:after="0" w:line="276" w:lineRule="auto"/>
        <w:rPr>
          <w:rFonts w:ascii="Verdana" w:hAnsi="Verdana" w:eastAsia="Times New Roman" w:cs="Times New Roman"/>
          <w:sz w:val="18"/>
          <w:szCs w:val="18"/>
          <w:lang w:eastAsia="nl-NL"/>
        </w:rPr>
      </w:pPr>
      <w:bookmarkStart w:name="_Hlk201639394" w:id="4"/>
      <w:r w:rsidRPr="004F7BA5">
        <w:rPr>
          <w:rFonts w:ascii="Verdana" w:hAnsi="Verdana" w:eastAsia="Times New Roman" w:cs="Times New Roman"/>
          <w:sz w:val="18"/>
          <w:szCs w:val="18"/>
          <w:lang w:eastAsia="nl-NL"/>
        </w:rPr>
        <w:t xml:space="preserve">Het verplichten van aanbestedende diensten </w:t>
      </w:r>
      <w:r w:rsidRPr="004F7BA5" w:rsidR="00DB4362">
        <w:rPr>
          <w:rFonts w:ascii="Verdana" w:hAnsi="Verdana" w:eastAsia="Times New Roman" w:cs="Times New Roman"/>
          <w:sz w:val="18"/>
          <w:szCs w:val="18"/>
          <w:lang w:eastAsia="nl-NL"/>
        </w:rPr>
        <w:t xml:space="preserve">en speciale-sectorbedrijven </w:t>
      </w:r>
      <w:r w:rsidRPr="004F7BA5">
        <w:rPr>
          <w:rFonts w:ascii="Verdana" w:hAnsi="Verdana" w:eastAsia="Times New Roman" w:cs="Times New Roman"/>
          <w:sz w:val="18"/>
          <w:szCs w:val="18"/>
          <w:lang w:eastAsia="nl-NL"/>
        </w:rPr>
        <w:t xml:space="preserve">om </w:t>
      </w:r>
      <w:r w:rsidRPr="004F7BA5" w:rsidR="001D0785">
        <w:rPr>
          <w:rFonts w:ascii="Verdana" w:hAnsi="Verdana" w:eastAsia="Times New Roman" w:cs="Times New Roman"/>
          <w:sz w:val="18"/>
          <w:szCs w:val="18"/>
          <w:lang w:eastAsia="nl-NL"/>
        </w:rPr>
        <w:t>de milieuprestatie</w:t>
      </w:r>
      <w:r w:rsidRPr="004F7BA5" w:rsidR="007A0EBE">
        <w:rPr>
          <w:rFonts w:ascii="Verdana" w:hAnsi="Verdana" w:eastAsia="Times New Roman" w:cs="Times New Roman"/>
          <w:sz w:val="18"/>
          <w:szCs w:val="18"/>
          <w:lang w:eastAsia="nl-NL"/>
        </w:rPr>
        <w:t xml:space="preserve"> </w:t>
      </w:r>
      <w:r w:rsidRPr="004F7BA5">
        <w:rPr>
          <w:rFonts w:ascii="Verdana" w:hAnsi="Verdana" w:eastAsia="Times New Roman" w:cs="Times New Roman"/>
          <w:sz w:val="18"/>
          <w:szCs w:val="18"/>
          <w:lang w:eastAsia="nl-NL"/>
        </w:rPr>
        <w:t xml:space="preserve">mee te nemen bij de aanbesteding van GWW-werken die de bij </w:t>
      </w:r>
      <w:proofErr w:type="spellStart"/>
      <w:r w:rsidRPr="004F7BA5">
        <w:rPr>
          <w:rFonts w:ascii="Verdana" w:hAnsi="Verdana" w:eastAsia="Times New Roman" w:cs="Times New Roman"/>
          <w:sz w:val="18"/>
          <w:szCs w:val="18"/>
          <w:lang w:eastAsia="nl-NL"/>
        </w:rPr>
        <w:t>amvb</w:t>
      </w:r>
      <w:proofErr w:type="spellEnd"/>
      <w:r w:rsidRPr="004F7BA5">
        <w:rPr>
          <w:rFonts w:ascii="Verdana" w:hAnsi="Verdana" w:eastAsia="Times New Roman" w:cs="Times New Roman"/>
          <w:sz w:val="18"/>
          <w:szCs w:val="18"/>
          <w:lang w:eastAsia="nl-NL"/>
        </w:rPr>
        <w:t xml:space="preserve"> vastgestelde </w:t>
      </w:r>
      <w:r w:rsidRPr="004F7BA5" w:rsidR="009C45FE">
        <w:rPr>
          <w:rFonts w:ascii="Verdana" w:hAnsi="Verdana" w:eastAsia="Times New Roman" w:cs="Times New Roman"/>
          <w:sz w:val="18"/>
          <w:szCs w:val="18"/>
          <w:lang w:eastAsia="nl-NL"/>
        </w:rPr>
        <w:t xml:space="preserve">minimum geraamde opdrachtwaarde </w:t>
      </w:r>
      <w:r w:rsidRPr="004F7BA5">
        <w:rPr>
          <w:rFonts w:ascii="Verdana" w:hAnsi="Verdana" w:eastAsia="Times New Roman" w:cs="Times New Roman"/>
          <w:sz w:val="18"/>
          <w:szCs w:val="18"/>
          <w:lang w:eastAsia="nl-NL"/>
        </w:rPr>
        <w:t>overschrijden</w:t>
      </w:r>
      <w:r w:rsidRPr="004F7BA5" w:rsidR="00621F61">
        <w:rPr>
          <w:rFonts w:ascii="Verdana" w:hAnsi="Verdana" w:eastAsia="Times New Roman" w:cs="Times New Roman"/>
          <w:sz w:val="18"/>
          <w:szCs w:val="18"/>
          <w:lang w:eastAsia="nl-NL"/>
        </w:rPr>
        <w:t xml:space="preserve">, in de vorm van </w:t>
      </w:r>
      <w:r w:rsidRPr="004F7BA5" w:rsidR="00A8021F">
        <w:rPr>
          <w:rFonts w:ascii="Verdana" w:hAnsi="Verdana" w:eastAsia="Times New Roman" w:cs="Times New Roman"/>
          <w:sz w:val="18"/>
          <w:szCs w:val="18"/>
          <w:lang w:eastAsia="nl-NL"/>
        </w:rPr>
        <w:t xml:space="preserve">een </w:t>
      </w:r>
      <w:r w:rsidR="00DF226D">
        <w:rPr>
          <w:rFonts w:ascii="Verdana" w:hAnsi="Verdana" w:eastAsia="DejaVu Sans" w:cs="Lohit Hindi"/>
          <w:color w:val="000000" w:themeColor="text1"/>
          <w:sz w:val="18"/>
          <w:szCs w:val="18"/>
          <w:lang w:eastAsia="nl-NL"/>
        </w:rPr>
        <w:t xml:space="preserve">nader criterium </w:t>
      </w:r>
      <w:r w:rsidRPr="004F7BA5" w:rsidR="002A31A2">
        <w:rPr>
          <w:rFonts w:ascii="Verdana" w:hAnsi="Verdana" w:eastAsia="DejaVu Sans" w:cs="Lohit Hindi"/>
          <w:color w:val="000000" w:themeColor="text1"/>
          <w:sz w:val="18"/>
          <w:szCs w:val="18"/>
          <w:lang w:eastAsia="nl-NL"/>
        </w:rPr>
        <w:t>bij een aanbesteding op basis van</w:t>
      </w:r>
      <w:r w:rsidRPr="004F7BA5" w:rsidR="0024501B">
        <w:rPr>
          <w:rFonts w:ascii="Verdana" w:hAnsi="Verdana" w:eastAsia="DejaVu Sans" w:cs="Lohit Hindi"/>
          <w:color w:val="000000" w:themeColor="text1"/>
          <w:sz w:val="18"/>
          <w:szCs w:val="18"/>
          <w:lang w:eastAsia="nl-NL"/>
        </w:rPr>
        <w:t xml:space="preserve"> de beste prijs-kwaliteitsverhouding (</w:t>
      </w:r>
      <w:r w:rsidRPr="004F7BA5" w:rsidR="000842FC">
        <w:rPr>
          <w:rFonts w:ascii="Verdana" w:hAnsi="Verdana" w:eastAsia="Times New Roman" w:cs="Times New Roman"/>
          <w:sz w:val="18"/>
          <w:szCs w:val="18"/>
          <w:lang w:eastAsia="nl-NL"/>
        </w:rPr>
        <w:t>BPKV</w:t>
      </w:r>
      <w:r w:rsidRPr="004F7BA5" w:rsidR="0024501B">
        <w:rPr>
          <w:rFonts w:ascii="Verdana" w:hAnsi="Verdana" w:eastAsia="Times New Roman" w:cs="Times New Roman"/>
          <w:sz w:val="18"/>
          <w:szCs w:val="18"/>
          <w:lang w:eastAsia="nl-NL"/>
        </w:rPr>
        <w:t>)</w:t>
      </w:r>
      <w:r w:rsidRPr="004F7BA5" w:rsidR="007A0EBE">
        <w:rPr>
          <w:rFonts w:ascii="Verdana" w:hAnsi="Verdana" w:eastAsia="Times New Roman" w:cs="Times New Roman"/>
          <w:sz w:val="18"/>
          <w:szCs w:val="18"/>
          <w:lang w:eastAsia="nl-NL"/>
        </w:rPr>
        <w:t xml:space="preserve"> (hierna:</w:t>
      </w:r>
      <w:r w:rsidRPr="00C5500B" w:rsidR="007A0EBE">
        <w:rPr>
          <w:rFonts w:ascii="Verdana" w:hAnsi="Verdana" w:eastAsia="Times New Roman" w:cs="Times New Roman"/>
          <w:sz w:val="18"/>
          <w:szCs w:val="18"/>
          <w:lang w:eastAsia="nl-NL"/>
        </w:rPr>
        <w:t xml:space="preserve"> </w:t>
      </w:r>
      <w:r w:rsidRPr="00DF226D" w:rsidR="004F7BA5">
        <w:rPr>
          <w:rFonts w:ascii="Verdana" w:hAnsi="Verdana" w:eastAsia="Times New Roman" w:cs="Times New Roman"/>
          <w:sz w:val="18"/>
          <w:szCs w:val="18"/>
          <w:lang w:eastAsia="nl-NL"/>
        </w:rPr>
        <w:t>milieuprestatie als</w:t>
      </w:r>
      <w:r w:rsidRPr="004F7BA5" w:rsidR="007A0EBE">
        <w:rPr>
          <w:rFonts w:ascii="Verdana" w:hAnsi="Verdana" w:eastAsia="Times New Roman" w:cs="Times New Roman"/>
          <w:sz w:val="18"/>
          <w:szCs w:val="18"/>
          <w:lang w:eastAsia="nl-NL"/>
        </w:rPr>
        <w:t xml:space="preserve"> </w:t>
      </w:r>
      <w:r w:rsidRPr="004F7BA5" w:rsidR="00A8021F">
        <w:rPr>
          <w:rFonts w:ascii="Verdana" w:hAnsi="Verdana" w:eastAsia="Times New Roman" w:cs="Times New Roman"/>
          <w:sz w:val="18"/>
          <w:szCs w:val="18"/>
          <w:lang w:eastAsia="nl-NL"/>
        </w:rPr>
        <w:t>nader criterium</w:t>
      </w:r>
      <w:r w:rsidRPr="004F7BA5" w:rsidR="007A0EBE">
        <w:rPr>
          <w:rFonts w:ascii="Verdana" w:hAnsi="Verdana" w:eastAsia="Times New Roman" w:cs="Times New Roman"/>
          <w:sz w:val="18"/>
          <w:szCs w:val="18"/>
          <w:lang w:eastAsia="nl-NL"/>
        </w:rPr>
        <w:t>)</w:t>
      </w:r>
      <w:bookmarkEnd w:id="4"/>
      <w:r w:rsidRPr="004F7BA5">
        <w:rPr>
          <w:rFonts w:ascii="Verdana" w:hAnsi="Verdana" w:eastAsia="Times New Roman" w:cs="Times New Roman"/>
          <w:sz w:val="18"/>
          <w:szCs w:val="18"/>
          <w:lang w:eastAsia="nl-NL"/>
        </w:rPr>
        <w:t xml:space="preserve">. </w:t>
      </w:r>
    </w:p>
    <w:p w:rsidRPr="00E43A50" w:rsidR="00E111BF" w:rsidP="00643E93" w:rsidRDefault="00E111BF" w14:paraId="3A57DC21" w14:textId="77777777">
      <w:pPr>
        <w:spacing w:after="0" w:line="276" w:lineRule="auto"/>
        <w:ind w:left="720"/>
        <w:rPr>
          <w:rFonts w:ascii="Verdana" w:hAnsi="Verdana" w:eastAsia="Times New Roman" w:cs="Times New Roman"/>
          <w:sz w:val="18"/>
          <w:szCs w:val="18"/>
          <w:lang w:eastAsia="nl-NL"/>
        </w:rPr>
      </w:pPr>
    </w:p>
    <w:p w:rsidR="00643E93" w:rsidP="00643E93" w:rsidRDefault="009C7B58" w14:paraId="39CE8B95" w14:textId="7A545A87">
      <w:pPr>
        <w:spacing w:line="276" w:lineRule="auto"/>
        <w:rPr>
          <w:rFonts w:ascii="Verdana" w:hAnsi="Verdana"/>
          <w:sz w:val="18"/>
          <w:szCs w:val="18"/>
        </w:rPr>
      </w:pPr>
      <w:r>
        <w:rPr>
          <w:rFonts w:ascii="Verdana" w:hAnsi="Verdana"/>
          <w:sz w:val="18"/>
          <w:szCs w:val="18"/>
        </w:rPr>
        <w:lastRenderedPageBreak/>
        <w:t>Het</w:t>
      </w:r>
      <w:r w:rsidR="00A8021F">
        <w:rPr>
          <w:rFonts w:ascii="Verdana" w:hAnsi="Verdana"/>
          <w:sz w:val="18"/>
          <w:szCs w:val="18"/>
        </w:rPr>
        <w:t xml:space="preserve"> nader criterium</w:t>
      </w:r>
      <w:r w:rsidR="00CB716E">
        <w:rPr>
          <w:rFonts w:ascii="Verdana" w:hAnsi="Verdana"/>
          <w:sz w:val="18"/>
          <w:szCs w:val="18"/>
        </w:rPr>
        <w:t xml:space="preserve"> </w:t>
      </w:r>
      <w:r>
        <w:rPr>
          <w:rFonts w:ascii="Verdana" w:hAnsi="Verdana"/>
          <w:sz w:val="18"/>
          <w:szCs w:val="18"/>
        </w:rPr>
        <w:t>zorgt ervoor dat ook bij materialen waar met de eerste verplichting niet op wordt gestuurd duurzamere keuzes worden gemaakt. N</w:t>
      </w:r>
      <w:r w:rsidRPr="009C7B58">
        <w:rPr>
          <w:rFonts w:ascii="Verdana" w:hAnsi="Verdana"/>
          <w:sz w:val="18"/>
          <w:szCs w:val="18"/>
        </w:rPr>
        <w:t xml:space="preserve">aarmate een groter aandeel van het toegepaste materiaal in het GWW-werk circulaire- en duurzame materialen betreft met een lage </w:t>
      </w:r>
      <w:r>
        <w:rPr>
          <w:rFonts w:ascii="Verdana" w:hAnsi="Verdana"/>
          <w:sz w:val="18"/>
          <w:szCs w:val="18"/>
        </w:rPr>
        <w:t>milieu-impact</w:t>
      </w:r>
      <w:r w:rsidRPr="009C7B58">
        <w:rPr>
          <w:rFonts w:ascii="Verdana" w:hAnsi="Verdana"/>
          <w:sz w:val="18"/>
          <w:szCs w:val="18"/>
        </w:rPr>
        <w:t xml:space="preserve">, wordt de inschrijving hoger gewaardeerd. </w:t>
      </w:r>
      <w:r w:rsidRPr="00F2248B" w:rsidR="00882E65">
        <w:rPr>
          <w:rFonts w:ascii="Verdana" w:hAnsi="Verdana"/>
          <w:sz w:val="18"/>
          <w:szCs w:val="18"/>
        </w:rPr>
        <w:t xml:space="preserve">Door een aanbieding te maken met een lagere milieu-impact maken </w:t>
      </w:r>
      <w:r>
        <w:rPr>
          <w:rFonts w:ascii="Verdana" w:hAnsi="Verdana"/>
          <w:sz w:val="18"/>
          <w:szCs w:val="18"/>
        </w:rPr>
        <w:t>aannemers</w:t>
      </w:r>
      <w:r w:rsidRPr="00F2248B" w:rsidR="00882E65">
        <w:rPr>
          <w:rFonts w:ascii="Verdana" w:hAnsi="Verdana"/>
          <w:sz w:val="18"/>
          <w:szCs w:val="18"/>
        </w:rPr>
        <w:t xml:space="preserve"> </w:t>
      </w:r>
      <w:r>
        <w:rPr>
          <w:rFonts w:ascii="Verdana" w:hAnsi="Verdana"/>
          <w:sz w:val="18"/>
          <w:szCs w:val="18"/>
        </w:rPr>
        <w:t>dus</w:t>
      </w:r>
      <w:r w:rsidR="00882E65">
        <w:rPr>
          <w:rFonts w:ascii="Verdana" w:hAnsi="Verdana"/>
          <w:sz w:val="18"/>
          <w:szCs w:val="18"/>
        </w:rPr>
        <w:t xml:space="preserve"> </w:t>
      </w:r>
      <w:r w:rsidRPr="00F2248B" w:rsidR="00882E65">
        <w:rPr>
          <w:rFonts w:ascii="Verdana" w:hAnsi="Verdana"/>
          <w:sz w:val="18"/>
          <w:szCs w:val="18"/>
        </w:rPr>
        <w:t>een grotere kans om een</w:t>
      </w:r>
      <w:r w:rsidR="00882E65">
        <w:rPr>
          <w:rFonts w:ascii="Verdana" w:hAnsi="Verdana"/>
          <w:sz w:val="18"/>
          <w:szCs w:val="18"/>
        </w:rPr>
        <w:t xml:space="preserve"> </w:t>
      </w:r>
      <w:r w:rsidR="00573365">
        <w:rPr>
          <w:rFonts w:ascii="Verdana" w:hAnsi="Verdana"/>
          <w:sz w:val="18"/>
          <w:szCs w:val="18"/>
        </w:rPr>
        <w:t>opdracht voor een</w:t>
      </w:r>
      <w:r w:rsidRPr="00F2248B" w:rsidR="00882E65">
        <w:rPr>
          <w:rFonts w:ascii="Verdana" w:hAnsi="Verdana"/>
          <w:sz w:val="18"/>
          <w:szCs w:val="18"/>
        </w:rPr>
        <w:t xml:space="preserve"> werk te winnen of om met een hogere prijs in te schrijven. Hiermee krijgen vooruitstrevende partijen de kans om </w:t>
      </w:r>
      <w:r w:rsidR="002D7E72">
        <w:rPr>
          <w:rFonts w:ascii="Verdana" w:hAnsi="Verdana"/>
          <w:sz w:val="18"/>
          <w:szCs w:val="18"/>
        </w:rPr>
        <w:t>(</w:t>
      </w:r>
      <w:r w:rsidRPr="00F2248B" w:rsidR="00882E65">
        <w:rPr>
          <w:rFonts w:ascii="Verdana" w:hAnsi="Verdana"/>
          <w:sz w:val="18"/>
          <w:szCs w:val="18"/>
        </w:rPr>
        <w:t>extra</w:t>
      </w:r>
      <w:r w:rsidR="002D7E72">
        <w:rPr>
          <w:rFonts w:ascii="Verdana" w:hAnsi="Verdana"/>
          <w:sz w:val="18"/>
          <w:szCs w:val="18"/>
        </w:rPr>
        <w:t>)</w:t>
      </w:r>
      <w:r w:rsidRPr="00F2248B" w:rsidR="00882E65">
        <w:rPr>
          <w:rFonts w:ascii="Verdana" w:hAnsi="Verdana"/>
          <w:sz w:val="18"/>
          <w:szCs w:val="18"/>
        </w:rPr>
        <w:t xml:space="preserve"> investeringen ten behoeve van verduurzaming te</w:t>
      </w:r>
      <w:r w:rsidRPr="00F2248B" w:rsidR="001C53C8">
        <w:rPr>
          <w:rFonts w:ascii="Verdana" w:hAnsi="Verdana"/>
          <w:sz w:val="18"/>
          <w:szCs w:val="18"/>
        </w:rPr>
        <w:t>r</w:t>
      </w:r>
      <w:r w:rsidRPr="00F2248B" w:rsidR="00882E65">
        <w:rPr>
          <w:rFonts w:ascii="Verdana" w:hAnsi="Verdana"/>
          <w:sz w:val="18"/>
          <w:szCs w:val="18"/>
        </w:rPr>
        <w:t xml:space="preserve">ug te verdienen. </w:t>
      </w:r>
      <w:bookmarkStart w:name="_Hlk195126170" w:id="5"/>
    </w:p>
    <w:p w:rsidR="00643E93" w:rsidP="00643E93" w:rsidRDefault="00E0425E" w14:paraId="64C1F358" w14:textId="3FE88420">
      <w:pPr>
        <w:spacing w:line="276" w:lineRule="auto"/>
        <w:rPr>
          <w:rFonts w:ascii="Verdana" w:hAnsi="Verdana" w:eastAsia="Times New Roman" w:cs="Times New Roman"/>
          <w:sz w:val="18"/>
          <w:szCs w:val="18"/>
        </w:rPr>
      </w:pPr>
      <w:r w:rsidRPr="00E43A50">
        <w:rPr>
          <w:rFonts w:ascii="Verdana" w:hAnsi="Verdana" w:eastAsia="Times New Roman" w:cs="Times New Roman"/>
          <w:sz w:val="18"/>
          <w:szCs w:val="18"/>
          <w:lang w:eastAsia="nl-NL"/>
        </w:rPr>
        <w:t>In hoofdstuk 3 is meer informatie te vinden over de instrumentkeuze</w:t>
      </w:r>
      <w:r w:rsidRPr="00E43A50" w:rsidR="00FA2740">
        <w:rPr>
          <w:rFonts w:ascii="Verdana" w:hAnsi="Verdana" w:eastAsia="Times New Roman" w:cs="Times New Roman"/>
          <w:sz w:val="18"/>
          <w:szCs w:val="18"/>
          <w:lang w:eastAsia="nl-NL"/>
        </w:rPr>
        <w:t>, waarbij een</w:t>
      </w:r>
      <w:r w:rsidRPr="00E43A50">
        <w:rPr>
          <w:rFonts w:ascii="Verdana" w:hAnsi="Verdana" w:eastAsia="Times New Roman" w:cs="Times New Roman"/>
          <w:sz w:val="18"/>
          <w:szCs w:val="18"/>
        </w:rPr>
        <w:t xml:space="preserve"> verkenning is uitgevoerd naar de mogelijkheden </w:t>
      </w:r>
      <w:r w:rsidRPr="00E43A50" w:rsidR="00FA2740">
        <w:rPr>
          <w:rFonts w:ascii="Verdana" w:hAnsi="Verdana" w:eastAsia="Times New Roman" w:cs="Times New Roman"/>
          <w:sz w:val="18"/>
          <w:szCs w:val="18"/>
        </w:rPr>
        <w:t xml:space="preserve">en varianten </w:t>
      </w:r>
      <w:r w:rsidRPr="00E43A50">
        <w:rPr>
          <w:rFonts w:ascii="Verdana" w:hAnsi="Verdana" w:eastAsia="Times New Roman" w:cs="Times New Roman"/>
          <w:sz w:val="18"/>
          <w:szCs w:val="18"/>
        </w:rPr>
        <w:t xml:space="preserve">om effectief te sturen op </w:t>
      </w:r>
      <w:r w:rsidR="007A0EBE">
        <w:rPr>
          <w:rFonts w:ascii="Verdana" w:hAnsi="Verdana" w:eastAsia="Times New Roman" w:cs="Times New Roman"/>
          <w:sz w:val="18"/>
          <w:szCs w:val="18"/>
        </w:rPr>
        <w:t xml:space="preserve">het beperken van de milieubelasting van </w:t>
      </w:r>
      <w:r w:rsidRPr="00E43A50">
        <w:rPr>
          <w:rFonts w:ascii="Verdana" w:hAnsi="Verdana" w:eastAsia="Times New Roman" w:cs="Times New Roman"/>
          <w:sz w:val="18"/>
          <w:szCs w:val="18"/>
        </w:rPr>
        <w:t>GWW</w:t>
      </w:r>
      <w:r w:rsidR="007A0EBE">
        <w:rPr>
          <w:rFonts w:ascii="Verdana" w:hAnsi="Verdana" w:eastAsia="Times New Roman" w:cs="Times New Roman"/>
          <w:sz w:val="18"/>
          <w:szCs w:val="18"/>
        </w:rPr>
        <w:t>-werken</w:t>
      </w:r>
      <w:r w:rsidRPr="00E43A50">
        <w:rPr>
          <w:rFonts w:ascii="Verdana" w:hAnsi="Verdana" w:eastAsia="Times New Roman" w:cs="Times New Roman"/>
          <w:sz w:val="18"/>
          <w:szCs w:val="18"/>
        </w:rPr>
        <w:t xml:space="preserve">. </w:t>
      </w:r>
      <w:r w:rsidRPr="00E43A50" w:rsidR="00142431">
        <w:rPr>
          <w:rFonts w:ascii="Verdana" w:hAnsi="Verdana" w:eastAsia="Times New Roman" w:cs="Times New Roman"/>
          <w:sz w:val="18"/>
          <w:szCs w:val="18"/>
          <w:lang w:eastAsia="nl-NL"/>
        </w:rPr>
        <w:t>Verder word</w:t>
      </w:r>
      <w:r w:rsidR="005A28A5">
        <w:rPr>
          <w:rFonts w:ascii="Verdana" w:hAnsi="Verdana" w:eastAsia="Times New Roman" w:cs="Times New Roman"/>
          <w:sz w:val="18"/>
          <w:szCs w:val="18"/>
          <w:lang w:eastAsia="nl-NL"/>
        </w:rPr>
        <w:t>en</w:t>
      </w:r>
      <w:r w:rsidRPr="00E43A50" w:rsidR="00142431">
        <w:rPr>
          <w:rFonts w:ascii="Verdana" w:hAnsi="Verdana" w:eastAsia="Times New Roman" w:cs="Times New Roman"/>
          <w:sz w:val="18"/>
          <w:szCs w:val="18"/>
          <w:lang w:eastAsia="nl-NL"/>
        </w:rPr>
        <w:t xml:space="preserve"> </w:t>
      </w:r>
      <w:r w:rsidR="00142431">
        <w:rPr>
          <w:rFonts w:ascii="Verdana" w:hAnsi="Verdana" w:eastAsia="Times New Roman" w:cs="Times New Roman"/>
          <w:sz w:val="18"/>
          <w:szCs w:val="18"/>
          <w:lang w:eastAsia="nl-NL"/>
        </w:rPr>
        <w:t xml:space="preserve">in het algemene deel van deze toelichting </w:t>
      </w:r>
      <w:r w:rsidRPr="00E43A50" w:rsidR="00142431">
        <w:rPr>
          <w:rFonts w:ascii="Verdana" w:hAnsi="Verdana" w:eastAsia="Times New Roman" w:cs="Times New Roman"/>
          <w:sz w:val="18"/>
          <w:szCs w:val="18"/>
          <w:lang w:eastAsia="nl-NL"/>
        </w:rPr>
        <w:t>de verplichtingen en de gevolgen daarvan nader toegelicht.</w:t>
      </w:r>
      <w:bookmarkStart w:name="_Hlk201639448" w:id="6"/>
    </w:p>
    <w:p w:rsidRPr="00E43A50" w:rsidR="004F0533" w:rsidP="00643E93" w:rsidRDefault="004F0533" w14:paraId="4F38443A" w14:textId="36687C2D">
      <w:pPr>
        <w:spacing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De beweging naar meer eenduidigheid in inkoop en het bieden van perspectief aan bedrijven om te investeren in de productie en aankoop van schonere </w:t>
      </w:r>
      <w:r w:rsidR="003D7677">
        <w:rPr>
          <w:rFonts w:ascii="Verdana" w:hAnsi="Verdana" w:eastAsia="Times New Roman" w:cs="Times New Roman"/>
          <w:sz w:val="18"/>
          <w:szCs w:val="18"/>
        </w:rPr>
        <w:t>of</w:t>
      </w:r>
      <w:r w:rsidRPr="00E43A50">
        <w:rPr>
          <w:rFonts w:ascii="Verdana" w:hAnsi="Verdana" w:eastAsia="Times New Roman" w:cs="Times New Roman"/>
          <w:sz w:val="18"/>
          <w:szCs w:val="18"/>
        </w:rPr>
        <w:t xml:space="preserve"> circulaire materialen voor de GWW zal niet alleen </w:t>
      </w:r>
      <w:r w:rsidR="00142431">
        <w:rPr>
          <w:rFonts w:ascii="Verdana" w:hAnsi="Verdana" w:eastAsia="Times New Roman" w:cs="Times New Roman"/>
          <w:sz w:val="18"/>
          <w:szCs w:val="18"/>
        </w:rPr>
        <w:t>op grond van wetgeving</w:t>
      </w:r>
      <w:r w:rsidRPr="00E43A50" w:rsidR="00142431">
        <w:rPr>
          <w:rFonts w:ascii="Verdana" w:hAnsi="Verdana" w:eastAsia="Times New Roman" w:cs="Times New Roman"/>
          <w:sz w:val="18"/>
          <w:szCs w:val="18"/>
        </w:rPr>
        <w:t xml:space="preserve"> </w:t>
      </w:r>
      <w:r w:rsidRPr="00E43A50">
        <w:rPr>
          <w:rFonts w:ascii="Verdana" w:hAnsi="Verdana" w:eastAsia="Times New Roman" w:cs="Times New Roman"/>
          <w:sz w:val="18"/>
          <w:szCs w:val="18"/>
        </w:rPr>
        <w:t>gestalte krijgen. Om</w:t>
      </w:r>
      <w:r w:rsidR="00573365">
        <w:rPr>
          <w:rFonts w:ascii="Verdana" w:hAnsi="Verdana" w:eastAsia="Times New Roman" w:cs="Times New Roman"/>
          <w:sz w:val="18"/>
          <w:szCs w:val="18"/>
        </w:rPr>
        <w:t xml:space="preserve"> ervoor</w:t>
      </w:r>
      <w:r w:rsidRPr="00E43A50">
        <w:rPr>
          <w:rFonts w:ascii="Verdana" w:hAnsi="Verdana" w:eastAsia="Times New Roman" w:cs="Times New Roman"/>
          <w:sz w:val="18"/>
          <w:szCs w:val="18"/>
        </w:rPr>
        <w:t xml:space="preserve"> </w:t>
      </w:r>
      <w:r w:rsidR="0024501B">
        <w:rPr>
          <w:rFonts w:ascii="Verdana" w:hAnsi="Verdana" w:eastAsia="Times New Roman" w:cs="Times New Roman"/>
          <w:sz w:val="18"/>
          <w:szCs w:val="18"/>
        </w:rPr>
        <w:t xml:space="preserve">te zorgen dat partijen zo goed mogelijk kunnen werken met </w:t>
      </w:r>
      <w:r w:rsidRPr="007A0EBE" w:rsidR="007A0EBE">
        <w:rPr>
          <w:rFonts w:ascii="Verdana" w:hAnsi="Verdana" w:eastAsia="Times New Roman" w:cs="Times New Roman"/>
          <w:sz w:val="18"/>
          <w:szCs w:val="18"/>
        </w:rPr>
        <w:t xml:space="preserve">eisen </w:t>
      </w:r>
      <w:r w:rsidR="007A0EBE">
        <w:rPr>
          <w:rFonts w:ascii="Verdana" w:hAnsi="Verdana" w:eastAsia="Times New Roman" w:cs="Times New Roman"/>
          <w:sz w:val="18"/>
          <w:szCs w:val="18"/>
        </w:rPr>
        <w:t>die</w:t>
      </w:r>
      <w:r w:rsidRPr="007A0EBE" w:rsidR="007A0EBE">
        <w:rPr>
          <w:rFonts w:ascii="Verdana" w:hAnsi="Verdana" w:eastAsia="Times New Roman" w:cs="Times New Roman"/>
          <w:sz w:val="18"/>
          <w:szCs w:val="18"/>
        </w:rPr>
        <w:t xml:space="preserve"> de milieubelasting van GWW-werken beperken</w:t>
      </w:r>
      <w:r w:rsidR="007A0EBE">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en </w:t>
      </w:r>
      <w:r w:rsidR="007A0EBE">
        <w:rPr>
          <w:rFonts w:ascii="Verdana" w:hAnsi="Verdana" w:eastAsia="Times New Roman" w:cs="Times New Roman"/>
          <w:sz w:val="18"/>
          <w:szCs w:val="18"/>
        </w:rPr>
        <w:t xml:space="preserve">om </w:t>
      </w:r>
      <w:r w:rsidRPr="00E43A50">
        <w:rPr>
          <w:rFonts w:ascii="Verdana" w:hAnsi="Verdana" w:eastAsia="Times New Roman" w:cs="Times New Roman"/>
          <w:sz w:val="18"/>
          <w:szCs w:val="18"/>
        </w:rPr>
        <w:t>het gebruik van de bestaande ruimte in de regels te stimuleren wordt er samen met het bedrijfsleven</w:t>
      </w:r>
      <w:r w:rsidRPr="00E43A50" w:rsidR="00337162">
        <w:rPr>
          <w:rFonts w:ascii="Verdana" w:hAnsi="Verdana" w:eastAsia="Times New Roman" w:cs="Times New Roman"/>
          <w:sz w:val="18"/>
          <w:szCs w:val="18"/>
        </w:rPr>
        <w:t>, aanbestedende diensten en speciale</w:t>
      </w:r>
      <w:r w:rsidR="00DB4362">
        <w:rPr>
          <w:rFonts w:ascii="Verdana" w:hAnsi="Verdana" w:eastAsia="Times New Roman" w:cs="Times New Roman"/>
          <w:sz w:val="18"/>
          <w:szCs w:val="18"/>
        </w:rPr>
        <w:t>-</w:t>
      </w:r>
      <w:r w:rsidRPr="00E43A50" w:rsidR="00337162">
        <w:rPr>
          <w:rFonts w:ascii="Verdana" w:hAnsi="Verdana" w:eastAsia="Times New Roman" w:cs="Times New Roman"/>
          <w:sz w:val="18"/>
          <w:szCs w:val="18"/>
        </w:rPr>
        <w:t xml:space="preserve">sectorbedrijven </w:t>
      </w:r>
      <w:r w:rsidRPr="00E43A50" w:rsidR="00D3570B">
        <w:rPr>
          <w:rFonts w:ascii="Verdana" w:hAnsi="Verdana" w:eastAsia="Times New Roman" w:cs="Times New Roman"/>
          <w:sz w:val="18"/>
          <w:szCs w:val="18"/>
        </w:rPr>
        <w:t>gewerkt aan</w:t>
      </w:r>
      <w:r w:rsidRPr="00E43A50">
        <w:rPr>
          <w:rFonts w:ascii="Verdana" w:hAnsi="Verdana" w:eastAsia="Times New Roman" w:cs="Times New Roman"/>
          <w:sz w:val="18"/>
          <w:szCs w:val="18"/>
        </w:rPr>
        <w:t xml:space="preserve"> betere en meer gerichte informatievoorziening, communicatie en praktijkontwikkeling. Met input van </w:t>
      </w:r>
      <w:r w:rsidR="00643E93">
        <w:rPr>
          <w:rFonts w:ascii="Verdana" w:hAnsi="Verdana" w:eastAsia="Times New Roman" w:cs="Times New Roman"/>
          <w:sz w:val="18"/>
          <w:szCs w:val="18"/>
        </w:rPr>
        <w:t xml:space="preserve">partijen uit de sector </w:t>
      </w:r>
      <w:r w:rsidR="0024501B">
        <w:rPr>
          <w:rFonts w:ascii="Verdana" w:hAnsi="Verdana" w:eastAsia="Times New Roman" w:cs="Times New Roman"/>
          <w:sz w:val="18"/>
          <w:szCs w:val="18"/>
        </w:rPr>
        <w:t>richt het ministerie van Infrastructuur en Waterstaat</w:t>
      </w:r>
      <w:r w:rsidRPr="00E43A50" w:rsidR="0024501B">
        <w:rPr>
          <w:rFonts w:ascii="Verdana" w:hAnsi="Verdana" w:eastAsia="Times New Roman" w:cs="Times New Roman"/>
          <w:sz w:val="18"/>
          <w:szCs w:val="18"/>
        </w:rPr>
        <w:t xml:space="preserve"> </w:t>
      </w:r>
      <w:r w:rsidRPr="00E43A50">
        <w:rPr>
          <w:rFonts w:ascii="Verdana" w:hAnsi="Verdana" w:eastAsia="Times New Roman" w:cs="Times New Roman"/>
          <w:sz w:val="18"/>
          <w:szCs w:val="18"/>
        </w:rPr>
        <w:t>daarom</w:t>
      </w:r>
      <w:r w:rsidR="007805EC">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een </w:t>
      </w:r>
      <w:r w:rsidRPr="00E43A50" w:rsidR="00337162">
        <w:rPr>
          <w:rFonts w:ascii="Verdana" w:hAnsi="Verdana" w:eastAsia="Times New Roman" w:cs="Times New Roman"/>
          <w:sz w:val="18"/>
          <w:szCs w:val="18"/>
        </w:rPr>
        <w:t>ondersteuningspunt</w:t>
      </w:r>
      <w:r w:rsidRPr="00E43A50">
        <w:rPr>
          <w:rFonts w:ascii="Verdana" w:hAnsi="Verdana" w:eastAsia="Times New Roman" w:cs="Times New Roman"/>
          <w:sz w:val="18"/>
          <w:szCs w:val="18"/>
        </w:rPr>
        <w:t xml:space="preserve"> op om </w:t>
      </w:r>
      <w:r w:rsidR="00FE6A32">
        <w:rPr>
          <w:rFonts w:ascii="Verdana" w:hAnsi="Verdana" w:eastAsia="Times New Roman" w:cs="Times New Roman"/>
          <w:sz w:val="18"/>
          <w:szCs w:val="18"/>
        </w:rPr>
        <w:t>aanbestedende diensten en speciale-sectorbedrijven</w:t>
      </w:r>
      <w:r w:rsidRPr="00E43A50" w:rsidR="00FE6A32">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te </w:t>
      </w:r>
      <w:r w:rsidR="0024501B">
        <w:rPr>
          <w:rFonts w:ascii="Verdana" w:hAnsi="Verdana" w:eastAsia="Times New Roman" w:cs="Times New Roman"/>
          <w:sz w:val="18"/>
          <w:szCs w:val="18"/>
        </w:rPr>
        <w:t>ondersteunen</w:t>
      </w:r>
      <w:r w:rsidRPr="00E43A50" w:rsidR="0024501B">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om </w:t>
      </w:r>
      <w:r w:rsidRPr="00D80878" w:rsidR="00D80878">
        <w:rPr>
          <w:rFonts w:ascii="Verdana" w:hAnsi="Verdana" w:eastAsia="Times New Roman" w:cs="Times New Roman"/>
          <w:sz w:val="18"/>
          <w:szCs w:val="18"/>
        </w:rPr>
        <w:t xml:space="preserve">eisen </w:t>
      </w:r>
      <w:r w:rsidR="00D80878">
        <w:rPr>
          <w:rFonts w:ascii="Verdana" w:hAnsi="Verdana" w:eastAsia="Times New Roman" w:cs="Times New Roman"/>
          <w:sz w:val="18"/>
          <w:szCs w:val="18"/>
        </w:rPr>
        <w:t>die</w:t>
      </w:r>
      <w:r w:rsidRPr="00D80878" w:rsidR="00D80878">
        <w:rPr>
          <w:rFonts w:ascii="Verdana" w:hAnsi="Verdana" w:eastAsia="Times New Roman" w:cs="Times New Roman"/>
          <w:sz w:val="18"/>
          <w:szCs w:val="18"/>
        </w:rPr>
        <w:t xml:space="preserve"> de milieubelasting van GWW-werken</w:t>
      </w:r>
      <w:r w:rsidR="00D80878">
        <w:rPr>
          <w:rFonts w:ascii="Verdana" w:hAnsi="Verdana" w:eastAsia="Times New Roman" w:cs="Times New Roman"/>
          <w:sz w:val="18"/>
          <w:szCs w:val="18"/>
        </w:rPr>
        <w:t xml:space="preserve"> </w:t>
      </w:r>
      <w:r w:rsidRPr="00D80878" w:rsidR="00D80878">
        <w:rPr>
          <w:rFonts w:ascii="Verdana" w:hAnsi="Verdana" w:eastAsia="Times New Roman" w:cs="Times New Roman"/>
          <w:sz w:val="18"/>
          <w:szCs w:val="18"/>
        </w:rPr>
        <w:t>beperken</w:t>
      </w:r>
      <w:r w:rsidRPr="00D80878" w:rsidDel="00D80878" w:rsidR="00D80878">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op de juiste manier mee te laten wegen in hun aanbestedingen. </w:t>
      </w:r>
      <w:bookmarkEnd w:id="5"/>
    </w:p>
    <w:bookmarkEnd w:id="6"/>
    <w:p w:rsidRPr="00E43A50" w:rsidR="00F0551F" w:rsidP="00643E93" w:rsidRDefault="00F0551F" w14:paraId="6B216F71" w14:textId="77777777">
      <w:pPr>
        <w:spacing w:after="0" w:line="276" w:lineRule="auto"/>
        <w:rPr>
          <w:rFonts w:ascii="Verdana" w:hAnsi="Verdana" w:eastAsia="Times New Roman" w:cs="Times New Roman"/>
          <w:sz w:val="18"/>
          <w:szCs w:val="18"/>
        </w:rPr>
      </w:pPr>
    </w:p>
    <w:p w:rsidRPr="00E43A50" w:rsidR="001448A0" w:rsidP="00643E93" w:rsidRDefault="00D3570B" w14:paraId="2347E39B" w14:textId="2461F62F">
      <w:pPr>
        <w:pStyle w:val="Kop4"/>
        <w:numPr>
          <w:ilvl w:val="1"/>
          <w:numId w:val="24"/>
        </w:numPr>
        <w:spacing w:line="276" w:lineRule="auto"/>
      </w:pPr>
      <w:bookmarkStart w:name="_Toc195040753" w:id="7"/>
      <w:bookmarkStart w:name="_Toc195040747" w:id="8"/>
      <w:r w:rsidRPr="00E43A50">
        <w:t>Afbakening wetsvoorstel</w:t>
      </w:r>
      <w:bookmarkEnd w:id="7"/>
    </w:p>
    <w:p w:rsidRPr="00E43A50" w:rsidR="001448A0" w:rsidP="00643E93" w:rsidRDefault="001448A0" w14:paraId="12B4F268" w14:textId="38D5D730">
      <w:pPr>
        <w:spacing w:line="276" w:lineRule="auto"/>
        <w:rPr>
          <w:rFonts w:ascii="Verdana" w:hAnsi="Verdana" w:eastAsia="Times New Roman" w:cs="Times New Roman"/>
          <w:sz w:val="18"/>
          <w:szCs w:val="18"/>
          <w:lang w:eastAsia="nl-NL"/>
        </w:rPr>
      </w:pPr>
      <w:r w:rsidRPr="00E43A50">
        <w:rPr>
          <w:rFonts w:ascii="Verdana" w:hAnsi="Verdana" w:eastAsia="Times New Roman" w:cs="Times New Roman"/>
          <w:sz w:val="18"/>
          <w:szCs w:val="18"/>
          <w:lang w:eastAsia="nl-NL"/>
        </w:rPr>
        <w:t>Dit wetsvoorstel regelt dat aanbestedende diensten en speciale</w:t>
      </w:r>
      <w:r w:rsidR="00DB4362">
        <w:rPr>
          <w:rFonts w:ascii="Verdana" w:hAnsi="Verdana" w:eastAsia="Times New Roman" w:cs="Times New Roman"/>
          <w:sz w:val="18"/>
          <w:szCs w:val="18"/>
          <w:lang w:eastAsia="nl-NL"/>
        </w:rPr>
        <w:t>-</w:t>
      </w:r>
      <w:r w:rsidRPr="00E43A50">
        <w:rPr>
          <w:rFonts w:ascii="Verdana" w:hAnsi="Verdana" w:eastAsia="Times New Roman" w:cs="Times New Roman"/>
          <w:sz w:val="18"/>
          <w:szCs w:val="18"/>
          <w:lang w:eastAsia="nl-NL"/>
        </w:rPr>
        <w:t xml:space="preserve">sectorbedrijven verplicht </w:t>
      </w:r>
      <w:r w:rsidR="002D7068">
        <w:rPr>
          <w:rFonts w:ascii="Verdana" w:hAnsi="Verdana" w:eastAsia="Times New Roman" w:cs="Times New Roman"/>
          <w:sz w:val="18"/>
          <w:szCs w:val="18"/>
          <w:lang w:eastAsia="nl-NL"/>
        </w:rPr>
        <w:t xml:space="preserve">worden </w:t>
      </w:r>
      <w:r w:rsidR="002125FD">
        <w:rPr>
          <w:rFonts w:ascii="Verdana" w:hAnsi="Verdana" w:eastAsia="DejaVu Sans" w:cs="Lohit Hindi"/>
          <w:color w:val="000000" w:themeColor="text1"/>
          <w:sz w:val="18"/>
          <w:szCs w:val="18"/>
          <w:lang w:eastAsia="nl-NL"/>
        </w:rPr>
        <w:t xml:space="preserve">om </w:t>
      </w:r>
      <w:r>
        <w:rPr>
          <w:rFonts w:ascii="Verdana" w:hAnsi="Verdana" w:eastAsia="DejaVu Sans" w:cs="Lohit Hindi"/>
          <w:color w:val="000000" w:themeColor="text1"/>
          <w:sz w:val="18"/>
          <w:szCs w:val="18"/>
          <w:lang w:eastAsia="nl-NL"/>
        </w:rPr>
        <w:t>milieuprestatie</w:t>
      </w:r>
      <w:r w:rsidR="0034214F">
        <w:rPr>
          <w:rFonts w:ascii="Verdana" w:hAnsi="Verdana" w:eastAsia="DejaVu Sans" w:cs="Lohit Hindi"/>
          <w:color w:val="000000" w:themeColor="text1"/>
          <w:sz w:val="18"/>
          <w:szCs w:val="18"/>
          <w:lang w:eastAsia="nl-NL"/>
        </w:rPr>
        <w:t xml:space="preserve">-eisen </w:t>
      </w:r>
      <w:r w:rsidR="002125FD">
        <w:rPr>
          <w:rFonts w:ascii="Verdana" w:hAnsi="Verdana" w:eastAsia="DejaVu Sans" w:cs="Lohit Hindi"/>
          <w:color w:val="000000" w:themeColor="text1"/>
          <w:sz w:val="18"/>
          <w:szCs w:val="18"/>
          <w:lang w:eastAsia="nl-NL"/>
        </w:rPr>
        <w:t>te stellen</w:t>
      </w:r>
      <w:r>
        <w:rPr>
          <w:rFonts w:ascii="Verdana" w:hAnsi="Verdana" w:eastAsia="DejaVu Sans" w:cs="Lohit Hindi"/>
          <w:color w:val="000000" w:themeColor="text1"/>
          <w:sz w:val="18"/>
          <w:szCs w:val="18"/>
          <w:lang w:eastAsia="nl-NL"/>
        </w:rPr>
        <w:t xml:space="preserve"> </w:t>
      </w:r>
      <w:r w:rsidR="0034214F">
        <w:rPr>
          <w:rFonts w:ascii="Verdana" w:hAnsi="Verdana" w:eastAsia="DejaVu Sans" w:cs="Lohit Hindi"/>
          <w:color w:val="000000" w:themeColor="text1"/>
          <w:sz w:val="18"/>
          <w:szCs w:val="18"/>
          <w:lang w:eastAsia="nl-NL"/>
        </w:rPr>
        <w:t xml:space="preserve">aan de meest milieubelastende materialen of producten in GWW-werken. </w:t>
      </w:r>
      <w:r w:rsidRPr="00E43A50" w:rsidR="00EE6CA8">
        <w:rPr>
          <w:rFonts w:ascii="Verdana" w:hAnsi="Verdana" w:eastAsia="Times New Roman" w:cs="Times New Roman"/>
          <w:sz w:val="18"/>
          <w:szCs w:val="18"/>
          <w:lang w:eastAsia="nl-NL"/>
        </w:rPr>
        <w:t xml:space="preserve">Het gaat daarbij bijvoorbeeld om eisen die betrekking hebben op de milieubelasting gedurende de levenscyclus van een GWW-werk of een </w:t>
      </w:r>
      <w:r w:rsidR="00EE6CA8">
        <w:rPr>
          <w:rFonts w:ascii="Verdana" w:hAnsi="Verdana" w:eastAsia="Times New Roman" w:cs="Times New Roman"/>
          <w:sz w:val="18"/>
          <w:szCs w:val="18"/>
          <w:lang w:eastAsia="nl-NL"/>
        </w:rPr>
        <w:t xml:space="preserve">materiaal of </w:t>
      </w:r>
      <w:r w:rsidRPr="00E43A50" w:rsidR="00EE6CA8">
        <w:rPr>
          <w:rFonts w:ascii="Verdana" w:hAnsi="Verdana" w:eastAsia="Times New Roman" w:cs="Times New Roman"/>
          <w:sz w:val="18"/>
          <w:szCs w:val="18"/>
          <w:lang w:eastAsia="nl-NL"/>
        </w:rPr>
        <w:t xml:space="preserve">product in een GWW-werk. </w:t>
      </w:r>
      <w:r w:rsidR="0034214F">
        <w:rPr>
          <w:rFonts w:ascii="Verdana" w:hAnsi="Verdana" w:eastAsia="DejaVu Sans" w:cs="Lohit Hindi"/>
          <w:color w:val="000000" w:themeColor="text1"/>
          <w:sz w:val="18"/>
          <w:szCs w:val="18"/>
          <w:lang w:eastAsia="nl-NL"/>
        </w:rPr>
        <w:t>Daarnaast regelt het wetsvoorstel dat</w:t>
      </w:r>
      <w:r w:rsidR="005069E2">
        <w:rPr>
          <w:rFonts w:ascii="Verdana" w:hAnsi="Verdana" w:eastAsia="DejaVu Sans" w:cs="Lohit Hindi"/>
          <w:color w:val="000000" w:themeColor="text1"/>
          <w:sz w:val="18"/>
          <w:szCs w:val="18"/>
          <w:lang w:eastAsia="nl-NL"/>
        </w:rPr>
        <w:t xml:space="preserve"> </w:t>
      </w:r>
      <w:r w:rsidR="0034214F">
        <w:rPr>
          <w:rFonts w:ascii="Verdana" w:hAnsi="Verdana" w:eastAsia="DejaVu Sans" w:cs="Lohit Hindi"/>
          <w:color w:val="000000" w:themeColor="text1"/>
          <w:sz w:val="18"/>
          <w:szCs w:val="18"/>
          <w:lang w:eastAsia="nl-NL"/>
        </w:rPr>
        <w:t>milieuprestatie</w:t>
      </w:r>
      <w:r w:rsidR="002125FD">
        <w:rPr>
          <w:rFonts w:ascii="Verdana" w:hAnsi="Verdana" w:eastAsia="DejaVu Sans" w:cs="Lohit Hindi"/>
          <w:color w:val="000000" w:themeColor="text1"/>
          <w:sz w:val="18"/>
          <w:szCs w:val="18"/>
          <w:lang w:eastAsia="nl-NL"/>
        </w:rPr>
        <w:t xml:space="preserve"> </w:t>
      </w:r>
      <w:r w:rsidR="00DF226D">
        <w:rPr>
          <w:rFonts w:ascii="Verdana" w:hAnsi="Verdana" w:eastAsia="DejaVu Sans" w:cs="Lohit Hindi"/>
          <w:color w:val="000000" w:themeColor="text1"/>
          <w:sz w:val="18"/>
          <w:szCs w:val="18"/>
          <w:lang w:eastAsia="nl-NL"/>
        </w:rPr>
        <w:t>als</w:t>
      </w:r>
      <w:r w:rsidR="0034214F">
        <w:rPr>
          <w:rFonts w:ascii="Verdana" w:hAnsi="Verdana" w:eastAsia="DejaVu Sans" w:cs="Lohit Hindi"/>
          <w:color w:val="000000" w:themeColor="text1"/>
          <w:sz w:val="18"/>
          <w:szCs w:val="18"/>
          <w:lang w:eastAsia="nl-NL"/>
        </w:rPr>
        <w:t xml:space="preserve"> </w:t>
      </w:r>
      <w:r w:rsidR="00A8021F">
        <w:rPr>
          <w:rFonts w:ascii="Verdana" w:hAnsi="Verdana" w:eastAsia="DejaVu Sans" w:cs="Lohit Hindi"/>
          <w:color w:val="000000" w:themeColor="text1"/>
          <w:sz w:val="18"/>
          <w:szCs w:val="18"/>
          <w:lang w:eastAsia="nl-NL"/>
        </w:rPr>
        <w:t>nader criterium</w:t>
      </w:r>
      <w:r w:rsidR="0034214F">
        <w:rPr>
          <w:rFonts w:ascii="Verdana" w:hAnsi="Verdana" w:eastAsia="DejaVu Sans" w:cs="Lohit Hindi"/>
          <w:color w:val="000000" w:themeColor="text1"/>
          <w:sz w:val="18"/>
          <w:szCs w:val="18"/>
          <w:lang w:eastAsia="nl-NL"/>
        </w:rPr>
        <w:t xml:space="preserve"> wordt betrokken </w:t>
      </w:r>
      <w:r w:rsidRPr="00E43A50">
        <w:rPr>
          <w:rFonts w:ascii="Verdana" w:hAnsi="Verdana" w:eastAsia="Times New Roman" w:cs="Times New Roman"/>
          <w:sz w:val="18"/>
          <w:szCs w:val="18"/>
          <w:lang w:eastAsia="nl-NL"/>
        </w:rPr>
        <w:t xml:space="preserve">bij het aanbesteden van </w:t>
      </w:r>
      <w:r w:rsidRPr="00E43A50" w:rsidR="004D02DC">
        <w:rPr>
          <w:rFonts w:ascii="Verdana" w:hAnsi="Verdana" w:eastAsia="Times New Roman" w:cs="Times New Roman"/>
          <w:sz w:val="18"/>
          <w:szCs w:val="18"/>
          <w:lang w:eastAsia="nl-NL"/>
        </w:rPr>
        <w:t>GWW-werken</w:t>
      </w:r>
      <w:r w:rsidRPr="00E43A50">
        <w:rPr>
          <w:rFonts w:ascii="Verdana" w:hAnsi="Verdana" w:eastAsia="Times New Roman" w:cs="Times New Roman"/>
          <w:sz w:val="18"/>
          <w:szCs w:val="18"/>
          <w:lang w:eastAsia="nl-NL"/>
        </w:rPr>
        <w:t xml:space="preserve">. </w:t>
      </w:r>
      <w:r w:rsidR="002D7068">
        <w:rPr>
          <w:rFonts w:ascii="Verdana" w:hAnsi="Verdana" w:eastAsia="Times New Roman" w:cs="Times New Roman"/>
          <w:sz w:val="18"/>
          <w:szCs w:val="18"/>
          <w:lang w:eastAsia="nl-NL"/>
        </w:rPr>
        <w:t xml:space="preserve">Dat betekent dat </w:t>
      </w:r>
      <w:r w:rsidR="0034214F">
        <w:rPr>
          <w:rFonts w:ascii="Verdana" w:hAnsi="Verdana" w:eastAsia="Times New Roman" w:cs="Times New Roman"/>
          <w:sz w:val="18"/>
          <w:szCs w:val="18"/>
          <w:lang w:eastAsia="nl-NL"/>
        </w:rPr>
        <w:t>aanbestedende diensten en speciale-sectorbedrijven</w:t>
      </w:r>
      <w:r w:rsidR="002D7068">
        <w:rPr>
          <w:rFonts w:ascii="Verdana" w:hAnsi="Verdana" w:eastAsia="Times New Roman" w:cs="Times New Roman"/>
          <w:sz w:val="18"/>
          <w:szCs w:val="18"/>
          <w:lang w:eastAsia="nl-NL"/>
        </w:rPr>
        <w:t xml:space="preserve"> milieuprestatie moeten </w:t>
      </w:r>
      <w:r w:rsidR="00EE6CA8">
        <w:rPr>
          <w:rFonts w:ascii="Verdana" w:hAnsi="Verdana" w:eastAsia="Times New Roman" w:cs="Times New Roman"/>
          <w:sz w:val="18"/>
          <w:szCs w:val="18"/>
          <w:lang w:eastAsia="nl-NL"/>
        </w:rPr>
        <w:t>me</w:t>
      </w:r>
      <w:r w:rsidR="00573365">
        <w:rPr>
          <w:rFonts w:ascii="Verdana" w:hAnsi="Verdana" w:eastAsia="Times New Roman" w:cs="Times New Roman"/>
          <w:sz w:val="18"/>
          <w:szCs w:val="18"/>
          <w:lang w:eastAsia="nl-NL"/>
        </w:rPr>
        <w:t>e</w:t>
      </w:r>
      <w:r w:rsidR="00EE6CA8">
        <w:rPr>
          <w:rFonts w:ascii="Verdana" w:hAnsi="Verdana" w:eastAsia="Times New Roman" w:cs="Times New Roman"/>
          <w:sz w:val="18"/>
          <w:szCs w:val="18"/>
          <w:lang w:eastAsia="nl-NL"/>
        </w:rPr>
        <w:t>nemen</w:t>
      </w:r>
      <w:r w:rsidR="002D7068">
        <w:rPr>
          <w:rFonts w:ascii="Verdana" w:hAnsi="Verdana" w:eastAsia="Times New Roman" w:cs="Times New Roman"/>
          <w:sz w:val="18"/>
          <w:szCs w:val="18"/>
          <w:lang w:eastAsia="nl-NL"/>
        </w:rPr>
        <w:t xml:space="preserve"> in het beoordelen van biedingen van bedrijven in aanbestedingen en een bod om die reden kunnen aannemen of juist afwijzen.</w:t>
      </w:r>
      <w:r w:rsidR="00C0057B">
        <w:rPr>
          <w:rFonts w:ascii="Verdana" w:hAnsi="Verdana" w:eastAsia="Times New Roman" w:cs="Times New Roman"/>
          <w:sz w:val="18"/>
          <w:szCs w:val="18"/>
          <w:lang w:eastAsia="nl-NL"/>
        </w:rPr>
        <w:t xml:space="preserve"> </w:t>
      </w:r>
      <w:r w:rsidR="008C1CCD">
        <w:rPr>
          <w:rFonts w:ascii="Verdana" w:hAnsi="Verdana" w:eastAsia="Times New Roman" w:cs="Calibri"/>
          <w:color w:val="000000"/>
          <w:sz w:val="18"/>
          <w:szCs w:val="18"/>
          <w:lang w:eastAsia="nl-NL"/>
        </w:rPr>
        <w:br/>
      </w:r>
      <w:r w:rsidR="0014741E">
        <w:rPr>
          <w:rFonts w:ascii="Verdana" w:hAnsi="Verdana" w:eastAsia="Times New Roman" w:cs="Times New Roman"/>
          <w:sz w:val="18"/>
          <w:szCs w:val="18"/>
          <w:lang w:eastAsia="nl-NL"/>
        </w:rPr>
        <w:br/>
      </w:r>
      <w:bookmarkStart w:name="_Hlk201639595" w:id="9"/>
      <w:r w:rsidRPr="00E43A50">
        <w:rPr>
          <w:rFonts w:ascii="Verdana" w:hAnsi="Verdana" w:eastAsia="Times New Roman" w:cs="Times New Roman"/>
          <w:sz w:val="18"/>
          <w:szCs w:val="18"/>
          <w:lang w:eastAsia="nl-NL"/>
        </w:rPr>
        <w:t xml:space="preserve">Voor de bepaling van deze </w:t>
      </w:r>
      <w:r w:rsidR="006E01F9">
        <w:rPr>
          <w:rFonts w:ascii="Verdana" w:hAnsi="Verdana" w:eastAsia="Times New Roman" w:cs="Times New Roman"/>
          <w:sz w:val="18"/>
          <w:szCs w:val="18"/>
          <w:lang w:eastAsia="nl-NL"/>
        </w:rPr>
        <w:t>verplichtingen</w:t>
      </w:r>
      <w:r w:rsidRPr="00D80878" w:rsidR="00D80878">
        <w:rPr>
          <w:rFonts w:ascii="Verdana" w:hAnsi="Verdana" w:eastAsia="Times New Roman" w:cs="Times New Roman"/>
          <w:sz w:val="18"/>
          <w:szCs w:val="18"/>
          <w:lang w:eastAsia="nl-NL"/>
        </w:rPr>
        <w:t xml:space="preserve"> </w:t>
      </w:r>
      <w:r w:rsidR="00D80878">
        <w:rPr>
          <w:rFonts w:ascii="Verdana" w:hAnsi="Verdana" w:eastAsia="Times New Roman" w:cs="Times New Roman"/>
          <w:sz w:val="18"/>
          <w:szCs w:val="18"/>
          <w:lang w:eastAsia="nl-NL"/>
        </w:rPr>
        <w:t>die</w:t>
      </w:r>
      <w:r w:rsidRPr="00D80878" w:rsidR="00D80878">
        <w:rPr>
          <w:rFonts w:ascii="Verdana" w:hAnsi="Verdana" w:eastAsia="Times New Roman" w:cs="Times New Roman"/>
          <w:sz w:val="18"/>
          <w:szCs w:val="18"/>
          <w:lang w:eastAsia="nl-NL"/>
        </w:rPr>
        <w:t xml:space="preserve"> de milieubelasting van GWW-werken beperken</w:t>
      </w:r>
      <w:r w:rsidRPr="00D80878" w:rsidDel="00D80878" w:rsidR="00D80878">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lang w:eastAsia="nl-NL"/>
        </w:rPr>
        <w:t xml:space="preserve">wordt aangesloten bij algemeen aanvaarde methoden, zoals de Milieukostenindicator (MKI). Dit wetsvoorstel voorziet in een wettelijke grondslag om bij </w:t>
      </w:r>
      <w:proofErr w:type="spellStart"/>
      <w:r w:rsidRPr="00E43A50" w:rsidR="00D9004F">
        <w:rPr>
          <w:rFonts w:ascii="Verdana" w:hAnsi="Verdana" w:eastAsia="Times New Roman" w:cs="Times New Roman"/>
          <w:sz w:val="18"/>
          <w:szCs w:val="18"/>
          <w:lang w:eastAsia="nl-NL"/>
        </w:rPr>
        <w:t>amvb</w:t>
      </w:r>
      <w:proofErr w:type="spellEnd"/>
      <w:r w:rsidRPr="00E43A50">
        <w:rPr>
          <w:rFonts w:ascii="Verdana" w:hAnsi="Verdana" w:eastAsia="Times New Roman" w:cs="Times New Roman"/>
          <w:sz w:val="18"/>
          <w:szCs w:val="18"/>
          <w:lang w:eastAsia="nl-NL"/>
        </w:rPr>
        <w:t xml:space="preserve"> nadere regels te stellen over de methoden en reikwijdte van de</w:t>
      </w:r>
      <w:r w:rsidR="00D80878">
        <w:rPr>
          <w:rFonts w:ascii="Verdana" w:hAnsi="Verdana" w:eastAsia="Times New Roman" w:cs="Times New Roman"/>
          <w:sz w:val="18"/>
          <w:szCs w:val="18"/>
          <w:lang w:eastAsia="nl-NL"/>
        </w:rPr>
        <w:t xml:space="preserve">ze </w:t>
      </w:r>
      <w:r w:rsidR="006E01F9">
        <w:rPr>
          <w:rFonts w:ascii="Verdana" w:hAnsi="Verdana" w:eastAsia="Times New Roman" w:cs="Times New Roman"/>
          <w:sz w:val="18"/>
          <w:szCs w:val="18"/>
          <w:lang w:eastAsia="nl-NL"/>
        </w:rPr>
        <w:t>verplichtingen</w:t>
      </w:r>
      <w:r w:rsidRPr="00E43A50">
        <w:rPr>
          <w:rFonts w:ascii="Verdana" w:hAnsi="Verdana" w:eastAsia="Times New Roman" w:cs="Times New Roman"/>
          <w:sz w:val="18"/>
          <w:szCs w:val="18"/>
          <w:lang w:eastAsia="nl-NL"/>
        </w:rPr>
        <w:t>, en bij ministeriële regeling concrete normen vast te stellen</w:t>
      </w:r>
      <w:r w:rsidRPr="00E43A50" w:rsidR="004D02DC">
        <w:rPr>
          <w:rFonts w:ascii="Verdana" w:hAnsi="Verdana" w:eastAsia="Times New Roman" w:cs="Times New Roman"/>
          <w:sz w:val="18"/>
          <w:szCs w:val="18"/>
          <w:lang w:eastAsia="nl-NL"/>
        </w:rPr>
        <w:t xml:space="preserve"> voor de meest milieubelastende producten in de GWW</w:t>
      </w:r>
      <w:r w:rsidRPr="00E43A50">
        <w:rPr>
          <w:rFonts w:ascii="Verdana" w:hAnsi="Verdana" w:eastAsia="Times New Roman" w:cs="Times New Roman"/>
          <w:sz w:val="18"/>
          <w:szCs w:val="18"/>
          <w:lang w:eastAsia="nl-NL"/>
        </w:rPr>
        <w:t xml:space="preserve">. Het voorziet tevens in een wettelijke grondslag om deze regels bij </w:t>
      </w:r>
      <w:proofErr w:type="spellStart"/>
      <w:r w:rsidRPr="00E43A50" w:rsidR="00D9004F">
        <w:rPr>
          <w:rFonts w:ascii="Verdana" w:hAnsi="Verdana" w:eastAsia="Times New Roman" w:cs="Times New Roman"/>
          <w:sz w:val="18"/>
          <w:szCs w:val="18"/>
          <w:lang w:eastAsia="nl-NL"/>
        </w:rPr>
        <w:t>amvb</w:t>
      </w:r>
      <w:proofErr w:type="spellEnd"/>
      <w:r w:rsidRPr="00E43A50">
        <w:rPr>
          <w:rFonts w:ascii="Verdana" w:hAnsi="Verdana" w:eastAsia="Times New Roman" w:cs="Times New Roman"/>
          <w:sz w:val="18"/>
          <w:szCs w:val="18"/>
          <w:lang w:eastAsia="nl-NL"/>
        </w:rPr>
        <w:t xml:space="preserve"> verplicht te stellen </w:t>
      </w:r>
      <w:r w:rsidR="005A28A5">
        <w:rPr>
          <w:rFonts w:ascii="Verdana" w:hAnsi="Verdana" w:eastAsia="Times New Roman" w:cs="Times New Roman"/>
          <w:sz w:val="18"/>
          <w:szCs w:val="18"/>
          <w:lang w:eastAsia="nl-NL"/>
        </w:rPr>
        <w:t>voor</w:t>
      </w:r>
      <w:r w:rsidRPr="00E43A50">
        <w:rPr>
          <w:rFonts w:ascii="Verdana" w:hAnsi="Verdana" w:eastAsia="Times New Roman" w:cs="Times New Roman"/>
          <w:sz w:val="18"/>
          <w:szCs w:val="18"/>
          <w:lang w:eastAsia="nl-NL"/>
        </w:rPr>
        <w:t xml:space="preserve"> speciale</w:t>
      </w:r>
      <w:r w:rsidR="005B5C55">
        <w:rPr>
          <w:rFonts w:ascii="Verdana" w:hAnsi="Verdana" w:eastAsia="Times New Roman" w:cs="Times New Roman"/>
          <w:sz w:val="18"/>
          <w:szCs w:val="18"/>
          <w:lang w:eastAsia="nl-NL"/>
        </w:rPr>
        <w:t>-</w:t>
      </w:r>
      <w:r w:rsidRPr="00E43A50">
        <w:rPr>
          <w:rFonts w:ascii="Verdana" w:hAnsi="Verdana" w:eastAsia="Times New Roman" w:cs="Times New Roman"/>
          <w:sz w:val="18"/>
          <w:szCs w:val="18"/>
          <w:lang w:eastAsia="nl-NL"/>
        </w:rPr>
        <w:t xml:space="preserve">sectorbedrijven </w:t>
      </w:r>
      <w:r w:rsidRPr="00E43A50" w:rsidR="00B77611">
        <w:rPr>
          <w:rFonts w:ascii="Verdana" w:hAnsi="Verdana" w:eastAsia="Times New Roman" w:cs="Times New Roman"/>
          <w:sz w:val="18"/>
          <w:szCs w:val="18"/>
          <w:lang w:eastAsia="nl-NL"/>
        </w:rPr>
        <w:t>die bepaalde activiteiten uitvoeren</w:t>
      </w:r>
      <w:r w:rsidR="00142431">
        <w:rPr>
          <w:rFonts w:ascii="Verdana" w:hAnsi="Verdana" w:eastAsia="Times New Roman" w:cs="Times New Roman"/>
          <w:sz w:val="18"/>
          <w:szCs w:val="18"/>
          <w:lang w:eastAsia="nl-NL"/>
        </w:rPr>
        <w:t>,</w:t>
      </w:r>
      <w:r w:rsidRPr="00E43A50" w:rsidR="00B77611">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lang w:eastAsia="nl-NL"/>
        </w:rPr>
        <w:t xml:space="preserve">zoals </w:t>
      </w:r>
      <w:r w:rsidR="009925A4">
        <w:rPr>
          <w:rFonts w:ascii="Verdana" w:hAnsi="Verdana" w:eastAsia="Times New Roman" w:cs="Times New Roman"/>
          <w:sz w:val="18"/>
          <w:szCs w:val="18"/>
          <w:lang w:eastAsia="nl-NL"/>
        </w:rPr>
        <w:t>g</w:t>
      </w:r>
      <w:r w:rsidRPr="00E43A50" w:rsidR="00B77611">
        <w:rPr>
          <w:rFonts w:ascii="Verdana" w:hAnsi="Verdana" w:eastAsia="Times New Roman" w:cs="Times New Roman"/>
          <w:sz w:val="18"/>
          <w:szCs w:val="18"/>
          <w:lang w:eastAsia="nl-NL"/>
        </w:rPr>
        <w:t xml:space="preserve">enoemd in artikel 3.1 t/m 3.6 van </w:t>
      </w:r>
      <w:r w:rsidRPr="00E43A50">
        <w:rPr>
          <w:rFonts w:ascii="Verdana" w:hAnsi="Verdana" w:eastAsia="Times New Roman" w:cs="Times New Roman"/>
          <w:sz w:val="18"/>
          <w:szCs w:val="18"/>
          <w:lang w:eastAsia="nl-NL"/>
        </w:rPr>
        <w:t xml:space="preserve">de Aanbestedingswet 2012. </w:t>
      </w:r>
      <w:r w:rsidRPr="00E43A50" w:rsidR="00B77611">
        <w:rPr>
          <w:rFonts w:ascii="Verdana" w:hAnsi="Verdana" w:eastAsia="Times New Roman" w:cs="Times New Roman"/>
          <w:sz w:val="18"/>
          <w:szCs w:val="18"/>
          <w:lang w:eastAsia="nl-NL"/>
        </w:rPr>
        <w:t>Door deze structuur</w:t>
      </w:r>
      <w:r w:rsidRPr="00E43A50">
        <w:rPr>
          <w:rFonts w:ascii="Verdana" w:hAnsi="Verdana" w:eastAsia="Times New Roman" w:cs="Times New Roman"/>
          <w:sz w:val="18"/>
          <w:szCs w:val="18"/>
          <w:lang w:eastAsia="nl-NL"/>
        </w:rPr>
        <w:t xml:space="preserve"> wordt flexibiliteit geboden om de</w:t>
      </w:r>
      <w:r w:rsidR="003901A0">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lang w:eastAsia="nl-NL"/>
        </w:rPr>
        <w:t xml:space="preserve">eisen </w:t>
      </w:r>
      <w:r w:rsidR="00D80878">
        <w:rPr>
          <w:rFonts w:ascii="Verdana" w:hAnsi="Verdana" w:eastAsia="Times New Roman" w:cs="Times New Roman"/>
          <w:sz w:val="18"/>
          <w:szCs w:val="18"/>
          <w:lang w:eastAsia="nl-NL"/>
        </w:rPr>
        <w:t>die</w:t>
      </w:r>
      <w:r w:rsidRPr="00D80878" w:rsidR="00D80878">
        <w:rPr>
          <w:rFonts w:ascii="Verdana" w:hAnsi="Verdana" w:eastAsia="Times New Roman" w:cs="Times New Roman"/>
          <w:sz w:val="18"/>
          <w:szCs w:val="18"/>
          <w:lang w:eastAsia="nl-NL"/>
        </w:rPr>
        <w:t xml:space="preserve"> de milieubelasting van GWW-werken beperken </w:t>
      </w:r>
      <w:r w:rsidRPr="00E43A50">
        <w:rPr>
          <w:rFonts w:ascii="Verdana" w:hAnsi="Verdana" w:eastAsia="Times New Roman" w:cs="Times New Roman"/>
          <w:sz w:val="18"/>
          <w:szCs w:val="18"/>
          <w:lang w:eastAsia="nl-NL"/>
        </w:rPr>
        <w:t>aan te passen aan technologische ontwikkelingen en beleidsinzichten, zonder dat telkens een wetswijziging nodig is</w:t>
      </w:r>
      <w:r w:rsidR="000C0F3A">
        <w:rPr>
          <w:rFonts w:ascii="Verdana" w:hAnsi="Verdana" w:eastAsia="Times New Roman" w:cs="Times New Roman"/>
          <w:sz w:val="18"/>
          <w:szCs w:val="18"/>
          <w:lang w:eastAsia="nl-NL"/>
        </w:rPr>
        <w:t>.</w:t>
      </w:r>
      <w:r w:rsidRPr="00E43A50">
        <w:rPr>
          <w:rFonts w:ascii="Verdana" w:hAnsi="Verdana" w:eastAsia="Times New Roman" w:cs="Times New Roman"/>
          <w:sz w:val="18"/>
          <w:szCs w:val="18"/>
          <w:lang w:eastAsia="nl-NL"/>
        </w:rPr>
        <w:t xml:space="preserve"> </w:t>
      </w:r>
      <w:r w:rsidR="000C0F3A">
        <w:rPr>
          <w:rFonts w:ascii="Verdana" w:hAnsi="Verdana" w:eastAsia="Times New Roman" w:cs="Times New Roman"/>
          <w:sz w:val="18"/>
          <w:szCs w:val="18"/>
          <w:lang w:eastAsia="nl-NL"/>
        </w:rPr>
        <w:t>D</w:t>
      </w:r>
      <w:r w:rsidRPr="00E43A50">
        <w:rPr>
          <w:rFonts w:ascii="Verdana" w:hAnsi="Verdana" w:eastAsia="Times New Roman" w:cs="Times New Roman"/>
          <w:sz w:val="18"/>
          <w:szCs w:val="18"/>
          <w:lang w:eastAsia="nl-NL"/>
        </w:rPr>
        <w:t xml:space="preserve">oordat aanpassingen </w:t>
      </w:r>
      <w:r w:rsidR="000C0F3A">
        <w:rPr>
          <w:rFonts w:ascii="Verdana" w:hAnsi="Verdana" w:eastAsia="Times New Roman" w:cs="Times New Roman"/>
          <w:sz w:val="18"/>
          <w:szCs w:val="18"/>
          <w:lang w:eastAsia="nl-NL"/>
        </w:rPr>
        <w:t xml:space="preserve">in materiële regelgeving plaatsvinden </w:t>
      </w:r>
      <w:r w:rsidRPr="00E43A50" w:rsidR="000C0F3A">
        <w:rPr>
          <w:rFonts w:ascii="Verdana" w:hAnsi="Verdana" w:eastAsia="Times New Roman" w:cs="Times New Roman"/>
          <w:sz w:val="18"/>
          <w:szCs w:val="18"/>
          <w:lang w:eastAsia="nl-NL"/>
        </w:rPr>
        <w:t>met de daaraan verbonden procedurele waarborgen</w:t>
      </w:r>
      <w:r w:rsidR="000C0F3A">
        <w:rPr>
          <w:rFonts w:ascii="Verdana" w:hAnsi="Verdana" w:eastAsia="Times New Roman" w:cs="Times New Roman"/>
          <w:sz w:val="18"/>
          <w:szCs w:val="18"/>
          <w:lang w:eastAsia="nl-NL"/>
        </w:rPr>
        <w:t xml:space="preserve">, blijft de </w:t>
      </w:r>
      <w:r w:rsidRPr="00E43A50" w:rsidR="000C0F3A">
        <w:rPr>
          <w:rFonts w:ascii="Verdana" w:hAnsi="Verdana" w:eastAsia="Times New Roman" w:cs="Times New Roman"/>
          <w:sz w:val="18"/>
          <w:szCs w:val="18"/>
          <w:lang w:eastAsia="nl-NL"/>
        </w:rPr>
        <w:t>zorgvuldigheid geborgd</w:t>
      </w:r>
      <w:r w:rsidRPr="00E43A50">
        <w:rPr>
          <w:rFonts w:ascii="Verdana" w:hAnsi="Verdana" w:eastAsia="Times New Roman" w:cs="Times New Roman"/>
          <w:sz w:val="18"/>
          <w:szCs w:val="18"/>
          <w:lang w:eastAsia="nl-NL"/>
        </w:rPr>
        <w:t>.</w:t>
      </w:r>
      <w:bookmarkEnd w:id="9"/>
    </w:p>
    <w:p w:rsidR="006E08F4" w:rsidP="00643E93" w:rsidRDefault="001448A0" w14:paraId="1E017A29" w14:textId="1F73DAB7">
      <w:pPr>
        <w:spacing w:after="0" w:line="276" w:lineRule="auto"/>
        <w:rPr>
          <w:rFonts w:ascii="Verdana" w:hAnsi="Verdana" w:eastAsia="Times New Roman" w:cs="Times New Roman"/>
          <w:sz w:val="18"/>
          <w:szCs w:val="18"/>
          <w:lang w:eastAsia="nl-NL"/>
        </w:rPr>
      </w:pPr>
      <w:bookmarkStart w:name="_Hlk201639665" w:id="10"/>
      <w:r w:rsidRPr="00E43A50">
        <w:rPr>
          <w:rFonts w:ascii="Verdana" w:hAnsi="Verdana" w:eastAsia="Times New Roman" w:cs="Times New Roman"/>
          <w:sz w:val="18"/>
          <w:szCs w:val="18"/>
          <w:lang w:eastAsia="nl-NL"/>
        </w:rPr>
        <w:lastRenderedPageBreak/>
        <w:t xml:space="preserve">De in deze wet opgenomen verplichtingen ten aanzien van </w:t>
      </w:r>
      <w:r w:rsidR="00D80878">
        <w:rPr>
          <w:rFonts w:ascii="Verdana" w:hAnsi="Verdana" w:eastAsia="Times New Roman" w:cs="Times New Roman"/>
          <w:sz w:val="18"/>
          <w:szCs w:val="18"/>
          <w:lang w:eastAsia="nl-NL"/>
        </w:rPr>
        <w:t>het beperken van de milieubelasting van GWW-werken</w:t>
      </w:r>
      <w:r w:rsidRPr="00E43A50">
        <w:rPr>
          <w:rFonts w:ascii="Verdana" w:hAnsi="Verdana" w:eastAsia="Times New Roman" w:cs="Times New Roman"/>
          <w:sz w:val="18"/>
          <w:szCs w:val="18"/>
          <w:lang w:eastAsia="nl-NL"/>
        </w:rPr>
        <w:t xml:space="preserve"> zijn van toepassing op aanbestedingen van </w:t>
      </w:r>
      <w:r w:rsidRPr="00E43A50" w:rsidR="003A4A05">
        <w:rPr>
          <w:rFonts w:ascii="Verdana" w:hAnsi="Verdana" w:eastAsia="Times New Roman" w:cs="Times New Roman"/>
          <w:sz w:val="18"/>
          <w:szCs w:val="18"/>
          <w:lang w:eastAsia="nl-NL"/>
        </w:rPr>
        <w:t>een “werk”</w:t>
      </w:r>
      <w:r w:rsidRPr="00E43A50">
        <w:rPr>
          <w:rFonts w:ascii="Verdana" w:hAnsi="Verdana" w:eastAsia="Times New Roman" w:cs="Times New Roman"/>
          <w:sz w:val="18"/>
          <w:szCs w:val="18"/>
          <w:lang w:eastAsia="nl-NL"/>
        </w:rPr>
        <w:t xml:space="preserve"> in de zin van de Aanbestedingswet 2012. Onder een werk wordt verstaan: het product van een geheel van bouwkundige of civieltechnische werkzaamheden dat een economische of technische functie kan vervullen. Deze wettelijke definitie omvat zowel gebouwen als infrastructurele projecten. In het kader van deze wetgeving </w:t>
      </w:r>
      <w:r w:rsidRPr="00E43A50" w:rsidR="003A4A05">
        <w:rPr>
          <w:rFonts w:ascii="Verdana" w:hAnsi="Verdana" w:eastAsia="Times New Roman" w:cs="Times New Roman"/>
          <w:sz w:val="18"/>
          <w:szCs w:val="18"/>
          <w:lang w:eastAsia="nl-NL"/>
        </w:rPr>
        <w:t>ligt de focus op</w:t>
      </w:r>
      <w:r w:rsidRPr="00E43A50">
        <w:rPr>
          <w:rFonts w:ascii="Verdana" w:hAnsi="Verdana" w:eastAsia="Times New Roman" w:cs="Times New Roman"/>
          <w:sz w:val="18"/>
          <w:szCs w:val="18"/>
          <w:lang w:eastAsia="nl-NL"/>
        </w:rPr>
        <w:t xml:space="preserve"> werken in de </w:t>
      </w:r>
      <w:r w:rsidR="00DB71A0">
        <w:rPr>
          <w:rFonts w:ascii="Verdana" w:hAnsi="Verdana" w:eastAsia="Times New Roman" w:cs="Times New Roman"/>
          <w:sz w:val="18"/>
          <w:szCs w:val="18"/>
          <w:lang w:eastAsia="nl-NL"/>
        </w:rPr>
        <w:t>GWW-</w:t>
      </w:r>
      <w:r w:rsidRPr="00E43A50">
        <w:rPr>
          <w:rFonts w:ascii="Verdana" w:hAnsi="Verdana" w:eastAsia="Times New Roman" w:cs="Times New Roman"/>
          <w:sz w:val="18"/>
          <w:szCs w:val="18"/>
          <w:lang w:eastAsia="nl-NL"/>
        </w:rPr>
        <w:t>sector, waaronder onder meer de aanleg en het onderhoud van wegen, bruggen, viaducten, kades, sluizen en rioleringssystemen vallen. Hoewel de term GWW geen formele juridische status heeft, wordt deze in de praktijk breed gebruikt als aanduiding voor civieltechnische werken in de buitenruimte. Alle GWW-werken vallen onder de bredere categorie “werk” zoals bedoeld in de Aanbestedingswet</w:t>
      </w:r>
      <w:r w:rsidR="005A28A5">
        <w:rPr>
          <w:rFonts w:ascii="Verdana" w:hAnsi="Verdana" w:eastAsia="Times New Roman" w:cs="Times New Roman"/>
          <w:sz w:val="18"/>
          <w:szCs w:val="18"/>
          <w:lang w:eastAsia="nl-NL"/>
        </w:rPr>
        <w:t xml:space="preserve"> 2012</w:t>
      </w:r>
      <w:r w:rsidRPr="00E43A50">
        <w:rPr>
          <w:rFonts w:ascii="Verdana" w:hAnsi="Verdana" w:eastAsia="Times New Roman" w:cs="Times New Roman"/>
          <w:sz w:val="18"/>
          <w:szCs w:val="18"/>
          <w:lang w:eastAsia="nl-NL"/>
        </w:rPr>
        <w:t>, en vormen daarmee een belangrijk toepassingsgebied voor de voorgeschreven</w:t>
      </w:r>
      <w:r w:rsidR="00D80878">
        <w:rPr>
          <w:rFonts w:ascii="Verdana" w:hAnsi="Verdana" w:eastAsia="Times New Roman" w:cs="Times New Roman"/>
          <w:sz w:val="18"/>
          <w:szCs w:val="18"/>
          <w:lang w:eastAsia="nl-NL"/>
        </w:rPr>
        <w:t xml:space="preserve"> eisen.</w:t>
      </w:r>
      <w:r w:rsidRPr="00E43A50">
        <w:rPr>
          <w:rFonts w:ascii="Verdana" w:hAnsi="Verdana" w:eastAsia="Times New Roman" w:cs="Times New Roman"/>
          <w:sz w:val="18"/>
          <w:szCs w:val="18"/>
          <w:lang w:eastAsia="nl-NL"/>
        </w:rPr>
        <w:t xml:space="preserve"> </w:t>
      </w:r>
    </w:p>
    <w:p w:rsidR="006E08F4" w:rsidP="00643E93" w:rsidRDefault="006E08F4" w14:paraId="0A679EB9" w14:textId="77777777">
      <w:pPr>
        <w:spacing w:after="0" w:line="276" w:lineRule="auto"/>
        <w:rPr>
          <w:rFonts w:ascii="Verdana" w:hAnsi="Verdana" w:eastAsia="Times New Roman" w:cs="Times New Roman"/>
          <w:sz w:val="18"/>
          <w:szCs w:val="18"/>
          <w:lang w:eastAsia="nl-NL"/>
        </w:rPr>
      </w:pPr>
    </w:p>
    <w:p w:rsidR="00E57CB6" w:rsidP="00643E93" w:rsidRDefault="00870B70" w14:paraId="08B61126" w14:textId="38E75B5B">
      <w:pPr>
        <w:spacing w:after="0" w:line="276" w:lineRule="auto"/>
        <w:rPr>
          <w:rFonts w:ascii="Verdana" w:hAnsi="Verdana" w:eastAsia="Times New Roman" w:cs="Times New Roman"/>
          <w:sz w:val="18"/>
          <w:szCs w:val="18"/>
          <w:lang w:eastAsia="nl-NL"/>
        </w:rPr>
      </w:pPr>
      <w:r>
        <w:rPr>
          <w:rFonts w:ascii="Verdana" w:hAnsi="Verdana" w:eastAsia="DejaVu Sans" w:cs="Lohit Hindi"/>
          <w:color w:val="000000" w:themeColor="text1"/>
          <w:sz w:val="18"/>
          <w:szCs w:val="18"/>
          <w:lang w:eastAsia="nl-NL"/>
        </w:rPr>
        <w:t xml:space="preserve">Het </w:t>
      </w:r>
      <w:r w:rsidRPr="00643E93">
        <w:rPr>
          <w:rFonts w:ascii="Verdana" w:hAnsi="Verdana" w:eastAsia="DejaVu Sans" w:cs="Lohit Hindi"/>
          <w:color w:val="000000" w:themeColor="text1"/>
          <w:sz w:val="18"/>
          <w:szCs w:val="18"/>
          <w:lang w:eastAsia="nl-NL"/>
        </w:rPr>
        <w:t xml:space="preserve">voornemen is om bij </w:t>
      </w:r>
      <w:proofErr w:type="spellStart"/>
      <w:r w:rsidRPr="00643E93">
        <w:rPr>
          <w:rFonts w:ascii="Verdana" w:hAnsi="Verdana" w:eastAsia="DejaVu Sans" w:cs="Lohit Hindi"/>
          <w:color w:val="000000" w:themeColor="text1"/>
          <w:sz w:val="18"/>
          <w:szCs w:val="18"/>
          <w:lang w:eastAsia="nl-NL"/>
        </w:rPr>
        <w:t>amvb</w:t>
      </w:r>
      <w:proofErr w:type="spellEnd"/>
      <w:r w:rsidRPr="00643E93">
        <w:rPr>
          <w:rFonts w:ascii="Verdana" w:hAnsi="Verdana" w:eastAsia="DejaVu Sans" w:cs="Lohit Hindi"/>
          <w:color w:val="000000" w:themeColor="text1"/>
          <w:sz w:val="18"/>
          <w:szCs w:val="18"/>
          <w:lang w:eastAsia="nl-NL"/>
        </w:rPr>
        <w:t xml:space="preserve"> zowel de milieuprestatie-eisen die worden verplicht voor de meest milieubelastende materialen</w:t>
      </w:r>
      <w:r w:rsidRPr="00643E93" w:rsidR="00E57CB6">
        <w:rPr>
          <w:rFonts w:ascii="Verdana" w:hAnsi="Verdana" w:eastAsia="Times New Roman" w:cs="Times New Roman"/>
          <w:sz w:val="18"/>
          <w:szCs w:val="18"/>
          <w:lang w:eastAsia="nl-NL"/>
        </w:rPr>
        <w:t>,</w:t>
      </w:r>
      <w:r w:rsidRPr="00643E93">
        <w:rPr>
          <w:rFonts w:ascii="Verdana" w:hAnsi="Verdana" w:eastAsia="Times New Roman" w:cs="Times New Roman"/>
          <w:sz w:val="18"/>
          <w:szCs w:val="18"/>
          <w:lang w:eastAsia="nl-NL"/>
        </w:rPr>
        <w:t xml:space="preserve"> als </w:t>
      </w:r>
      <w:r w:rsidR="00A8021F">
        <w:rPr>
          <w:rFonts w:ascii="Verdana" w:hAnsi="Verdana" w:eastAsia="Times New Roman" w:cs="Times New Roman"/>
          <w:sz w:val="18"/>
          <w:szCs w:val="18"/>
          <w:lang w:eastAsia="nl-NL"/>
        </w:rPr>
        <w:t>het nader criterium</w:t>
      </w:r>
      <w:r w:rsidR="00DF226D">
        <w:rPr>
          <w:rFonts w:ascii="Verdana" w:hAnsi="Verdana" w:eastAsia="Times New Roman" w:cs="Times New Roman"/>
          <w:sz w:val="18"/>
          <w:szCs w:val="18"/>
          <w:lang w:eastAsia="nl-NL"/>
        </w:rPr>
        <w:t xml:space="preserve"> </w:t>
      </w:r>
      <w:r w:rsidRPr="00643E93">
        <w:rPr>
          <w:rFonts w:ascii="Verdana" w:hAnsi="Verdana" w:eastAsia="DejaVu Sans" w:cs="Lohit Hindi"/>
          <w:color w:val="000000" w:themeColor="text1"/>
          <w:sz w:val="18"/>
          <w:szCs w:val="18"/>
          <w:lang w:eastAsia="nl-NL"/>
        </w:rPr>
        <w:t xml:space="preserve">te bepalen </w:t>
      </w:r>
      <w:r w:rsidRPr="00643E93" w:rsidR="004C6D90">
        <w:rPr>
          <w:rFonts w:ascii="Verdana" w:hAnsi="Verdana" w:eastAsia="Times New Roman" w:cs="Times New Roman"/>
          <w:sz w:val="18"/>
          <w:szCs w:val="18"/>
          <w:lang w:eastAsia="nl-NL"/>
        </w:rPr>
        <w:t>aan de hand van</w:t>
      </w:r>
      <w:r w:rsidRPr="00643E93" w:rsidR="00E57CB6">
        <w:rPr>
          <w:rFonts w:ascii="Verdana" w:hAnsi="Verdana" w:eastAsia="Times New Roman" w:cs="Times New Roman"/>
          <w:sz w:val="18"/>
          <w:szCs w:val="18"/>
          <w:lang w:eastAsia="nl-NL"/>
        </w:rPr>
        <w:t xml:space="preserve"> een levenscyclusbenadering. Daarbij worden onder meer materiaalproductie, transport en uitvoering meegenomen in de milieuscore. Hoewel het gebruik van emissiearm of emissieloos materieel de milieuscore positief beïnvloedt, wordt daarop met dit wetsvoorstel niet direct gestuurd. Opdrachtnemers behouden de vrijheid om zelf te bepalen hoe zij de milieu-impact beperken, binnen de gestelde eisen. De inzet op schoon materieel wordt reeds actief bevorderd via het programma </w:t>
      </w:r>
      <w:r w:rsidRPr="00643E93" w:rsidR="00E57CB6">
        <w:rPr>
          <w:rFonts w:ascii="Verdana" w:hAnsi="Verdana" w:eastAsia="Times New Roman" w:cs="Times New Roman"/>
          <w:i/>
          <w:sz w:val="18"/>
          <w:szCs w:val="18"/>
          <w:lang w:eastAsia="nl-NL"/>
        </w:rPr>
        <w:t>Schoon en Emissieloos Bouwen (SEB)</w:t>
      </w:r>
      <w:r w:rsidRPr="00643E93" w:rsidR="00E57CB6">
        <w:rPr>
          <w:rFonts w:ascii="Verdana" w:hAnsi="Verdana" w:eastAsia="Times New Roman" w:cs="Times New Roman"/>
          <w:sz w:val="18"/>
          <w:szCs w:val="18"/>
          <w:lang w:eastAsia="nl-NL"/>
        </w:rPr>
        <w:t>, waarin een routekaart en convenant zijn opgesteld en subsidieregelingen beschikbaar zijn.</w:t>
      </w:r>
      <w:r w:rsidRPr="00E57CB6" w:rsidR="00E57CB6">
        <w:rPr>
          <w:rFonts w:ascii="Verdana" w:hAnsi="Verdana" w:eastAsia="Times New Roman" w:cs="Times New Roman"/>
          <w:sz w:val="18"/>
          <w:szCs w:val="18"/>
          <w:lang w:eastAsia="nl-NL"/>
        </w:rPr>
        <w:t xml:space="preserve"> </w:t>
      </w:r>
      <w:bookmarkEnd w:id="10"/>
    </w:p>
    <w:p w:rsidR="00EE2F26" w:rsidP="00643E93" w:rsidRDefault="00EE2F26" w14:paraId="3CFB8309" w14:textId="59196CD7">
      <w:pPr>
        <w:spacing w:after="0" w:line="276" w:lineRule="auto"/>
        <w:rPr>
          <w:rFonts w:ascii="Verdana" w:hAnsi="Verdana" w:eastAsia="Times New Roman" w:cs="Times New Roman"/>
          <w:sz w:val="18"/>
          <w:szCs w:val="18"/>
          <w:lang w:eastAsia="nl-NL"/>
        </w:rPr>
      </w:pPr>
    </w:p>
    <w:p w:rsidR="00870B70" w:rsidP="00643E93" w:rsidRDefault="008C1CCD" w14:paraId="58AD2494" w14:textId="20AB2FAA">
      <w:pPr>
        <w:spacing w:after="0" w:line="276" w:lineRule="auto"/>
        <w:rPr>
          <w:rFonts w:ascii="Verdana" w:hAnsi="Verdana" w:eastAsia="Times New Roman" w:cs="Times New Roman"/>
          <w:sz w:val="18"/>
          <w:szCs w:val="18"/>
          <w:lang w:eastAsia="nl-NL"/>
        </w:rPr>
      </w:pPr>
      <w:r w:rsidRPr="00E43A50">
        <w:rPr>
          <w:rFonts w:ascii="Verdana" w:hAnsi="Verdana" w:eastAsia="Times New Roman" w:cs="Times New Roman"/>
          <w:sz w:val="18"/>
          <w:szCs w:val="18"/>
          <w:lang w:eastAsia="nl-NL"/>
        </w:rPr>
        <w:t xml:space="preserve">Wanneer in </w:t>
      </w:r>
      <w:r w:rsidR="004E5D63">
        <w:rPr>
          <w:rFonts w:ascii="Verdana" w:hAnsi="Verdana" w:eastAsia="Times New Roman" w:cs="Times New Roman"/>
          <w:sz w:val="18"/>
          <w:szCs w:val="18"/>
          <w:lang w:eastAsia="nl-NL"/>
        </w:rPr>
        <w:t>deze toelichting</w:t>
      </w:r>
      <w:r w:rsidRPr="00E43A50">
        <w:rPr>
          <w:rFonts w:ascii="Verdana" w:hAnsi="Verdana" w:eastAsia="Times New Roman" w:cs="Times New Roman"/>
          <w:sz w:val="18"/>
          <w:szCs w:val="18"/>
          <w:lang w:eastAsia="nl-NL"/>
        </w:rPr>
        <w:t xml:space="preserve"> wordt gesproken van opdrachtnemers</w:t>
      </w:r>
      <w:r>
        <w:rPr>
          <w:rFonts w:ascii="Verdana" w:hAnsi="Verdana" w:eastAsia="Times New Roman" w:cs="Times New Roman"/>
          <w:sz w:val="18"/>
          <w:szCs w:val="18"/>
          <w:lang w:eastAsia="nl-NL"/>
        </w:rPr>
        <w:t>,</w:t>
      </w:r>
      <w:r w:rsidRPr="00E43A50">
        <w:rPr>
          <w:rFonts w:ascii="Verdana" w:hAnsi="Verdana" w:eastAsia="Times New Roman" w:cs="Times New Roman"/>
          <w:sz w:val="18"/>
          <w:szCs w:val="18"/>
          <w:lang w:eastAsia="nl-NL"/>
        </w:rPr>
        <w:t xml:space="preserve"> worden alle partijen bedoeld die opdrachten van aanbestedende diensten of speciale</w:t>
      </w:r>
      <w:r>
        <w:rPr>
          <w:rFonts w:ascii="Verdana" w:hAnsi="Verdana" w:eastAsia="Times New Roman" w:cs="Times New Roman"/>
          <w:sz w:val="18"/>
          <w:szCs w:val="18"/>
          <w:lang w:eastAsia="nl-NL"/>
        </w:rPr>
        <w:t>-</w:t>
      </w:r>
      <w:r w:rsidRPr="00E43A50">
        <w:rPr>
          <w:rFonts w:ascii="Verdana" w:hAnsi="Verdana" w:eastAsia="Times New Roman" w:cs="Times New Roman"/>
          <w:sz w:val="18"/>
          <w:szCs w:val="18"/>
          <w:lang w:eastAsia="nl-NL"/>
        </w:rPr>
        <w:t xml:space="preserve">sectorbedrijven aannemen voor de realisatie van GWW-werken. </w:t>
      </w:r>
      <w:r w:rsidRPr="00E43A50">
        <w:rPr>
          <w:rFonts w:ascii="Verdana" w:hAnsi="Verdana" w:eastAsia="Times New Roman" w:cs="Times New Roman"/>
          <w:sz w:val="18"/>
          <w:szCs w:val="18"/>
        </w:rPr>
        <w:t xml:space="preserve">In de GWW-sector is het merendeel van de </w:t>
      </w:r>
      <w:r>
        <w:rPr>
          <w:rFonts w:ascii="Verdana" w:hAnsi="Verdana" w:eastAsia="Times New Roman" w:cs="Times New Roman"/>
          <w:sz w:val="18"/>
          <w:szCs w:val="18"/>
          <w:lang w:eastAsia="nl-NL"/>
        </w:rPr>
        <w:t>aanbestedende diensten en speciale-sectorbedrijven</w:t>
      </w:r>
      <w:r w:rsidRPr="00F5605C">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 xml:space="preserve">publiek, </w:t>
      </w:r>
      <w:proofErr w:type="spellStart"/>
      <w:r w:rsidRPr="00E43A50">
        <w:rPr>
          <w:rFonts w:ascii="Verdana" w:hAnsi="Verdana" w:eastAsia="Times New Roman" w:cs="Times New Roman"/>
          <w:sz w:val="18"/>
          <w:szCs w:val="18"/>
        </w:rPr>
        <w:t>semi-publiek</w:t>
      </w:r>
      <w:proofErr w:type="spellEnd"/>
      <w:r w:rsidRPr="00E43A50">
        <w:rPr>
          <w:rFonts w:ascii="Verdana" w:hAnsi="Verdana" w:eastAsia="Times New Roman" w:cs="Times New Roman"/>
          <w:sz w:val="18"/>
          <w:szCs w:val="18"/>
        </w:rPr>
        <w:t xml:space="preserve"> of belast met een publieke taak. Het wetsvoorstel geldt daarom voor aanbestedende diensten </w:t>
      </w:r>
      <w:r w:rsidRPr="005B4CB1">
        <w:rPr>
          <w:rFonts w:ascii="Verdana" w:hAnsi="Verdana" w:eastAsia="Times New Roman" w:cs="Times New Roman"/>
          <w:sz w:val="18"/>
          <w:szCs w:val="18"/>
        </w:rPr>
        <w:t>en speciale-sectorbedrijven</w:t>
      </w:r>
      <w:r w:rsidRPr="00E43A50">
        <w:rPr>
          <w:rFonts w:ascii="Verdana" w:hAnsi="Verdana" w:eastAsia="Times New Roman" w:cs="Times New Roman"/>
          <w:sz w:val="18"/>
          <w:szCs w:val="18"/>
        </w:rPr>
        <w:t xml:space="preserve"> in de GWW die aanbestedingsplichtig zijn</w:t>
      </w:r>
      <w:r>
        <w:rPr>
          <w:rFonts w:ascii="Verdana" w:hAnsi="Verdana" w:eastAsia="Times New Roman" w:cs="Times New Roman"/>
          <w:sz w:val="18"/>
          <w:szCs w:val="18"/>
        </w:rPr>
        <w:t xml:space="preserve"> volgens de aanbestedingsrichtlijnen</w:t>
      </w:r>
      <w:r w:rsidRPr="00E43A50">
        <w:rPr>
          <w:rFonts w:ascii="Verdana" w:hAnsi="Verdana" w:eastAsia="Times New Roman" w:cs="Times New Roman"/>
          <w:sz w:val="18"/>
          <w:szCs w:val="18"/>
        </w:rPr>
        <w:t>.</w:t>
      </w:r>
      <w:r>
        <w:rPr>
          <w:rFonts w:ascii="Verdana" w:hAnsi="Verdana" w:eastAsia="Times New Roman" w:cs="Times New Roman"/>
          <w:sz w:val="18"/>
          <w:szCs w:val="18"/>
        </w:rPr>
        <w:t xml:space="preserve"> </w:t>
      </w:r>
      <w:r>
        <w:rPr>
          <w:rFonts w:ascii="Verdana" w:hAnsi="Verdana" w:eastAsia="DejaVu Sans" w:cs="Lohit Hindi"/>
          <w:color w:val="000000" w:themeColor="text1"/>
          <w:sz w:val="18"/>
          <w:szCs w:val="18"/>
          <w:lang w:eastAsia="nl-NL"/>
        </w:rPr>
        <w:t>Voor speciale-sectorbedrijven gaat het dan alleen om speciale-sectoropdrachten of concessieopdrachten voor activiteiten die in de artikelen 3.1 tot en met 3.6 van de Aanbestedingswet 2012 zijn genoemd én bij a</w:t>
      </w:r>
      <w:r w:rsidR="005A28A5">
        <w:rPr>
          <w:rFonts w:ascii="Verdana" w:hAnsi="Verdana" w:eastAsia="DejaVu Sans" w:cs="Lohit Hindi"/>
          <w:color w:val="000000" w:themeColor="text1"/>
          <w:sz w:val="18"/>
          <w:szCs w:val="18"/>
          <w:lang w:eastAsia="nl-NL"/>
        </w:rPr>
        <w:t>mvb</w:t>
      </w:r>
      <w:r>
        <w:rPr>
          <w:rFonts w:ascii="Verdana" w:hAnsi="Verdana" w:eastAsia="DejaVu Sans" w:cs="Lohit Hindi"/>
          <w:color w:val="000000" w:themeColor="text1"/>
          <w:sz w:val="18"/>
          <w:szCs w:val="18"/>
          <w:lang w:eastAsia="nl-NL"/>
        </w:rPr>
        <w:t xml:space="preserve"> zijn aangewezen. </w:t>
      </w:r>
      <w:r w:rsidRPr="00F52418">
        <w:rPr>
          <w:rFonts w:ascii="Verdana" w:hAnsi="Verdana" w:eastAsia="DejaVu Sans" w:cs="Lohit Hindi"/>
          <w:color w:val="000000" w:themeColor="text1"/>
          <w:sz w:val="18"/>
          <w:szCs w:val="18"/>
          <w:lang w:eastAsia="nl-NL"/>
        </w:rPr>
        <w:t>Openbaarvervoerbedrijven, drinkwaterbedrijven, energiebedrijven en havenbedrijven zijn zogenoemde speciale-sectorbedrijven. Deze bedrijven zijn werkzaam in de sectoren water- en energievoorziening, vervoer en postdiensten: de speciale sectoren.</w:t>
      </w:r>
      <w:r>
        <w:rPr>
          <w:rFonts w:ascii="Verdana" w:hAnsi="Verdana" w:eastAsia="DejaVu Sans" w:cs="Lohit Hindi"/>
          <w:color w:val="000000" w:themeColor="text1"/>
          <w:sz w:val="18"/>
          <w:szCs w:val="18"/>
          <w:lang w:eastAsia="nl-NL"/>
        </w:rPr>
        <w:t xml:space="preserve"> Indien het bij amvb nodig wordt geacht, vallen daaronder bijvoorbeeld waterschappen en ProRail.</w:t>
      </w:r>
      <w:r>
        <w:rPr>
          <w:rFonts w:ascii="Verdana" w:hAnsi="Verdana" w:eastAsia="Times New Roman" w:cs="Times New Roman"/>
          <w:sz w:val="18"/>
          <w:szCs w:val="18"/>
        </w:rPr>
        <w:t xml:space="preserve"> </w:t>
      </w:r>
    </w:p>
    <w:p w:rsidR="00E57CB6" w:rsidP="00643E93" w:rsidRDefault="00E57CB6" w14:paraId="34BDDD99" w14:textId="77777777">
      <w:pPr>
        <w:spacing w:after="0" w:line="276" w:lineRule="auto"/>
        <w:rPr>
          <w:rFonts w:ascii="Verdana" w:hAnsi="Verdana" w:eastAsia="Times New Roman" w:cs="Times New Roman"/>
          <w:sz w:val="18"/>
          <w:szCs w:val="18"/>
        </w:rPr>
      </w:pPr>
    </w:p>
    <w:p w:rsidRPr="00F2248B" w:rsidR="00E57CB6" w:rsidP="00643E93" w:rsidRDefault="00E57CB6" w14:paraId="3D6661FA" w14:textId="77777777">
      <w:pPr>
        <w:spacing w:after="0" w:line="276" w:lineRule="auto"/>
        <w:rPr>
          <w:rFonts w:ascii="Verdana" w:hAnsi="Verdana" w:eastAsia="Times New Roman" w:cs="Times New Roman"/>
          <w:sz w:val="18"/>
          <w:szCs w:val="18"/>
        </w:rPr>
      </w:pPr>
    </w:p>
    <w:p w:rsidRPr="00E43A50" w:rsidR="00C273E2" w:rsidP="00643E93" w:rsidRDefault="004F0533" w14:paraId="07402878" w14:textId="5C71C19B">
      <w:pPr>
        <w:pStyle w:val="Kop3"/>
        <w:spacing w:line="276" w:lineRule="auto"/>
      </w:pPr>
      <w:r w:rsidRPr="00E43A50">
        <w:t>Hoofdlijnen van het voorstel</w:t>
      </w:r>
      <w:bookmarkEnd w:id="8"/>
    </w:p>
    <w:p w:rsidRPr="00E43A50" w:rsidR="004F0533" w:rsidP="00D944A9" w:rsidRDefault="004F0533" w14:paraId="6796C616" w14:textId="43CE7BB2">
      <w:pPr>
        <w:pStyle w:val="Kop4"/>
        <w:numPr>
          <w:ilvl w:val="1"/>
          <w:numId w:val="24"/>
        </w:numPr>
        <w:spacing w:line="276" w:lineRule="auto"/>
        <w:rPr>
          <w:bCs/>
        </w:rPr>
      </w:pPr>
      <w:bookmarkStart w:name="_Toc195040748" w:id="11"/>
      <w:r w:rsidRPr="00E43A50">
        <w:t>Aanleiding</w:t>
      </w:r>
      <w:bookmarkEnd w:id="11"/>
      <w:r w:rsidRPr="00E43A50" w:rsidR="0020799D">
        <w:t xml:space="preserve"> en bredere beleidscontext</w:t>
      </w:r>
    </w:p>
    <w:p w:rsidR="00963C12" w:rsidP="00643E93" w:rsidRDefault="00963C12" w14:paraId="31BB6D90" w14:textId="77777777">
      <w:pPr>
        <w:spacing w:after="0" w:line="276" w:lineRule="auto"/>
        <w:rPr>
          <w:rFonts w:ascii="Verdana" w:hAnsi="Verdana" w:eastAsia="Times New Roman" w:cs="Calibri"/>
          <w:sz w:val="18"/>
          <w:szCs w:val="18"/>
        </w:rPr>
      </w:pPr>
    </w:p>
    <w:p w:rsidRPr="00F2248B" w:rsidR="00963C12" w:rsidP="00643E93" w:rsidRDefault="00870B70" w14:paraId="3C7F8F89" w14:textId="17B7ADAA">
      <w:pPr>
        <w:spacing w:line="276" w:lineRule="auto"/>
        <w:rPr>
          <w:rFonts w:ascii="Verdana" w:hAnsi="Verdana"/>
          <w:sz w:val="18"/>
          <w:szCs w:val="18"/>
        </w:rPr>
      </w:pPr>
      <w:bookmarkStart w:name="_Hlk201639870" w:id="12"/>
      <w:r>
        <w:rPr>
          <w:rFonts w:ascii="Verdana" w:hAnsi="Verdana" w:eastAsia="Times New Roman" w:cs="Calibri"/>
          <w:sz w:val="18"/>
          <w:szCs w:val="18"/>
        </w:rPr>
        <w:t>V</w:t>
      </w:r>
      <w:r w:rsidRPr="00F2248B" w:rsidR="00963C12">
        <w:rPr>
          <w:rFonts w:ascii="Verdana" w:hAnsi="Verdana"/>
          <w:sz w:val="18"/>
          <w:szCs w:val="18"/>
        </w:rPr>
        <w:t>oor het toekomstbestendig maken van onze samenleving</w:t>
      </w:r>
      <w:r>
        <w:rPr>
          <w:rFonts w:ascii="Verdana" w:hAnsi="Verdana"/>
          <w:sz w:val="18"/>
          <w:szCs w:val="18"/>
        </w:rPr>
        <w:t xml:space="preserve"> is een circulaire economie van belang</w:t>
      </w:r>
      <w:r w:rsidRPr="00F2248B" w:rsidR="00963C12">
        <w:rPr>
          <w:rFonts w:ascii="Verdana" w:hAnsi="Verdana"/>
          <w:sz w:val="18"/>
          <w:szCs w:val="18"/>
        </w:rPr>
        <w:t xml:space="preserve">. Door het minimaliseren van het gebruik van eindige grondstoffen en het verlagen van de milieubelasting van productieketens draagt een circulaire economie bij aan het behoud van natuurlijke hulpbronnen, het voorkomen van afval en het beperken van schadelijke emissies. Daarmee versterkt </w:t>
      </w:r>
      <w:r>
        <w:rPr>
          <w:rFonts w:ascii="Verdana" w:hAnsi="Verdana"/>
          <w:sz w:val="18"/>
          <w:szCs w:val="18"/>
        </w:rPr>
        <w:t>een circulaire economie</w:t>
      </w:r>
      <w:r w:rsidRPr="00F2248B" w:rsidR="00963C12">
        <w:rPr>
          <w:rFonts w:ascii="Verdana" w:hAnsi="Verdana"/>
          <w:sz w:val="18"/>
          <w:szCs w:val="18"/>
        </w:rPr>
        <w:t xml:space="preserve"> niet alleen de economische weerbaarheid van Nederland, maar ook de gezondheid van de leefomgeving en de veerkracht van ecosystemen – nu én voor toekomstige generaties.</w:t>
      </w:r>
    </w:p>
    <w:p w:rsidRPr="00F2248B" w:rsidR="00963C12" w:rsidP="00643E93" w:rsidRDefault="00963C12" w14:paraId="04B25284" w14:textId="4704BD66">
      <w:pPr>
        <w:spacing w:line="276" w:lineRule="auto"/>
        <w:rPr>
          <w:rFonts w:ascii="Verdana" w:hAnsi="Verdana"/>
          <w:sz w:val="18"/>
          <w:szCs w:val="18"/>
        </w:rPr>
      </w:pPr>
      <w:r w:rsidRPr="00F2248B">
        <w:rPr>
          <w:rFonts w:ascii="Verdana" w:hAnsi="Verdana"/>
          <w:sz w:val="18"/>
          <w:szCs w:val="18"/>
        </w:rPr>
        <w:lastRenderedPageBreak/>
        <w:t xml:space="preserve">De urgentie van de transitie naar een circulaire economie is stevig verankerd in internationale en Europese afspraken. </w:t>
      </w:r>
      <w:r w:rsidRPr="00071942" w:rsidR="00071942">
        <w:rPr>
          <w:rFonts w:ascii="Verdana" w:hAnsi="Verdana"/>
          <w:sz w:val="18"/>
          <w:szCs w:val="18"/>
        </w:rPr>
        <w:t>Eind 2015 is de Overeenkomst van Parijs tot stand gekomen (Trb. 2016, 162). Het doel van deze overeenkomst is de stijging van de wereldwijde gemiddelde temperatuur ruim onder 2°C te houden ten opzichte van het pre-industriële niveau, en te streven naar een beperking tot 1,5°C (art. 2, lid 1). De Europese Unie en haar lidstaten, waaronder Nederland, hebben ervoor gekozen hun internationale verplichtingen gezamenlijk na te komen. In dit kader heeft de Unie haar klimaatbeleid verankerd in een wetgevingskader. Centraal daarin staan de Uniebrede doelstellingen van klimaatneutraliteit in 2050 en een broeikasgasemissiereductie van ten minste 55% in 2030 ten opzichte van 1990. Deze doelstellingen zijn vastgelegd in de Europese klimaatwet (art. 2, lid 1 en art. 4, lid 1).</w:t>
      </w:r>
      <w:r w:rsidR="00071942">
        <w:rPr>
          <w:rFonts w:ascii="Verdana" w:hAnsi="Verdana"/>
          <w:i/>
          <w:iCs/>
          <w:sz w:val="18"/>
          <w:szCs w:val="18"/>
        </w:rPr>
        <w:t xml:space="preserve"> </w:t>
      </w:r>
      <w:r w:rsidRPr="00F2248B">
        <w:rPr>
          <w:rFonts w:ascii="Verdana" w:hAnsi="Verdana"/>
          <w:sz w:val="18"/>
          <w:szCs w:val="18"/>
        </w:rPr>
        <w:t xml:space="preserve">Ter ondersteuning van deze doelen heeft de Europese Commissie het </w:t>
      </w:r>
      <w:r w:rsidRPr="00F2248B">
        <w:rPr>
          <w:rFonts w:ascii="Verdana" w:hAnsi="Verdana"/>
          <w:i/>
          <w:iCs/>
          <w:sz w:val="18"/>
          <w:szCs w:val="18"/>
        </w:rPr>
        <w:t>EU Circular Economy Action Plan</w:t>
      </w:r>
      <w:r w:rsidRPr="00F2248B">
        <w:rPr>
          <w:rFonts w:ascii="Verdana" w:hAnsi="Verdana"/>
          <w:sz w:val="18"/>
          <w:szCs w:val="18"/>
        </w:rPr>
        <w:t xml:space="preserve"> vastgesteld: een pakket aan wetgevende en stimulerende maatregelen om afval om te zetten in grondstof en grondstoffengebruik te reduceren.</w:t>
      </w:r>
      <w:r w:rsidRPr="003A557A" w:rsidR="003A557A">
        <w:rPr>
          <w:rFonts w:ascii="Verdana" w:hAnsi="Verdana" w:eastAsia="Times New Roman" w:cs="Calibri"/>
          <w:sz w:val="18"/>
          <w:szCs w:val="18"/>
          <w:vertAlign w:val="superscript"/>
        </w:rPr>
        <w:footnoteReference w:id="2"/>
      </w:r>
      <w:r w:rsidRPr="003A557A" w:rsidR="003A557A">
        <w:rPr>
          <w:rFonts w:ascii="Verdana" w:hAnsi="Verdana" w:eastAsia="Times New Roman" w:cs="Calibri"/>
          <w:sz w:val="18"/>
          <w:szCs w:val="18"/>
          <w:vertAlign w:val="superscript"/>
        </w:rPr>
        <w:footnoteReference w:id="3"/>
      </w:r>
      <w:r w:rsidRPr="00F2248B">
        <w:rPr>
          <w:rFonts w:ascii="Verdana" w:hAnsi="Verdana"/>
          <w:sz w:val="18"/>
          <w:szCs w:val="18"/>
        </w:rPr>
        <w:t xml:space="preserve"> Nederland speelde als voorzitter van de Milieuraad in 2016 een belangrijke rol bij de vaststelling van dit actieplan.</w:t>
      </w:r>
      <w:r w:rsidRPr="003A557A" w:rsidR="003A557A">
        <w:rPr>
          <w:rFonts w:ascii="Verdana" w:hAnsi="Verdana" w:eastAsia="Times New Roman" w:cs="Calibri"/>
          <w:sz w:val="18"/>
          <w:szCs w:val="18"/>
        </w:rPr>
        <w:t xml:space="preserve"> </w:t>
      </w:r>
    </w:p>
    <w:p w:rsidRPr="00F2248B" w:rsidR="00963C12" w:rsidP="00643E93" w:rsidRDefault="00963C12" w14:paraId="481439F7" w14:textId="32D6A762">
      <w:pPr>
        <w:spacing w:line="276" w:lineRule="auto"/>
        <w:rPr>
          <w:rFonts w:ascii="Verdana" w:hAnsi="Verdana"/>
          <w:sz w:val="18"/>
          <w:szCs w:val="18"/>
        </w:rPr>
      </w:pPr>
      <w:r w:rsidRPr="00F2248B">
        <w:rPr>
          <w:rFonts w:ascii="Verdana" w:hAnsi="Verdana"/>
          <w:sz w:val="18"/>
          <w:szCs w:val="18"/>
        </w:rPr>
        <w:t>Op nationaal niveau geeft Nederland invulling aan deze ambities via het Nationaal Programma Circulaire Economie (NPCE), dat op 3 februari 2023 is vastgesteld.</w:t>
      </w:r>
      <w:r w:rsidRPr="003A557A" w:rsidR="003A557A">
        <w:rPr>
          <w:rFonts w:ascii="Verdana" w:hAnsi="Verdana" w:eastAsia="Times New Roman" w:cs="Calibri"/>
          <w:sz w:val="18"/>
          <w:szCs w:val="18"/>
          <w:vertAlign w:val="superscript"/>
        </w:rPr>
        <w:footnoteReference w:id="4"/>
      </w:r>
      <w:r w:rsidRPr="00F2248B">
        <w:rPr>
          <w:rFonts w:ascii="Verdana" w:hAnsi="Verdana"/>
          <w:sz w:val="18"/>
          <w:szCs w:val="18"/>
        </w:rPr>
        <w:t xml:space="preserve"> Dit programma bevat de kabinetsvisie op de circulaire economie en benoemt concrete beleidsrichtingen en maatregelen. Een van de belangrijkste constateringen uit de tweejaarlijkse </w:t>
      </w:r>
      <w:r w:rsidRPr="00F2248B">
        <w:rPr>
          <w:rFonts w:ascii="Verdana" w:hAnsi="Verdana"/>
          <w:i/>
          <w:iCs/>
          <w:sz w:val="18"/>
          <w:szCs w:val="18"/>
        </w:rPr>
        <w:t>Integrale Circulaire Economie Rapportage (ICER)</w:t>
      </w:r>
      <w:r w:rsidRPr="00F2248B">
        <w:rPr>
          <w:rFonts w:ascii="Verdana" w:hAnsi="Verdana"/>
          <w:sz w:val="18"/>
          <w:szCs w:val="18"/>
        </w:rPr>
        <w:t xml:space="preserve"> van het Planbureau voor de Leefomgeving (PBL) is echter dat het grondstoffenverbruik in Nederland sinds 2010 nauwelijks is afgenomen.</w:t>
      </w:r>
      <w:r w:rsidRPr="003A557A" w:rsidR="003A557A">
        <w:rPr>
          <w:rStyle w:val="Voetnootmarkering"/>
          <w:rFonts w:ascii="Verdana" w:hAnsi="Verdana" w:eastAsia="Times New Roman" w:cs="Calibri"/>
          <w:sz w:val="18"/>
          <w:szCs w:val="18"/>
        </w:rPr>
        <w:footnoteReference w:id="5"/>
      </w:r>
      <w:r w:rsidRPr="00F2248B">
        <w:rPr>
          <w:rFonts w:ascii="Verdana" w:hAnsi="Verdana"/>
          <w:sz w:val="18"/>
          <w:szCs w:val="18"/>
        </w:rPr>
        <w:t xml:space="preserve"> De ICER 2021, 2023 en 2025 bevestigen dat aanvullende inzet noodzakelijk is om de gestelde circulaire doelen te halen.</w:t>
      </w:r>
    </w:p>
    <w:p w:rsidRPr="00F2248B" w:rsidR="00963C12" w:rsidP="00643E93" w:rsidRDefault="00963C12" w14:paraId="6FFDFCF8" w14:textId="0AA11623">
      <w:pPr>
        <w:spacing w:line="276" w:lineRule="auto"/>
        <w:rPr>
          <w:rFonts w:ascii="Verdana" w:hAnsi="Verdana"/>
          <w:sz w:val="18"/>
          <w:szCs w:val="18"/>
        </w:rPr>
      </w:pPr>
      <w:r w:rsidRPr="00F2248B">
        <w:rPr>
          <w:rFonts w:ascii="Verdana" w:hAnsi="Verdana"/>
          <w:sz w:val="18"/>
          <w:szCs w:val="18"/>
        </w:rPr>
        <w:t xml:space="preserve">De bouwsector speelt hierin een </w:t>
      </w:r>
      <w:r w:rsidRPr="00F2248B" w:rsidR="003A557A">
        <w:rPr>
          <w:rFonts w:ascii="Verdana" w:hAnsi="Verdana"/>
          <w:sz w:val="18"/>
          <w:szCs w:val="18"/>
        </w:rPr>
        <w:t>grote</w:t>
      </w:r>
      <w:r w:rsidR="003A557A">
        <w:rPr>
          <w:rFonts w:ascii="Verdana" w:hAnsi="Verdana"/>
          <w:sz w:val="18"/>
          <w:szCs w:val="18"/>
        </w:rPr>
        <w:t xml:space="preserve"> rol</w:t>
      </w:r>
      <w:r w:rsidRPr="00F2248B">
        <w:rPr>
          <w:rFonts w:ascii="Verdana" w:hAnsi="Verdana"/>
          <w:sz w:val="18"/>
          <w:szCs w:val="18"/>
        </w:rPr>
        <w:t xml:space="preserve">. Deze sector is verantwoordelijk voor een aanzienlijk deel van het nationale grondstoffengebruik, </w:t>
      </w:r>
      <w:r w:rsidR="005F7B6F">
        <w:rPr>
          <w:rFonts w:ascii="Verdana" w:hAnsi="Verdana"/>
          <w:sz w:val="18"/>
          <w:szCs w:val="18"/>
        </w:rPr>
        <w:t xml:space="preserve">de milieu-impact en </w:t>
      </w:r>
      <w:r w:rsidRPr="00F2248B">
        <w:rPr>
          <w:rFonts w:ascii="Verdana" w:hAnsi="Verdana"/>
          <w:sz w:val="18"/>
          <w:szCs w:val="18"/>
        </w:rPr>
        <w:t>de CO₂-uitstoot</w:t>
      </w:r>
      <w:r w:rsidR="005F7B6F">
        <w:rPr>
          <w:rFonts w:ascii="Verdana" w:hAnsi="Verdana"/>
          <w:sz w:val="18"/>
          <w:szCs w:val="18"/>
        </w:rPr>
        <w:t xml:space="preserve"> en</w:t>
      </w:r>
      <w:r w:rsidRPr="00F2248B">
        <w:rPr>
          <w:rFonts w:ascii="Verdana" w:hAnsi="Verdana"/>
          <w:sz w:val="18"/>
          <w:szCs w:val="18"/>
        </w:rPr>
        <w:t xml:space="preserve"> de productie van afval. Binnen het NPCE is daarom specifiek aandacht voor de</w:t>
      </w:r>
      <w:r w:rsidR="003A557A">
        <w:rPr>
          <w:rFonts w:ascii="Verdana" w:hAnsi="Verdana"/>
          <w:sz w:val="18"/>
          <w:szCs w:val="18"/>
        </w:rPr>
        <w:t>ze productketen</w:t>
      </w:r>
      <w:r w:rsidRPr="00F2248B">
        <w:rPr>
          <w:rFonts w:ascii="Verdana" w:hAnsi="Verdana"/>
          <w:sz w:val="18"/>
          <w:szCs w:val="18"/>
        </w:rPr>
        <w:t>. Voor GWW-werken zijn overheden en speciale-sectorbedrijven veelal de opdrachtgever. Daarmee ligt er een belangrijke hefboom in de inkooppraktijk: via aanbestedingen kan de milieu-impact van projecten aanzienlijk worden verlaagd</w:t>
      </w:r>
      <w:r w:rsidR="00870B70">
        <w:rPr>
          <w:rFonts w:ascii="Verdana" w:hAnsi="Verdana"/>
          <w:sz w:val="18"/>
          <w:szCs w:val="18"/>
        </w:rPr>
        <w:t xml:space="preserve"> en circulariteit worden bevorderd</w:t>
      </w:r>
      <w:r w:rsidRPr="00F2248B">
        <w:rPr>
          <w:rFonts w:ascii="Verdana" w:hAnsi="Verdana"/>
          <w:sz w:val="18"/>
          <w:szCs w:val="18"/>
        </w:rPr>
        <w:t>.</w:t>
      </w:r>
      <w:r w:rsidRPr="003A557A" w:rsidR="003A557A">
        <w:rPr>
          <w:rStyle w:val="Voetnootmarkering"/>
          <w:rFonts w:ascii="Verdana" w:hAnsi="Verdana" w:eastAsia="Times New Roman" w:cs="Calibri"/>
          <w:sz w:val="18"/>
          <w:szCs w:val="18"/>
        </w:rPr>
        <w:footnoteReference w:id="6"/>
      </w:r>
      <w:r w:rsidRPr="00F2248B" w:rsidR="003A557A">
        <w:rPr>
          <w:rFonts w:ascii="Verdana" w:hAnsi="Verdana"/>
          <w:sz w:val="18"/>
          <w:szCs w:val="18"/>
        </w:rPr>
        <w:t xml:space="preserve"> </w:t>
      </w:r>
      <w:r w:rsidRPr="00F2248B">
        <w:rPr>
          <w:rFonts w:ascii="Verdana" w:hAnsi="Verdana"/>
          <w:sz w:val="18"/>
          <w:szCs w:val="18"/>
        </w:rPr>
        <w:t xml:space="preserve">Het PBL </w:t>
      </w:r>
      <w:r w:rsidR="00870B70">
        <w:rPr>
          <w:rFonts w:ascii="Verdana" w:hAnsi="Verdana"/>
          <w:sz w:val="18"/>
          <w:szCs w:val="18"/>
        </w:rPr>
        <w:t>stelt</w:t>
      </w:r>
      <w:r w:rsidRPr="00F2248B">
        <w:rPr>
          <w:rFonts w:ascii="Verdana" w:hAnsi="Verdana"/>
          <w:sz w:val="18"/>
          <w:szCs w:val="18"/>
        </w:rPr>
        <w:t xml:space="preserve"> dat een bindende, landelijke maatregel noodzakelijk is om deze hefboom effectief in te zetten. Alleen dan komt er een gezamenlijke transitie tot stand binnen de sector, in plaats van versnipperde, vrijwillige </w:t>
      </w:r>
      <w:r w:rsidRPr="00F2248B" w:rsidR="003A557A">
        <w:rPr>
          <w:rFonts w:ascii="Verdana" w:hAnsi="Verdana"/>
          <w:sz w:val="18"/>
          <w:szCs w:val="18"/>
        </w:rPr>
        <w:t>eisen en normen</w:t>
      </w:r>
      <w:r w:rsidRPr="00F2248B">
        <w:rPr>
          <w:rFonts w:ascii="Verdana" w:hAnsi="Verdana"/>
          <w:sz w:val="18"/>
          <w:szCs w:val="18"/>
        </w:rPr>
        <w:t xml:space="preserve"> per organisatie. </w:t>
      </w:r>
      <w:r w:rsidR="00870B70">
        <w:rPr>
          <w:rFonts w:ascii="Verdana" w:hAnsi="Verdana"/>
          <w:sz w:val="18"/>
          <w:szCs w:val="18"/>
        </w:rPr>
        <w:t>Waar in</w:t>
      </w:r>
      <w:r w:rsidRPr="00F2248B">
        <w:rPr>
          <w:rFonts w:ascii="Verdana" w:hAnsi="Verdana"/>
          <w:sz w:val="18"/>
          <w:szCs w:val="18"/>
        </w:rPr>
        <w:t xml:space="preserve"> de burgerlijke en utiliteitsbouw (B&amp;U) al wordt gestuurd via de wettelijk vastgelegde milieuprestatie-eis gebouwen (MPG), is het nu </w:t>
      </w:r>
      <w:r w:rsidRPr="00F2248B">
        <w:rPr>
          <w:rFonts w:ascii="Verdana" w:hAnsi="Verdana"/>
          <w:sz w:val="18"/>
          <w:szCs w:val="18"/>
        </w:rPr>
        <w:lastRenderedPageBreak/>
        <w:t xml:space="preserve">nodig om ook voor de GWW-sector wettelijk </w:t>
      </w:r>
      <w:r w:rsidR="00A76DFA">
        <w:rPr>
          <w:rFonts w:ascii="Verdana" w:hAnsi="Verdana"/>
          <w:sz w:val="18"/>
          <w:szCs w:val="18"/>
        </w:rPr>
        <w:t>te sturen op het verlagen van</w:t>
      </w:r>
      <w:r w:rsidRPr="00F2248B" w:rsidR="003A557A">
        <w:rPr>
          <w:rFonts w:ascii="Verdana" w:hAnsi="Verdana"/>
          <w:sz w:val="18"/>
          <w:szCs w:val="18"/>
        </w:rPr>
        <w:t xml:space="preserve"> de</w:t>
      </w:r>
      <w:r w:rsidRPr="00F2248B">
        <w:rPr>
          <w:rFonts w:ascii="Verdana" w:hAnsi="Verdana"/>
          <w:sz w:val="18"/>
          <w:szCs w:val="18"/>
        </w:rPr>
        <w:t xml:space="preserve"> milieu-impact</w:t>
      </w:r>
      <w:r w:rsidRPr="00F2248B" w:rsidR="003A557A">
        <w:rPr>
          <w:rFonts w:ascii="Verdana" w:hAnsi="Verdana"/>
          <w:sz w:val="18"/>
          <w:szCs w:val="18"/>
        </w:rPr>
        <w:t>.</w:t>
      </w:r>
      <w:r w:rsidR="00A76DFA">
        <w:rPr>
          <w:rFonts w:ascii="Verdana" w:hAnsi="Verdana"/>
          <w:sz w:val="18"/>
          <w:szCs w:val="18"/>
        </w:rPr>
        <w:t xml:space="preserve"> </w:t>
      </w:r>
    </w:p>
    <w:p w:rsidRPr="00D3470F" w:rsidR="00963C12" w:rsidP="00643E93" w:rsidRDefault="00963C12" w14:paraId="69BD479C" w14:textId="4693C681">
      <w:pPr>
        <w:spacing w:line="276" w:lineRule="auto"/>
        <w:rPr>
          <w:rFonts w:ascii="Verdana" w:hAnsi="Verdana"/>
          <w:sz w:val="18"/>
          <w:szCs w:val="18"/>
        </w:rPr>
      </w:pPr>
      <w:r w:rsidRPr="00F2248B">
        <w:rPr>
          <w:rFonts w:ascii="Verdana" w:hAnsi="Verdana"/>
          <w:sz w:val="18"/>
          <w:szCs w:val="18"/>
        </w:rPr>
        <w:t xml:space="preserve">In het NPCE is dan ook aangekondigd dat circulair inkopen en aanbesteden in de GWW-sector wettelijk verplicht wordt gesteld. </w:t>
      </w:r>
      <w:r w:rsidR="00A76DFA">
        <w:rPr>
          <w:rFonts w:ascii="Verdana" w:hAnsi="Verdana"/>
          <w:sz w:val="18"/>
          <w:szCs w:val="18"/>
        </w:rPr>
        <w:t>Dit volgt op onderzoeken van o</w:t>
      </w:r>
      <w:r w:rsidR="00127A7F">
        <w:rPr>
          <w:rFonts w:ascii="Verdana" w:hAnsi="Verdana"/>
          <w:sz w:val="18"/>
          <w:szCs w:val="18"/>
        </w:rPr>
        <w:t xml:space="preserve">nder </w:t>
      </w:r>
      <w:r w:rsidR="00A76DFA">
        <w:rPr>
          <w:rFonts w:ascii="Verdana" w:hAnsi="Verdana"/>
          <w:sz w:val="18"/>
          <w:szCs w:val="18"/>
        </w:rPr>
        <w:t>a</w:t>
      </w:r>
      <w:r w:rsidR="00127A7F">
        <w:rPr>
          <w:rFonts w:ascii="Verdana" w:hAnsi="Verdana"/>
          <w:sz w:val="18"/>
          <w:szCs w:val="18"/>
        </w:rPr>
        <w:t>ndere</w:t>
      </w:r>
      <w:r w:rsidR="00A76DFA">
        <w:rPr>
          <w:rFonts w:ascii="Verdana" w:hAnsi="Verdana"/>
          <w:sz w:val="18"/>
          <w:szCs w:val="18"/>
        </w:rPr>
        <w:t xml:space="preserve"> </w:t>
      </w:r>
      <w:r w:rsidRPr="00A76DFA" w:rsidR="00A76DFA">
        <w:rPr>
          <w:rFonts w:ascii="Verdana" w:hAnsi="Verdana"/>
          <w:sz w:val="18"/>
          <w:szCs w:val="18"/>
        </w:rPr>
        <w:t>Copernicus Institute of Sustainable Development</w:t>
      </w:r>
      <w:r w:rsidR="00A76DFA">
        <w:rPr>
          <w:rFonts w:ascii="Verdana" w:hAnsi="Verdana"/>
          <w:sz w:val="18"/>
          <w:szCs w:val="18"/>
        </w:rPr>
        <w:t xml:space="preserve"> en de Universiteit Utrecht</w:t>
      </w:r>
      <w:r w:rsidR="00474D45">
        <w:rPr>
          <w:rFonts w:ascii="Verdana" w:hAnsi="Verdana"/>
          <w:sz w:val="18"/>
          <w:szCs w:val="18"/>
        </w:rPr>
        <w:t>, dat concludeert dat het b</w:t>
      </w:r>
      <w:r w:rsidRPr="00474D45" w:rsidR="00474D45">
        <w:rPr>
          <w:rFonts w:ascii="Verdana" w:hAnsi="Verdana"/>
          <w:sz w:val="18"/>
          <w:szCs w:val="18"/>
        </w:rPr>
        <w:t>innen</w:t>
      </w:r>
      <w:r w:rsidR="00EA5986">
        <w:rPr>
          <w:rFonts w:ascii="Verdana" w:hAnsi="Verdana"/>
          <w:sz w:val="18"/>
          <w:szCs w:val="18"/>
        </w:rPr>
        <w:t xml:space="preserve"> GWW-</w:t>
      </w:r>
      <w:r w:rsidRPr="00474D45" w:rsidR="00474D45">
        <w:rPr>
          <w:rFonts w:ascii="Verdana" w:hAnsi="Verdana"/>
          <w:sz w:val="18"/>
          <w:szCs w:val="18"/>
        </w:rPr>
        <w:t xml:space="preserve">aanbestedingsprocedures </w:t>
      </w:r>
      <w:r w:rsidR="00474D45">
        <w:rPr>
          <w:rFonts w:ascii="Verdana" w:hAnsi="Verdana"/>
          <w:sz w:val="18"/>
          <w:szCs w:val="18"/>
        </w:rPr>
        <w:t>ontbreekt</w:t>
      </w:r>
      <w:r w:rsidRPr="00474D45" w:rsidR="00474D45">
        <w:rPr>
          <w:rFonts w:ascii="Verdana" w:hAnsi="Verdana"/>
          <w:sz w:val="18"/>
          <w:szCs w:val="18"/>
        </w:rPr>
        <w:t xml:space="preserve"> aan concrete sturing op oplossingsrichtingen </w:t>
      </w:r>
      <w:r w:rsidR="00474D45">
        <w:rPr>
          <w:rFonts w:ascii="Verdana" w:hAnsi="Verdana"/>
          <w:sz w:val="18"/>
          <w:szCs w:val="18"/>
        </w:rPr>
        <w:t>en dat g</w:t>
      </w:r>
      <w:r w:rsidRPr="00474D45" w:rsidR="00474D45">
        <w:rPr>
          <w:rFonts w:ascii="Verdana" w:hAnsi="Verdana"/>
          <w:sz w:val="18"/>
          <w:szCs w:val="18"/>
        </w:rPr>
        <w:t>ebrek aan een langetermijnvisie en continuïteit vanuit overheden maakt het voor marktpartijen moeilijk om te weten op welke technologie ze in moeten zetten, deze verder te ontwikkelen en op te schalen.</w:t>
      </w:r>
      <w:r w:rsidR="00127A7F">
        <w:rPr>
          <w:rStyle w:val="Voetnootmarkering"/>
          <w:rFonts w:ascii="Verdana" w:hAnsi="Verdana"/>
          <w:sz w:val="18"/>
          <w:szCs w:val="18"/>
        </w:rPr>
        <w:footnoteReference w:id="7"/>
      </w:r>
      <w:r w:rsidR="00EA5986">
        <w:rPr>
          <w:rFonts w:ascii="Verdana" w:hAnsi="Verdana"/>
          <w:sz w:val="18"/>
          <w:szCs w:val="18"/>
        </w:rPr>
        <w:t xml:space="preserve"> </w:t>
      </w:r>
      <w:r w:rsidRPr="00F2248B">
        <w:rPr>
          <w:rFonts w:ascii="Verdana" w:hAnsi="Verdana"/>
          <w:sz w:val="18"/>
          <w:szCs w:val="18"/>
        </w:rPr>
        <w:t xml:space="preserve">Onderzoek van het PBL wijst uit dat </w:t>
      </w:r>
      <w:r w:rsidR="00EA5986">
        <w:rPr>
          <w:rFonts w:ascii="Verdana" w:hAnsi="Verdana"/>
          <w:sz w:val="18"/>
          <w:szCs w:val="18"/>
        </w:rPr>
        <w:t>wettelijke sturing op aanbesteding van GWW-werken</w:t>
      </w:r>
      <w:r w:rsidRPr="00F2248B">
        <w:rPr>
          <w:rFonts w:ascii="Verdana" w:hAnsi="Verdana"/>
          <w:sz w:val="18"/>
          <w:szCs w:val="18"/>
        </w:rPr>
        <w:t xml:space="preserve"> een van de meest effectieve maatregelen binnen het NPCE is om daadwerkelijke impact te realiseren.</w:t>
      </w:r>
      <w:r w:rsidRPr="003A557A" w:rsidR="003A557A">
        <w:rPr>
          <w:rFonts w:ascii="Verdana" w:hAnsi="Verdana" w:eastAsia="Times New Roman" w:cs="Calibri"/>
          <w:sz w:val="18"/>
          <w:szCs w:val="18"/>
          <w:vertAlign w:val="superscript"/>
        </w:rPr>
        <w:footnoteReference w:id="8"/>
      </w:r>
      <w:r w:rsidRPr="00F2248B">
        <w:rPr>
          <w:rFonts w:ascii="Verdana" w:hAnsi="Verdana"/>
          <w:sz w:val="18"/>
          <w:szCs w:val="18"/>
        </w:rPr>
        <w:t xml:space="preserve"> Dit wetsvoorstel geeft hier invulling aan door te zorgen voor eenduidige en afdwingbare</w:t>
      </w:r>
      <w:r w:rsidR="00D80878">
        <w:rPr>
          <w:rFonts w:ascii="Verdana" w:hAnsi="Verdana"/>
          <w:sz w:val="18"/>
          <w:szCs w:val="18"/>
        </w:rPr>
        <w:t xml:space="preserve"> </w:t>
      </w:r>
      <w:r w:rsidRPr="00F2248B">
        <w:rPr>
          <w:rFonts w:ascii="Verdana" w:hAnsi="Verdana"/>
          <w:sz w:val="18"/>
          <w:szCs w:val="18"/>
        </w:rPr>
        <w:t>eisen</w:t>
      </w:r>
      <w:r w:rsidR="00D80878">
        <w:rPr>
          <w:rFonts w:ascii="Verdana" w:hAnsi="Verdana"/>
          <w:sz w:val="18"/>
          <w:szCs w:val="18"/>
        </w:rPr>
        <w:t xml:space="preserve"> bij de inkoop van GWW-werken die de milieubelasting hiervan beperken.</w:t>
      </w:r>
      <w:r w:rsidRPr="00F2248B">
        <w:rPr>
          <w:rFonts w:ascii="Verdana" w:hAnsi="Verdana"/>
          <w:sz w:val="18"/>
          <w:szCs w:val="18"/>
        </w:rPr>
        <w:t xml:space="preserve"> Daarmee wordt niet alleen de milieu-impact van de sector structureel verminderd, maar wordt ook </w:t>
      </w:r>
      <w:r w:rsidR="005F7B6F">
        <w:rPr>
          <w:rFonts w:ascii="Verdana" w:hAnsi="Verdana"/>
          <w:sz w:val="18"/>
          <w:szCs w:val="18"/>
        </w:rPr>
        <w:t xml:space="preserve">voorkomen dat partijen steeds met verschillende eisen en regels te maken krijgen bij aanbestedingen van GWW-werken. </w:t>
      </w:r>
    </w:p>
    <w:bookmarkEnd w:id="12"/>
    <w:p w:rsidRPr="005B4CB1" w:rsidR="004F0533" w:rsidP="00643E93" w:rsidRDefault="004F0533" w14:paraId="2020CFAC" w14:textId="77777777">
      <w:pPr>
        <w:spacing w:after="0" w:line="276" w:lineRule="auto"/>
        <w:rPr>
          <w:rFonts w:ascii="Verdana" w:hAnsi="Verdana" w:eastAsia="Times New Roman" w:cs="Times New Roman"/>
          <w:color w:val="FF0000"/>
          <w:sz w:val="21"/>
          <w:szCs w:val="21"/>
        </w:rPr>
      </w:pPr>
    </w:p>
    <w:p w:rsidRPr="00170519" w:rsidR="00170519" w:rsidP="00643E93" w:rsidRDefault="004F0533" w14:paraId="6AB8B6E2" w14:textId="12FF5D1A">
      <w:pPr>
        <w:pStyle w:val="Kop4"/>
        <w:numPr>
          <w:ilvl w:val="1"/>
          <w:numId w:val="24"/>
        </w:numPr>
        <w:spacing w:line="276" w:lineRule="auto"/>
      </w:pPr>
      <w:bookmarkStart w:name="_Toc195040749" w:id="13"/>
      <w:r w:rsidRPr="00E43A50">
        <w:t>Probleembeschrijving</w:t>
      </w:r>
      <w:bookmarkEnd w:id="13"/>
    </w:p>
    <w:p w:rsidR="003A557A" w:rsidP="00643E93" w:rsidRDefault="003A557A" w14:paraId="7FDC07B6" w14:textId="77777777">
      <w:pPr>
        <w:spacing w:after="0" w:line="276" w:lineRule="auto"/>
        <w:rPr>
          <w:rFonts w:ascii="Verdana" w:hAnsi="Verdana"/>
          <w:sz w:val="18"/>
        </w:rPr>
      </w:pPr>
    </w:p>
    <w:p w:rsidRPr="00D944A9" w:rsidR="005F7B6F" w:rsidP="00D944A9" w:rsidRDefault="00E220E3" w14:paraId="5DAB2B85" w14:textId="5BBC79A9">
      <w:pPr>
        <w:spacing w:after="0" w:line="276" w:lineRule="auto"/>
        <w:rPr>
          <w:rFonts w:ascii="Verdana" w:hAnsi="Verdana"/>
          <w:sz w:val="18"/>
          <w:szCs w:val="18"/>
        </w:rPr>
      </w:pPr>
      <w:r w:rsidRPr="00C8572C">
        <w:rPr>
          <w:rFonts w:ascii="Verdana" w:hAnsi="Verdana"/>
          <w:sz w:val="18"/>
          <w:szCs w:val="18"/>
        </w:rPr>
        <w:t>Met d</w:t>
      </w:r>
      <w:r w:rsidRPr="00C8572C" w:rsidR="005F7B6F">
        <w:rPr>
          <w:rFonts w:ascii="Verdana" w:hAnsi="Verdana"/>
          <w:sz w:val="18"/>
          <w:szCs w:val="18"/>
        </w:rPr>
        <w:t xml:space="preserve">it wetsvoorstel </w:t>
      </w:r>
      <w:r w:rsidRPr="00C8572C">
        <w:rPr>
          <w:rFonts w:ascii="Verdana" w:hAnsi="Verdana"/>
          <w:sz w:val="18"/>
          <w:szCs w:val="18"/>
        </w:rPr>
        <w:t>wordt een oplossing geboden voor</w:t>
      </w:r>
      <w:r w:rsidRPr="00C8572C" w:rsidR="005F7B6F">
        <w:rPr>
          <w:rFonts w:ascii="Verdana" w:hAnsi="Verdana"/>
          <w:sz w:val="18"/>
          <w:szCs w:val="18"/>
        </w:rPr>
        <w:t xml:space="preserve"> twee verschillende problemen</w:t>
      </w:r>
      <w:r w:rsidRPr="00C8572C" w:rsidR="004669C0">
        <w:rPr>
          <w:rFonts w:ascii="Verdana" w:hAnsi="Verdana"/>
          <w:sz w:val="18"/>
          <w:szCs w:val="18"/>
        </w:rPr>
        <w:t>, die in deze paragraaf nader worden toegelicht</w:t>
      </w:r>
      <w:r w:rsidRPr="00C8572C" w:rsidR="005F7B6F">
        <w:rPr>
          <w:rFonts w:ascii="Verdana" w:hAnsi="Verdana"/>
          <w:sz w:val="18"/>
          <w:szCs w:val="18"/>
        </w:rPr>
        <w:t xml:space="preserve">: </w:t>
      </w:r>
    </w:p>
    <w:p w:rsidRPr="00D944A9" w:rsidR="005F7B6F" w:rsidP="00D944A9" w:rsidRDefault="005F7B6F" w14:paraId="5D983449" w14:textId="03326253">
      <w:pPr>
        <w:pStyle w:val="Lijstalinea"/>
        <w:numPr>
          <w:ilvl w:val="0"/>
          <w:numId w:val="65"/>
        </w:numPr>
        <w:spacing w:after="0" w:line="276" w:lineRule="auto"/>
        <w:rPr>
          <w:rFonts w:ascii="Verdana" w:hAnsi="Verdana"/>
          <w:sz w:val="18"/>
          <w:szCs w:val="18"/>
        </w:rPr>
      </w:pPr>
      <w:r w:rsidRPr="00C8572C">
        <w:rPr>
          <w:rFonts w:ascii="Verdana" w:hAnsi="Verdana"/>
          <w:sz w:val="18"/>
          <w:szCs w:val="18"/>
        </w:rPr>
        <w:t>De impact van GWW-werken op het milieu is relatief groot</w:t>
      </w:r>
      <w:r w:rsidR="00127A7F">
        <w:rPr>
          <w:rFonts w:ascii="Verdana" w:hAnsi="Verdana"/>
          <w:sz w:val="18"/>
          <w:szCs w:val="18"/>
        </w:rPr>
        <w:t>.</w:t>
      </w:r>
    </w:p>
    <w:p w:rsidRPr="00D944A9" w:rsidR="005F7B6F" w:rsidP="00D944A9" w:rsidRDefault="005F7B6F" w14:paraId="178A75E6" w14:textId="1B80218D">
      <w:pPr>
        <w:pStyle w:val="Lijstalinea"/>
        <w:numPr>
          <w:ilvl w:val="0"/>
          <w:numId w:val="65"/>
        </w:numPr>
        <w:spacing w:after="0" w:line="276" w:lineRule="auto"/>
        <w:rPr>
          <w:rFonts w:ascii="Verdana" w:hAnsi="Verdana"/>
          <w:sz w:val="18"/>
          <w:szCs w:val="18"/>
        </w:rPr>
      </w:pPr>
      <w:r w:rsidRPr="00C8572C">
        <w:rPr>
          <w:rFonts w:ascii="Verdana" w:hAnsi="Verdana"/>
          <w:sz w:val="18"/>
          <w:szCs w:val="18"/>
        </w:rPr>
        <w:t xml:space="preserve">Er is een gebrek aan eenduidigheid </w:t>
      </w:r>
      <w:r w:rsidRPr="00C8572C" w:rsidR="00643E93">
        <w:rPr>
          <w:rFonts w:ascii="Verdana" w:hAnsi="Verdana"/>
          <w:sz w:val="18"/>
          <w:szCs w:val="18"/>
        </w:rPr>
        <w:t xml:space="preserve">bij aanbestedingen van GWW-werken, </w:t>
      </w:r>
      <w:r w:rsidRPr="00C8572C">
        <w:rPr>
          <w:rFonts w:ascii="Verdana" w:hAnsi="Verdana"/>
          <w:sz w:val="18"/>
          <w:szCs w:val="18"/>
        </w:rPr>
        <w:t xml:space="preserve">waardoor </w:t>
      </w:r>
      <w:r w:rsidRPr="00C8572C" w:rsidR="00E02761">
        <w:rPr>
          <w:rFonts w:ascii="Verdana" w:hAnsi="Verdana"/>
          <w:sz w:val="18"/>
          <w:szCs w:val="18"/>
        </w:rPr>
        <w:t>onduidelijkheid bij de sector ontstaat met betrekking tot</w:t>
      </w:r>
      <w:r w:rsidRPr="00C8572C">
        <w:rPr>
          <w:rFonts w:ascii="Verdana" w:hAnsi="Verdana"/>
          <w:sz w:val="18"/>
          <w:szCs w:val="18"/>
        </w:rPr>
        <w:t xml:space="preserve"> het toepassen van duurzame materialen in GWW-werken.</w:t>
      </w:r>
    </w:p>
    <w:p w:rsidR="005F7B6F" w:rsidP="00643E93" w:rsidRDefault="005F7B6F" w14:paraId="7E75CA23" w14:textId="77777777">
      <w:pPr>
        <w:spacing w:after="0" w:line="276" w:lineRule="auto"/>
        <w:rPr>
          <w:rFonts w:ascii="Verdana" w:hAnsi="Verdana"/>
          <w:sz w:val="18"/>
        </w:rPr>
      </w:pPr>
    </w:p>
    <w:p w:rsidRPr="00D944A9" w:rsidR="005F7B6F" w:rsidP="00D944A9" w:rsidRDefault="005F7B6F" w14:paraId="420BB194" w14:textId="3BC30B1C">
      <w:pPr>
        <w:spacing w:after="0" w:line="276" w:lineRule="auto"/>
        <w:rPr>
          <w:rFonts w:ascii="Verdana" w:hAnsi="Verdana"/>
          <w:i/>
          <w:sz w:val="18"/>
          <w:szCs w:val="18"/>
        </w:rPr>
      </w:pPr>
      <w:r w:rsidRPr="00C8572C">
        <w:rPr>
          <w:rFonts w:ascii="Verdana" w:hAnsi="Verdana"/>
          <w:i/>
          <w:sz w:val="18"/>
          <w:szCs w:val="18"/>
        </w:rPr>
        <w:t>De impact van GWW-werken op het milieu is relatief groot</w:t>
      </w:r>
    </w:p>
    <w:p w:rsidRPr="00170519" w:rsidR="002539A2" w:rsidP="00643E93" w:rsidRDefault="004F0533" w14:paraId="5395EA32" w14:textId="4E8E24DF">
      <w:pPr>
        <w:spacing w:after="0" w:line="276" w:lineRule="auto"/>
        <w:rPr>
          <w:rFonts w:ascii="Verdana" w:hAnsi="Verdana" w:eastAsia="Times New Roman" w:cs="Calibri"/>
          <w:sz w:val="18"/>
          <w:szCs w:val="18"/>
        </w:rPr>
      </w:pPr>
      <w:r w:rsidRPr="00C8572C">
        <w:rPr>
          <w:rFonts w:ascii="Verdana" w:hAnsi="Verdana"/>
          <w:sz w:val="18"/>
          <w:szCs w:val="18"/>
        </w:rPr>
        <w:t xml:space="preserve">Om </w:t>
      </w:r>
      <w:bookmarkStart w:name="_Hlk201639988" w:id="14"/>
      <w:r w:rsidRPr="00C8572C">
        <w:rPr>
          <w:rFonts w:ascii="Verdana" w:hAnsi="Verdana"/>
          <w:sz w:val="18"/>
          <w:szCs w:val="18"/>
        </w:rPr>
        <w:t xml:space="preserve">de belasting van het milieu en de afhankelijkheid van fossiele energie en schaarse </w:t>
      </w:r>
      <w:r w:rsidRPr="00E43A50">
        <w:rPr>
          <w:rFonts w:ascii="Verdana" w:hAnsi="Verdana" w:eastAsia="Times New Roman" w:cs="Times New Roman"/>
          <w:sz w:val="18"/>
          <w:szCs w:val="18"/>
        </w:rPr>
        <w:t>grondstoffen te verminderen zijn in verschillende gremia, zowel Europees als nationaal, doelen vastgesteld voor de circulaire transitie en verduurzaming. Nederland heeft zich ten doel gesteld om in 2050 volledig circulair en klimaatneutraal te zijn</w:t>
      </w:r>
      <w:r w:rsidRPr="00E43A50" w:rsidR="00C401E7">
        <w:rPr>
          <w:rFonts w:ascii="Verdana" w:hAnsi="Verdana" w:eastAsia="Times New Roman" w:cs="Times New Roman"/>
          <w:sz w:val="18"/>
          <w:szCs w:val="18"/>
        </w:rPr>
        <w:t>.</w:t>
      </w:r>
      <w:r w:rsidRPr="00E43A50">
        <w:rPr>
          <w:rFonts w:ascii="Verdana" w:hAnsi="Verdana" w:eastAsia="Times New Roman" w:cs="Times New Roman"/>
          <w:sz w:val="18"/>
          <w:szCs w:val="18"/>
        </w:rPr>
        <w:t xml:space="preserve"> </w:t>
      </w:r>
      <w:r w:rsidRPr="00E43A50" w:rsidR="00F1585A">
        <w:rPr>
          <w:rFonts w:ascii="Verdana" w:hAnsi="Verdana" w:eastAsia="Times New Roman" w:cs="Times New Roman"/>
          <w:sz w:val="18"/>
          <w:szCs w:val="18"/>
        </w:rPr>
        <w:t>Deze doelen gelden ook voor de bouwsector, waaronder</w:t>
      </w:r>
      <w:r w:rsidRPr="00E43A50">
        <w:rPr>
          <w:rFonts w:ascii="Verdana" w:hAnsi="Verdana" w:eastAsia="Times New Roman" w:cs="Times New Roman"/>
          <w:sz w:val="18"/>
          <w:szCs w:val="18"/>
        </w:rPr>
        <w:t xml:space="preserve"> de GWW. De impact van de projecten in de GWW op het milieu in termen van grondstofverbruik zijn relatief groot. </w:t>
      </w:r>
      <w:r w:rsidR="003A29CA">
        <w:rPr>
          <w:rFonts w:ascii="Verdana" w:hAnsi="Verdana" w:eastAsia="Times New Roman" w:cs="Times New Roman"/>
          <w:sz w:val="18"/>
          <w:szCs w:val="18"/>
        </w:rPr>
        <w:t xml:space="preserve">Onze infrastructuur – zoals </w:t>
      </w:r>
      <w:r w:rsidRPr="003A29CA" w:rsidR="003A29CA">
        <w:rPr>
          <w:rFonts w:ascii="Verdana" w:hAnsi="Verdana" w:eastAsia="Times New Roman" w:cs="Times New Roman"/>
          <w:sz w:val="18"/>
          <w:szCs w:val="18"/>
        </w:rPr>
        <w:t>wegen, bruggen, dijken en riolering– bestaan uit grote hoeveelheden, vaak zware materialen, zoals steen, beton en staal. De winning, bewerking en het transport leiden tot een te hoge belasting van de aarde</w:t>
      </w:r>
      <w:r w:rsidR="009D5B97">
        <w:rPr>
          <w:rFonts w:ascii="Verdana" w:hAnsi="Verdana" w:eastAsia="Times New Roman" w:cs="Times New Roman"/>
          <w:sz w:val="18"/>
          <w:szCs w:val="18"/>
        </w:rPr>
        <w:t xml:space="preserve">. </w:t>
      </w:r>
      <w:r w:rsidRPr="00A43F9A" w:rsidR="00272089">
        <w:rPr>
          <w:rFonts w:ascii="Verdana" w:hAnsi="Verdana" w:eastAsia="Times New Roman" w:cs="Calibri"/>
          <w:sz w:val="18"/>
          <w:szCs w:val="18"/>
        </w:rPr>
        <w:t>Uit onderzoek van EIB en Metabolic blijkt dat d</w:t>
      </w:r>
      <w:r w:rsidRPr="007A306C" w:rsidR="00272089">
        <w:rPr>
          <w:rFonts w:ascii="Verdana" w:hAnsi="Verdana" w:eastAsia="Times New Roman" w:cs="Calibri"/>
          <w:sz w:val="18"/>
          <w:szCs w:val="18"/>
        </w:rPr>
        <w:t>e GWW-sector verantwoordelijk is voor een aanzienlijk aandeel van de milieu-impact in de bouw, evenals voor het gebruik van grondstoffen. Daarnaast is de materiaalvraag in de GWW groter dan vrijkomende materialen kunnen dekken.</w:t>
      </w:r>
      <w:r w:rsidR="002539A2">
        <w:rPr>
          <w:rStyle w:val="Voetnootmarkering"/>
        </w:rPr>
        <w:footnoteReference w:id="9"/>
      </w:r>
      <w:r w:rsidRPr="00170519" w:rsidR="00170519">
        <w:rPr>
          <w:rFonts w:ascii="Verdana" w:hAnsi="Verdana" w:eastAsia="Times New Roman" w:cs="Verdana"/>
          <w:sz w:val="18"/>
          <w:szCs w:val="18"/>
        </w:rPr>
        <w:t xml:space="preserve"> </w:t>
      </w:r>
      <w:r w:rsidR="00170519">
        <w:rPr>
          <w:rFonts w:ascii="Verdana" w:hAnsi="Verdana" w:eastAsia="Times New Roman" w:cs="Verdana"/>
          <w:sz w:val="18"/>
          <w:szCs w:val="18"/>
        </w:rPr>
        <w:t xml:space="preserve">Ook blijkt dat er alleen al </w:t>
      </w:r>
      <w:r w:rsidR="00643E93">
        <w:rPr>
          <w:rFonts w:ascii="Verdana" w:hAnsi="Verdana" w:eastAsia="Times New Roman" w:cs="Verdana"/>
          <w:sz w:val="18"/>
          <w:szCs w:val="18"/>
        </w:rPr>
        <w:t xml:space="preserve">in 2019 </w:t>
      </w:r>
      <w:r w:rsidR="00170519">
        <w:rPr>
          <w:rFonts w:ascii="Verdana" w:hAnsi="Verdana" w:eastAsia="Times New Roman" w:cs="Verdana"/>
          <w:sz w:val="18"/>
          <w:szCs w:val="18"/>
        </w:rPr>
        <w:t xml:space="preserve">51 miljoen euro nodig is om de negatieve </w:t>
      </w:r>
      <w:r w:rsidR="00170519">
        <w:rPr>
          <w:rFonts w:ascii="Verdana" w:hAnsi="Verdana" w:eastAsia="Times New Roman" w:cs="Verdana"/>
          <w:sz w:val="18"/>
          <w:szCs w:val="18"/>
        </w:rPr>
        <w:lastRenderedPageBreak/>
        <w:t xml:space="preserve">milieu-impact die in 2019 </w:t>
      </w:r>
      <w:r w:rsidR="00643E93">
        <w:rPr>
          <w:rFonts w:ascii="Verdana" w:hAnsi="Verdana" w:eastAsia="Times New Roman" w:cs="Verdana"/>
          <w:sz w:val="18"/>
          <w:szCs w:val="18"/>
        </w:rPr>
        <w:t>is</w:t>
      </w:r>
      <w:r w:rsidR="00170519">
        <w:rPr>
          <w:rFonts w:ascii="Verdana" w:hAnsi="Verdana" w:eastAsia="Times New Roman" w:cs="Verdana"/>
          <w:sz w:val="18"/>
          <w:szCs w:val="18"/>
        </w:rPr>
        <w:t xml:space="preserve"> veroorzaakt in de GWW te compenseren.</w:t>
      </w:r>
      <w:r w:rsidR="00127A7F">
        <w:rPr>
          <w:rStyle w:val="Voetnootmarkering"/>
          <w:rFonts w:ascii="Verdana" w:hAnsi="Verdana" w:eastAsia="Times New Roman" w:cs="Verdana"/>
          <w:sz w:val="18"/>
          <w:szCs w:val="18"/>
        </w:rPr>
        <w:footnoteReference w:id="10"/>
      </w:r>
      <w:r w:rsidR="002539A2">
        <w:t xml:space="preserve"> </w:t>
      </w:r>
      <w:r w:rsidR="002539A2">
        <w:rPr>
          <w:rFonts w:ascii="Verdana" w:hAnsi="Verdana" w:eastAsia="Times New Roman" w:cs="Calibri"/>
          <w:sz w:val="18"/>
          <w:szCs w:val="18"/>
        </w:rPr>
        <w:t>Dat is problematisch</w:t>
      </w:r>
      <w:r w:rsidR="00643E93">
        <w:rPr>
          <w:rFonts w:ascii="Verdana" w:hAnsi="Verdana" w:eastAsia="Times New Roman" w:cs="Calibri"/>
          <w:sz w:val="18"/>
          <w:szCs w:val="18"/>
        </w:rPr>
        <w:t>,</w:t>
      </w:r>
      <w:r w:rsidR="002539A2">
        <w:rPr>
          <w:rFonts w:ascii="Verdana" w:hAnsi="Verdana" w:eastAsia="Times New Roman" w:cs="Calibri"/>
          <w:sz w:val="18"/>
          <w:szCs w:val="18"/>
        </w:rPr>
        <w:t xml:space="preserve"> kijkend naar</w:t>
      </w:r>
      <w:r w:rsidRPr="007A306C" w:rsidR="002539A2">
        <w:rPr>
          <w:rFonts w:ascii="Verdana" w:hAnsi="Verdana" w:eastAsia="Times New Roman" w:cs="Calibri"/>
          <w:sz w:val="18"/>
          <w:szCs w:val="18"/>
        </w:rPr>
        <w:t xml:space="preserve"> de (toekomstige) behoefte van een goed bereikbaar</w:t>
      </w:r>
      <w:r w:rsidR="003A557A">
        <w:rPr>
          <w:rFonts w:ascii="Verdana" w:hAnsi="Verdana" w:eastAsia="Times New Roman" w:cs="Calibri"/>
          <w:sz w:val="18"/>
          <w:szCs w:val="18"/>
        </w:rPr>
        <w:t xml:space="preserve"> </w:t>
      </w:r>
      <w:r w:rsidRPr="007A306C" w:rsidR="002539A2">
        <w:rPr>
          <w:rFonts w:ascii="Verdana" w:hAnsi="Verdana" w:eastAsia="Times New Roman" w:cs="Calibri"/>
          <w:sz w:val="18"/>
          <w:szCs w:val="18"/>
        </w:rPr>
        <w:t>Nederland</w:t>
      </w:r>
      <w:r w:rsidR="002539A2">
        <w:rPr>
          <w:rFonts w:ascii="Verdana" w:hAnsi="Verdana" w:eastAsia="Times New Roman" w:cs="Calibri"/>
          <w:sz w:val="18"/>
          <w:szCs w:val="18"/>
        </w:rPr>
        <w:t xml:space="preserve"> en </w:t>
      </w:r>
      <w:r w:rsidR="003A557A">
        <w:rPr>
          <w:rFonts w:ascii="Verdana" w:hAnsi="Verdana" w:eastAsia="Times New Roman" w:cs="Calibri"/>
          <w:sz w:val="18"/>
          <w:szCs w:val="18"/>
        </w:rPr>
        <w:t>onze</w:t>
      </w:r>
      <w:r w:rsidR="002539A2">
        <w:rPr>
          <w:rFonts w:ascii="Verdana" w:hAnsi="Verdana" w:eastAsia="Times New Roman" w:cs="Calibri"/>
          <w:sz w:val="18"/>
          <w:szCs w:val="18"/>
        </w:rPr>
        <w:t xml:space="preserve"> economische positie</w:t>
      </w:r>
      <w:r w:rsidR="00643E93">
        <w:rPr>
          <w:rFonts w:ascii="Verdana" w:hAnsi="Verdana" w:eastAsia="Times New Roman" w:cs="Calibri"/>
          <w:sz w:val="18"/>
          <w:szCs w:val="18"/>
        </w:rPr>
        <w:t xml:space="preserve"> die daarmee gemoeid gaat</w:t>
      </w:r>
      <w:r w:rsidR="002539A2">
        <w:rPr>
          <w:rFonts w:ascii="Verdana" w:hAnsi="Verdana" w:eastAsia="Times New Roman" w:cs="Calibri"/>
          <w:sz w:val="18"/>
          <w:szCs w:val="18"/>
        </w:rPr>
        <w:t>.</w:t>
      </w:r>
      <w:r w:rsidRPr="00170519" w:rsidR="00170519">
        <w:rPr>
          <w:rFonts w:ascii="Verdana" w:hAnsi="Verdana" w:eastAsia="Times New Roman" w:cs="Times New Roman"/>
          <w:sz w:val="18"/>
          <w:szCs w:val="18"/>
        </w:rPr>
        <w:t xml:space="preserve"> </w:t>
      </w:r>
      <w:r w:rsidR="00170519">
        <w:rPr>
          <w:rFonts w:ascii="Verdana" w:hAnsi="Verdana" w:eastAsia="Times New Roman" w:cs="Times New Roman"/>
          <w:sz w:val="18"/>
          <w:szCs w:val="18"/>
        </w:rPr>
        <w:t>Het</w:t>
      </w:r>
      <w:r w:rsidRPr="00AF187E" w:rsidR="00170519">
        <w:rPr>
          <w:rFonts w:ascii="Verdana" w:hAnsi="Verdana" w:eastAsia="Times New Roman" w:cs="Times New Roman"/>
          <w:sz w:val="18"/>
          <w:szCs w:val="18"/>
        </w:rPr>
        <w:t xml:space="preserve"> betekent dat we nog een grote circulaire opgave hebb</w:t>
      </w:r>
      <w:r w:rsidR="00170519">
        <w:rPr>
          <w:rFonts w:ascii="Verdana" w:hAnsi="Verdana" w:eastAsia="Times New Roman" w:cs="Times New Roman"/>
          <w:sz w:val="18"/>
          <w:szCs w:val="18"/>
        </w:rPr>
        <w:t>en om de bouwopgave in de toekomst te realiseren.</w:t>
      </w:r>
    </w:p>
    <w:bookmarkEnd w:id="14"/>
    <w:p w:rsidR="000D40ED" w:rsidP="00643E93" w:rsidRDefault="000D40ED" w14:paraId="2EF8F2B9" w14:textId="77777777">
      <w:pPr>
        <w:spacing w:after="0" w:line="276" w:lineRule="auto"/>
        <w:rPr>
          <w:rFonts w:ascii="Verdana" w:hAnsi="Verdana" w:eastAsia="Times New Roman" w:cs="Calibri"/>
          <w:color w:val="FF0000"/>
          <w:sz w:val="18"/>
          <w:szCs w:val="18"/>
        </w:rPr>
      </w:pPr>
    </w:p>
    <w:p w:rsidRPr="00F2248B" w:rsidR="005F7B6F" w:rsidP="00643E93" w:rsidRDefault="005F7B6F" w14:paraId="4999C12B" w14:textId="690B81BB">
      <w:pPr>
        <w:spacing w:after="0" w:line="276" w:lineRule="auto"/>
        <w:rPr>
          <w:rFonts w:ascii="Verdana" w:hAnsi="Verdana" w:eastAsia="Times New Roman" w:cs="Calibri"/>
          <w:color w:val="000000" w:themeColor="text1"/>
          <w:sz w:val="18"/>
          <w:szCs w:val="18"/>
        </w:rPr>
      </w:pPr>
      <w:r w:rsidRPr="00F2248B">
        <w:rPr>
          <w:rFonts w:ascii="Verdana" w:hAnsi="Verdana" w:eastAsia="Times New Roman" w:cs="Calibri"/>
          <w:i/>
          <w:iCs/>
          <w:color w:val="000000" w:themeColor="text1"/>
          <w:sz w:val="18"/>
          <w:szCs w:val="18"/>
        </w:rPr>
        <w:t>Gebrek aan eenduidig aanbesteden van GWW-werken met milieuprestatie-eisen</w:t>
      </w:r>
    </w:p>
    <w:p w:rsidR="00160BD0" w:rsidP="00643E93" w:rsidRDefault="000D40ED" w14:paraId="4EDE0CD6" w14:textId="40BE468F">
      <w:pPr>
        <w:spacing w:after="0" w:line="276" w:lineRule="auto"/>
        <w:rPr>
          <w:rFonts w:ascii="Verdana" w:hAnsi="Verdana" w:eastAsia="Times New Roman" w:cs="Times New Roman"/>
          <w:sz w:val="18"/>
          <w:szCs w:val="18"/>
        </w:rPr>
      </w:pPr>
      <w:r w:rsidRPr="00E43A50">
        <w:rPr>
          <w:rFonts w:ascii="Verdana" w:hAnsi="Verdana" w:eastAsia="Times New Roman" w:cs="Calibri"/>
          <w:sz w:val="18"/>
          <w:szCs w:val="18"/>
        </w:rPr>
        <w:t>Verschillende partijen</w:t>
      </w:r>
      <w:r>
        <w:rPr>
          <w:rFonts w:ascii="Verdana" w:hAnsi="Verdana" w:eastAsia="Times New Roman" w:cs="Calibri"/>
          <w:sz w:val="18"/>
          <w:szCs w:val="18"/>
        </w:rPr>
        <w:t xml:space="preserve">, waaronder </w:t>
      </w:r>
      <w:r w:rsidRPr="00E43A50">
        <w:rPr>
          <w:rFonts w:ascii="Verdana" w:hAnsi="Verdana" w:eastAsia="Times New Roman" w:cs="Calibri"/>
          <w:sz w:val="18"/>
          <w:szCs w:val="18"/>
        </w:rPr>
        <w:t>experts uit het Transitieteam Circulaire Bouweconomie, het Betonakkoord</w:t>
      </w:r>
      <w:r>
        <w:rPr>
          <w:rFonts w:ascii="Verdana" w:hAnsi="Verdana" w:eastAsia="Times New Roman" w:cs="Calibri"/>
          <w:sz w:val="18"/>
          <w:szCs w:val="18"/>
        </w:rPr>
        <w:t>,</w:t>
      </w:r>
      <w:r w:rsidRPr="00E43A50">
        <w:rPr>
          <w:rFonts w:ascii="Verdana" w:hAnsi="Verdana" w:eastAsia="Times New Roman" w:cs="Calibri"/>
          <w:sz w:val="18"/>
          <w:szCs w:val="18"/>
        </w:rPr>
        <w:t xml:space="preserve"> het Bouwakkoord staal</w:t>
      </w:r>
      <w:r w:rsidR="00170519">
        <w:rPr>
          <w:rFonts w:ascii="Verdana" w:hAnsi="Verdana" w:eastAsia="Times New Roman" w:cs="Calibri"/>
          <w:sz w:val="18"/>
          <w:szCs w:val="18"/>
        </w:rPr>
        <w:t>, adviesbureaus</w:t>
      </w:r>
      <w:r>
        <w:rPr>
          <w:rFonts w:ascii="Verdana" w:hAnsi="Verdana" w:eastAsia="Times New Roman" w:cs="Calibri"/>
          <w:sz w:val="18"/>
          <w:szCs w:val="18"/>
        </w:rPr>
        <w:t xml:space="preserve"> en </w:t>
      </w:r>
      <w:r w:rsidRPr="00E43A50">
        <w:rPr>
          <w:rFonts w:ascii="Verdana" w:hAnsi="Verdana" w:eastAsia="Times New Roman" w:cs="Calibri"/>
          <w:sz w:val="18"/>
          <w:szCs w:val="18"/>
        </w:rPr>
        <w:t xml:space="preserve">het Planbureau voor de Leefomgeving hebben het kabinet geadviseerd om eenduidiger te sturen </w:t>
      </w:r>
      <w:r w:rsidR="00127A7F">
        <w:rPr>
          <w:rFonts w:ascii="Verdana" w:hAnsi="Verdana" w:eastAsia="Times New Roman" w:cs="Calibri"/>
          <w:sz w:val="18"/>
          <w:szCs w:val="18"/>
        </w:rPr>
        <w:t>met</w:t>
      </w:r>
      <w:r w:rsidRPr="00E43A50">
        <w:rPr>
          <w:rFonts w:ascii="Verdana" w:hAnsi="Verdana" w:eastAsia="Times New Roman" w:cs="Calibri"/>
          <w:sz w:val="18"/>
          <w:szCs w:val="18"/>
        </w:rPr>
        <w:t xml:space="preserve"> </w:t>
      </w:r>
      <w:r w:rsidRPr="00D80878" w:rsidR="00D80878">
        <w:rPr>
          <w:rFonts w:ascii="Verdana" w:hAnsi="Verdana" w:eastAsia="Times New Roman" w:cs="Calibri"/>
          <w:sz w:val="18"/>
          <w:szCs w:val="18"/>
        </w:rPr>
        <w:t>eisen die de milieubelasting van GWW-werken beperken</w:t>
      </w:r>
      <w:r w:rsidR="00D80878">
        <w:rPr>
          <w:rFonts w:ascii="Verdana" w:hAnsi="Verdana" w:eastAsia="Times New Roman" w:cs="Calibri"/>
          <w:sz w:val="18"/>
          <w:szCs w:val="18"/>
        </w:rPr>
        <w:t xml:space="preserve"> via</w:t>
      </w:r>
      <w:r w:rsidRPr="00E43A50">
        <w:rPr>
          <w:rFonts w:ascii="Verdana" w:hAnsi="Verdana" w:eastAsia="Times New Roman" w:cs="Calibri"/>
          <w:sz w:val="18"/>
          <w:szCs w:val="18"/>
        </w:rPr>
        <w:t xml:space="preserve"> aanbestedingen in de GWW. In de huidige situatie stellen </w:t>
      </w:r>
      <w:r>
        <w:rPr>
          <w:rFonts w:ascii="Verdana" w:hAnsi="Verdana" w:eastAsia="Times New Roman" w:cs="Calibri"/>
          <w:sz w:val="18"/>
          <w:szCs w:val="18"/>
        </w:rPr>
        <w:t>aanbestedende diensten en speciale-sectorbedrijven</w:t>
      </w:r>
      <w:r w:rsidRPr="00E43A50">
        <w:rPr>
          <w:rFonts w:ascii="Verdana" w:hAnsi="Verdana" w:eastAsia="Times New Roman" w:cs="Calibri"/>
          <w:sz w:val="18"/>
          <w:szCs w:val="18"/>
        </w:rPr>
        <w:t xml:space="preserve"> in de GWW op uiteenlopende manieren </w:t>
      </w:r>
      <w:r w:rsidRPr="005F7B6F">
        <w:rPr>
          <w:rFonts w:ascii="Verdana" w:hAnsi="Verdana" w:eastAsia="Times New Roman" w:cs="Calibri"/>
          <w:sz w:val="18"/>
          <w:szCs w:val="18"/>
        </w:rPr>
        <w:t xml:space="preserve">milieuprestatie-eisen aan producten en werken, met variërende ambitieniveaus. </w:t>
      </w:r>
      <w:r w:rsidRPr="005F7B6F" w:rsidR="00170519">
        <w:rPr>
          <w:rFonts w:ascii="Verdana" w:hAnsi="Verdana" w:eastAsia="Times New Roman" w:cs="Times New Roman"/>
          <w:sz w:val="18"/>
          <w:szCs w:val="18"/>
        </w:rPr>
        <w:t xml:space="preserve">Iedere aanbestedende dienst </w:t>
      </w:r>
      <w:r w:rsidR="00484C5F">
        <w:rPr>
          <w:rFonts w:ascii="Verdana" w:hAnsi="Verdana" w:eastAsia="Times New Roman" w:cs="Times New Roman"/>
          <w:sz w:val="18"/>
          <w:szCs w:val="18"/>
        </w:rPr>
        <w:t>heeft</w:t>
      </w:r>
      <w:r w:rsidRPr="005F7B6F" w:rsidR="00170519">
        <w:rPr>
          <w:rFonts w:ascii="Verdana" w:hAnsi="Verdana" w:eastAsia="Times New Roman" w:cs="Times New Roman"/>
          <w:sz w:val="18"/>
          <w:szCs w:val="18"/>
        </w:rPr>
        <w:t xml:space="preserve"> hierin een grote mate van beleidsvrijheid. </w:t>
      </w:r>
      <w:r w:rsidR="00484C5F">
        <w:rPr>
          <w:rFonts w:ascii="Verdana" w:hAnsi="Verdana" w:eastAsia="Times New Roman" w:cs="Times New Roman"/>
          <w:sz w:val="18"/>
          <w:szCs w:val="18"/>
        </w:rPr>
        <w:t>Tegelijkertijd leidt dit i</w:t>
      </w:r>
      <w:r w:rsidRPr="005F7B6F" w:rsidR="00170519">
        <w:rPr>
          <w:rFonts w:ascii="Verdana" w:hAnsi="Verdana" w:eastAsia="Times New Roman" w:cs="Times New Roman"/>
          <w:sz w:val="18"/>
          <w:szCs w:val="18"/>
        </w:rPr>
        <w:t>n de praktijk tot een versnipperd landschap waarin verschillende methoden, normen en eisen worden gehanteerd</w:t>
      </w:r>
      <w:r w:rsidRPr="005F7B6F" w:rsidR="00170519">
        <w:rPr>
          <w:rFonts w:ascii="Verdana" w:hAnsi="Verdana" w:eastAsia="Times New Roman" w:cs="Calibri"/>
          <w:sz w:val="18"/>
          <w:szCs w:val="18"/>
        </w:rPr>
        <w:t xml:space="preserve">. </w:t>
      </w:r>
      <w:r w:rsidRPr="005F7B6F">
        <w:rPr>
          <w:rFonts w:ascii="Verdana" w:hAnsi="Verdana" w:eastAsia="Times New Roman" w:cs="Calibri"/>
          <w:sz w:val="18"/>
          <w:szCs w:val="18"/>
        </w:rPr>
        <w:t xml:space="preserve">Ook zijn er </w:t>
      </w:r>
      <w:r w:rsidRPr="005F7B6F">
        <w:rPr>
          <w:rFonts w:ascii="Verdana" w:hAnsi="Verdana" w:eastAsia="Times New Roman" w:cs="Times New Roman"/>
          <w:sz w:val="18"/>
          <w:szCs w:val="18"/>
          <w:lang w:eastAsia="nl-NL"/>
        </w:rPr>
        <w:t xml:space="preserve">aanbestedende diensten en speciale-sectorbedrijven </w:t>
      </w:r>
      <w:r w:rsidRPr="005F7B6F">
        <w:rPr>
          <w:rFonts w:ascii="Verdana" w:hAnsi="Verdana" w:eastAsia="Times New Roman" w:cs="Calibri"/>
          <w:sz w:val="18"/>
          <w:szCs w:val="18"/>
        </w:rPr>
        <w:t xml:space="preserve">die geen milieuprestatie-eisen stellen. Ondernemers ervaren hierdoor een ongelijk speelveld, wat onwenselijk is. </w:t>
      </w:r>
      <w:r w:rsidRPr="00F2248B" w:rsidR="00170519">
        <w:rPr>
          <w:rFonts w:ascii="Verdana" w:hAnsi="Verdana"/>
          <w:sz w:val="18"/>
          <w:szCs w:val="18"/>
        </w:rPr>
        <w:t xml:space="preserve">Het maakt dat de opdrachtnemers steeds weer aan andere eisen moeten voldoen. Daarom willen partijen graag eenduidige </w:t>
      </w:r>
      <w:r w:rsidR="00484C5F">
        <w:rPr>
          <w:rFonts w:ascii="Verdana" w:hAnsi="Verdana"/>
          <w:sz w:val="18"/>
          <w:szCs w:val="18"/>
        </w:rPr>
        <w:t>verplichtingen die haalbaar zijn</w:t>
      </w:r>
      <w:r w:rsidRPr="00F2248B" w:rsidR="00170519">
        <w:rPr>
          <w:rFonts w:ascii="Verdana" w:hAnsi="Verdana"/>
          <w:sz w:val="18"/>
          <w:szCs w:val="18"/>
        </w:rPr>
        <w:t xml:space="preserve">. </w:t>
      </w:r>
      <w:r w:rsidRPr="005F7B6F">
        <w:rPr>
          <w:rFonts w:ascii="Verdana" w:hAnsi="Verdana" w:eastAsia="Times New Roman" w:cs="Calibri"/>
          <w:sz w:val="18"/>
          <w:szCs w:val="18"/>
        </w:rPr>
        <w:t>Voor hen is het belangrijk</w:t>
      </w:r>
      <w:r w:rsidRPr="00E43A50">
        <w:rPr>
          <w:rFonts w:ascii="Verdana" w:hAnsi="Verdana" w:eastAsia="Times New Roman" w:cs="Calibri"/>
          <w:sz w:val="18"/>
          <w:szCs w:val="18"/>
        </w:rPr>
        <w:t xml:space="preserve"> dat ze bij</w:t>
      </w:r>
      <w:r>
        <w:rPr>
          <w:rFonts w:ascii="Verdana" w:hAnsi="Verdana" w:eastAsia="Times New Roman" w:cs="Calibri"/>
          <w:sz w:val="18"/>
          <w:szCs w:val="18"/>
        </w:rPr>
        <w:t xml:space="preserve"> vergelijkbare</w:t>
      </w:r>
      <w:r w:rsidRPr="00E43A50">
        <w:rPr>
          <w:rFonts w:ascii="Verdana" w:hAnsi="Verdana" w:eastAsia="Times New Roman" w:cs="Calibri"/>
          <w:sz w:val="18"/>
          <w:szCs w:val="18"/>
        </w:rPr>
        <w:t xml:space="preserve"> </w:t>
      </w:r>
      <w:r>
        <w:rPr>
          <w:rFonts w:ascii="Verdana" w:hAnsi="Verdana" w:eastAsia="Times New Roman" w:cs="Calibri"/>
          <w:sz w:val="18"/>
          <w:szCs w:val="18"/>
        </w:rPr>
        <w:t>aanbestedingsopdrachten</w:t>
      </w:r>
      <w:r w:rsidRPr="00E43A50">
        <w:rPr>
          <w:rFonts w:ascii="Verdana" w:hAnsi="Verdana" w:eastAsia="Times New Roman" w:cs="Calibri"/>
          <w:sz w:val="18"/>
          <w:szCs w:val="18"/>
        </w:rPr>
        <w:t xml:space="preserve"> dezelfde eisen tegenkomen en de zekerheid hebben dat deze eisen in de toekomst blijven gelden en verder worden aangescherpt. Dit creëert de nodige zekerheid voor het terugverdienen van investeringen in duurzamere productiemethoden</w:t>
      </w:r>
      <w:r>
        <w:rPr>
          <w:rFonts w:ascii="Verdana" w:hAnsi="Verdana" w:eastAsia="Times New Roman" w:cs="Calibri"/>
          <w:sz w:val="18"/>
          <w:szCs w:val="18"/>
        </w:rPr>
        <w:t xml:space="preserve"> en dient daarmee ook het algemene belang van verduurzaming van de </w:t>
      </w:r>
      <w:r w:rsidR="00127A7F">
        <w:rPr>
          <w:rFonts w:ascii="Verdana" w:hAnsi="Verdana" w:eastAsia="Times New Roman" w:cs="Calibri"/>
          <w:sz w:val="18"/>
          <w:szCs w:val="18"/>
        </w:rPr>
        <w:t>GWW</w:t>
      </w:r>
      <w:r w:rsidRPr="00E43A50">
        <w:rPr>
          <w:rFonts w:ascii="Verdana" w:hAnsi="Verdana" w:eastAsia="Times New Roman" w:cs="Calibri"/>
          <w:sz w:val="18"/>
          <w:szCs w:val="18"/>
        </w:rPr>
        <w:t xml:space="preserve">. Ook voor </w:t>
      </w:r>
      <w:r>
        <w:rPr>
          <w:rFonts w:ascii="Verdana" w:hAnsi="Verdana" w:eastAsia="Times New Roman" w:cs="Times New Roman"/>
          <w:sz w:val="18"/>
          <w:szCs w:val="18"/>
          <w:lang w:eastAsia="nl-NL"/>
        </w:rPr>
        <w:t>aanbestedende diensten en speciale-sectorbedrijven</w:t>
      </w:r>
      <w:r w:rsidRPr="00F5605C">
        <w:rPr>
          <w:rFonts w:ascii="Verdana" w:hAnsi="Verdana" w:eastAsia="Times New Roman" w:cs="Times New Roman"/>
          <w:sz w:val="18"/>
          <w:szCs w:val="18"/>
          <w:lang w:eastAsia="nl-NL"/>
        </w:rPr>
        <w:t xml:space="preserve"> </w:t>
      </w:r>
      <w:r w:rsidRPr="00E43A50">
        <w:rPr>
          <w:rFonts w:ascii="Verdana" w:hAnsi="Verdana" w:eastAsia="Times New Roman" w:cs="Calibri"/>
          <w:sz w:val="18"/>
          <w:szCs w:val="18"/>
        </w:rPr>
        <w:t xml:space="preserve">is het wenselijk dat de eisen gelijk zijn. Zo weten zij hoe ze kunnen bijdragen aan </w:t>
      </w:r>
      <w:r>
        <w:rPr>
          <w:rFonts w:ascii="Verdana" w:hAnsi="Verdana" w:eastAsia="Times New Roman" w:cs="Calibri"/>
          <w:sz w:val="18"/>
          <w:szCs w:val="18"/>
        </w:rPr>
        <w:t>verduurzaming</w:t>
      </w:r>
      <w:r w:rsidRPr="00E43A50">
        <w:rPr>
          <w:rFonts w:ascii="Verdana" w:hAnsi="Verdana" w:eastAsia="Times New Roman" w:cs="Calibri"/>
          <w:sz w:val="18"/>
          <w:szCs w:val="18"/>
        </w:rPr>
        <w:t xml:space="preserve"> en krijgen zij de zekerheid dat ze minder vervuilende producten inkopen. </w:t>
      </w:r>
    </w:p>
    <w:p w:rsidRPr="00E43A50" w:rsidR="002539A2" w:rsidP="00643E93" w:rsidRDefault="002539A2" w14:paraId="548565E9" w14:textId="77777777">
      <w:pPr>
        <w:spacing w:after="0" w:line="276" w:lineRule="auto"/>
        <w:rPr>
          <w:rFonts w:ascii="Verdana" w:hAnsi="Verdana" w:eastAsia="Times New Roman" w:cs="Times New Roman"/>
          <w:sz w:val="18"/>
          <w:szCs w:val="18"/>
        </w:rPr>
      </w:pPr>
    </w:p>
    <w:p w:rsidR="007B3F46" w:rsidP="00643E93" w:rsidRDefault="004F0533" w14:paraId="2EB62CE2" w14:textId="2EE00527">
      <w:pPr>
        <w:pStyle w:val="Kop4"/>
        <w:numPr>
          <w:ilvl w:val="1"/>
          <w:numId w:val="24"/>
        </w:numPr>
        <w:spacing w:line="276" w:lineRule="auto"/>
      </w:pPr>
      <w:bookmarkStart w:name="_Toc195040750" w:id="15"/>
      <w:r w:rsidRPr="00E43A50">
        <w:t>Probleemaanpak</w:t>
      </w:r>
      <w:bookmarkEnd w:id="15"/>
    </w:p>
    <w:p w:rsidR="00272089" w:rsidP="00643E93" w:rsidRDefault="00272089" w14:paraId="7E6F9348" w14:textId="77777777">
      <w:pPr>
        <w:spacing w:after="0" w:line="276" w:lineRule="auto"/>
        <w:rPr>
          <w:rFonts w:ascii="Verdana" w:hAnsi="Verdana" w:eastAsia="Times New Roman" w:cs="Times New Roman"/>
          <w:sz w:val="18"/>
          <w:szCs w:val="18"/>
        </w:rPr>
      </w:pPr>
      <w:bookmarkStart w:name="_Hlk201640049" w:id="16"/>
    </w:p>
    <w:p w:rsidR="00272089" w:rsidP="00643E93" w:rsidRDefault="002539A2" w14:paraId="5D7D8FED" w14:textId="3C60511D">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De</w:t>
      </w:r>
      <w:r w:rsidRPr="00E43A50">
        <w:rPr>
          <w:rFonts w:ascii="Verdana" w:hAnsi="Verdana" w:eastAsia="Times New Roman" w:cs="Times New Roman"/>
          <w:sz w:val="18"/>
          <w:szCs w:val="18"/>
        </w:rPr>
        <w:t xml:space="preserve"> rapporten </w:t>
      </w:r>
      <w:r>
        <w:rPr>
          <w:rFonts w:ascii="Verdana" w:hAnsi="Verdana" w:eastAsia="Times New Roman" w:cs="Times New Roman"/>
          <w:sz w:val="18"/>
          <w:szCs w:val="18"/>
        </w:rPr>
        <w:t xml:space="preserve">die genoemd </w:t>
      </w:r>
      <w:r w:rsidR="00484C5F">
        <w:rPr>
          <w:rFonts w:ascii="Verdana" w:hAnsi="Verdana" w:eastAsia="Times New Roman" w:cs="Times New Roman"/>
          <w:sz w:val="18"/>
          <w:szCs w:val="18"/>
        </w:rPr>
        <w:t xml:space="preserve">zijn </w:t>
      </w:r>
      <w:r>
        <w:rPr>
          <w:rFonts w:ascii="Verdana" w:hAnsi="Verdana" w:eastAsia="Times New Roman" w:cs="Times New Roman"/>
          <w:sz w:val="18"/>
          <w:szCs w:val="18"/>
        </w:rPr>
        <w:t xml:space="preserve">in paragraaf 2.1 geven een duidelijk advies </w:t>
      </w:r>
      <w:r w:rsidR="00484C5F">
        <w:rPr>
          <w:rFonts w:ascii="Verdana" w:hAnsi="Verdana" w:eastAsia="Times New Roman" w:cs="Times New Roman"/>
          <w:sz w:val="18"/>
          <w:szCs w:val="18"/>
        </w:rPr>
        <w:t>aan</w:t>
      </w:r>
      <w:r>
        <w:rPr>
          <w:rFonts w:ascii="Verdana" w:hAnsi="Verdana" w:eastAsia="Times New Roman" w:cs="Times New Roman"/>
          <w:sz w:val="18"/>
          <w:szCs w:val="18"/>
        </w:rPr>
        <w:t xml:space="preserve"> de Rijksoverheid. Om de doelstellingen voor verduurzaming (in de GWW) te behalen moet meer beleid gevoerd worden </w:t>
      </w:r>
      <w:r w:rsidRPr="00E43A50">
        <w:rPr>
          <w:rFonts w:ascii="Verdana" w:hAnsi="Verdana" w:eastAsia="Times New Roman" w:cs="Times New Roman"/>
          <w:sz w:val="18"/>
          <w:szCs w:val="18"/>
        </w:rPr>
        <w:t>gericht op regie vanuit de Rijksoverheid op aanbestedingen.</w:t>
      </w:r>
      <w:r>
        <w:rPr>
          <w:rFonts w:ascii="Verdana" w:hAnsi="Verdana" w:eastAsia="Times New Roman" w:cs="Times New Roman"/>
          <w:sz w:val="18"/>
          <w:szCs w:val="18"/>
        </w:rPr>
        <w:t xml:space="preserve"> Momenteel ontbreekt deze regie nog.</w:t>
      </w:r>
      <w:r w:rsidRPr="00E43A50">
        <w:rPr>
          <w:rFonts w:ascii="Verdana" w:hAnsi="Verdana" w:eastAsia="Times New Roman" w:cs="Times New Roman"/>
          <w:sz w:val="18"/>
          <w:szCs w:val="18"/>
        </w:rPr>
        <w:t xml:space="preserve"> Aanbestedende diensten en speciale</w:t>
      </w:r>
      <w:r>
        <w:rPr>
          <w:rFonts w:ascii="Verdana" w:hAnsi="Verdana" w:eastAsia="Times New Roman" w:cs="Times New Roman"/>
          <w:sz w:val="18"/>
          <w:szCs w:val="18"/>
        </w:rPr>
        <w:t>-</w:t>
      </w:r>
      <w:r w:rsidRPr="00E43A50">
        <w:rPr>
          <w:rFonts w:ascii="Verdana" w:hAnsi="Verdana" w:eastAsia="Times New Roman" w:cs="Times New Roman"/>
          <w:sz w:val="18"/>
          <w:szCs w:val="18"/>
        </w:rPr>
        <w:t>sectorbedrijven kunnen een grote invloed hebben op de ontwikkeling van GWW, die vrijwel volledig afhankelijk is van overheidsinkoop.</w:t>
      </w:r>
      <w:r w:rsidR="008D5AFE">
        <w:rPr>
          <w:rFonts w:ascii="Verdana" w:hAnsi="Verdana" w:eastAsia="Times New Roman" w:cs="Times New Roman"/>
          <w:sz w:val="18"/>
          <w:szCs w:val="18"/>
        </w:rPr>
        <w:t xml:space="preserve"> </w:t>
      </w:r>
      <w:r w:rsidR="00272089">
        <w:rPr>
          <w:rFonts w:ascii="Verdana" w:hAnsi="Verdana" w:eastAsia="Times New Roman" w:cs="Times New Roman"/>
          <w:sz w:val="18"/>
          <w:szCs w:val="18"/>
        </w:rPr>
        <w:t xml:space="preserve">Er zijn inmiddels </w:t>
      </w:r>
      <w:r w:rsidR="00484C5F">
        <w:rPr>
          <w:rFonts w:ascii="Verdana" w:hAnsi="Verdana" w:eastAsia="Times New Roman" w:cs="Times New Roman"/>
          <w:sz w:val="18"/>
          <w:szCs w:val="18"/>
        </w:rPr>
        <w:t>verschillende</w:t>
      </w:r>
      <w:r w:rsidR="00272089">
        <w:rPr>
          <w:rFonts w:ascii="Verdana" w:hAnsi="Verdana" w:eastAsia="Times New Roman" w:cs="Times New Roman"/>
          <w:sz w:val="18"/>
          <w:szCs w:val="18"/>
        </w:rPr>
        <w:t xml:space="preserve"> onderzoeken uitgevoerd naar de wijze waarop de milieu-impact in de bouwsector kan worden verlaagd. Steeds weer wordt gewezen op sturing via circulair inkopen</w:t>
      </w:r>
      <w:r w:rsidR="000134EE">
        <w:rPr>
          <w:rFonts w:ascii="Verdana" w:hAnsi="Verdana" w:eastAsia="Times New Roman" w:cs="Times New Roman"/>
          <w:sz w:val="18"/>
          <w:szCs w:val="18"/>
        </w:rPr>
        <w:t>. Dat is een krachtig instrument: v</w:t>
      </w:r>
      <w:r w:rsidR="00272089">
        <w:rPr>
          <w:rFonts w:ascii="Verdana" w:hAnsi="Verdana" w:eastAsia="Times New Roman" w:cs="Times New Roman"/>
          <w:sz w:val="18"/>
          <w:szCs w:val="18"/>
        </w:rPr>
        <w:t xml:space="preserve">an de 85 miljard euro die </w:t>
      </w:r>
      <w:r w:rsidRPr="00445213" w:rsidR="00272089">
        <w:rPr>
          <w:rFonts w:ascii="Verdana" w:hAnsi="Verdana" w:eastAsia="Times New Roman" w:cs="Times New Roman"/>
          <w:sz w:val="18"/>
          <w:szCs w:val="18"/>
        </w:rPr>
        <w:t xml:space="preserve">overheden in 2019 </w:t>
      </w:r>
      <w:r w:rsidR="00272089">
        <w:rPr>
          <w:rFonts w:ascii="Verdana" w:hAnsi="Verdana" w:eastAsia="Times New Roman" w:cs="Times New Roman"/>
          <w:sz w:val="18"/>
          <w:szCs w:val="18"/>
        </w:rPr>
        <w:t>inkochten voor goederen en diensten, was 25 miljard bestemd voor de bouwsector</w:t>
      </w:r>
      <w:r w:rsidRPr="00445213" w:rsidR="00272089">
        <w:rPr>
          <w:rFonts w:ascii="Verdana" w:hAnsi="Verdana" w:eastAsia="Times New Roman" w:cs="Times New Roman"/>
          <w:sz w:val="18"/>
          <w:szCs w:val="18"/>
        </w:rPr>
        <w:t>.</w:t>
      </w:r>
      <w:r w:rsidR="00272089">
        <w:rPr>
          <w:rStyle w:val="Voetnootmarkering"/>
          <w:rFonts w:ascii="Verdana" w:hAnsi="Verdana" w:eastAsia="Times New Roman" w:cs="Times New Roman"/>
          <w:sz w:val="18"/>
          <w:szCs w:val="18"/>
        </w:rPr>
        <w:footnoteReference w:id="11"/>
      </w:r>
      <w:r w:rsidR="00BA76AE">
        <w:rPr>
          <w:rFonts w:ascii="Verdana" w:hAnsi="Verdana" w:eastAsia="Times New Roman" w:cs="Times New Roman"/>
          <w:sz w:val="18"/>
          <w:szCs w:val="18"/>
        </w:rPr>
        <w:t xml:space="preserve"> </w:t>
      </w:r>
      <w:r w:rsidR="00272089">
        <w:rPr>
          <w:rFonts w:ascii="Verdana" w:hAnsi="Verdana" w:eastAsia="Times New Roman" w:cs="Times New Roman"/>
          <w:sz w:val="18"/>
          <w:szCs w:val="18"/>
        </w:rPr>
        <w:t>Om de vraag naar</w:t>
      </w:r>
      <w:r w:rsidRPr="00445213" w:rsidR="00272089">
        <w:rPr>
          <w:rFonts w:ascii="Verdana" w:hAnsi="Verdana" w:eastAsia="Times New Roman" w:cs="Times New Roman"/>
          <w:sz w:val="18"/>
          <w:szCs w:val="18"/>
        </w:rPr>
        <w:t xml:space="preserve"> circulaire producten en diensten </w:t>
      </w:r>
      <w:r w:rsidR="00272089">
        <w:rPr>
          <w:rFonts w:ascii="Verdana" w:hAnsi="Verdana" w:eastAsia="Times New Roman" w:cs="Times New Roman"/>
          <w:sz w:val="18"/>
          <w:szCs w:val="18"/>
        </w:rPr>
        <w:t>te vergroten kunnen o</w:t>
      </w:r>
      <w:r w:rsidRPr="00445213" w:rsidR="00272089">
        <w:rPr>
          <w:rFonts w:ascii="Verdana" w:hAnsi="Verdana" w:eastAsia="Times New Roman" w:cs="Times New Roman"/>
          <w:sz w:val="18"/>
          <w:szCs w:val="18"/>
        </w:rPr>
        <w:t xml:space="preserve">verheden </w:t>
      </w:r>
      <w:r w:rsidR="00272089">
        <w:rPr>
          <w:rFonts w:ascii="Verdana" w:hAnsi="Verdana" w:eastAsia="Times New Roman" w:cs="Times New Roman"/>
          <w:sz w:val="18"/>
          <w:szCs w:val="18"/>
        </w:rPr>
        <w:t>met</w:t>
      </w:r>
      <w:r w:rsidRPr="00445213" w:rsidR="00272089">
        <w:rPr>
          <w:rFonts w:ascii="Verdana" w:hAnsi="Verdana" w:eastAsia="Times New Roman" w:cs="Times New Roman"/>
          <w:sz w:val="18"/>
          <w:szCs w:val="18"/>
        </w:rPr>
        <w:t xml:space="preserve"> hun substantiële inkoopkracht een markt creëren</w:t>
      </w:r>
      <w:r w:rsidR="00272089">
        <w:rPr>
          <w:rFonts w:ascii="Verdana" w:hAnsi="Verdana" w:eastAsia="Times New Roman" w:cs="Times New Roman"/>
          <w:sz w:val="18"/>
          <w:szCs w:val="18"/>
        </w:rPr>
        <w:t xml:space="preserve"> voor innovatieve circulaire producten en diensten, waardoor ze</w:t>
      </w:r>
      <w:r w:rsidRPr="00445213" w:rsidR="00272089">
        <w:rPr>
          <w:rFonts w:ascii="Verdana" w:hAnsi="Verdana" w:eastAsia="Times New Roman" w:cs="Times New Roman"/>
          <w:sz w:val="18"/>
          <w:szCs w:val="18"/>
        </w:rPr>
        <w:t xml:space="preserve"> onzekerheid bij bedrijven die willen opschalen </w:t>
      </w:r>
      <w:r w:rsidR="00272089">
        <w:rPr>
          <w:rFonts w:ascii="Verdana" w:hAnsi="Verdana" w:eastAsia="Times New Roman" w:cs="Times New Roman"/>
          <w:sz w:val="18"/>
          <w:szCs w:val="18"/>
        </w:rPr>
        <w:t>weg kunnen nemen</w:t>
      </w:r>
      <w:r w:rsidRPr="00445213" w:rsidR="00272089">
        <w:rPr>
          <w:rFonts w:ascii="Verdana" w:hAnsi="Verdana" w:eastAsia="Times New Roman" w:cs="Times New Roman"/>
          <w:sz w:val="18"/>
          <w:szCs w:val="18"/>
        </w:rPr>
        <w:t>.</w:t>
      </w:r>
      <w:r w:rsidR="00272089">
        <w:rPr>
          <w:rFonts w:ascii="Verdana" w:hAnsi="Verdana" w:eastAsia="Times New Roman" w:cs="Times New Roman"/>
          <w:sz w:val="18"/>
          <w:szCs w:val="18"/>
        </w:rPr>
        <w:t xml:space="preserve"> </w:t>
      </w:r>
    </w:p>
    <w:p w:rsidR="002539A2" w:rsidP="00643E93" w:rsidRDefault="002539A2" w14:paraId="1897AB47" w14:textId="77777777">
      <w:pPr>
        <w:spacing w:after="0" w:line="276" w:lineRule="auto"/>
        <w:rPr>
          <w:rFonts w:ascii="Verdana" w:hAnsi="Verdana" w:eastAsia="Times New Roman" w:cs="Times New Roman"/>
          <w:sz w:val="18"/>
          <w:szCs w:val="18"/>
        </w:rPr>
      </w:pPr>
    </w:p>
    <w:p w:rsidR="00272089" w:rsidP="00643E93" w:rsidRDefault="002539A2" w14:paraId="4AEB2CDA" w14:textId="1DB05C27">
      <w:pPr>
        <w:spacing w:after="0" w:line="276" w:lineRule="auto"/>
        <w:rPr>
          <w:rFonts w:ascii="Verdana" w:hAnsi="Verdana" w:eastAsia="Times New Roman" w:cs="Times New Roman"/>
          <w:sz w:val="18"/>
          <w:szCs w:val="18"/>
        </w:rPr>
      </w:pPr>
      <w:r w:rsidRPr="00E43A50">
        <w:rPr>
          <w:rFonts w:ascii="Verdana" w:hAnsi="Verdana" w:eastAsia="Times New Roman" w:cs="Calibri"/>
          <w:sz w:val="18"/>
          <w:szCs w:val="18"/>
        </w:rPr>
        <w:t xml:space="preserve">In het NPCE is – de signalen uit de sector gehoord hebbende - de maatregel opgenomen om wettelijk te sturen op het verlagen van de milieu-impact in de GWW-sector. Daarbij </w:t>
      </w:r>
      <w:r w:rsidRPr="00E43A50">
        <w:rPr>
          <w:rFonts w:ascii="Verdana" w:hAnsi="Verdana" w:eastAsia="Times New Roman" w:cs="Calibri"/>
          <w:sz w:val="18"/>
          <w:szCs w:val="18"/>
        </w:rPr>
        <w:lastRenderedPageBreak/>
        <w:t>is aangegeven verder te onderzoeken op welke wijze deze sturing plaats kan vinden, en daarbij medeoverheden en de sector te betrekken. De GWW kenmerkt zich door het feit dat een (relatief beperkte) groep publieke opdracht</w:t>
      </w:r>
      <w:r w:rsidRPr="00E43A50">
        <w:rPr>
          <w:rFonts w:ascii="Verdana" w:hAnsi="Verdana" w:eastAsia="Times New Roman" w:cs="Calibri"/>
          <w:sz w:val="18"/>
          <w:szCs w:val="18"/>
        </w:rPr>
        <w:softHyphen/>
        <w:t>gevers bijna alle infrastructuur in beheer heeft en de overheid als opdrachtgever dus veel invloed op de markt kan uitoefenen. Dit betreft zowel de Rijksoverheid als de medeoverheden (waterschappen, provincies, gemeenten) als speciale-sectorbedrijven. De in het NPCE aangekondigde onderzoeken zijn afgerond, waarna op 31 mei 2024 het kabinet heeft besloten om wettelijk te sturen op milieu-impact in de GWW.</w:t>
      </w:r>
      <w:r w:rsidRPr="00E43A50">
        <w:rPr>
          <w:rFonts w:ascii="Verdana" w:hAnsi="Verdana" w:eastAsia="Times New Roman" w:cs="Calibri"/>
          <w:sz w:val="18"/>
          <w:szCs w:val="18"/>
          <w:vertAlign w:val="superscript"/>
        </w:rPr>
        <w:footnoteReference w:id="12"/>
      </w:r>
      <w:r w:rsidRPr="00E43A50">
        <w:rPr>
          <w:rFonts w:ascii="Verdana" w:hAnsi="Verdana" w:eastAsia="Times New Roman" w:cs="Calibri"/>
          <w:sz w:val="18"/>
          <w:szCs w:val="18"/>
        </w:rPr>
        <w:t xml:space="preserve"> Het is voor aanbestedende diensten </w:t>
      </w:r>
      <w:r>
        <w:rPr>
          <w:rFonts w:ascii="Verdana" w:hAnsi="Verdana" w:eastAsia="Times New Roman" w:cs="Calibri"/>
          <w:sz w:val="18"/>
          <w:szCs w:val="18"/>
        </w:rPr>
        <w:t xml:space="preserve">en speciale-sectorbedrijven </w:t>
      </w:r>
      <w:r w:rsidRPr="00E43A50">
        <w:rPr>
          <w:rFonts w:ascii="Verdana" w:hAnsi="Verdana" w:eastAsia="Times New Roman" w:cs="Calibri"/>
          <w:sz w:val="18"/>
          <w:szCs w:val="18"/>
        </w:rPr>
        <w:t xml:space="preserve">belangrijk om te weten naar welke lat men moet toewerken, en welke standaard opgelegd kan worden in inkoopprocedures. </w:t>
      </w:r>
      <w:r w:rsidR="00831F13">
        <w:rPr>
          <w:rFonts w:ascii="Verdana" w:hAnsi="Verdana" w:eastAsia="Times New Roman" w:cs="Times New Roman"/>
          <w:sz w:val="18"/>
          <w:szCs w:val="18"/>
        </w:rPr>
        <w:t xml:space="preserve">Daarom wil de regering </w:t>
      </w:r>
      <w:r w:rsidRPr="00E43A50" w:rsidR="00831F13">
        <w:rPr>
          <w:rFonts w:ascii="Verdana" w:hAnsi="Verdana" w:eastAsia="Times New Roman" w:cs="Times New Roman"/>
          <w:sz w:val="18"/>
          <w:szCs w:val="18"/>
        </w:rPr>
        <w:t xml:space="preserve">meer </w:t>
      </w:r>
      <w:r w:rsidR="00831F13">
        <w:rPr>
          <w:rFonts w:ascii="Verdana" w:hAnsi="Verdana" w:eastAsia="Times New Roman" w:cs="Times New Roman"/>
          <w:sz w:val="18"/>
          <w:szCs w:val="18"/>
        </w:rPr>
        <w:t>uniformiteit</w:t>
      </w:r>
      <w:r w:rsidRPr="00E43A50" w:rsidR="00831F13">
        <w:rPr>
          <w:rFonts w:ascii="Verdana" w:hAnsi="Verdana" w:eastAsia="Times New Roman" w:cs="Times New Roman"/>
          <w:sz w:val="18"/>
          <w:szCs w:val="18"/>
        </w:rPr>
        <w:t xml:space="preserve"> en voorspelbaarheid creëren </w:t>
      </w:r>
      <w:r w:rsidR="00831F13">
        <w:rPr>
          <w:rFonts w:ascii="Verdana" w:hAnsi="Verdana" w:eastAsia="Times New Roman" w:cs="Times New Roman"/>
          <w:sz w:val="18"/>
          <w:szCs w:val="18"/>
        </w:rPr>
        <w:t>voor</w:t>
      </w:r>
      <w:r w:rsidRPr="00E43A50" w:rsidR="00831F13">
        <w:rPr>
          <w:rFonts w:ascii="Verdana" w:hAnsi="Verdana" w:eastAsia="Times New Roman" w:cs="Times New Roman"/>
          <w:sz w:val="18"/>
          <w:szCs w:val="18"/>
        </w:rPr>
        <w:t xml:space="preserve"> het stellen van eisen</w:t>
      </w:r>
      <w:r w:rsidR="00831F13">
        <w:rPr>
          <w:rFonts w:ascii="Verdana" w:hAnsi="Verdana" w:eastAsia="Times New Roman" w:cs="Times New Roman"/>
          <w:sz w:val="18"/>
          <w:szCs w:val="18"/>
        </w:rPr>
        <w:t xml:space="preserve"> voor milieuprestatie bij aanbestedingen. Hiermee kunnen</w:t>
      </w:r>
      <w:r w:rsidRPr="00E43A50" w:rsidR="00831F13">
        <w:rPr>
          <w:rFonts w:ascii="Verdana" w:hAnsi="Verdana" w:eastAsia="Times New Roman" w:cs="Times New Roman"/>
          <w:sz w:val="18"/>
          <w:szCs w:val="18"/>
        </w:rPr>
        <w:t xml:space="preserve"> marktpartijen gericht investeren in de milieuprestatie van hun producten en duurzame innovaties</w:t>
      </w:r>
      <w:r w:rsidR="00831F13">
        <w:rPr>
          <w:rFonts w:ascii="Verdana" w:hAnsi="Verdana" w:eastAsia="Times New Roman" w:cs="Times New Roman"/>
          <w:sz w:val="18"/>
          <w:szCs w:val="18"/>
        </w:rPr>
        <w:t xml:space="preserve"> die het milieu ten goede komen. </w:t>
      </w:r>
      <w:r w:rsidRPr="00E43A50">
        <w:rPr>
          <w:rFonts w:ascii="Verdana" w:hAnsi="Verdana" w:eastAsia="Times New Roman" w:cs="Calibri"/>
          <w:sz w:val="18"/>
          <w:szCs w:val="18"/>
        </w:rPr>
        <w:t>Daarbij is een gefaseerde invoering met flankerend beleid de meest effectieve oplossing. De maatregel is aanvullend en ondersteunend op de Strategie Klimaatneutrale en Circulaire Infrastructuur (KCI).</w:t>
      </w:r>
      <w:r w:rsidRPr="00E43A50">
        <w:rPr>
          <w:rStyle w:val="Voetnootmarkering"/>
          <w:rFonts w:ascii="Verdana" w:hAnsi="Verdana" w:eastAsia="Times New Roman" w:cs="Calibri"/>
          <w:sz w:val="18"/>
          <w:szCs w:val="18"/>
        </w:rPr>
        <w:footnoteReference w:id="13"/>
      </w:r>
    </w:p>
    <w:bookmarkEnd w:id="16"/>
    <w:p w:rsidRPr="00E43A50" w:rsidR="007B3F46" w:rsidP="00643E93" w:rsidRDefault="007B3F46" w14:paraId="79C436B8" w14:textId="77777777">
      <w:pPr>
        <w:spacing w:after="0" w:line="276" w:lineRule="auto"/>
        <w:rPr>
          <w:rFonts w:ascii="Verdana" w:hAnsi="Verdana" w:eastAsia="Times New Roman" w:cs="Times New Roman"/>
          <w:sz w:val="18"/>
          <w:szCs w:val="18"/>
        </w:rPr>
      </w:pPr>
    </w:p>
    <w:p w:rsidRPr="00E43A50" w:rsidR="00D01A3B" w:rsidP="00643E93" w:rsidRDefault="002669EF" w14:paraId="645883A0" w14:textId="2CEB9E11">
      <w:pPr>
        <w:spacing w:after="0" w:line="276" w:lineRule="auto"/>
        <w:rPr>
          <w:rFonts w:ascii="Verdana" w:hAnsi="Verdana" w:eastAsia="Times New Roman" w:cs="Times New Roman"/>
          <w:sz w:val="18"/>
          <w:szCs w:val="18"/>
        </w:rPr>
      </w:pPr>
      <w:bookmarkStart w:name="_Hlk201640075" w:id="17"/>
      <w:r>
        <w:rPr>
          <w:rFonts w:ascii="Verdana" w:hAnsi="Verdana" w:eastAsia="Times New Roman" w:cs="Times New Roman"/>
          <w:sz w:val="18"/>
          <w:szCs w:val="18"/>
        </w:rPr>
        <w:t xml:space="preserve">Voor het in kaart brengen van de beleidsopties </w:t>
      </w:r>
      <w:r w:rsidR="000F37B6">
        <w:rPr>
          <w:rFonts w:ascii="Verdana" w:hAnsi="Verdana" w:eastAsia="Times New Roman" w:cs="Times New Roman"/>
          <w:sz w:val="18"/>
          <w:szCs w:val="18"/>
        </w:rPr>
        <w:t>hebben</w:t>
      </w:r>
      <w:r w:rsidRPr="00E43A50" w:rsidR="00D01A3B">
        <w:rPr>
          <w:rFonts w:ascii="Verdana" w:hAnsi="Verdana" w:eastAsia="Times New Roman" w:cs="Times New Roman"/>
          <w:sz w:val="18"/>
          <w:szCs w:val="18"/>
        </w:rPr>
        <w:t xml:space="preserve"> verschillende bureaus onderzoek uitgevoerd </w:t>
      </w:r>
      <w:r w:rsidRPr="00E43A50" w:rsidR="007B3F46">
        <w:rPr>
          <w:rFonts w:ascii="Verdana" w:hAnsi="Verdana" w:eastAsia="Times New Roman" w:cs="Times New Roman"/>
          <w:sz w:val="18"/>
          <w:szCs w:val="18"/>
        </w:rPr>
        <w:t>naar de wijze van sturing</w:t>
      </w:r>
      <w:r w:rsidRPr="00E43A50" w:rsidR="001A06E8">
        <w:rPr>
          <w:rFonts w:ascii="Verdana" w:hAnsi="Verdana" w:eastAsia="Times New Roman" w:cs="Times New Roman"/>
          <w:sz w:val="18"/>
          <w:szCs w:val="18"/>
        </w:rPr>
        <w:t xml:space="preserve"> op het verlagen van de milieu-impact</w:t>
      </w:r>
      <w:r w:rsidRPr="00E43A50" w:rsidR="007B3F46">
        <w:rPr>
          <w:rFonts w:ascii="Verdana" w:hAnsi="Verdana" w:eastAsia="Times New Roman" w:cs="Times New Roman"/>
          <w:sz w:val="18"/>
          <w:szCs w:val="18"/>
        </w:rPr>
        <w:t xml:space="preserve"> in de GWW-sector</w:t>
      </w:r>
      <w:r w:rsidRPr="00E43A50" w:rsidR="00D01A3B">
        <w:rPr>
          <w:rFonts w:ascii="Verdana" w:hAnsi="Verdana" w:eastAsia="Times New Roman" w:cs="Times New Roman"/>
          <w:sz w:val="18"/>
          <w:szCs w:val="18"/>
        </w:rPr>
        <w:t xml:space="preserve">. Zo </w:t>
      </w:r>
      <w:r w:rsidR="00BC62C8">
        <w:rPr>
          <w:rFonts w:ascii="Verdana" w:hAnsi="Verdana" w:eastAsia="Times New Roman" w:cs="Times New Roman"/>
          <w:sz w:val="18"/>
          <w:szCs w:val="18"/>
        </w:rPr>
        <w:t xml:space="preserve">zijn </w:t>
      </w:r>
      <w:r w:rsidRPr="00E43A50" w:rsidR="00D01A3B">
        <w:rPr>
          <w:rFonts w:ascii="Verdana" w:hAnsi="Verdana" w:eastAsia="Times New Roman" w:cs="Times New Roman"/>
          <w:sz w:val="18"/>
          <w:szCs w:val="18"/>
        </w:rPr>
        <w:t>het toepassingsgebied,</w:t>
      </w:r>
      <w:r w:rsidRPr="00E43A50" w:rsidR="009D46DF">
        <w:rPr>
          <w:rStyle w:val="Voetnootmarkering"/>
          <w:rFonts w:ascii="Verdana" w:hAnsi="Verdana" w:eastAsia="Times New Roman" w:cs="Times New Roman"/>
          <w:sz w:val="18"/>
          <w:szCs w:val="18"/>
        </w:rPr>
        <w:footnoteReference w:id="14"/>
      </w:r>
      <w:r w:rsidRPr="00E43A50" w:rsidR="00D01A3B">
        <w:rPr>
          <w:rFonts w:ascii="Verdana" w:hAnsi="Verdana" w:eastAsia="Times New Roman" w:cs="Times New Roman"/>
          <w:sz w:val="18"/>
          <w:szCs w:val="18"/>
        </w:rPr>
        <w:t xml:space="preserve"> de varianten en effecten</w:t>
      </w:r>
      <w:r w:rsidRPr="00E43A50" w:rsidR="009D46DF">
        <w:rPr>
          <w:rStyle w:val="Voetnootmarkering"/>
          <w:rFonts w:ascii="Verdana" w:hAnsi="Verdana" w:eastAsia="Times New Roman" w:cs="Times New Roman"/>
          <w:sz w:val="18"/>
          <w:szCs w:val="18"/>
        </w:rPr>
        <w:footnoteReference w:id="15"/>
      </w:r>
      <w:r w:rsidRPr="00E43A50" w:rsidR="00D01A3B">
        <w:rPr>
          <w:rFonts w:ascii="Verdana" w:hAnsi="Verdana" w:eastAsia="Times New Roman" w:cs="Times New Roman"/>
          <w:sz w:val="18"/>
          <w:szCs w:val="18"/>
        </w:rPr>
        <w:t xml:space="preserve"> en de juridische haalbaarheid onderzocht.</w:t>
      </w:r>
      <w:r w:rsidRPr="00E43A50" w:rsidR="009D46DF">
        <w:rPr>
          <w:rFonts w:ascii="Verdana" w:hAnsi="Verdana" w:eastAsia="Times New Roman" w:cs="Times New Roman"/>
          <w:sz w:val="18"/>
          <w:szCs w:val="18"/>
        </w:rPr>
        <w:t xml:space="preserve"> </w:t>
      </w:r>
      <w:r w:rsidRPr="00E43A50" w:rsidR="00A33E72">
        <w:rPr>
          <w:rFonts w:ascii="Verdana" w:hAnsi="Verdana" w:eastAsia="Times New Roman" w:cs="Times New Roman"/>
          <w:sz w:val="18"/>
          <w:szCs w:val="18"/>
        </w:rPr>
        <w:t xml:space="preserve">Deze varianten – waaronder een rekenverplichting voor alle GWW-werken, een rekenverplichting op productniveau, een grenswaarde op bouwwerkniveau, en een verplichting </w:t>
      </w:r>
      <w:r w:rsidR="008B5F9D">
        <w:rPr>
          <w:rFonts w:ascii="Verdana" w:hAnsi="Verdana" w:eastAsia="Times New Roman" w:cs="Times New Roman"/>
          <w:sz w:val="18"/>
          <w:szCs w:val="18"/>
        </w:rPr>
        <w:t xml:space="preserve">voor </w:t>
      </w:r>
      <w:r w:rsidRPr="00E43A50" w:rsidR="00A33E72">
        <w:rPr>
          <w:rFonts w:ascii="Verdana" w:hAnsi="Verdana" w:eastAsia="Times New Roman" w:cs="Times New Roman"/>
          <w:sz w:val="18"/>
          <w:szCs w:val="18"/>
        </w:rPr>
        <w:t xml:space="preserve">het meenemen van milieuprestatie in de gunningsbeslissing voor alle aanbestedingen - worden in hoofdstuk 3 nader toegelicht. </w:t>
      </w:r>
      <w:r w:rsidRPr="00E43A50" w:rsidR="009D46DF">
        <w:rPr>
          <w:rFonts w:ascii="Verdana" w:hAnsi="Verdana" w:eastAsia="Times New Roman" w:cs="Times New Roman"/>
          <w:sz w:val="18"/>
          <w:szCs w:val="18"/>
        </w:rPr>
        <w:t xml:space="preserve">In een beleidsadvies </w:t>
      </w:r>
      <w:r w:rsidRPr="00E43A50" w:rsidR="008C4877">
        <w:rPr>
          <w:rFonts w:ascii="Verdana" w:hAnsi="Verdana" w:eastAsia="Times New Roman" w:cs="Times New Roman"/>
          <w:sz w:val="18"/>
          <w:szCs w:val="18"/>
        </w:rPr>
        <w:t xml:space="preserve">aan het </w:t>
      </w:r>
      <w:r w:rsidR="00506413">
        <w:rPr>
          <w:rFonts w:ascii="Verdana" w:hAnsi="Verdana" w:eastAsia="Times New Roman" w:cs="Times New Roman"/>
          <w:sz w:val="18"/>
          <w:szCs w:val="18"/>
        </w:rPr>
        <w:t>M</w:t>
      </w:r>
      <w:r w:rsidRPr="00E43A50" w:rsidR="008C4877">
        <w:rPr>
          <w:rFonts w:ascii="Verdana" w:hAnsi="Verdana" w:eastAsia="Times New Roman" w:cs="Times New Roman"/>
          <w:sz w:val="18"/>
          <w:szCs w:val="18"/>
        </w:rPr>
        <w:t>inisterie van Infrastructuur en Waterstaat zijn</w:t>
      </w:r>
      <w:r w:rsidRPr="00E43A50" w:rsidR="009D46DF">
        <w:rPr>
          <w:rFonts w:ascii="Verdana" w:hAnsi="Verdana" w:eastAsia="Times New Roman" w:cs="Times New Roman"/>
          <w:sz w:val="18"/>
          <w:szCs w:val="18"/>
        </w:rPr>
        <w:t xml:space="preserve"> deze onderzoeksresultaten samengevat, verder uitgediept en gevalideerd bij de sector (bedrijfsleven, aanbestedende diensten, speciale</w:t>
      </w:r>
      <w:r w:rsidR="00DB4362">
        <w:rPr>
          <w:rFonts w:ascii="Verdana" w:hAnsi="Verdana" w:eastAsia="Times New Roman" w:cs="Times New Roman"/>
          <w:sz w:val="18"/>
          <w:szCs w:val="18"/>
        </w:rPr>
        <w:t>-</w:t>
      </w:r>
      <w:r w:rsidRPr="00E43A50" w:rsidR="009D46DF">
        <w:rPr>
          <w:rFonts w:ascii="Verdana" w:hAnsi="Verdana" w:eastAsia="Times New Roman" w:cs="Times New Roman"/>
          <w:sz w:val="18"/>
          <w:szCs w:val="18"/>
        </w:rPr>
        <w:t>sectorbedrijven en brancheorganisaties).</w:t>
      </w:r>
      <w:r w:rsidRPr="00E43A50" w:rsidR="009D46DF">
        <w:rPr>
          <w:rStyle w:val="Voetnootmarkering"/>
          <w:rFonts w:ascii="Verdana" w:hAnsi="Verdana" w:eastAsia="Times New Roman" w:cs="Times New Roman"/>
          <w:sz w:val="18"/>
          <w:szCs w:val="18"/>
        </w:rPr>
        <w:footnoteReference w:id="16"/>
      </w:r>
      <w:r w:rsidRPr="00E43A50" w:rsidR="00D01A3B">
        <w:rPr>
          <w:rFonts w:ascii="Verdana" w:hAnsi="Verdana" w:eastAsia="Times New Roman" w:cs="Times New Roman"/>
          <w:sz w:val="18"/>
          <w:szCs w:val="18"/>
        </w:rPr>
        <w:t xml:space="preserve"> </w:t>
      </w:r>
      <w:r w:rsidR="000515C7">
        <w:rPr>
          <w:rFonts w:ascii="Verdana" w:hAnsi="Verdana" w:eastAsia="Times New Roman" w:cs="Calibri"/>
          <w:sz w:val="18"/>
          <w:szCs w:val="18"/>
        </w:rPr>
        <w:t xml:space="preserve">Er is een evaluatie uitgevoerd naar het sturen </w:t>
      </w:r>
      <w:r w:rsidR="00127A7F">
        <w:rPr>
          <w:rFonts w:ascii="Verdana" w:hAnsi="Verdana" w:eastAsia="Times New Roman" w:cs="Calibri"/>
          <w:sz w:val="18"/>
          <w:szCs w:val="18"/>
        </w:rPr>
        <w:t>op</w:t>
      </w:r>
      <w:r w:rsidR="000515C7">
        <w:rPr>
          <w:rFonts w:ascii="Verdana" w:hAnsi="Verdana" w:eastAsia="Times New Roman" w:cs="Calibri"/>
          <w:sz w:val="18"/>
          <w:szCs w:val="18"/>
        </w:rPr>
        <w:t xml:space="preserve"> </w:t>
      </w:r>
      <w:r w:rsidR="000515C7">
        <w:rPr>
          <w:rFonts w:ascii="Verdana" w:hAnsi="Verdana" w:eastAsia="Times New Roman" w:cs="Calibri"/>
          <w:sz w:val="18"/>
          <w:szCs w:val="18"/>
        </w:rPr>
        <w:lastRenderedPageBreak/>
        <w:t>milieuprestatie-eisen in de GWW, dat bevestig</w:t>
      </w:r>
      <w:r w:rsidR="00772E71">
        <w:rPr>
          <w:rFonts w:ascii="Verdana" w:hAnsi="Verdana" w:eastAsia="Times New Roman" w:cs="Calibri"/>
          <w:sz w:val="18"/>
          <w:szCs w:val="18"/>
        </w:rPr>
        <w:t>t</w:t>
      </w:r>
      <w:r w:rsidR="000515C7">
        <w:rPr>
          <w:rFonts w:ascii="Verdana" w:hAnsi="Verdana" w:eastAsia="Times New Roman" w:cs="Calibri"/>
          <w:sz w:val="18"/>
          <w:szCs w:val="18"/>
        </w:rPr>
        <w:t xml:space="preserve"> dat het bijdraagt aan het verlagen van de milieu-impact</w:t>
      </w:r>
      <w:r w:rsidRPr="002B0281" w:rsidR="000515C7">
        <w:rPr>
          <w:rFonts w:ascii="Verdana" w:hAnsi="Verdana" w:eastAsia="Times New Roman" w:cs="Calibri"/>
          <w:sz w:val="18"/>
          <w:szCs w:val="18"/>
        </w:rPr>
        <w:t>.</w:t>
      </w:r>
      <w:r w:rsidRPr="002B0281" w:rsidR="000515C7">
        <w:rPr>
          <w:rStyle w:val="Voetnootmarkering"/>
          <w:rFonts w:ascii="Verdana" w:hAnsi="Verdana" w:eastAsia="Times New Roman" w:cs="Calibri"/>
          <w:sz w:val="18"/>
          <w:szCs w:val="18"/>
        </w:rPr>
        <w:footnoteReference w:id="17"/>
      </w:r>
      <w:r w:rsidRPr="00E43A50" w:rsidR="000515C7">
        <w:rPr>
          <w:rFonts w:ascii="Verdana" w:hAnsi="Verdana" w:eastAsia="Times New Roman" w:cs="Calibri"/>
          <w:sz w:val="18"/>
          <w:szCs w:val="18"/>
        </w:rPr>
        <w:t xml:space="preserve"> </w:t>
      </w:r>
    </w:p>
    <w:bookmarkEnd w:id="17"/>
    <w:p w:rsidRPr="00E43A50" w:rsidR="00D01A3B" w:rsidP="00643E93" w:rsidRDefault="00D01A3B" w14:paraId="2880D2B8" w14:textId="77777777">
      <w:pPr>
        <w:spacing w:after="0" w:line="276" w:lineRule="auto"/>
        <w:rPr>
          <w:rFonts w:ascii="Verdana" w:hAnsi="Verdana" w:eastAsia="Times New Roman" w:cs="Times New Roman"/>
          <w:sz w:val="18"/>
          <w:szCs w:val="18"/>
        </w:rPr>
      </w:pPr>
    </w:p>
    <w:p w:rsidR="00A630BD" w:rsidP="00643E93" w:rsidRDefault="004F0533" w14:paraId="4DEB77AB" w14:textId="031C9C76">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Zoals omschreven kenmerkt de GWW</w:t>
      </w:r>
      <w:r w:rsidRPr="00E43A50" w:rsidR="006D75EF">
        <w:rPr>
          <w:rFonts w:ascii="Verdana" w:hAnsi="Verdana" w:eastAsia="Times New Roman" w:cs="Times New Roman"/>
          <w:sz w:val="18"/>
          <w:szCs w:val="18"/>
        </w:rPr>
        <w:t>-sector</w:t>
      </w:r>
      <w:r w:rsidRPr="00E43A50" w:rsidR="00264AE2">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zich door een bepalende rol van aanbestedende diensten </w:t>
      </w:r>
      <w:r w:rsidRPr="00E43A50" w:rsidR="008C4877">
        <w:rPr>
          <w:rFonts w:ascii="Verdana" w:hAnsi="Verdana" w:eastAsia="Times New Roman" w:cs="Times New Roman"/>
          <w:sz w:val="18"/>
          <w:szCs w:val="18"/>
        </w:rPr>
        <w:t>en speciale</w:t>
      </w:r>
      <w:r w:rsidR="00C11BE1">
        <w:rPr>
          <w:rFonts w:ascii="Verdana" w:hAnsi="Verdana" w:eastAsia="Times New Roman" w:cs="Times New Roman"/>
          <w:sz w:val="18"/>
          <w:szCs w:val="18"/>
        </w:rPr>
        <w:t>-</w:t>
      </w:r>
      <w:r w:rsidRPr="00E43A50" w:rsidR="008C4877">
        <w:rPr>
          <w:rFonts w:ascii="Verdana" w:hAnsi="Verdana" w:eastAsia="Times New Roman" w:cs="Times New Roman"/>
          <w:sz w:val="18"/>
          <w:szCs w:val="18"/>
        </w:rPr>
        <w:t xml:space="preserve">sectorbedrijven </w:t>
      </w:r>
      <w:r w:rsidRPr="00E43A50">
        <w:rPr>
          <w:rFonts w:ascii="Verdana" w:hAnsi="Verdana" w:eastAsia="Times New Roman" w:cs="Times New Roman"/>
          <w:sz w:val="18"/>
          <w:szCs w:val="18"/>
        </w:rPr>
        <w:t xml:space="preserve">aan de opdrachtgevende kant. Dit maakt het zeer effectief om </w:t>
      </w:r>
      <w:r w:rsidR="002669EF">
        <w:rPr>
          <w:rFonts w:ascii="Verdana" w:hAnsi="Verdana" w:eastAsia="Times New Roman" w:cs="Times New Roman"/>
          <w:sz w:val="18"/>
          <w:szCs w:val="18"/>
        </w:rPr>
        <w:t>dwingende</w:t>
      </w:r>
      <w:r w:rsidRPr="00E43A50" w:rsidR="002669EF">
        <w:rPr>
          <w:rFonts w:ascii="Verdana" w:hAnsi="Verdana" w:eastAsia="Times New Roman" w:cs="Times New Roman"/>
          <w:sz w:val="18"/>
          <w:szCs w:val="18"/>
        </w:rPr>
        <w:t xml:space="preserve"> </w:t>
      </w:r>
      <w:r w:rsidRPr="00E43A50">
        <w:rPr>
          <w:rFonts w:ascii="Verdana" w:hAnsi="Verdana" w:eastAsia="Times New Roman" w:cs="Times New Roman"/>
          <w:sz w:val="18"/>
          <w:szCs w:val="18"/>
        </w:rPr>
        <w:t>eisen op te leggen aan de</w:t>
      </w:r>
      <w:r w:rsidR="00C11BE1">
        <w:rPr>
          <w:rFonts w:ascii="Verdana" w:hAnsi="Verdana" w:eastAsia="Times New Roman" w:cs="Times New Roman"/>
          <w:sz w:val="18"/>
          <w:szCs w:val="18"/>
        </w:rPr>
        <w:t>ze groep</w:t>
      </w:r>
      <w:r w:rsidRPr="00E43A50">
        <w:rPr>
          <w:rFonts w:ascii="Verdana" w:hAnsi="Verdana" w:eastAsia="Times New Roman" w:cs="Times New Roman"/>
          <w:sz w:val="18"/>
          <w:szCs w:val="18"/>
        </w:rPr>
        <w:t xml:space="preserve"> opdrachtgevers. </w:t>
      </w:r>
      <w:r w:rsidR="002669EF">
        <w:rPr>
          <w:rFonts w:ascii="Verdana" w:hAnsi="Verdana" w:eastAsia="Times New Roman" w:cs="Times New Roman"/>
          <w:sz w:val="18"/>
          <w:szCs w:val="18"/>
        </w:rPr>
        <w:t xml:space="preserve">Als voorkeursoptie voor het realiseren van </w:t>
      </w:r>
      <w:r w:rsidR="00CE1182">
        <w:rPr>
          <w:rFonts w:ascii="Verdana" w:hAnsi="Verdana" w:eastAsia="Times New Roman" w:cs="Times New Roman"/>
          <w:sz w:val="18"/>
          <w:szCs w:val="18"/>
        </w:rPr>
        <w:t>het doel om meer uniformiteit</w:t>
      </w:r>
      <w:r w:rsidRPr="00E43A50" w:rsidR="00CE1182">
        <w:rPr>
          <w:rFonts w:ascii="Verdana" w:hAnsi="Verdana" w:eastAsia="Times New Roman" w:cs="Times New Roman"/>
          <w:sz w:val="18"/>
          <w:szCs w:val="18"/>
        </w:rPr>
        <w:t xml:space="preserve"> en voorspelbaarheid te creëren</w:t>
      </w:r>
      <w:r w:rsidRPr="00E43A50">
        <w:rPr>
          <w:rFonts w:ascii="Verdana" w:hAnsi="Verdana" w:eastAsia="Times New Roman" w:cs="Times New Roman"/>
          <w:sz w:val="18"/>
          <w:szCs w:val="18"/>
        </w:rPr>
        <w:t xml:space="preserve"> </w:t>
      </w:r>
      <w:r w:rsidR="00CE1182">
        <w:rPr>
          <w:rFonts w:ascii="Verdana" w:hAnsi="Verdana" w:eastAsia="Times New Roman" w:cs="Times New Roman"/>
          <w:sz w:val="18"/>
          <w:szCs w:val="18"/>
        </w:rPr>
        <w:t>worden</w:t>
      </w:r>
      <w:r w:rsidRPr="0043376A" w:rsidR="0043376A">
        <w:rPr>
          <w:rFonts w:ascii="Verdana" w:hAnsi="Verdana" w:eastAsia="Times New Roman" w:cs="Times New Roman"/>
          <w:sz w:val="18"/>
          <w:szCs w:val="18"/>
          <w:lang w:eastAsia="nl-NL"/>
        </w:rPr>
        <w:t xml:space="preserve"> </w:t>
      </w:r>
      <w:r w:rsidR="0043376A">
        <w:rPr>
          <w:rFonts w:ascii="Verdana" w:hAnsi="Verdana" w:eastAsia="Times New Roman" w:cs="Times New Roman"/>
          <w:sz w:val="18"/>
          <w:szCs w:val="18"/>
          <w:lang w:eastAsia="nl-NL"/>
        </w:rPr>
        <w:t>aanbestedende diensten en speciale-sectorbedrijven</w:t>
      </w:r>
      <w:r w:rsidRPr="00F5605C" w:rsidR="0043376A">
        <w:rPr>
          <w:rFonts w:ascii="Verdana" w:hAnsi="Verdana" w:eastAsia="Times New Roman" w:cs="Times New Roman"/>
          <w:sz w:val="18"/>
          <w:szCs w:val="18"/>
          <w:lang w:eastAsia="nl-NL"/>
        </w:rPr>
        <w:t xml:space="preserve"> </w:t>
      </w:r>
      <w:r w:rsidRPr="00E43A50" w:rsidR="00264AE2">
        <w:rPr>
          <w:rFonts w:ascii="Verdana" w:hAnsi="Verdana" w:eastAsia="Times New Roman" w:cs="Times New Roman"/>
          <w:sz w:val="18"/>
          <w:szCs w:val="18"/>
        </w:rPr>
        <w:t>verplicht</w:t>
      </w:r>
      <w:r w:rsidRPr="00E43A50">
        <w:rPr>
          <w:rFonts w:ascii="Verdana" w:hAnsi="Verdana" w:eastAsia="Times New Roman" w:cs="Times New Roman"/>
          <w:sz w:val="18"/>
          <w:szCs w:val="18"/>
        </w:rPr>
        <w:t xml:space="preserve"> om eisen te stellen </w:t>
      </w:r>
      <w:r w:rsidR="00D80878">
        <w:rPr>
          <w:rFonts w:ascii="Verdana" w:hAnsi="Verdana" w:eastAsia="Times New Roman" w:cs="Times New Roman"/>
          <w:sz w:val="18"/>
          <w:szCs w:val="18"/>
        </w:rPr>
        <w:t>die de milieu</w:t>
      </w:r>
      <w:r w:rsidR="00E54192">
        <w:rPr>
          <w:rFonts w:ascii="Verdana" w:hAnsi="Verdana" w:eastAsia="Times New Roman" w:cs="Times New Roman"/>
          <w:sz w:val="18"/>
          <w:szCs w:val="18"/>
        </w:rPr>
        <w:t>belasting</w:t>
      </w:r>
      <w:r w:rsidR="00D80878">
        <w:rPr>
          <w:rFonts w:ascii="Verdana" w:hAnsi="Verdana" w:eastAsia="Times New Roman" w:cs="Times New Roman"/>
          <w:sz w:val="18"/>
          <w:szCs w:val="18"/>
        </w:rPr>
        <w:t xml:space="preserve"> van </w:t>
      </w:r>
      <w:r w:rsidRPr="00E43A50" w:rsidR="00E452A2">
        <w:rPr>
          <w:rFonts w:ascii="Verdana" w:hAnsi="Verdana" w:eastAsia="Times New Roman" w:cs="Times New Roman"/>
          <w:sz w:val="18"/>
          <w:szCs w:val="18"/>
        </w:rPr>
        <w:t>GWW-</w:t>
      </w:r>
      <w:r w:rsidRPr="00E43A50">
        <w:rPr>
          <w:rFonts w:ascii="Verdana" w:hAnsi="Verdana" w:eastAsia="Times New Roman" w:cs="Times New Roman"/>
          <w:sz w:val="18"/>
          <w:szCs w:val="18"/>
        </w:rPr>
        <w:t>werken</w:t>
      </w:r>
      <w:r w:rsidR="00E54192">
        <w:rPr>
          <w:rFonts w:ascii="Verdana" w:hAnsi="Verdana" w:eastAsia="Times New Roman" w:cs="Times New Roman"/>
          <w:sz w:val="18"/>
          <w:szCs w:val="18"/>
        </w:rPr>
        <w:t xml:space="preserve"> beperken</w:t>
      </w:r>
      <w:r w:rsidRPr="00E43A50">
        <w:rPr>
          <w:rFonts w:ascii="Verdana" w:hAnsi="Verdana" w:eastAsia="Times New Roman" w:cs="Times New Roman"/>
          <w:sz w:val="18"/>
          <w:szCs w:val="18"/>
        </w:rPr>
        <w:t xml:space="preserve">. </w:t>
      </w:r>
      <w:r w:rsidR="00A630BD">
        <w:rPr>
          <w:rFonts w:ascii="Verdana" w:hAnsi="Verdana" w:eastAsia="Times New Roman" w:cs="Times New Roman"/>
          <w:sz w:val="18"/>
          <w:szCs w:val="18"/>
        </w:rPr>
        <w:t xml:space="preserve">Deze </w:t>
      </w:r>
      <w:r w:rsidRPr="00E43A50" w:rsidR="00A630BD">
        <w:rPr>
          <w:rFonts w:ascii="Verdana" w:hAnsi="Verdana" w:eastAsia="Times New Roman" w:cs="Times New Roman"/>
          <w:sz w:val="18"/>
          <w:szCs w:val="18"/>
        </w:rPr>
        <w:t xml:space="preserve">verplichting </w:t>
      </w:r>
      <w:r w:rsidR="00A630BD">
        <w:rPr>
          <w:rFonts w:ascii="Verdana" w:hAnsi="Verdana" w:eastAsia="Times New Roman" w:cs="Times New Roman"/>
          <w:sz w:val="18"/>
          <w:szCs w:val="18"/>
        </w:rPr>
        <w:t>is</w:t>
      </w:r>
      <w:r w:rsidRPr="00E43A50" w:rsidR="00A630BD">
        <w:rPr>
          <w:rFonts w:ascii="Verdana" w:hAnsi="Verdana" w:eastAsia="Times New Roman" w:cs="Times New Roman"/>
          <w:sz w:val="18"/>
          <w:szCs w:val="18"/>
        </w:rPr>
        <w:t xml:space="preserve"> opgenomen in dit wetsvoorstel.</w:t>
      </w:r>
      <w:r w:rsidRPr="00A630BD" w:rsidR="00A630BD">
        <w:rPr>
          <w:rFonts w:ascii="Verdana" w:hAnsi="Verdana" w:eastAsia="Times New Roman" w:cs="Times New Roman"/>
          <w:sz w:val="18"/>
          <w:szCs w:val="18"/>
        </w:rPr>
        <w:t xml:space="preserve"> </w:t>
      </w:r>
      <w:r w:rsidR="00A630BD">
        <w:rPr>
          <w:rFonts w:ascii="Verdana" w:hAnsi="Verdana" w:eastAsia="Times New Roman" w:cs="Times New Roman"/>
          <w:sz w:val="18"/>
          <w:szCs w:val="18"/>
        </w:rPr>
        <w:t>De keuze voor deze voorkeursoptie is gemaakt</w:t>
      </w:r>
      <w:r w:rsidRPr="00E43A50" w:rsidDel="00967F40" w:rsidR="00A630BD">
        <w:rPr>
          <w:rFonts w:ascii="Verdana" w:hAnsi="Verdana" w:eastAsia="Times New Roman" w:cs="Times New Roman"/>
          <w:sz w:val="18"/>
          <w:szCs w:val="18"/>
        </w:rPr>
        <w:t xml:space="preserve"> </w:t>
      </w:r>
      <w:r w:rsidR="00A630BD">
        <w:rPr>
          <w:rFonts w:ascii="Verdana" w:hAnsi="Verdana" w:eastAsia="Times New Roman" w:cs="Times New Roman"/>
          <w:sz w:val="18"/>
          <w:szCs w:val="18"/>
        </w:rPr>
        <w:t>o</w:t>
      </w:r>
      <w:r w:rsidRPr="00E43A50" w:rsidR="00A630BD">
        <w:rPr>
          <w:rFonts w:ascii="Verdana" w:hAnsi="Verdana" w:eastAsia="Times New Roman" w:cs="Times New Roman"/>
          <w:sz w:val="18"/>
          <w:szCs w:val="18"/>
        </w:rPr>
        <w:t>p basis van de</w:t>
      </w:r>
      <w:r w:rsidR="00A630BD">
        <w:rPr>
          <w:rFonts w:ascii="Verdana" w:hAnsi="Verdana" w:eastAsia="Times New Roman" w:cs="Times New Roman"/>
          <w:sz w:val="18"/>
          <w:szCs w:val="18"/>
        </w:rPr>
        <w:t xml:space="preserve"> hiervoor genoemde</w:t>
      </w:r>
      <w:r w:rsidRPr="00E43A50" w:rsidR="00A630BD">
        <w:rPr>
          <w:rFonts w:ascii="Verdana" w:hAnsi="Verdana" w:eastAsia="Times New Roman" w:cs="Times New Roman"/>
          <w:sz w:val="18"/>
          <w:szCs w:val="18"/>
        </w:rPr>
        <w:t xml:space="preserve"> onderzoeken tussen de effectiviteit van de maatregelen en de uitvoerbaarheid. Daarbij is gekozen voor de maatregelen die de minste capaciteit, expertise en middelen vergen voor opdrachtgevers en opdrachtnemers.</w:t>
      </w:r>
      <w:r w:rsidRPr="00A630BD" w:rsidR="00A630BD">
        <w:rPr>
          <w:rFonts w:ascii="Verdana" w:hAnsi="Verdana" w:eastAsia="Times New Roman" w:cs="Times New Roman"/>
          <w:sz w:val="18"/>
          <w:szCs w:val="18"/>
        </w:rPr>
        <w:t xml:space="preserve"> </w:t>
      </w:r>
      <w:r w:rsidR="00A630BD">
        <w:rPr>
          <w:rFonts w:ascii="Verdana" w:hAnsi="Verdana" w:eastAsia="Times New Roman" w:cs="Times New Roman"/>
          <w:sz w:val="18"/>
          <w:szCs w:val="18"/>
        </w:rPr>
        <w:t>De verplichting</w:t>
      </w:r>
      <w:r w:rsidRPr="00E43A50" w:rsidR="00A630BD">
        <w:rPr>
          <w:rFonts w:ascii="Verdana" w:hAnsi="Verdana" w:eastAsia="Times New Roman" w:cs="Times New Roman"/>
          <w:sz w:val="18"/>
          <w:szCs w:val="18"/>
        </w:rPr>
        <w:t xml:space="preserve"> vormt een basisniveau voor de sector om mee aan de slag te gaan. </w:t>
      </w:r>
    </w:p>
    <w:p w:rsidR="00A630BD" w:rsidP="00643E93" w:rsidRDefault="00A630BD" w14:paraId="7C220FEF" w14:textId="77777777">
      <w:pPr>
        <w:spacing w:after="0" w:line="276" w:lineRule="auto"/>
        <w:rPr>
          <w:rFonts w:ascii="Verdana" w:hAnsi="Verdana" w:eastAsia="Times New Roman" w:cs="Times New Roman"/>
          <w:sz w:val="18"/>
          <w:szCs w:val="18"/>
        </w:rPr>
      </w:pPr>
    </w:p>
    <w:p w:rsidR="00CE1182" w:rsidP="00643E93" w:rsidRDefault="00A630BD" w14:paraId="62BC397A" w14:textId="039464D5">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 xml:space="preserve">Er </w:t>
      </w:r>
      <w:r w:rsidR="00127A7F">
        <w:rPr>
          <w:rFonts w:ascii="Verdana" w:hAnsi="Verdana" w:eastAsia="Times New Roman" w:cs="Times New Roman"/>
          <w:sz w:val="18"/>
          <w:szCs w:val="18"/>
        </w:rPr>
        <w:t>is</w:t>
      </w:r>
      <w:r>
        <w:rPr>
          <w:rFonts w:ascii="Verdana" w:hAnsi="Verdana" w:eastAsia="Times New Roman" w:cs="Times New Roman"/>
          <w:sz w:val="18"/>
          <w:szCs w:val="18"/>
        </w:rPr>
        <w:t xml:space="preserve"> ook een aantal maatregelen d</w:t>
      </w:r>
      <w:r w:rsidR="00127A7F">
        <w:rPr>
          <w:rFonts w:ascii="Verdana" w:hAnsi="Verdana" w:eastAsia="Times New Roman" w:cs="Times New Roman"/>
          <w:sz w:val="18"/>
          <w:szCs w:val="18"/>
        </w:rPr>
        <w:t>at</w:t>
      </w:r>
      <w:r>
        <w:rPr>
          <w:rFonts w:ascii="Verdana" w:hAnsi="Verdana" w:eastAsia="Times New Roman" w:cs="Times New Roman"/>
          <w:sz w:val="18"/>
          <w:szCs w:val="18"/>
        </w:rPr>
        <w:t xml:space="preserve"> het kabinet neemt als</w:t>
      </w:r>
      <w:r w:rsidRPr="00E43A50" w:rsidR="00967F40">
        <w:rPr>
          <w:rFonts w:ascii="Verdana" w:hAnsi="Verdana" w:eastAsia="Times New Roman" w:cs="Times New Roman"/>
          <w:sz w:val="18"/>
          <w:szCs w:val="18"/>
        </w:rPr>
        <w:t xml:space="preserve"> flankerend beleid. Het flankerend beleid </w:t>
      </w:r>
      <w:r w:rsidR="00967F40">
        <w:rPr>
          <w:rFonts w:ascii="Verdana" w:hAnsi="Verdana" w:eastAsia="Times New Roman" w:cs="Times New Roman"/>
          <w:sz w:val="18"/>
          <w:szCs w:val="18"/>
        </w:rPr>
        <w:t>is bedoeld voor</w:t>
      </w:r>
      <w:r w:rsidRPr="00E43A50" w:rsidR="00967F40">
        <w:rPr>
          <w:rFonts w:ascii="Verdana" w:hAnsi="Verdana" w:eastAsia="Times New Roman" w:cs="Times New Roman"/>
          <w:sz w:val="18"/>
          <w:szCs w:val="18"/>
        </w:rPr>
        <w:t xml:space="preserve"> een eenduidige toepassing van </w:t>
      </w:r>
      <w:r w:rsidR="00967F40">
        <w:rPr>
          <w:rFonts w:ascii="Verdana" w:hAnsi="Verdana" w:eastAsia="Times New Roman" w:cs="Times New Roman"/>
          <w:sz w:val="18"/>
          <w:szCs w:val="18"/>
        </w:rPr>
        <w:t>de verplichting die wordt voorgesteld</w:t>
      </w:r>
      <w:r w:rsidRPr="00E43A50" w:rsidR="00967F40">
        <w:rPr>
          <w:rFonts w:ascii="Verdana" w:hAnsi="Verdana" w:eastAsia="Times New Roman" w:cs="Times New Roman"/>
          <w:sz w:val="18"/>
          <w:szCs w:val="18"/>
        </w:rPr>
        <w:t xml:space="preserve"> en dra</w:t>
      </w:r>
      <w:r w:rsidR="00967F40">
        <w:rPr>
          <w:rFonts w:ascii="Verdana" w:hAnsi="Verdana" w:eastAsia="Times New Roman" w:cs="Times New Roman"/>
          <w:sz w:val="18"/>
          <w:szCs w:val="18"/>
        </w:rPr>
        <w:t>a</w:t>
      </w:r>
      <w:r w:rsidRPr="00E43A50" w:rsidR="00967F40">
        <w:rPr>
          <w:rFonts w:ascii="Verdana" w:hAnsi="Verdana" w:eastAsia="Times New Roman" w:cs="Times New Roman"/>
          <w:sz w:val="18"/>
          <w:szCs w:val="18"/>
        </w:rPr>
        <w:t>g</w:t>
      </w:r>
      <w:r w:rsidR="00967F40">
        <w:rPr>
          <w:rFonts w:ascii="Verdana" w:hAnsi="Verdana" w:eastAsia="Times New Roman" w:cs="Times New Roman"/>
          <w:sz w:val="18"/>
          <w:szCs w:val="18"/>
        </w:rPr>
        <w:t>t</w:t>
      </w:r>
      <w:r w:rsidRPr="00E43A50" w:rsidR="00967F40">
        <w:rPr>
          <w:rFonts w:ascii="Verdana" w:hAnsi="Verdana" w:eastAsia="Times New Roman" w:cs="Times New Roman"/>
          <w:sz w:val="18"/>
          <w:szCs w:val="18"/>
        </w:rPr>
        <w:t xml:space="preserve"> bij aan het creëren van een gelijk speelveld voor de hele markt</w:t>
      </w:r>
      <w:r w:rsidR="00C051D9">
        <w:rPr>
          <w:rFonts w:ascii="Verdana" w:hAnsi="Verdana" w:eastAsia="Times New Roman" w:cs="Times New Roman"/>
          <w:sz w:val="18"/>
          <w:szCs w:val="18"/>
        </w:rPr>
        <w:t xml:space="preserve">. </w:t>
      </w:r>
      <w:r w:rsidR="00453A7D">
        <w:rPr>
          <w:rFonts w:ascii="Verdana" w:hAnsi="Verdana" w:eastAsia="Times New Roman" w:cs="Times New Roman"/>
          <w:sz w:val="18"/>
          <w:szCs w:val="18"/>
        </w:rPr>
        <w:t xml:space="preserve">Het ondersteunt partijen om de maatregelen uit het wetsvoorstel te implementeren en draagt zo ook bij aan de opbouw van kennis en daarmee capaciteit om de verplichtingen uit te kunnen voeren. </w:t>
      </w:r>
      <w:r w:rsidR="00C051D9">
        <w:rPr>
          <w:rFonts w:ascii="Verdana" w:hAnsi="Verdana" w:eastAsia="Times New Roman" w:cs="Times New Roman"/>
          <w:sz w:val="18"/>
          <w:szCs w:val="18"/>
        </w:rPr>
        <w:t>Het flankerend beleid is</w:t>
      </w:r>
      <w:r w:rsidRPr="00E43A50" w:rsidR="00967F40">
        <w:rPr>
          <w:rFonts w:ascii="Verdana" w:hAnsi="Verdana" w:eastAsia="Times New Roman" w:cs="Times New Roman"/>
          <w:sz w:val="18"/>
          <w:szCs w:val="18"/>
        </w:rPr>
        <w:t xml:space="preserve"> ook </w:t>
      </w:r>
      <w:r w:rsidR="00C051D9">
        <w:rPr>
          <w:rFonts w:ascii="Verdana" w:hAnsi="Verdana" w:eastAsia="Times New Roman" w:cs="Times New Roman"/>
          <w:sz w:val="18"/>
          <w:szCs w:val="18"/>
        </w:rPr>
        <w:t>van belang</w:t>
      </w:r>
      <w:r w:rsidRPr="00E43A50" w:rsidR="00967F40">
        <w:rPr>
          <w:rFonts w:ascii="Verdana" w:hAnsi="Verdana" w:eastAsia="Times New Roman" w:cs="Times New Roman"/>
          <w:sz w:val="18"/>
          <w:szCs w:val="18"/>
        </w:rPr>
        <w:t xml:space="preserve"> voor het gedeelte van de markt dat niet wordt geraakt met </w:t>
      </w:r>
      <w:r w:rsidR="00967F40">
        <w:rPr>
          <w:rFonts w:ascii="Verdana" w:hAnsi="Verdana" w:eastAsia="Times New Roman" w:cs="Times New Roman"/>
          <w:sz w:val="18"/>
          <w:szCs w:val="18"/>
        </w:rPr>
        <w:t>de verplichting</w:t>
      </w:r>
      <w:r w:rsidRPr="00E43A50" w:rsidR="00967F40">
        <w:rPr>
          <w:rFonts w:ascii="Verdana" w:hAnsi="Verdana" w:eastAsia="Times New Roman" w:cs="Times New Roman"/>
          <w:sz w:val="18"/>
          <w:szCs w:val="18"/>
        </w:rPr>
        <w:t xml:space="preserve">, zoals partijen die zich inzetten voor de verduurzaming van GWW-werken die de bij amvb vastgestelde </w:t>
      </w:r>
      <w:r w:rsidR="009C45FE">
        <w:rPr>
          <w:rFonts w:ascii="Verdana" w:hAnsi="Verdana" w:eastAsia="Times New Roman" w:cs="Times New Roman"/>
          <w:sz w:val="18"/>
          <w:szCs w:val="18"/>
          <w:lang w:eastAsia="nl-NL"/>
        </w:rPr>
        <w:t>minimum geraamde opdrachtwaarde</w:t>
      </w:r>
      <w:r w:rsidRPr="005B4CB1" w:rsidR="009C45FE">
        <w:rPr>
          <w:rFonts w:ascii="Verdana" w:hAnsi="Verdana" w:eastAsia="Times New Roman" w:cs="Times New Roman"/>
          <w:sz w:val="18"/>
          <w:szCs w:val="18"/>
          <w:lang w:eastAsia="nl-NL"/>
        </w:rPr>
        <w:t xml:space="preserve"> </w:t>
      </w:r>
      <w:r w:rsidRPr="00E43A50" w:rsidR="00967F40">
        <w:rPr>
          <w:rFonts w:ascii="Verdana" w:hAnsi="Verdana" w:eastAsia="Times New Roman" w:cs="Times New Roman"/>
          <w:sz w:val="18"/>
          <w:szCs w:val="18"/>
        </w:rPr>
        <w:t>niet overschrijden.</w:t>
      </w:r>
    </w:p>
    <w:p w:rsidR="00F0304D" w:rsidP="00643E93" w:rsidRDefault="00F0304D" w14:paraId="29B9548A" w14:textId="77777777">
      <w:pPr>
        <w:spacing w:after="0" w:line="276" w:lineRule="auto"/>
        <w:rPr>
          <w:rFonts w:ascii="Verdana" w:hAnsi="Verdana" w:eastAsia="Times New Roman" w:cs="Times New Roman"/>
          <w:sz w:val="18"/>
          <w:szCs w:val="18"/>
        </w:rPr>
      </w:pPr>
    </w:p>
    <w:p w:rsidRPr="00E43A50" w:rsidR="00F0304D" w:rsidP="00643E93" w:rsidRDefault="00F0304D" w14:paraId="31302898" w14:textId="15B72A1D">
      <w:pPr>
        <w:spacing w:after="0" w:line="276" w:lineRule="auto"/>
        <w:rPr>
          <w:rFonts w:ascii="Verdana" w:hAnsi="Verdana" w:eastAsia="Times New Roman" w:cs="Times New Roman"/>
          <w:sz w:val="18"/>
          <w:szCs w:val="18"/>
        </w:rPr>
      </w:pPr>
      <w:bookmarkStart w:name="_Hlk201640146" w:id="18"/>
      <w:r>
        <w:rPr>
          <w:rFonts w:ascii="Verdana" w:hAnsi="Verdana" w:eastAsia="Times New Roman" w:cs="Times New Roman"/>
          <w:sz w:val="18"/>
          <w:szCs w:val="18"/>
        </w:rPr>
        <w:t>B</w:t>
      </w:r>
      <w:r w:rsidRPr="00E43A50">
        <w:rPr>
          <w:rFonts w:ascii="Verdana" w:hAnsi="Verdana" w:eastAsia="Times New Roman" w:cs="Times New Roman"/>
          <w:sz w:val="18"/>
          <w:szCs w:val="18"/>
        </w:rPr>
        <w:t>ij de vormgeving van de maatregelen in dit wetsvoorstel</w:t>
      </w:r>
      <w:r>
        <w:rPr>
          <w:rFonts w:ascii="Verdana" w:hAnsi="Verdana" w:eastAsia="Times New Roman" w:cs="Times New Roman"/>
          <w:sz w:val="18"/>
          <w:szCs w:val="18"/>
        </w:rPr>
        <w:t>, evenals bij de hiervoor genoemde onderzoeken, is de sector intensief betrokken</w:t>
      </w:r>
      <w:r w:rsidRPr="00E43A50">
        <w:rPr>
          <w:rFonts w:ascii="Verdana" w:hAnsi="Verdana" w:eastAsia="Times New Roman" w:cs="Times New Roman"/>
          <w:sz w:val="18"/>
          <w:szCs w:val="18"/>
        </w:rPr>
        <w:t xml:space="preserve">. </w:t>
      </w:r>
      <w:r>
        <w:rPr>
          <w:rFonts w:ascii="Verdana" w:hAnsi="Verdana" w:eastAsia="Times New Roman" w:cs="Times New Roman"/>
          <w:sz w:val="18"/>
          <w:szCs w:val="18"/>
        </w:rPr>
        <w:t xml:space="preserve">Zo </w:t>
      </w:r>
      <w:r w:rsidR="00597346">
        <w:rPr>
          <w:rFonts w:ascii="Verdana" w:hAnsi="Verdana" w:eastAsia="Times New Roman" w:cs="Times New Roman"/>
          <w:sz w:val="18"/>
          <w:szCs w:val="18"/>
        </w:rPr>
        <w:t>zijn overleggen gevoerd</w:t>
      </w:r>
      <w:r w:rsidRPr="00E43A50">
        <w:rPr>
          <w:rFonts w:ascii="Verdana" w:hAnsi="Verdana" w:eastAsia="Times New Roman" w:cs="Times New Roman"/>
          <w:sz w:val="18"/>
          <w:szCs w:val="18"/>
        </w:rPr>
        <w:t xml:space="preserve"> met de Vereniging van Nederlandse Gemeenten (VNG), het Interprovinciaal overleg (IPO)</w:t>
      </w:r>
      <w:r>
        <w:rPr>
          <w:rFonts w:ascii="Verdana" w:hAnsi="Verdana" w:eastAsia="Times New Roman" w:cs="Times New Roman"/>
          <w:sz w:val="18"/>
          <w:szCs w:val="18"/>
        </w:rPr>
        <w:t xml:space="preserve"> en </w:t>
      </w:r>
      <w:r w:rsidRPr="00E43A50">
        <w:rPr>
          <w:rFonts w:ascii="Verdana" w:hAnsi="Verdana" w:eastAsia="Times New Roman" w:cs="Times New Roman"/>
          <w:sz w:val="18"/>
          <w:szCs w:val="18"/>
        </w:rPr>
        <w:t>de Unie van Waterschappen (UvW</w:t>
      </w:r>
      <w:r w:rsidR="00BC62C8">
        <w:rPr>
          <w:rFonts w:ascii="Verdana" w:hAnsi="Verdana" w:eastAsia="Times New Roman" w:cs="Times New Roman"/>
          <w:sz w:val="18"/>
          <w:szCs w:val="18"/>
        </w:rPr>
        <w:t>)</w:t>
      </w:r>
      <w:r w:rsidRPr="00E43A50">
        <w:rPr>
          <w:rFonts w:ascii="Verdana" w:hAnsi="Verdana" w:eastAsia="Times New Roman" w:cs="Times New Roman"/>
          <w:sz w:val="18"/>
          <w:szCs w:val="18"/>
        </w:rPr>
        <w:t xml:space="preserve">. Ook zijn gesprekken gevoerd, onder andere tijdens stakeholderconsultatiebijeenkomsten, met medewerkers van </w:t>
      </w:r>
      <w:r>
        <w:rPr>
          <w:rFonts w:ascii="Verdana" w:hAnsi="Verdana" w:eastAsia="Times New Roman" w:cs="Times New Roman"/>
          <w:sz w:val="18"/>
          <w:szCs w:val="18"/>
          <w:lang w:eastAsia="nl-NL"/>
        </w:rPr>
        <w:t>aanbestedende diensten en speciale-sectorbedrijven</w:t>
      </w:r>
      <w:r w:rsidRPr="00F5605C">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van verschillende omvang en vanuit verschillende gebieden en regio's</w:t>
      </w:r>
      <w:r>
        <w:rPr>
          <w:rFonts w:ascii="Verdana" w:hAnsi="Verdana" w:eastAsia="Times New Roman" w:cs="Times New Roman"/>
          <w:sz w:val="18"/>
          <w:szCs w:val="18"/>
        </w:rPr>
        <w:t>, en</w:t>
      </w:r>
      <w:r w:rsidRPr="00E43A50">
        <w:rPr>
          <w:rFonts w:ascii="Verdana" w:hAnsi="Verdana" w:eastAsia="Times New Roman" w:cs="Times New Roman"/>
          <w:sz w:val="18"/>
          <w:szCs w:val="18"/>
        </w:rPr>
        <w:t xml:space="preserve"> marktpartijen – waaronder </w:t>
      </w:r>
      <w:r>
        <w:rPr>
          <w:rFonts w:ascii="Verdana" w:hAnsi="Verdana" w:eastAsia="Times New Roman" w:cs="Times New Roman"/>
          <w:sz w:val="18"/>
          <w:szCs w:val="18"/>
        </w:rPr>
        <w:t>aannemers,</w:t>
      </w:r>
      <w:r w:rsidRPr="00E43A50">
        <w:rPr>
          <w:rFonts w:ascii="Verdana" w:hAnsi="Verdana" w:eastAsia="Times New Roman" w:cs="Times New Roman"/>
          <w:sz w:val="18"/>
          <w:szCs w:val="18"/>
        </w:rPr>
        <w:t xml:space="preserve"> producenten</w:t>
      </w:r>
      <w:r>
        <w:rPr>
          <w:rFonts w:ascii="Verdana" w:hAnsi="Verdana" w:eastAsia="Times New Roman" w:cs="Times New Roman"/>
          <w:sz w:val="18"/>
          <w:szCs w:val="18"/>
        </w:rPr>
        <w:t xml:space="preserve"> en</w:t>
      </w:r>
      <w:r w:rsidRPr="00E43A50">
        <w:rPr>
          <w:rFonts w:ascii="Verdana" w:hAnsi="Verdana" w:eastAsia="Times New Roman" w:cs="Times New Roman"/>
          <w:sz w:val="18"/>
          <w:szCs w:val="18"/>
        </w:rPr>
        <w:t xml:space="preserve"> ingenieursbureaus</w:t>
      </w:r>
      <w:r>
        <w:rPr>
          <w:rFonts w:ascii="Verdana" w:hAnsi="Verdana" w:eastAsia="Times New Roman" w:cs="Times New Roman"/>
          <w:sz w:val="18"/>
          <w:szCs w:val="18"/>
        </w:rPr>
        <w:t xml:space="preserve">. </w:t>
      </w:r>
      <w:r w:rsidRPr="00E43A50">
        <w:rPr>
          <w:rFonts w:ascii="Verdana" w:hAnsi="Verdana" w:eastAsia="Times New Roman" w:cs="Times New Roman"/>
          <w:sz w:val="18"/>
          <w:szCs w:val="18"/>
        </w:rPr>
        <w:t>Daarnaast is gesproken met brancheorganisaties die de toeleverende bouwmaterialenindustrie</w:t>
      </w:r>
      <w:r>
        <w:rPr>
          <w:rFonts w:ascii="Verdana" w:hAnsi="Verdana" w:eastAsia="Times New Roman" w:cs="Times New Roman"/>
          <w:sz w:val="18"/>
          <w:szCs w:val="18"/>
        </w:rPr>
        <w:t xml:space="preserve"> vertegenwoordigen</w:t>
      </w:r>
      <w:r w:rsidRPr="00E43A50">
        <w:rPr>
          <w:rFonts w:ascii="Verdana" w:hAnsi="Verdana" w:eastAsia="Times New Roman" w:cs="Times New Roman"/>
          <w:sz w:val="18"/>
          <w:szCs w:val="18"/>
        </w:rPr>
        <w:t xml:space="preserve"> en </w:t>
      </w:r>
      <w:r w:rsidR="00447009">
        <w:rPr>
          <w:rFonts w:ascii="Verdana" w:hAnsi="Verdana" w:eastAsia="Times New Roman" w:cs="Times New Roman"/>
          <w:sz w:val="18"/>
          <w:szCs w:val="18"/>
        </w:rPr>
        <w:t>zijn</w:t>
      </w:r>
      <w:r w:rsidRPr="00E43A50" w:rsidR="00447009">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MKB infra, Bouwend Nederland, CROW </w:t>
      </w:r>
      <w:r w:rsidR="00BC62C8">
        <w:rPr>
          <w:rFonts w:ascii="Verdana" w:hAnsi="Verdana" w:eastAsia="Times New Roman" w:cs="Times New Roman"/>
          <w:sz w:val="18"/>
          <w:szCs w:val="18"/>
        </w:rPr>
        <w:t xml:space="preserve">(kennis- en normen instituut voor infrastructuur) </w:t>
      </w:r>
      <w:r w:rsidRPr="00E43A50">
        <w:rPr>
          <w:rFonts w:ascii="Verdana" w:hAnsi="Verdana" w:eastAsia="Times New Roman" w:cs="Times New Roman"/>
          <w:sz w:val="18"/>
          <w:szCs w:val="18"/>
        </w:rPr>
        <w:t xml:space="preserve">en PIANOo </w:t>
      </w:r>
      <w:r w:rsidR="00BC62C8">
        <w:rPr>
          <w:rFonts w:ascii="Verdana" w:hAnsi="Verdana" w:eastAsia="Times New Roman" w:cs="Times New Roman"/>
          <w:sz w:val="18"/>
          <w:szCs w:val="18"/>
        </w:rPr>
        <w:t xml:space="preserve">(Expertisecentrum Aanbesteden) </w:t>
      </w:r>
      <w:r w:rsidRPr="00E43A50">
        <w:rPr>
          <w:rFonts w:ascii="Verdana" w:hAnsi="Verdana" w:eastAsia="Times New Roman" w:cs="Times New Roman"/>
          <w:sz w:val="18"/>
          <w:szCs w:val="18"/>
        </w:rPr>
        <w:t>betrokken. Verder is contact geweest met organisaties als Natuur &amp; Milieu en het Klimaatverbond. Hiermee is beoogd om binnen de aangekondigde beleidsvoornemens te komen tot een voorstel dat in de praktijk goed werkbaar is.</w:t>
      </w:r>
      <w:r w:rsidRPr="00F0304D">
        <w:rPr>
          <w:rFonts w:ascii="Verdana" w:hAnsi="Verdana" w:eastAsia="Times New Roman" w:cs="Times New Roman"/>
          <w:sz w:val="18"/>
          <w:szCs w:val="18"/>
        </w:rPr>
        <w:t xml:space="preserve"> </w:t>
      </w:r>
      <w:r w:rsidR="00A630BD">
        <w:rPr>
          <w:rFonts w:ascii="Verdana" w:hAnsi="Verdana" w:eastAsia="Times New Roman" w:cs="Times New Roman"/>
          <w:sz w:val="18"/>
          <w:szCs w:val="18"/>
        </w:rPr>
        <w:t>Bij</w:t>
      </w:r>
      <w:r w:rsidRPr="00E43A50">
        <w:rPr>
          <w:rFonts w:ascii="Verdana" w:hAnsi="Verdana" w:eastAsia="Times New Roman" w:cs="Times New Roman"/>
          <w:sz w:val="18"/>
          <w:szCs w:val="18"/>
        </w:rPr>
        <w:t xml:space="preserve"> de uitwerking van de amvb blijft de sector betrokken om de maatregel zo effectief mogelijk en met breed draagvlak in te kunnen richten. </w:t>
      </w:r>
    </w:p>
    <w:bookmarkEnd w:id="18"/>
    <w:p w:rsidR="00EF52D0" w:rsidP="00643E93" w:rsidRDefault="00EF52D0" w14:paraId="234B8791" w14:textId="77777777">
      <w:pPr>
        <w:spacing w:after="0" w:line="276" w:lineRule="auto"/>
        <w:rPr>
          <w:rFonts w:ascii="Verdana" w:hAnsi="Verdana" w:eastAsia="Times New Roman" w:cs="Times New Roman"/>
          <w:sz w:val="18"/>
          <w:szCs w:val="18"/>
        </w:rPr>
      </w:pPr>
    </w:p>
    <w:p w:rsidR="00967F40" w:rsidP="00643E93" w:rsidRDefault="00967F40" w14:paraId="23445C64" w14:textId="146DFFED">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Hierna worden zowel de verplichting, die wordt opgenomen in de wet, en het flankerend beleid, nader toegelicht.</w:t>
      </w:r>
    </w:p>
    <w:p w:rsidR="00210801" w:rsidP="00643E93" w:rsidRDefault="00210801" w14:paraId="2C213C0D" w14:textId="77777777">
      <w:pPr>
        <w:spacing w:after="0" w:line="276" w:lineRule="auto"/>
        <w:rPr>
          <w:rFonts w:ascii="Verdana" w:hAnsi="Verdana" w:eastAsia="Times New Roman" w:cs="Times New Roman"/>
          <w:sz w:val="18"/>
          <w:szCs w:val="18"/>
        </w:rPr>
      </w:pPr>
    </w:p>
    <w:p w:rsidR="00210801" w:rsidP="00643E93" w:rsidRDefault="00210801" w14:paraId="14096B2E" w14:textId="77777777">
      <w:pPr>
        <w:spacing w:after="0" w:line="276" w:lineRule="auto"/>
        <w:rPr>
          <w:rFonts w:ascii="Verdana" w:hAnsi="Verdana" w:eastAsia="Times New Roman" w:cs="Times New Roman"/>
          <w:sz w:val="18"/>
          <w:szCs w:val="18"/>
        </w:rPr>
      </w:pPr>
    </w:p>
    <w:p w:rsidR="00967F40" w:rsidP="00643E93" w:rsidRDefault="00967F40" w14:paraId="6E1F052B" w14:textId="77777777">
      <w:pPr>
        <w:spacing w:after="0" w:line="276" w:lineRule="auto"/>
        <w:rPr>
          <w:rFonts w:ascii="Verdana" w:hAnsi="Verdana" w:eastAsia="Times New Roman" w:cs="Times New Roman"/>
          <w:i/>
          <w:iCs/>
          <w:sz w:val="18"/>
          <w:szCs w:val="18"/>
        </w:rPr>
      </w:pPr>
    </w:p>
    <w:p w:rsidRPr="00D944A9" w:rsidR="00967F40" w:rsidP="00D944A9" w:rsidRDefault="00967F40" w14:paraId="4BAF6E29" w14:textId="4F2C35F6">
      <w:pPr>
        <w:spacing w:after="0" w:line="276" w:lineRule="auto"/>
        <w:rPr>
          <w:rFonts w:ascii="Verdana" w:hAnsi="Verdana" w:eastAsia="Times New Roman" w:cs="Times New Roman"/>
          <w:i/>
          <w:sz w:val="18"/>
          <w:szCs w:val="18"/>
        </w:rPr>
      </w:pPr>
      <w:r w:rsidRPr="003B2697">
        <w:rPr>
          <w:rFonts w:ascii="Verdana" w:hAnsi="Verdana" w:eastAsia="Times New Roman" w:cs="Times New Roman"/>
          <w:i/>
          <w:sz w:val="18"/>
          <w:szCs w:val="18"/>
        </w:rPr>
        <w:lastRenderedPageBreak/>
        <w:t xml:space="preserve">Het opnemen </w:t>
      </w:r>
      <w:r>
        <w:rPr>
          <w:rFonts w:ascii="Verdana" w:hAnsi="Verdana" w:eastAsia="Times New Roman" w:cs="Times New Roman"/>
          <w:i/>
          <w:iCs/>
          <w:sz w:val="18"/>
          <w:szCs w:val="18"/>
        </w:rPr>
        <w:t xml:space="preserve">en uitwerken </w:t>
      </w:r>
      <w:r w:rsidRPr="003B2697">
        <w:rPr>
          <w:rFonts w:ascii="Verdana" w:hAnsi="Verdana" w:eastAsia="Times New Roman" w:cs="Times New Roman"/>
          <w:i/>
          <w:sz w:val="18"/>
          <w:szCs w:val="18"/>
        </w:rPr>
        <w:t>van een verplichting in wet</w:t>
      </w:r>
      <w:r>
        <w:rPr>
          <w:rFonts w:ascii="Verdana" w:hAnsi="Verdana" w:eastAsia="Times New Roman" w:cs="Times New Roman"/>
          <w:i/>
          <w:iCs/>
          <w:sz w:val="18"/>
          <w:szCs w:val="18"/>
        </w:rPr>
        <w:t>geving</w:t>
      </w:r>
      <w:r w:rsidRPr="003B2697">
        <w:rPr>
          <w:rFonts w:ascii="Verdana" w:hAnsi="Verdana" w:eastAsia="Times New Roman" w:cs="Times New Roman"/>
          <w:i/>
          <w:sz w:val="18"/>
          <w:szCs w:val="18"/>
        </w:rPr>
        <w:t>:</w:t>
      </w:r>
    </w:p>
    <w:p w:rsidR="00042D7A" w:rsidP="00643E93" w:rsidRDefault="00CD34D6" w14:paraId="68F87446" w14:textId="23D826FB">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Met dit wetsvoorstel wordt voorzien in een verplichting voor aanbestedende diensten</w:t>
      </w:r>
      <w:r w:rsidR="00DB4362">
        <w:rPr>
          <w:rFonts w:ascii="Verdana" w:hAnsi="Verdana" w:eastAsia="Times New Roman" w:cs="Times New Roman"/>
          <w:sz w:val="18"/>
          <w:szCs w:val="18"/>
        </w:rPr>
        <w:t xml:space="preserve"> en speciale-sectorbedrijven</w:t>
      </w:r>
      <w:r w:rsidRPr="00E43A50">
        <w:rPr>
          <w:rFonts w:ascii="Verdana" w:hAnsi="Verdana" w:eastAsia="Times New Roman" w:cs="Times New Roman"/>
          <w:sz w:val="18"/>
          <w:szCs w:val="18"/>
        </w:rPr>
        <w:t xml:space="preserve"> om bij het aanbesteden van GWW-werken eisen te betrekken</w:t>
      </w:r>
      <w:r w:rsidR="00E54192">
        <w:rPr>
          <w:rFonts w:ascii="Verdana" w:hAnsi="Verdana" w:eastAsia="Times New Roman" w:cs="Times New Roman"/>
          <w:sz w:val="18"/>
          <w:szCs w:val="18"/>
        </w:rPr>
        <w:t xml:space="preserve"> </w:t>
      </w:r>
      <w:r w:rsidRPr="00E54192" w:rsidR="00E54192">
        <w:rPr>
          <w:rFonts w:ascii="Verdana" w:hAnsi="Verdana" w:eastAsia="Times New Roman" w:cs="Times New Roman"/>
          <w:sz w:val="18"/>
          <w:szCs w:val="18"/>
        </w:rPr>
        <w:t xml:space="preserve">die de milieubelasting </w:t>
      </w:r>
      <w:r w:rsidR="00E54192">
        <w:rPr>
          <w:rFonts w:ascii="Verdana" w:hAnsi="Verdana" w:eastAsia="Times New Roman" w:cs="Times New Roman"/>
          <w:sz w:val="18"/>
          <w:szCs w:val="18"/>
        </w:rPr>
        <w:t>hiervan</w:t>
      </w:r>
      <w:r w:rsidRPr="00E54192" w:rsidR="00E54192">
        <w:rPr>
          <w:rFonts w:ascii="Verdana" w:hAnsi="Verdana" w:eastAsia="Times New Roman" w:cs="Times New Roman"/>
          <w:sz w:val="18"/>
          <w:szCs w:val="18"/>
        </w:rPr>
        <w:t xml:space="preserve"> beperken</w:t>
      </w:r>
      <w:r w:rsidRPr="00E43A50">
        <w:rPr>
          <w:rFonts w:ascii="Verdana" w:hAnsi="Verdana" w:eastAsia="Times New Roman" w:cs="Times New Roman"/>
          <w:sz w:val="18"/>
          <w:szCs w:val="18"/>
        </w:rPr>
        <w:t>.</w:t>
      </w:r>
      <w:r w:rsidRPr="00E43A50" w:rsidDel="00CE1182" w:rsidR="00CE1182">
        <w:rPr>
          <w:rFonts w:ascii="Verdana" w:hAnsi="Verdana" w:eastAsia="Times New Roman" w:cs="Times New Roman"/>
          <w:sz w:val="18"/>
          <w:szCs w:val="18"/>
        </w:rPr>
        <w:t xml:space="preserve"> </w:t>
      </w:r>
      <w:r w:rsidRPr="00E43A50" w:rsidR="00CE1182">
        <w:rPr>
          <w:rFonts w:ascii="Verdana" w:hAnsi="Verdana" w:eastAsia="Times New Roman" w:cs="Times New Roman"/>
          <w:sz w:val="18"/>
          <w:szCs w:val="18"/>
        </w:rPr>
        <w:t xml:space="preserve">Aangezien de ontwikkelingen in de techniek en in de markt snel kunnen gaan </w:t>
      </w:r>
      <w:r w:rsidR="00CE1182">
        <w:rPr>
          <w:rFonts w:ascii="Verdana" w:hAnsi="Verdana" w:eastAsia="Times New Roman" w:cs="Times New Roman"/>
          <w:sz w:val="18"/>
          <w:szCs w:val="18"/>
        </w:rPr>
        <w:t>en</w:t>
      </w:r>
      <w:r w:rsidRPr="00E43A50" w:rsidR="00CE1182">
        <w:rPr>
          <w:rFonts w:ascii="Verdana" w:hAnsi="Verdana" w:eastAsia="Times New Roman" w:cs="Times New Roman"/>
          <w:sz w:val="18"/>
          <w:szCs w:val="18"/>
        </w:rPr>
        <w:t xml:space="preserve"> het wenselijk </w:t>
      </w:r>
      <w:r w:rsidR="00CE1182">
        <w:rPr>
          <w:rFonts w:ascii="Verdana" w:hAnsi="Verdana" w:eastAsia="Times New Roman" w:cs="Times New Roman"/>
          <w:sz w:val="18"/>
          <w:szCs w:val="18"/>
        </w:rPr>
        <w:t>is</w:t>
      </w:r>
      <w:r w:rsidRPr="00E43A50" w:rsidR="00CE1182">
        <w:rPr>
          <w:rFonts w:ascii="Verdana" w:hAnsi="Verdana" w:eastAsia="Times New Roman" w:cs="Times New Roman"/>
          <w:sz w:val="18"/>
          <w:szCs w:val="18"/>
        </w:rPr>
        <w:t xml:space="preserve"> </w:t>
      </w:r>
      <w:r w:rsidRPr="00E43A50" w:rsidR="00042D7A">
        <w:rPr>
          <w:rFonts w:ascii="Verdana" w:hAnsi="Verdana" w:eastAsia="Times New Roman" w:cs="Times New Roman"/>
          <w:sz w:val="18"/>
          <w:szCs w:val="18"/>
        </w:rPr>
        <w:t xml:space="preserve">om </w:t>
      </w:r>
      <w:r w:rsidRPr="00E43A50" w:rsidR="00CE1182">
        <w:rPr>
          <w:rFonts w:ascii="Verdana" w:hAnsi="Verdana" w:eastAsia="Times New Roman" w:cs="Times New Roman"/>
          <w:sz w:val="18"/>
          <w:szCs w:val="18"/>
        </w:rPr>
        <w:t>exacte eisen aan te kunnen passen aan de marktomstandigheden</w:t>
      </w:r>
      <w:r w:rsidR="00BC62C8">
        <w:rPr>
          <w:rFonts w:ascii="Verdana" w:hAnsi="Verdana" w:eastAsia="Times New Roman" w:cs="Times New Roman"/>
          <w:sz w:val="18"/>
          <w:szCs w:val="18"/>
        </w:rPr>
        <w:t xml:space="preserve"> en innovatie</w:t>
      </w:r>
      <w:r w:rsidR="00CE1182">
        <w:rPr>
          <w:rFonts w:ascii="Verdana" w:hAnsi="Verdana" w:eastAsia="Times New Roman" w:cs="Times New Roman"/>
          <w:sz w:val="18"/>
          <w:szCs w:val="18"/>
        </w:rPr>
        <w:t>, worden nadere regels bij of krachtens amvb gesteld</w:t>
      </w:r>
      <w:r w:rsidRPr="00E43A50" w:rsidR="00CE1182">
        <w:rPr>
          <w:rFonts w:ascii="Verdana" w:hAnsi="Verdana" w:eastAsia="Times New Roman" w:cs="Times New Roman"/>
          <w:sz w:val="18"/>
          <w:szCs w:val="18"/>
        </w:rPr>
        <w:t xml:space="preserve">. </w:t>
      </w:r>
    </w:p>
    <w:p w:rsidR="00042D7A" w:rsidP="00643E93" w:rsidRDefault="00042D7A" w14:paraId="72690D76" w14:textId="77777777">
      <w:pPr>
        <w:spacing w:after="0" w:line="276" w:lineRule="auto"/>
        <w:rPr>
          <w:rFonts w:ascii="Verdana" w:hAnsi="Verdana" w:eastAsia="Times New Roman" w:cs="Times New Roman"/>
          <w:sz w:val="18"/>
          <w:szCs w:val="18"/>
        </w:rPr>
      </w:pPr>
    </w:p>
    <w:p w:rsidR="00CD34D6" w:rsidP="00643E93" w:rsidRDefault="00CE1182" w14:paraId="67111571" w14:textId="4C6D94DB">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In dit wetsvoorstel worden de volgende onderwerpen geregeld</w:t>
      </w:r>
      <w:r w:rsidR="00622CB6">
        <w:rPr>
          <w:rFonts w:ascii="Verdana" w:hAnsi="Verdana" w:eastAsia="Times New Roman" w:cs="Times New Roman"/>
          <w:sz w:val="18"/>
          <w:szCs w:val="18"/>
        </w:rPr>
        <w:t xml:space="preserve"> voor de aanbesteding van GWW-werken</w:t>
      </w:r>
      <w:r w:rsidRPr="00E43A50" w:rsidR="00CD34D6">
        <w:rPr>
          <w:rFonts w:ascii="Verdana" w:hAnsi="Verdana" w:eastAsia="Times New Roman" w:cs="Times New Roman"/>
          <w:sz w:val="18"/>
          <w:szCs w:val="18"/>
        </w:rPr>
        <w:t>:</w:t>
      </w:r>
    </w:p>
    <w:p w:rsidRPr="00F2248B" w:rsidR="00E26D1B" w:rsidP="00643E93" w:rsidRDefault="00E26D1B" w14:paraId="051D306B" w14:textId="2FA687E1">
      <w:pPr>
        <w:pStyle w:val="Lijstalinea"/>
        <w:numPr>
          <w:ilvl w:val="0"/>
          <w:numId w:val="62"/>
        </w:numPr>
        <w:spacing w:after="0" w:line="276" w:lineRule="auto"/>
        <w:rPr>
          <w:rFonts w:ascii="Verdana" w:hAnsi="Verdana" w:eastAsia="Times New Roman" w:cs="Times New Roman"/>
          <w:sz w:val="18"/>
          <w:szCs w:val="18"/>
        </w:rPr>
      </w:pPr>
      <w:r w:rsidRPr="00E26D1B">
        <w:rPr>
          <w:rFonts w:ascii="Verdana" w:hAnsi="Verdana" w:eastAsia="Times New Roman" w:cs="Times New Roman"/>
          <w:sz w:val="18"/>
          <w:szCs w:val="18"/>
        </w:rPr>
        <w:t xml:space="preserve">Het vastleggen </w:t>
      </w:r>
      <w:r w:rsidR="00124857">
        <w:rPr>
          <w:rFonts w:ascii="Verdana" w:hAnsi="Verdana" w:eastAsia="Times New Roman" w:cs="Times New Roman"/>
          <w:sz w:val="18"/>
          <w:szCs w:val="18"/>
        </w:rPr>
        <w:t>dat</w:t>
      </w:r>
      <w:r w:rsidR="00772E71">
        <w:rPr>
          <w:rFonts w:ascii="Verdana" w:hAnsi="Verdana" w:eastAsia="Times New Roman" w:cs="Times New Roman"/>
          <w:sz w:val="18"/>
          <w:szCs w:val="18"/>
        </w:rPr>
        <w:t xml:space="preserve"> in een amvb</w:t>
      </w:r>
      <w:r w:rsidRPr="00E26D1B" w:rsidR="00124857">
        <w:rPr>
          <w:rFonts w:ascii="Verdana" w:hAnsi="Verdana" w:eastAsia="Times New Roman" w:cs="Times New Roman"/>
          <w:sz w:val="18"/>
          <w:szCs w:val="18"/>
        </w:rPr>
        <w:t xml:space="preserve"> </w:t>
      </w:r>
      <w:r w:rsidRPr="00E26D1B">
        <w:rPr>
          <w:rFonts w:ascii="Verdana" w:hAnsi="Verdana" w:eastAsia="Times New Roman" w:cs="Times New Roman"/>
          <w:sz w:val="18"/>
          <w:szCs w:val="18"/>
        </w:rPr>
        <w:t>milieuprestatie-eisen</w:t>
      </w:r>
      <w:r w:rsidRPr="00E26D1B" w:rsidDel="00772E71">
        <w:rPr>
          <w:rFonts w:ascii="Verdana" w:hAnsi="Verdana" w:eastAsia="Times New Roman" w:cs="Times New Roman"/>
          <w:sz w:val="18"/>
          <w:szCs w:val="18"/>
        </w:rPr>
        <w:t xml:space="preserve"> </w:t>
      </w:r>
      <w:r w:rsidR="00772E71">
        <w:rPr>
          <w:rFonts w:ascii="Verdana" w:hAnsi="Verdana" w:eastAsia="Times New Roman" w:cs="Times New Roman"/>
          <w:sz w:val="18"/>
          <w:szCs w:val="18"/>
        </w:rPr>
        <w:t>k</w:t>
      </w:r>
      <w:r w:rsidR="00124857">
        <w:rPr>
          <w:rFonts w:ascii="Verdana" w:hAnsi="Verdana" w:eastAsia="Times New Roman" w:cs="Times New Roman"/>
          <w:sz w:val="18"/>
          <w:szCs w:val="18"/>
        </w:rPr>
        <w:t xml:space="preserve">unnen worden verplicht </w:t>
      </w:r>
      <w:r w:rsidRPr="00E26D1B">
        <w:rPr>
          <w:rFonts w:ascii="Verdana" w:hAnsi="Verdana" w:eastAsia="Times New Roman" w:cs="Times New Roman"/>
          <w:sz w:val="18"/>
          <w:szCs w:val="18"/>
        </w:rPr>
        <w:t>voor materialen en producten die in werken worden toegepast. Een aanbestedende dienst of een speciale-sectorbedrijf dient deze milieuprestatie-eisen als technische specificatie te stellen bij de voorbereiding en het tot stand brengen van de opdracht van het GWW-werk.</w:t>
      </w:r>
    </w:p>
    <w:p w:rsidRPr="00DF226D" w:rsidR="00ED3D1A" w:rsidP="00ED3D1A" w:rsidRDefault="00E26D1B" w14:paraId="25893D15" w14:textId="7B47F18D">
      <w:pPr>
        <w:pStyle w:val="Lijstalinea"/>
        <w:numPr>
          <w:ilvl w:val="0"/>
          <w:numId w:val="62"/>
        </w:numPr>
        <w:spacing w:line="276" w:lineRule="auto"/>
        <w:rPr>
          <w:rFonts w:ascii="Verdana" w:hAnsi="Verdana" w:eastAsia="Times New Roman" w:cs="Times New Roman"/>
          <w:sz w:val="18"/>
          <w:szCs w:val="18"/>
        </w:rPr>
      </w:pPr>
      <w:r w:rsidRPr="009F33C6">
        <w:rPr>
          <w:rFonts w:ascii="Verdana" w:hAnsi="Verdana" w:eastAsia="Times New Roman" w:cs="Times New Roman"/>
          <w:sz w:val="18"/>
          <w:szCs w:val="18"/>
        </w:rPr>
        <w:t xml:space="preserve">Het vastleggen </w:t>
      </w:r>
      <w:r w:rsidR="00772E71">
        <w:rPr>
          <w:rFonts w:ascii="Verdana" w:hAnsi="Verdana" w:eastAsia="Times New Roman" w:cs="Times New Roman"/>
          <w:sz w:val="18"/>
          <w:szCs w:val="18"/>
        </w:rPr>
        <w:t xml:space="preserve">van nadere criteria met betrekking tot de milieuprestatie </w:t>
      </w:r>
      <w:r w:rsidR="00043C84">
        <w:rPr>
          <w:rFonts w:ascii="Verdana" w:hAnsi="Verdana" w:eastAsia="Times New Roman" w:cs="Times New Roman"/>
          <w:sz w:val="18"/>
          <w:szCs w:val="18"/>
        </w:rPr>
        <w:t xml:space="preserve">van GWW-werken </w:t>
      </w:r>
      <w:r w:rsidR="00772E71">
        <w:rPr>
          <w:rFonts w:ascii="Verdana" w:hAnsi="Verdana" w:eastAsia="Times New Roman" w:cs="Times New Roman"/>
          <w:sz w:val="18"/>
          <w:szCs w:val="18"/>
        </w:rPr>
        <w:t xml:space="preserve">die worden meegenomen </w:t>
      </w:r>
      <w:r w:rsidRPr="009F33C6">
        <w:rPr>
          <w:rFonts w:ascii="Verdana" w:hAnsi="Verdana" w:eastAsia="Times New Roman" w:cs="Times New Roman"/>
          <w:sz w:val="18"/>
          <w:szCs w:val="18"/>
        </w:rPr>
        <w:t>bij een aanbesteding op basis van de beste prijs-kwaliteitsverhouding.</w:t>
      </w:r>
      <w:r w:rsidRPr="009F33C6" w:rsidDel="00042D7A">
        <w:rPr>
          <w:rFonts w:ascii="Verdana" w:hAnsi="Verdana" w:eastAsia="Times New Roman" w:cs="Times New Roman"/>
          <w:sz w:val="18"/>
          <w:szCs w:val="18"/>
        </w:rPr>
        <w:t xml:space="preserve"> </w:t>
      </w:r>
    </w:p>
    <w:p w:rsidR="00ED3D1A" w:rsidP="00643E93" w:rsidRDefault="00ED3D1A" w14:paraId="30BD15D2" w14:textId="010E01BD">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In de wet worden grondslagen opgenomen om bij amvb:</w:t>
      </w:r>
    </w:p>
    <w:p w:rsidR="00124857" w:rsidP="00D33CBA" w:rsidRDefault="00772E71" w14:paraId="44B2D814" w14:textId="3362406A">
      <w:pPr>
        <w:pStyle w:val="Lijstalinea"/>
        <w:numPr>
          <w:ilvl w:val="0"/>
          <w:numId w:val="67"/>
        </w:num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 xml:space="preserve">Vast te leggen voor welke </w:t>
      </w:r>
      <w:r w:rsidRPr="00124857" w:rsidR="00124857">
        <w:rPr>
          <w:rFonts w:ascii="Verdana" w:hAnsi="Verdana" w:eastAsia="Times New Roman" w:cs="Times New Roman"/>
          <w:sz w:val="18"/>
          <w:szCs w:val="18"/>
        </w:rPr>
        <w:t xml:space="preserve">materialen en producten </w:t>
      </w:r>
      <w:r>
        <w:rPr>
          <w:rFonts w:ascii="Verdana" w:hAnsi="Verdana" w:eastAsia="Times New Roman" w:cs="Times New Roman"/>
          <w:sz w:val="18"/>
          <w:szCs w:val="18"/>
        </w:rPr>
        <w:t>d</w:t>
      </w:r>
      <w:r w:rsidRPr="00124857" w:rsidR="00124857">
        <w:rPr>
          <w:rFonts w:ascii="Verdana" w:hAnsi="Verdana" w:eastAsia="Times New Roman" w:cs="Times New Roman"/>
          <w:sz w:val="18"/>
          <w:szCs w:val="18"/>
        </w:rPr>
        <w:t>e</w:t>
      </w:r>
      <w:r>
        <w:rPr>
          <w:rFonts w:ascii="Verdana" w:hAnsi="Verdana" w:eastAsia="Times New Roman" w:cs="Times New Roman"/>
          <w:sz w:val="18"/>
          <w:szCs w:val="18"/>
        </w:rPr>
        <w:t xml:space="preserve"> verplichting geldt om in technische specificaties </w:t>
      </w:r>
      <w:r w:rsidRPr="00124857" w:rsidR="00124857">
        <w:rPr>
          <w:rFonts w:ascii="Verdana" w:hAnsi="Verdana" w:eastAsia="Times New Roman" w:cs="Times New Roman"/>
          <w:sz w:val="18"/>
          <w:szCs w:val="18"/>
        </w:rPr>
        <w:t xml:space="preserve">milieuprestatie-eisen </w:t>
      </w:r>
      <w:r w:rsidRPr="00124857" w:rsidDel="00772E71" w:rsidR="00124857">
        <w:rPr>
          <w:rFonts w:ascii="Verdana" w:hAnsi="Verdana" w:eastAsia="Times New Roman" w:cs="Times New Roman"/>
          <w:sz w:val="18"/>
          <w:szCs w:val="18"/>
        </w:rPr>
        <w:t>te stellen</w:t>
      </w:r>
      <w:r w:rsidRPr="00124857" w:rsidR="00124857">
        <w:rPr>
          <w:rFonts w:ascii="Verdana" w:hAnsi="Verdana" w:eastAsia="Times New Roman" w:cs="Times New Roman"/>
          <w:sz w:val="18"/>
          <w:szCs w:val="18"/>
        </w:rPr>
        <w:t xml:space="preserve">. </w:t>
      </w:r>
      <w:r w:rsidR="002B4A7A">
        <w:rPr>
          <w:rFonts w:ascii="Verdana" w:hAnsi="Verdana" w:eastAsia="Times New Roman" w:cs="Times New Roman"/>
          <w:sz w:val="18"/>
          <w:szCs w:val="18"/>
        </w:rPr>
        <w:t xml:space="preserve">Hierbij wordt in het kader van proportionaliteit gekeken naar de </w:t>
      </w:r>
      <w:r w:rsidRPr="00124857" w:rsidR="00124857">
        <w:rPr>
          <w:rFonts w:ascii="Verdana" w:hAnsi="Verdana" w:eastAsia="Times New Roman" w:cs="Times New Roman"/>
          <w:sz w:val="18"/>
          <w:szCs w:val="18"/>
        </w:rPr>
        <w:t>meest impactvolle materialen.</w:t>
      </w:r>
    </w:p>
    <w:p w:rsidRPr="00DF226D" w:rsidR="002B4A7A" w:rsidP="002B4A7A" w:rsidRDefault="002B4A7A" w14:paraId="1B582395" w14:textId="20280F02">
      <w:pPr>
        <w:pStyle w:val="Lijstalinea"/>
        <w:numPr>
          <w:ilvl w:val="0"/>
          <w:numId w:val="67"/>
        </w:numPr>
        <w:spacing w:after="0" w:line="276" w:lineRule="auto"/>
        <w:rPr>
          <w:rFonts w:ascii="Verdana" w:hAnsi="Verdana" w:eastAsia="Times New Roman"/>
          <w:sz w:val="18"/>
          <w:szCs w:val="18"/>
        </w:rPr>
      </w:pPr>
      <w:r w:rsidRPr="002B4A7A">
        <w:rPr>
          <w:rFonts w:ascii="Verdana" w:hAnsi="Verdana" w:eastAsia="Times New Roman" w:cs="Times New Roman"/>
          <w:sz w:val="18"/>
          <w:szCs w:val="18"/>
        </w:rPr>
        <w:t>He</w:t>
      </w:r>
      <w:r w:rsidR="00772E71">
        <w:rPr>
          <w:rFonts w:ascii="Verdana" w:hAnsi="Verdana" w:eastAsia="Times New Roman" w:cs="Times New Roman"/>
          <w:sz w:val="18"/>
          <w:szCs w:val="18"/>
        </w:rPr>
        <w:t xml:space="preserve">t nader criterium vast te stellen dat </w:t>
      </w:r>
      <w:r w:rsidR="00805278">
        <w:rPr>
          <w:rFonts w:ascii="Verdana" w:hAnsi="Verdana" w:eastAsia="Times New Roman"/>
          <w:sz w:val="18"/>
          <w:szCs w:val="18"/>
        </w:rPr>
        <w:t>ter</w:t>
      </w:r>
      <w:r w:rsidRPr="002B4A7A" w:rsidR="00805278">
        <w:rPr>
          <w:rFonts w:ascii="Verdana" w:hAnsi="Verdana" w:eastAsia="Times New Roman"/>
          <w:sz w:val="18"/>
          <w:szCs w:val="18"/>
        </w:rPr>
        <w:t xml:space="preserve"> bescherming van het milieu en de menselijke</w:t>
      </w:r>
      <w:r w:rsidR="00805278">
        <w:rPr>
          <w:rFonts w:ascii="Verdana" w:hAnsi="Verdana" w:eastAsia="Times New Roman"/>
          <w:sz w:val="18"/>
          <w:szCs w:val="18"/>
        </w:rPr>
        <w:t xml:space="preserve"> en </w:t>
      </w:r>
      <w:r w:rsidRPr="00B25821" w:rsidR="00805278">
        <w:rPr>
          <w:rFonts w:ascii="Verdana" w:hAnsi="Verdana" w:eastAsia="Times New Roman" w:cs="Times New Roman"/>
          <w:sz w:val="18"/>
          <w:szCs w:val="18"/>
        </w:rPr>
        <w:t>gezondheid</w:t>
      </w:r>
      <w:r w:rsidR="00805278">
        <w:rPr>
          <w:rFonts w:ascii="Verdana" w:hAnsi="Verdana" w:eastAsia="Times New Roman" w:cs="Times New Roman"/>
          <w:sz w:val="18"/>
          <w:szCs w:val="18"/>
        </w:rPr>
        <w:t xml:space="preserve"> </w:t>
      </w:r>
      <w:r w:rsidR="00772E71">
        <w:rPr>
          <w:rFonts w:ascii="Verdana" w:hAnsi="Verdana" w:eastAsia="Times New Roman" w:cs="Times New Roman"/>
          <w:sz w:val="18"/>
          <w:szCs w:val="18"/>
        </w:rPr>
        <w:t>door aanbestedende diensten wordt meegenomen bij een gunning op basis van beste prijs-kwaliteitverhouding.</w:t>
      </w:r>
      <w:r w:rsidR="00071942">
        <w:rPr>
          <w:rFonts w:ascii="Verdana" w:hAnsi="Verdana" w:eastAsia="Times New Roman" w:cs="Times New Roman"/>
          <w:sz w:val="18"/>
          <w:szCs w:val="18"/>
        </w:rPr>
        <w:t xml:space="preserve"> </w:t>
      </w:r>
    </w:p>
    <w:p w:rsidR="00805278" w:rsidP="00D33CBA" w:rsidRDefault="002B4A7A" w14:paraId="68EF976D" w14:textId="491F761C">
      <w:pPr>
        <w:pStyle w:val="Lijstalinea"/>
        <w:numPr>
          <w:ilvl w:val="0"/>
          <w:numId w:val="67"/>
        </w:numPr>
        <w:spacing w:after="0" w:line="276" w:lineRule="auto"/>
        <w:rPr>
          <w:rFonts w:ascii="Verdana" w:hAnsi="Verdana" w:eastAsia="Times New Roman" w:cs="Times New Roman"/>
          <w:sz w:val="18"/>
          <w:szCs w:val="18"/>
        </w:rPr>
      </w:pPr>
      <w:r w:rsidRPr="002B4A7A">
        <w:rPr>
          <w:rFonts w:ascii="Verdana" w:hAnsi="Verdana" w:eastAsia="Times New Roman" w:cs="Times New Roman"/>
          <w:sz w:val="18"/>
          <w:szCs w:val="18"/>
        </w:rPr>
        <w:t xml:space="preserve">Regels te stellen om de milieuprestatie-eisen voor materialen en het </w:t>
      </w:r>
      <w:r w:rsidR="00772E71">
        <w:rPr>
          <w:rFonts w:ascii="Verdana" w:hAnsi="Verdana" w:eastAsia="Times New Roman" w:cs="Times New Roman"/>
          <w:sz w:val="18"/>
          <w:szCs w:val="18"/>
        </w:rPr>
        <w:t>nader criterium</w:t>
      </w:r>
      <w:r w:rsidRPr="002B4A7A">
        <w:rPr>
          <w:rFonts w:ascii="Verdana" w:hAnsi="Verdana" w:eastAsia="Times New Roman" w:cs="Times New Roman"/>
          <w:sz w:val="18"/>
          <w:szCs w:val="18"/>
        </w:rPr>
        <w:t xml:space="preserve"> inzichtelijk te maken. Hier gaat het bijvoorbeeld om de methode die verplicht wordt om de milieuprestatie-eis vast te stellen voor zowel materialen als het</w:t>
      </w:r>
      <w:r w:rsidR="00772E71">
        <w:rPr>
          <w:rFonts w:ascii="Verdana" w:hAnsi="Verdana" w:eastAsia="Times New Roman" w:cs="Times New Roman"/>
          <w:sz w:val="18"/>
          <w:szCs w:val="18"/>
        </w:rPr>
        <w:t xml:space="preserve"> nader criterium</w:t>
      </w:r>
      <w:r w:rsidRPr="002B4A7A">
        <w:rPr>
          <w:rFonts w:ascii="Verdana" w:hAnsi="Verdana" w:eastAsia="Times New Roman" w:cs="Times New Roman"/>
          <w:sz w:val="18"/>
          <w:szCs w:val="18"/>
        </w:rPr>
        <w:t>. Hierbij</w:t>
      </w:r>
      <w:r w:rsidRPr="002B4A7A">
        <w:rPr>
          <w:rFonts w:ascii="Verdana" w:hAnsi="Verdana" w:eastAsia="Times New Roman" w:cs="Times New Roman"/>
          <w:sz w:val="18"/>
          <w:szCs w:val="18"/>
          <w:lang w:eastAsia="nl-NL"/>
        </w:rPr>
        <w:t xml:space="preserve"> wordt aangesloten bij in de sector algemeen aanvaarde methoden, zoals de Milieukostenindicator (MKI), waarmee </w:t>
      </w:r>
      <w:r w:rsidRPr="002B4A7A">
        <w:rPr>
          <w:rFonts w:ascii="Verdana" w:hAnsi="Verdana" w:eastAsia="Times New Roman" w:cs="Times New Roman"/>
          <w:sz w:val="18"/>
          <w:szCs w:val="18"/>
        </w:rPr>
        <w:t xml:space="preserve">de milieubelasting gedurende de levenscyclus van het GWW-werk beperkt wordt. </w:t>
      </w:r>
    </w:p>
    <w:p w:rsidRPr="002B78F6" w:rsidR="0006238D" w:rsidP="002B4A7A" w:rsidRDefault="002B4A7A" w14:paraId="12AEDB2E" w14:textId="6E901B9E">
      <w:pPr>
        <w:pStyle w:val="Lijstalinea"/>
        <w:numPr>
          <w:ilvl w:val="0"/>
          <w:numId w:val="67"/>
        </w:numPr>
        <w:spacing w:after="0" w:line="276" w:lineRule="auto"/>
        <w:rPr>
          <w:rFonts w:ascii="Verdana" w:hAnsi="Verdana" w:eastAsia="Times New Roman" w:cs="Times New Roman"/>
          <w:sz w:val="18"/>
          <w:szCs w:val="18"/>
        </w:rPr>
      </w:pPr>
      <w:r w:rsidRPr="002B4A7A">
        <w:rPr>
          <w:rFonts w:ascii="Verdana" w:hAnsi="Verdana" w:eastAsia="Times New Roman" w:cs="Times New Roman"/>
          <w:sz w:val="18"/>
          <w:szCs w:val="18"/>
        </w:rPr>
        <w:t>Ook wordt</w:t>
      </w:r>
      <w:r w:rsidR="00743559">
        <w:rPr>
          <w:rFonts w:ascii="Verdana" w:hAnsi="Verdana" w:eastAsia="Times New Roman" w:cs="Times New Roman"/>
          <w:sz w:val="18"/>
          <w:szCs w:val="18"/>
        </w:rPr>
        <w:t xml:space="preserve"> </w:t>
      </w:r>
      <w:r w:rsidR="00772E71">
        <w:rPr>
          <w:rFonts w:ascii="Verdana" w:hAnsi="Verdana" w:eastAsia="Times New Roman" w:cs="Times New Roman"/>
          <w:sz w:val="18"/>
          <w:szCs w:val="18"/>
        </w:rPr>
        <w:t xml:space="preserve">geregeld dat een minimum geraamde opdrachtwaarde kan worden vastgesteld waarboven de verplichting geldt om </w:t>
      </w:r>
      <w:r w:rsidRPr="00D9546D" w:rsidR="00743559">
        <w:rPr>
          <w:rFonts w:ascii="Verdana" w:hAnsi="Verdana" w:eastAsia="Times New Roman" w:cs="Times New Roman"/>
          <w:sz w:val="18"/>
          <w:szCs w:val="18"/>
        </w:rPr>
        <w:t xml:space="preserve">het </w:t>
      </w:r>
      <w:r w:rsidR="00772E71">
        <w:rPr>
          <w:rFonts w:ascii="Verdana" w:hAnsi="Verdana" w:eastAsia="Times New Roman" w:cs="Times New Roman"/>
          <w:sz w:val="18"/>
          <w:szCs w:val="18"/>
        </w:rPr>
        <w:t xml:space="preserve">nader criterium te passen in aanbestedingen. </w:t>
      </w:r>
    </w:p>
    <w:p w:rsidR="00ED3D1A" w:rsidP="00D33CBA" w:rsidRDefault="00743559" w14:paraId="6FC249EE" w14:textId="57229F67">
      <w:pPr>
        <w:pStyle w:val="Lijstalinea"/>
        <w:numPr>
          <w:ilvl w:val="0"/>
          <w:numId w:val="67"/>
        </w:num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 xml:space="preserve">Voor welke GWW-activiteiten van </w:t>
      </w:r>
      <w:r w:rsidRPr="00743559">
        <w:rPr>
          <w:rFonts w:ascii="Verdana" w:hAnsi="Verdana" w:eastAsia="Times New Roman" w:cs="Times New Roman"/>
          <w:sz w:val="18"/>
          <w:szCs w:val="18"/>
        </w:rPr>
        <w:t xml:space="preserve">speciale sectorbedrijven die een speciale-sectoropdracht of concessieopdracht voor een werk voorbereiden en tot stand brengen </w:t>
      </w:r>
      <w:r>
        <w:rPr>
          <w:rFonts w:ascii="Verdana" w:hAnsi="Verdana" w:eastAsia="Times New Roman" w:cs="Times New Roman"/>
          <w:sz w:val="18"/>
          <w:szCs w:val="18"/>
        </w:rPr>
        <w:t xml:space="preserve">de milieuprestatie-eisen en het </w:t>
      </w:r>
      <w:r w:rsidR="00C56276">
        <w:rPr>
          <w:rFonts w:ascii="Verdana" w:hAnsi="Verdana" w:eastAsia="Times New Roman" w:cs="Times New Roman"/>
          <w:sz w:val="18"/>
          <w:szCs w:val="18"/>
        </w:rPr>
        <w:t xml:space="preserve">nader criterium </w:t>
      </w:r>
      <w:r>
        <w:rPr>
          <w:rFonts w:ascii="Verdana" w:hAnsi="Verdana" w:eastAsia="Times New Roman" w:cs="Times New Roman"/>
          <w:sz w:val="18"/>
          <w:szCs w:val="18"/>
        </w:rPr>
        <w:t xml:space="preserve">gaan gelden. </w:t>
      </w:r>
    </w:p>
    <w:p w:rsidRPr="00043C84" w:rsidR="00743559" w:rsidP="00743559" w:rsidRDefault="00743559" w14:paraId="57693F02" w14:textId="77777777">
      <w:pPr>
        <w:spacing w:after="0" w:line="276" w:lineRule="auto"/>
        <w:rPr>
          <w:rFonts w:ascii="Verdana" w:hAnsi="Verdana" w:eastAsia="Times New Roman" w:cs="Times New Roman"/>
          <w:sz w:val="18"/>
          <w:szCs w:val="18"/>
        </w:rPr>
      </w:pPr>
    </w:p>
    <w:p w:rsidRPr="00BF1FD0" w:rsidR="00622CB6" w:rsidP="00643E93" w:rsidRDefault="00622CB6" w14:paraId="1013AB14" w14:textId="44775322">
      <w:pPr>
        <w:spacing w:after="0" w:line="276" w:lineRule="auto"/>
        <w:rPr>
          <w:rFonts w:ascii="Verdana" w:hAnsi="Verdana" w:eastAsia="Times New Roman" w:cs="Times New Roman"/>
          <w:sz w:val="18"/>
          <w:szCs w:val="18"/>
        </w:rPr>
      </w:pPr>
      <w:r w:rsidRPr="00BF1FD0">
        <w:rPr>
          <w:rFonts w:ascii="Verdana" w:hAnsi="Verdana" w:eastAsia="Times New Roman" w:cs="Times New Roman"/>
          <w:sz w:val="18"/>
          <w:szCs w:val="18"/>
        </w:rPr>
        <w:t xml:space="preserve">In de wet worden ook </w:t>
      </w:r>
      <w:r w:rsidRPr="00BF1FD0" w:rsidR="00DD7803">
        <w:rPr>
          <w:rFonts w:ascii="Verdana" w:hAnsi="Verdana" w:eastAsia="Times New Roman" w:cs="Times New Roman"/>
          <w:sz w:val="18"/>
          <w:szCs w:val="18"/>
        </w:rPr>
        <w:t xml:space="preserve">grondslagen opgenomen om bij amvb </w:t>
      </w:r>
      <w:r w:rsidRPr="00BF1FD0">
        <w:rPr>
          <w:rFonts w:ascii="Verdana" w:hAnsi="Verdana" w:eastAsia="Times New Roman" w:cs="Times New Roman"/>
          <w:sz w:val="18"/>
          <w:szCs w:val="18"/>
        </w:rPr>
        <w:t xml:space="preserve">uitzonderingen </w:t>
      </w:r>
      <w:r w:rsidRPr="00BF1FD0" w:rsidR="00DD7803">
        <w:rPr>
          <w:rFonts w:ascii="Verdana" w:hAnsi="Verdana" w:eastAsia="Times New Roman" w:cs="Times New Roman"/>
          <w:sz w:val="18"/>
          <w:szCs w:val="18"/>
        </w:rPr>
        <w:t>te maken</w:t>
      </w:r>
      <w:r w:rsidRPr="00BF1FD0" w:rsidR="00EF52D0">
        <w:rPr>
          <w:rFonts w:ascii="Verdana" w:hAnsi="Verdana" w:eastAsia="Times New Roman" w:cs="Times New Roman"/>
          <w:sz w:val="18"/>
          <w:szCs w:val="18"/>
        </w:rPr>
        <w:t>:</w:t>
      </w:r>
    </w:p>
    <w:p w:rsidRPr="00BF1FD0" w:rsidR="00CD34D6" w:rsidP="00643E93" w:rsidRDefault="003B2697" w14:paraId="73655151" w14:textId="514171BE">
      <w:pPr>
        <w:pStyle w:val="Lijstalinea"/>
        <w:numPr>
          <w:ilvl w:val="0"/>
          <w:numId w:val="63"/>
        </w:numPr>
        <w:spacing w:after="0" w:line="276" w:lineRule="auto"/>
        <w:rPr>
          <w:rFonts w:ascii="Verdana" w:hAnsi="Verdana" w:eastAsia="Times New Roman" w:cs="Times New Roman"/>
          <w:sz w:val="18"/>
          <w:szCs w:val="18"/>
        </w:rPr>
      </w:pPr>
      <w:r w:rsidRPr="00BF1FD0">
        <w:rPr>
          <w:rFonts w:ascii="Verdana" w:hAnsi="Verdana" w:eastAsia="Times New Roman" w:cs="Times New Roman"/>
          <w:sz w:val="18"/>
          <w:szCs w:val="18"/>
        </w:rPr>
        <w:t>V</w:t>
      </w:r>
      <w:r w:rsidRPr="00BF1FD0" w:rsidR="00305351">
        <w:rPr>
          <w:rFonts w:ascii="Verdana" w:hAnsi="Verdana" w:eastAsia="Times New Roman" w:cs="Times New Roman"/>
          <w:sz w:val="18"/>
          <w:szCs w:val="18"/>
        </w:rPr>
        <w:t>oor</w:t>
      </w:r>
      <w:r w:rsidRPr="00BF1FD0" w:rsidR="004F48FC">
        <w:rPr>
          <w:rFonts w:ascii="Verdana" w:hAnsi="Verdana" w:eastAsia="Times New Roman" w:cs="Times New Roman"/>
          <w:sz w:val="18"/>
          <w:szCs w:val="18"/>
        </w:rPr>
        <w:t xml:space="preserve"> het vastleggen</w:t>
      </w:r>
      <w:r w:rsidRPr="00BF1FD0" w:rsidDel="00EF52D0" w:rsidR="00305351">
        <w:rPr>
          <w:rFonts w:ascii="Verdana" w:hAnsi="Verdana" w:eastAsia="Times New Roman" w:cs="Times New Roman"/>
          <w:sz w:val="18"/>
          <w:szCs w:val="18"/>
        </w:rPr>
        <w:t xml:space="preserve"> van </w:t>
      </w:r>
      <w:r w:rsidR="00C56276">
        <w:rPr>
          <w:rFonts w:ascii="Verdana" w:hAnsi="Verdana" w:eastAsia="Times New Roman" w:cs="Times New Roman"/>
          <w:sz w:val="18"/>
          <w:szCs w:val="18"/>
        </w:rPr>
        <w:t>nadere criteria voor de gunning van</w:t>
      </w:r>
      <w:r w:rsidRPr="00BF1FD0" w:rsidR="004F48FC">
        <w:rPr>
          <w:rFonts w:ascii="Verdana" w:hAnsi="Verdana" w:eastAsia="Times New Roman" w:cs="Times New Roman"/>
          <w:sz w:val="18"/>
          <w:szCs w:val="18"/>
        </w:rPr>
        <w:t xml:space="preserve"> </w:t>
      </w:r>
      <w:r w:rsidRPr="00BF1FD0" w:rsidR="00305351">
        <w:rPr>
          <w:rFonts w:ascii="Verdana" w:hAnsi="Verdana" w:eastAsia="Times New Roman" w:cs="Times New Roman"/>
          <w:sz w:val="18"/>
          <w:szCs w:val="18"/>
        </w:rPr>
        <w:t>GWW-werken</w:t>
      </w:r>
      <w:r w:rsidRPr="00BF1FD0" w:rsidDel="00EF52D0" w:rsidR="00305351">
        <w:rPr>
          <w:rFonts w:ascii="Verdana" w:hAnsi="Verdana" w:eastAsia="Times New Roman" w:cs="Times New Roman"/>
          <w:sz w:val="18"/>
          <w:szCs w:val="18"/>
        </w:rPr>
        <w:t xml:space="preserve"> </w:t>
      </w:r>
      <w:r w:rsidRPr="00BF1FD0" w:rsidR="00EF52D0">
        <w:rPr>
          <w:rFonts w:ascii="Verdana" w:hAnsi="Verdana" w:eastAsia="Times New Roman" w:cs="Times New Roman"/>
          <w:sz w:val="18"/>
          <w:szCs w:val="18"/>
        </w:rPr>
        <w:t xml:space="preserve">onder </w:t>
      </w:r>
      <w:r w:rsidRPr="00BF1FD0" w:rsidR="00305351">
        <w:rPr>
          <w:rFonts w:ascii="Verdana" w:hAnsi="Verdana" w:eastAsia="Times New Roman" w:cs="Times New Roman"/>
          <w:sz w:val="18"/>
          <w:szCs w:val="18"/>
        </w:rPr>
        <w:t>een bepaalde aanbestedingswaarde</w:t>
      </w:r>
      <w:r w:rsidRPr="00BF1FD0" w:rsidR="00EF52D0">
        <w:rPr>
          <w:rFonts w:ascii="Verdana" w:hAnsi="Verdana" w:eastAsia="Times New Roman" w:cs="Times New Roman"/>
          <w:sz w:val="18"/>
          <w:szCs w:val="18"/>
        </w:rPr>
        <w:t xml:space="preserve"> (financiële ondergrens</w:t>
      </w:r>
      <w:r w:rsidR="005B170D">
        <w:rPr>
          <w:rFonts w:ascii="Verdana" w:hAnsi="Verdana" w:eastAsia="Times New Roman" w:cs="Times New Roman"/>
          <w:sz w:val="18"/>
          <w:szCs w:val="18"/>
        </w:rPr>
        <w:t>, daarbij kan bijvoorbeeld gedacht worden aan de Europese aanbestedingsgrens</w:t>
      </w:r>
      <w:r w:rsidR="00123DB9">
        <w:rPr>
          <w:rStyle w:val="Voetnootmarkering"/>
          <w:rFonts w:ascii="Verdana" w:hAnsi="Verdana" w:eastAsia="DejaVu Sans" w:cs="Lohit Hindi"/>
          <w:color w:val="000000" w:themeColor="text1"/>
          <w:sz w:val="18"/>
          <w:szCs w:val="18"/>
          <w:lang w:eastAsia="nl-NL"/>
        </w:rPr>
        <w:footnoteReference w:id="18"/>
      </w:r>
      <w:r w:rsidRPr="00BF1FD0" w:rsidR="00EF52D0">
        <w:rPr>
          <w:rFonts w:ascii="Verdana" w:hAnsi="Verdana" w:eastAsia="Times New Roman" w:cs="Times New Roman"/>
          <w:sz w:val="18"/>
          <w:szCs w:val="18"/>
        </w:rPr>
        <w:t>)</w:t>
      </w:r>
      <w:r w:rsidRPr="00BF1FD0" w:rsidR="00305351">
        <w:rPr>
          <w:rFonts w:ascii="Verdana" w:hAnsi="Verdana" w:eastAsia="Times New Roman" w:cs="Times New Roman"/>
          <w:sz w:val="18"/>
          <w:szCs w:val="18"/>
        </w:rPr>
        <w:t>.</w:t>
      </w:r>
      <w:r w:rsidRPr="00BF1FD0" w:rsidDel="00EF52D0" w:rsidR="000058C6">
        <w:rPr>
          <w:rFonts w:ascii="Verdana" w:hAnsi="Verdana" w:eastAsia="Times New Roman" w:cs="Times New Roman"/>
          <w:sz w:val="18"/>
          <w:szCs w:val="18"/>
        </w:rPr>
        <w:t xml:space="preserve"> </w:t>
      </w:r>
      <w:r w:rsidRPr="00BF1FD0" w:rsidR="00EF52D0">
        <w:rPr>
          <w:rFonts w:ascii="Verdana" w:hAnsi="Verdana" w:eastAsia="Times New Roman" w:cs="Times New Roman"/>
          <w:sz w:val="18"/>
          <w:szCs w:val="18"/>
        </w:rPr>
        <w:t xml:space="preserve">Ook </w:t>
      </w:r>
      <w:r w:rsidRPr="00BF1FD0" w:rsidR="000058C6">
        <w:rPr>
          <w:rFonts w:ascii="Verdana" w:hAnsi="Verdana" w:eastAsia="Times New Roman" w:cs="Times New Roman"/>
          <w:sz w:val="18"/>
          <w:szCs w:val="18"/>
        </w:rPr>
        <w:t xml:space="preserve">bepaalde contracten </w:t>
      </w:r>
      <w:r w:rsidRPr="00BF1FD0" w:rsidR="00EF52D0">
        <w:rPr>
          <w:rFonts w:ascii="Verdana" w:hAnsi="Verdana" w:eastAsia="Times New Roman" w:cs="Times New Roman"/>
          <w:sz w:val="18"/>
          <w:szCs w:val="18"/>
        </w:rPr>
        <w:t>kunnen worden uitgezonderd</w:t>
      </w:r>
      <w:r w:rsidRPr="00BF1FD0" w:rsidR="000058C6">
        <w:rPr>
          <w:rFonts w:ascii="Verdana" w:hAnsi="Verdana" w:eastAsia="Times New Roman" w:cs="Times New Roman"/>
          <w:sz w:val="18"/>
          <w:szCs w:val="18"/>
        </w:rPr>
        <w:t xml:space="preserve">, </w:t>
      </w:r>
      <w:r w:rsidR="00256712">
        <w:rPr>
          <w:rFonts w:ascii="Verdana" w:hAnsi="Verdana" w:eastAsia="Times New Roman" w:cs="Times New Roman"/>
          <w:sz w:val="18"/>
          <w:szCs w:val="18"/>
        </w:rPr>
        <w:t>indien met deze contracten</w:t>
      </w:r>
      <w:r w:rsidR="007B1ED2">
        <w:rPr>
          <w:rFonts w:ascii="Verdana" w:hAnsi="Verdana" w:eastAsia="Times New Roman" w:cs="Times New Roman"/>
          <w:sz w:val="18"/>
          <w:szCs w:val="18"/>
        </w:rPr>
        <w:t xml:space="preserve"> ni</w:t>
      </w:r>
      <w:r w:rsidR="00256712">
        <w:rPr>
          <w:rFonts w:ascii="Verdana" w:hAnsi="Verdana" w:eastAsia="Times New Roman" w:cs="Times New Roman"/>
          <w:sz w:val="18"/>
          <w:szCs w:val="18"/>
        </w:rPr>
        <w:t xml:space="preserve">et voldoende gestuurd kan worden met een </w:t>
      </w:r>
      <w:r w:rsidR="00C56276">
        <w:rPr>
          <w:rFonts w:ascii="Verdana" w:hAnsi="Verdana" w:eastAsia="Times New Roman" w:cs="Times New Roman"/>
          <w:sz w:val="18"/>
          <w:szCs w:val="18"/>
        </w:rPr>
        <w:t xml:space="preserve">nader criteria dat ziet op de </w:t>
      </w:r>
      <w:r w:rsidR="00CB716E">
        <w:rPr>
          <w:rFonts w:ascii="Verdana" w:hAnsi="Verdana" w:eastAsia="Times New Roman" w:cs="Times New Roman"/>
          <w:sz w:val="18"/>
          <w:szCs w:val="18"/>
        </w:rPr>
        <w:t>milieuprestatie</w:t>
      </w:r>
      <w:r w:rsidR="00C56276">
        <w:rPr>
          <w:rFonts w:ascii="Verdana" w:hAnsi="Verdana" w:eastAsia="Times New Roman" w:cs="Times New Roman"/>
          <w:sz w:val="18"/>
          <w:szCs w:val="18"/>
        </w:rPr>
        <w:t xml:space="preserve"> in de gunning</w:t>
      </w:r>
      <w:r w:rsidR="00197276">
        <w:rPr>
          <w:rFonts w:ascii="Verdana" w:hAnsi="Verdana" w:eastAsia="Times New Roman" w:cs="Times New Roman"/>
          <w:sz w:val="18"/>
          <w:szCs w:val="18"/>
        </w:rPr>
        <w:t>.</w:t>
      </w:r>
    </w:p>
    <w:p w:rsidRPr="00BF1FD0" w:rsidR="0093179F" w:rsidP="00643E93" w:rsidRDefault="00197276" w14:paraId="5080B002" w14:textId="16B448AF">
      <w:pPr>
        <w:pStyle w:val="Lijstalinea"/>
        <w:numPr>
          <w:ilvl w:val="0"/>
          <w:numId w:val="63"/>
        </w:num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lastRenderedPageBreak/>
        <w:t>Voor d</w:t>
      </w:r>
      <w:r w:rsidRPr="00BF1FD0">
        <w:rPr>
          <w:rFonts w:ascii="Verdana" w:hAnsi="Verdana" w:eastAsia="Times New Roman" w:cs="Times New Roman"/>
          <w:sz w:val="18"/>
          <w:szCs w:val="18"/>
        </w:rPr>
        <w:t xml:space="preserve">e </w:t>
      </w:r>
      <w:r w:rsidRPr="00D2432E" w:rsidR="00CD34D6">
        <w:rPr>
          <w:rFonts w:ascii="Verdana" w:hAnsi="Verdana" w:eastAsia="Times New Roman" w:cs="Times New Roman"/>
          <w:sz w:val="18"/>
          <w:szCs w:val="18"/>
        </w:rPr>
        <w:t xml:space="preserve">categorieën </w:t>
      </w:r>
      <w:r w:rsidRPr="00D2432E">
        <w:rPr>
          <w:rFonts w:ascii="Verdana" w:hAnsi="Verdana" w:eastAsia="Times New Roman" w:cs="Times New Roman"/>
          <w:sz w:val="18"/>
          <w:szCs w:val="18"/>
        </w:rPr>
        <w:t>opdrachten</w:t>
      </w:r>
      <w:r w:rsidRPr="00D2432E" w:rsidR="00CD34D6">
        <w:rPr>
          <w:rFonts w:ascii="Verdana" w:hAnsi="Verdana" w:eastAsia="Times New Roman" w:cs="Times New Roman"/>
          <w:sz w:val="18"/>
          <w:szCs w:val="18"/>
        </w:rPr>
        <w:t xml:space="preserve"> van aanbestedende diensten en activiteiten van speciale</w:t>
      </w:r>
      <w:r w:rsidRPr="00D2432E" w:rsidR="005B5C55">
        <w:rPr>
          <w:rFonts w:ascii="Verdana" w:hAnsi="Verdana" w:eastAsia="Times New Roman" w:cs="Times New Roman"/>
          <w:sz w:val="18"/>
          <w:szCs w:val="18"/>
        </w:rPr>
        <w:t>-</w:t>
      </w:r>
      <w:r w:rsidRPr="00D2432E" w:rsidR="00CD34D6">
        <w:rPr>
          <w:rFonts w:ascii="Verdana" w:hAnsi="Verdana" w:eastAsia="Times New Roman" w:cs="Times New Roman"/>
          <w:sz w:val="18"/>
          <w:szCs w:val="18"/>
        </w:rPr>
        <w:t>sectorbedrijven waarvoor de verplichting</w:t>
      </w:r>
      <w:r w:rsidRPr="00BF1FD0" w:rsidR="00CD34D6">
        <w:rPr>
          <w:rFonts w:ascii="Verdana" w:hAnsi="Verdana" w:eastAsia="Times New Roman" w:cs="Times New Roman"/>
          <w:sz w:val="18"/>
          <w:szCs w:val="18"/>
        </w:rPr>
        <w:t xml:space="preserve"> geldt.</w:t>
      </w:r>
      <w:r w:rsidRPr="00BF1FD0" w:rsidR="00EF52D0">
        <w:rPr>
          <w:rFonts w:ascii="Verdana" w:hAnsi="Verdana" w:eastAsia="Times New Roman" w:cs="Times New Roman"/>
          <w:sz w:val="18"/>
          <w:szCs w:val="18"/>
        </w:rPr>
        <w:t xml:space="preserve"> </w:t>
      </w:r>
      <w:r w:rsidRPr="00BF1FD0" w:rsidR="0093179F">
        <w:rPr>
          <w:rFonts w:ascii="Verdana" w:hAnsi="Verdana" w:eastAsia="Times New Roman" w:cs="Times New Roman"/>
          <w:sz w:val="18"/>
          <w:szCs w:val="18"/>
        </w:rPr>
        <w:t>Dit heeft betrekking op de aanbestedende diensten en speciale</w:t>
      </w:r>
      <w:r w:rsidR="005B5C55">
        <w:rPr>
          <w:rFonts w:ascii="Verdana" w:hAnsi="Verdana" w:eastAsia="Times New Roman" w:cs="Times New Roman"/>
          <w:sz w:val="18"/>
          <w:szCs w:val="18"/>
        </w:rPr>
        <w:t>-</w:t>
      </w:r>
      <w:r w:rsidRPr="00BF1FD0" w:rsidR="0093179F">
        <w:rPr>
          <w:rFonts w:ascii="Verdana" w:hAnsi="Verdana" w:eastAsia="Times New Roman" w:cs="Times New Roman"/>
          <w:sz w:val="18"/>
          <w:szCs w:val="18"/>
        </w:rPr>
        <w:t xml:space="preserve">sectorbedrijven die verplicht zijn om de </w:t>
      </w:r>
      <w:r w:rsidRPr="00BF1FD0" w:rsidR="003B2697">
        <w:rPr>
          <w:rFonts w:ascii="Verdana" w:hAnsi="Verdana" w:eastAsia="Times New Roman" w:cs="Times New Roman"/>
          <w:sz w:val="18"/>
          <w:szCs w:val="18"/>
        </w:rPr>
        <w:t>verplichtingen</w:t>
      </w:r>
      <w:r w:rsidRPr="00BF1FD0" w:rsidR="0093179F">
        <w:rPr>
          <w:rFonts w:ascii="Verdana" w:hAnsi="Verdana" w:eastAsia="Times New Roman" w:cs="Times New Roman"/>
          <w:sz w:val="18"/>
          <w:szCs w:val="18"/>
        </w:rPr>
        <w:t xml:space="preserve"> in acht te nemen bij hun aanbestedingen. </w:t>
      </w:r>
      <w:r w:rsidRPr="00BF1FD0" w:rsidR="003B2697">
        <w:rPr>
          <w:rFonts w:ascii="Verdana" w:hAnsi="Verdana" w:eastAsia="Times New Roman" w:cs="Times New Roman"/>
          <w:sz w:val="18"/>
          <w:szCs w:val="18"/>
        </w:rPr>
        <w:t>Voor het</w:t>
      </w:r>
      <w:r w:rsidR="00C56276">
        <w:rPr>
          <w:rFonts w:ascii="Verdana" w:hAnsi="Verdana" w:eastAsia="Times New Roman" w:cs="Times New Roman"/>
          <w:sz w:val="18"/>
          <w:szCs w:val="18"/>
        </w:rPr>
        <w:t xml:space="preserve"> nader criterium</w:t>
      </w:r>
      <w:r w:rsidRPr="00BF1FD0" w:rsidDel="00C56276" w:rsidR="003B2697">
        <w:rPr>
          <w:rFonts w:ascii="Verdana" w:hAnsi="Verdana" w:eastAsia="Times New Roman" w:cs="Times New Roman"/>
          <w:sz w:val="18"/>
          <w:szCs w:val="18"/>
        </w:rPr>
        <w:t xml:space="preserve"> </w:t>
      </w:r>
      <w:r w:rsidR="00043C84">
        <w:rPr>
          <w:rFonts w:ascii="Verdana" w:hAnsi="Verdana" w:eastAsia="Times New Roman" w:cs="Times New Roman"/>
          <w:sz w:val="18"/>
          <w:szCs w:val="18"/>
        </w:rPr>
        <w:t>met betrekking tot de</w:t>
      </w:r>
      <w:r w:rsidDel="00C56276" w:rsidR="00CB716E">
        <w:rPr>
          <w:rFonts w:ascii="Verdana" w:hAnsi="Verdana" w:eastAsia="Times New Roman" w:cs="Times New Roman"/>
          <w:sz w:val="18"/>
          <w:szCs w:val="18"/>
        </w:rPr>
        <w:t xml:space="preserve"> </w:t>
      </w:r>
      <w:r w:rsidR="00CB716E">
        <w:rPr>
          <w:rFonts w:ascii="Verdana" w:hAnsi="Verdana" w:eastAsia="Times New Roman" w:cs="Times New Roman"/>
          <w:sz w:val="18"/>
          <w:szCs w:val="18"/>
        </w:rPr>
        <w:t xml:space="preserve">milieuprestatie </w:t>
      </w:r>
      <w:r w:rsidR="00043C84">
        <w:rPr>
          <w:rFonts w:ascii="Verdana" w:hAnsi="Verdana" w:eastAsia="Times New Roman" w:cs="Times New Roman"/>
          <w:sz w:val="18"/>
          <w:szCs w:val="18"/>
        </w:rPr>
        <w:t>van GWW-werken</w:t>
      </w:r>
      <w:r w:rsidR="00CB716E">
        <w:rPr>
          <w:rFonts w:ascii="Verdana" w:hAnsi="Verdana" w:eastAsia="Times New Roman" w:cs="Times New Roman"/>
          <w:sz w:val="18"/>
          <w:szCs w:val="18"/>
        </w:rPr>
        <w:t xml:space="preserve"> </w:t>
      </w:r>
      <w:r w:rsidRPr="00BF1FD0" w:rsidR="0093179F">
        <w:rPr>
          <w:rFonts w:ascii="Verdana" w:hAnsi="Verdana" w:eastAsia="Times New Roman" w:cs="Times New Roman"/>
          <w:sz w:val="18"/>
          <w:szCs w:val="18"/>
        </w:rPr>
        <w:t>kan bijvoorbeeld een drempelwaarde voor het aantal medewerkers worden vastgelegd</w:t>
      </w:r>
      <w:r w:rsidRPr="00BF1FD0" w:rsidR="001311E8">
        <w:rPr>
          <w:rFonts w:ascii="Verdana" w:hAnsi="Verdana" w:eastAsia="Times New Roman" w:cs="Times New Roman"/>
          <w:sz w:val="18"/>
          <w:szCs w:val="18"/>
        </w:rPr>
        <w:t>, of voor het inkoopvolume,</w:t>
      </w:r>
      <w:r w:rsidRPr="00BF1FD0" w:rsidR="0093179F">
        <w:rPr>
          <w:rFonts w:ascii="Verdana" w:hAnsi="Verdana" w:eastAsia="Times New Roman" w:cs="Times New Roman"/>
          <w:sz w:val="18"/>
          <w:szCs w:val="18"/>
        </w:rPr>
        <w:t xml:space="preserve"> waarboven een aanbestedende dienst of speciale</w:t>
      </w:r>
      <w:r w:rsidR="005B5C55">
        <w:rPr>
          <w:rFonts w:ascii="Verdana" w:hAnsi="Verdana" w:eastAsia="Times New Roman" w:cs="Times New Roman"/>
          <w:sz w:val="18"/>
          <w:szCs w:val="18"/>
        </w:rPr>
        <w:t>-</w:t>
      </w:r>
      <w:r w:rsidRPr="00BF1FD0" w:rsidR="0093179F">
        <w:rPr>
          <w:rFonts w:ascii="Verdana" w:hAnsi="Verdana" w:eastAsia="Times New Roman" w:cs="Times New Roman"/>
          <w:sz w:val="18"/>
          <w:szCs w:val="18"/>
        </w:rPr>
        <w:t xml:space="preserve">sectorbedrijf verplicht is om </w:t>
      </w:r>
      <w:r w:rsidR="00E54192">
        <w:rPr>
          <w:rFonts w:ascii="Verdana" w:hAnsi="Verdana" w:eastAsia="Times New Roman" w:cs="Times New Roman"/>
          <w:sz w:val="18"/>
          <w:szCs w:val="18"/>
        </w:rPr>
        <w:t>het gunningscriterium</w:t>
      </w:r>
      <w:r w:rsidRPr="00BF1FD0" w:rsidR="0093179F">
        <w:rPr>
          <w:rFonts w:ascii="Verdana" w:hAnsi="Verdana" w:eastAsia="Times New Roman" w:cs="Times New Roman"/>
          <w:sz w:val="18"/>
          <w:szCs w:val="18"/>
        </w:rPr>
        <w:t xml:space="preserve"> toe te passen. </w:t>
      </w:r>
      <w:r w:rsidRPr="00BF1FD0" w:rsidR="003B2697">
        <w:rPr>
          <w:rFonts w:ascii="Verdana" w:hAnsi="Verdana" w:eastAsia="Times New Roman" w:cs="Times New Roman"/>
          <w:sz w:val="18"/>
          <w:szCs w:val="18"/>
        </w:rPr>
        <w:t xml:space="preserve">Voor de </w:t>
      </w:r>
      <w:r w:rsidRPr="00BF1FD0" w:rsidR="004F48FC">
        <w:rPr>
          <w:rFonts w:ascii="Verdana" w:hAnsi="Verdana" w:eastAsia="Times New Roman" w:cs="Times New Roman"/>
          <w:sz w:val="18"/>
          <w:szCs w:val="18"/>
        </w:rPr>
        <w:t>milieuprestatie</w:t>
      </w:r>
      <w:r w:rsidRPr="00BF1FD0" w:rsidR="003B2697">
        <w:rPr>
          <w:rFonts w:ascii="Verdana" w:hAnsi="Verdana" w:eastAsia="Times New Roman" w:cs="Times New Roman"/>
          <w:sz w:val="18"/>
          <w:szCs w:val="18"/>
        </w:rPr>
        <w:t xml:space="preserve">-eisen </w:t>
      </w:r>
      <w:r w:rsidRPr="00BF1FD0" w:rsidR="004F48FC">
        <w:rPr>
          <w:rFonts w:ascii="Verdana" w:hAnsi="Verdana" w:eastAsia="Times New Roman" w:cs="Times New Roman"/>
          <w:sz w:val="18"/>
          <w:szCs w:val="18"/>
        </w:rPr>
        <w:t xml:space="preserve">voor materialen of producten </w:t>
      </w:r>
      <w:r w:rsidRPr="00BF1FD0" w:rsidR="003B2697">
        <w:rPr>
          <w:rFonts w:ascii="Verdana" w:hAnsi="Verdana" w:eastAsia="Times New Roman" w:cs="Times New Roman"/>
          <w:sz w:val="18"/>
          <w:szCs w:val="18"/>
        </w:rPr>
        <w:t>kunnen bijvoorbeeld uitzonderingen gemaakt worden in nood</w:t>
      </w:r>
      <w:r w:rsidR="00F71B43">
        <w:rPr>
          <w:rFonts w:ascii="Verdana" w:hAnsi="Verdana" w:eastAsia="Times New Roman" w:cs="Times New Roman"/>
          <w:sz w:val="18"/>
          <w:szCs w:val="18"/>
        </w:rPr>
        <w:t>- en spoed</w:t>
      </w:r>
      <w:r w:rsidRPr="00BF1FD0" w:rsidR="003B2697">
        <w:rPr>
          <w:rFonts w:ascii="Verdana" w:hAnsi="Verdana" w:eastAsia="Times New Roman" w:cs="Times New Roman"/>
          <w:sz w:val="18"/>
          <w:szCs w:val="18"/>
        </w:rPr>
        <w:t>situaties</w:t>
      </w:r>
      <w:r w:rsidR="00F71B43">
        <w:rPr>
          <w:rFonts w:ascii="Verdana" w:hAnsi="Verdana" w:eastAsia="Times New Roman" w:cs="Times New Roman"/>
          <w:sz w:val="18"/>
          <w:szCs w:val="18"/>
        </w:rPr>
        <w:t xml:space="preserve"> of dat er maar één partij overblijft om de opdracht te volbrengen</w:t>
      </w:r>
      <w:r w:rsidRPr="00BF1FD0" w:rsidR="003B2697">
        <w:rPr>
          <w:rFonts w:ascii="Verdana" w:hAnsi="Verdana" w:eastAsia="Times New Roman" w:cs="Times New Roman"/>
          <w:sz w:val="18"/>
          <w:szCs w:val="18"/>
        </w:rPr>
        <w:t xml:space="preserve">. </w:t>
      </w:r>
      <w:r w:rsidRPr="00BF1FD0" w:rsidR="004F48FC">
        <w:rPr>
          <w:rFonts w:ascii="Verdana" w:hAnsi="Verdana" w:eastAsia="Times New Roman" w:cs="Times New Roman"/>
          <w:sz w:val="18"/>
          <w:szCs w:val="18"/>
        </w:rPr>
        <w:t>Een uitzondering kan ook gelden voor</w:t>
      </w:r>
      <w:r w:rsidRPr="00BF1FD0" w:rsidR="0093179F">
        <w:rPr>
          <w:rFonts w:ascii="Verdana" w:hAnsi="Verdana" w:eastAsia="Times New Roman" w:cs="Times New Roman"/>
          <w:sz w:val="18"/>
          <w:szCs w:val="18"/>
        </w:rPr>
        <w:t xml:space="preserve"> enkel een </w:t>
      </w:r>
      <w:r w:rsidRPr="00BF1FD0" w:rsidR="00264AE2">
        <w:rPr>
          <w:rFonts w:ascii="Verdana" w:hAnsi="Verdana" w:eastAsia="Times New Roman" w:cs="Times New Roman"/>
          <w:sz w:val="18"/>
          <w:szCs w:val="18"/>
        </w:rPr>
        <w:t xml:space="preserve">van de </w:t>
      </w:r>
      <w:r w:rsidRPr="00BF1FD0" w:rsidR="0093179F">
        <w:rPr>
          <w:rFonts w:ascii="Verdana" w:hAnsi="Verdana" w:eastAsia="Times New Roman" w:cs="Times New Roman"/>
          <w:sz w:val="18"/>
          <w:szCs w:val="18"/>
        </w:rPr>
        <w:t>in de Aanbestedingswet 2012 gedefinieerde activiteiten van een speciale</w:t>
      </w:r>
      <w:r w:rsidR="005B5C55">
        <w:rPr>
          <w:rFonts w:ascii="Verdana" w:hAnsi="Verdana" w:eastAsia="Times New Roman" w:cs="Times New Roman"/>
          <w:sz w:val="18"/>
          <w:szCs w:val="18"/>
        </w:rPr>
        <w:t>-</w:t>
      </w:r>
      <w:r w:rsidRPr="00BF1FD0" w:rsidR="0093179F">
        <w:rPr>
          <w:rFonts w:ascii="Verdana" w:hAnsi="Verdana" w:eastAsia="Times New Roman" w:cs="Times New Roman"/>
          <w:sz w:val="18"/>
          <w:szCs w:val="18"/>
        </w:rPr>
        <w:t>sectorbedrij</w:t>
      </w:r>
      <w:r w:rsidRPr="00BF1FD0" w:rsidR="00917B58">
        <w:rPr>
          <w:rFonts w:ascii="Verdana" w:hAnsi="Verdana" w:eastAsia="Times New Roman" w:cs="Times New Roman"/>
          <w:sz w:val="18"/>
          <w:szCs w:val="18"/>
        </w:rPr>
        <w:t>ven als bedoeld in de artikelen 3.1. tot en met 3.6</w:t>
      </w:r>
      <w:r w:rsidRPr="00BF1FD0" w:rsidR="0093179F">
        <w:rPr>
          <w:rFonts w:ascii="Verdana" w:hAnsi="Verdana" w:eastAsia="Times New Roman" w:cs="Times New Roman"/>
          <w:sz w:val="18"/>
          <w:szCs w:val="18"/>
        </w:rPr>
        <w:t xml:space="preserve">. </w:t>
      </w:r>
    </w:p>
    <w:p w:rsidRPr="00E43A50" w:rsidR="007D05EA" w:rsidP="00643E93" w:rsidRDefault="007D05EA" w14:paraId="27B10EAE" w14:textId="77777777">
      <w:pPr>
        <w:spacing w:after="0" w:line="276" w:lineRule="auto"/>
        <w:rPr>
          <w:rFonts w:ascii="Verdana" w:hAnsi="Verdana" w:eastAsia="Times New Roman" w:cs="Times New Roman"/>
          <w:sz w:val="18"/>
          <w:szCs w:val="18"/>
        </w:rPr>
      </w:pPr>
    </w:p>
    <w:p w:rsidR="004F0533" w:rsidP="00643E93" w:rsidRDefault="00917B58" w14:paraId="2563EC85" w14:textId="7FBF1586">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In een ministeriële rege</w:t>
      </w:r>
      <w:r w:rsidRPr="00E43A50" w:rsidR="007D05EA">
        <w:rPr>
          <w:rFonts w:ascii="Verdana" w:hAnsi="Verdana" w:eastAsia="Times New Roman" w:cs="Times New Roman"/>
          <w:sz w:val="18"/>
          <w:szCs w:val="18"/>
        </w:rPr>
        <w:t xml:space="preserve">ling worden enkele onderdelen van de amvb uitgewerkt. </w:t>
      </w:r>
      <w:r w:rsidRPr="00E43A50" w:rsidR="008030C7">
        <w:rPr>
          <w:rFonts w:ascii="Verdana" w:hAnsi="Verdana" w:eastAsia="Times New Roman" w:cs="Times New Roman"/>
          <w:sz w:val="18"/>
          <w:szCs w:val="18"/>
        </w:rPr>
        <w:t>I</w:t>
      </w:r>
      <w:r w:rsidRPr="00E43A50" w:rsidR="007D05EA">
        <w:rPr>
          <w:rFonts w:ascii="Verdana" w:hAnsi="Verdana" w:eastAsia="Times New Roman" w:cs="Times New Roman"/>
          <w:sz w:val="18"/>
          <w:szCs w:val="18"/>
        </w:rPr>
        <w:t xml:space="preserve">n geval van sturing met </w:t>
      </w:r>
      <w:r w:rsidRPr="00E43A50" w:rsidR="007D05EA">
        <w:rPr>
          <w:rFonts w:ascii="Verdana" w:hAnsi="Verdana" w:eastAsia="Times New Roman" w:cs="Times New Roman"/>
          <w:sz w:val="18"/>
          <w:szCs w:val="18"/>
          <w:lang w:eastAsia="nl-NL"/>
        </w:rPr>
        <w:t xml:space="preserve">de Milieukostenindicator </w:t>
      </w:r>
      <w:r w:rsidR="00043C84">
        <w:rPr>
          <w:rFonts w:ascii="Verdana" w:hAnsi="Verdana" w:eastAsia="Times New Roman" w:cs="Times New Roman"/>
          <w:sz w:val="18"/>
          <w:szCs w:val="18"/>
          <w:lang w:eastAsia="nl-NL"/>
        </w:rPr>
        <w:t>kan</w:t>
      </w:r>
      <w:r w:rsidRPr="00E43A50" w:rsidR="008030C7">
        <w:rPr>
          <w:rFonts w:ascii="Verdana" w:hAnsi="Verdana" w:eastAsia="Times New Roman" w:cs="Times New Roman"/>
          <w:sz w:val="18"/>
          <w:szCs w:val="18"/>
          <w:lang w:eastAsia="nl-NL"/>
        </w:rPr>
        <w:t xml:space="preserve"> </w:t>
      </w:r>
      <w:r w:rsidR="00D2432E">
        <w:rPr>
          <w:rFonts w:ascii="Verdana" w:hAnsi="Verdana" w:eastAsia="Times New Roman" w:cs="Times New Roman"/>
          <w:sz w:val="18"/>
          <w:szCs w:val="18"/>
          <w:lang w:eastAsia="nl-NL"/>
        </w:rPr>
        <w:t xml:space="preserve">in de ministeriële regeling </w:t>
      </w:r>
      <w:r w:rsidRPr="00E43A50" w:rsidR="008030C7">
        <w:rPr>
          <w:rFonts w:ascii="Verdana" w:hAnsi="Verdana" w:eastAsia="Times New Roman" w:cs="Times New Roman"/>
          <w:sz w:val="18"/>
          <w:szCs w:val="18"/>
          <w:lang w:eastAsia="nl-NL"/>
        </w:rPr>
        <w:t xml:space="preserve">bijvoorbeeld </w:t>
      </w:r>
      <w:r w:rsidRPr="00E43A50" w:rsidR="00A046ED">
        <w:rPr>
          <w:rFonts w:ascii="Verdana" w:hAnsi="Verdana" w:eastAsia="Times New Roman" w:cs="Times New Roman"/>
          <w:sz w:val="18"/>
          <w:szCs w:val="18"/>
        </w:rPr>
        <w:t>een</w:t>
      </w:r>
      <w:r w:rsidR="00522587">
        <w:rPr>
          <w:rFonts w:ascii="Verdana" w:hAnsi="Verdana" w:eastAsia="Times New Roman" w:cs="Times New Roman"/>
          <w:sz w:val="18"/>
          <w:szCs w:val="18"/>
        </w:rPr>
        <w:t xml:space="preserve"> (versie van de)</w:t>
      </w:r>
      <w:r w:rsidRPr="00E43A50" w:rsidR="007D05EA">
        <w:rPr>
          <w:rFonts w:ascii="Verdana" w:hAnsi="Verdana" w:eastAsia="Times New Roman" w:cs="Times New Roman"/>
          <w:sz w:val="18"/>
          <w:szCs w:val="18"/>
        </w:rPr>
        <w:t xml:space="preserve"> bepalingsmethode aangewezen</w:t>
      </w:r>
      <w:r w:rsidR="00522587">
        <w:rPr>
          <w:rFonts w:ascii="Verdana" w:hAnsi="Verdana" w:eastAsia="Times New Roman" w:cs="Times New Roman"/>
          <w:sz w:val="18"/>
          <w:szCs w:val="18"/>
        </w:rPr>
        <w:t>, evenals de maximale MKI prestatie-eisen voor de in de amvb aangewezen materialen</w:t>
      </w:r>
      <w:r w:rsidR="00EB1CF8">
        <w:rPr>
          <w:rFonts w:ascii="Verdana" w:hAnsi="Verdana" w:eastAsia="Times New Roman" w:cs="Times New Roman"/>
          <w:sz w:val="18"/>
          <w:szCs w:val="18"/>
        </w:rPr>
        <w:t>.</w:t>
      </w:r>
      <w:r w:rsidRPr="00E43A50" w:rsidR="007D05EA">
        <w:rPr>
          <w:rFonts w:ascii="Verdana" w:hAnsi="Verdana" w:eastAsia="Times New Roman" w:cs="Times New Roman"/>
          <w:sz w:val="18"/>
          <w:szCs w:val="18"/>
        </w:rPr>
        <w:t xml:space="preserve"> </w:t>
      </w:r>
      <w:r w:rsidRPr="00E43A50" w:rsidR="00A046ED">
        <w:rPr>
          <w:rFonts w:ascii="Verdana" w:hAnsi="Verdana" w:eastAsia="Times New Roman" w:cs="Times New Roman"/>
          <w:sz w:val="18"/>
          <w:szCs w:val="18"/>
        </w:rPr>
        <w:t xml:space="preserve">Met de voorgestelde indeling van de wet, de amvb en de ministeriële regeling wordt beoogd voldoende flexibiliteit te waarborgen om tijdig in te spelen op technische ontwikkelingen en </w:t>
      </w:r>
      <w:r w:rsidR="000672D7">
        <w:rPr>
          <w:rFonts w:ascii="Verdana" w:hAnsi="Verdana" w:eastAsia="Times New Roman" w:cs="Times New Roman"/>
          <w:sz w:val="18"/>
          <w:szCs w:val="18"/>
        </w:rPr>
        <w:t>innovaties</w:t>
      </w:r>
      <w:r w:rsidRPr="00E43A50" w:rsidR="00A046ED">
        <w:rPr>
          <w:rFonts w:ascii="Verdana" w:hAnsi="Verdana" w:eastAsia="Times New Roman" w:cs="Times New Roman"/>
          <w:sz w:val="18"/>
          <w:szCs w:val="18"/>
        </w:rPr>
        <w:t xml:space="preserve"> en de voortschrijdende inzichten op het gebied van duurzaam bouwen. </w:t>
      </w:r>
    </w:p>
    <w:p w:rsidR="00EE684C" w:rsidP="00643E93" w:rsidRDefault="00EE684C" w14:paraId="1238AC37" w14:textId="77777777">
      <w:pPr>
        <w:spacing w:after="0" w:line="276" w:lineRule="auto"/>
        <w:rPr>
          <w:rFonts w:ascii="Verdana" w:hAnsi="Verdana" w:eastAsia="Times New Roman" w:cs="Times New Roman"/>
          <w:sz w:val="18"/>
          <w:szCs w:val="18"/>
        </w:rPr>
      </w:pPr>
    </w:p>
    <w:p w:rsidRPr="00D944A9" w:rsidR="00EE684C" w:rsidP="00773EC1" w:rsidRDefault="00EE684C" w14:paraId="2C5D94E7" w14:textId="74C53D70">
      <w:pPr>
        <w:spacing w:after="0" w:line="276" w:lineRule="auto"/>
        <w:rPr>
          <w:rFonts w:ascii="Verdana" w:hAnsi="Verdana" w:eastAsia="Times New Roman" w:cs="Times New Roman"/>
          <w:sz w:val="18"/>
          <w:szCs w:val="18"/>
        </w:rPr>
      </w:pPr>
      <w:r w:rsidRPr="00773EC1">
        <w:rPr>
          <w:rFonts w:ascii="Verdana" w:hAnsi="Verdana"/>
          <w:sz w:val="18"/>
          <w:szCs w:val="18"/>
        </w:rPr>
        <w:t>De verplichtingen in het wetsvoorstel zijn zodanig vormgegeven dat landelijke uniformiteit wordt geborgd, terwijl ruimte voor maatwerk behouden blijft. De basisnormen die het kabinet minimaal noodzakelijk acht op het gebied van milieu en de methodiek worden eenduidig vastgelegd in amvb en ministeriële regeling, zodat opdrachtnemers niet steeds met verschillende uitgangspunten geconfronteerd worden. Tegelijkertijd behouden opdrachtgevers vrijheid om hogere ambities na te streven. Dat kan gaan om strengere milieuprestatie-eisen of om aanvullende eisen, bijvoorbeeld als het gaat om percentages recyclaat of biobased.</w:t>
      </w:r>
    </w:p>
    <w:p w:rsidRPr="00E43A50" w:rsidR="00CD07E7" w:rsidP="00643E93" w:rsidRDefault="00CD07E7" w14:paraId="2E11D5DC" w14:textId="77777777">
      <w:pPr>
        <w:spacing w:after="0" w:line="276" w:lineRule="auto"/>
        <w:rPr>
          <w:rFonts w:ascii="Verdana" w:hAnsi="Verdana" w:eastAsia="Times New Roman" w:cs="Times New Roman"/>
          <w:i/>
          <w:iCs/>
          <w:sz w:val="18"/>
          <w:szCs w:val="18"/>
          <w:lang w:eastAsia="nl-NL"/>
        </w:rPr>
      </w:pPr>
    </w:p>
    <w:p w:rsidRPr="004F48FC" w:rsidR="002822F2" w:rsidP="00643E93" w:rsidRDefault="007F76BF" w14:paraId="25867446" w14:textId="72655A61">
      <w:pPr>
        <w:spacing w:after="0" w:line="276" w:lineRule="auto"/>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M</w:t>
      </w:r>
      <w:r w:rsidRPr="004F48FC" w:rsidR="002822F2">
        <w:rPr>
          <w:rFonts w:ascii="Verdana" w:hAnsi="Verdana" w:eastAsia="Times New Roman" w:cs="Times New Roman"/>
          <w:sz w:val="18"/>
          <w:szCs w:val="18"/>
          <w:u w:val="single"/>
          <w:lang w:eastAsia="nl-NL"/>
        </w:rPr>
        <w:t>ilieuprestatie-eisen voor de meest impactvolle materialen in de GWW</w:t>
      </w:r>
    </w:p>
    <w:p w:rsidRPr="00E43A50" w:rsidR="00CD07E7" w:rsidP="00643E93" w:rsidRDefault="009F2EA8" w14:paraId="4A4DE2AF" w14:textId="0723674C">
      <w:pPr>
        <w:spacing w:after="0" w:line="276" w:lineRule="auto"/>
        <w:rPr>
          <w:rFonts w:ascii="Verdana" w:hAnsi="Verdana" w:eastAsia="Times New Roman" w:cs="Times New Roman"/>
          <w:bCs/>
          <w:sz w:val="18"/>
          <w:szCs w:val="18"/>
          <w:lang w:eastAsia="nl-NL"/>
        </w:rPr>
      </w:pPr>
      <w:r w:rsidRPr="00E43A50">
        <w:rPr>
          <w:rFonts w:ascii="Verdana" w:hAnsi="Verdana" w:eastAsia="Times New Roman" w:cs="Times New Roman"/>
          <w:sz w:val="18"/>
          <w:szCs w:val="18"/>
        </w:rPr>
        <w:t xml:space="preserve"> </w:t>
      </w:r>
    </w:p>
    <w:p w:rsidRPr="00D944A9" w:rsidR="002822F2" w:rsidP="00D944A9" w:rsidRDefault="002822F2" w14:paraId="322758CE" w14:textId="31D06E29">
      <w:pPr>
        <w:spacing w:after="0" w:line="276" w:lineRule="auto"/>
        <w:rPr>
          <w:rFonts w:ascii="Verdana" w:hAnsi="Verdana" w:eastAsia="Times New Roman" w:cs="Times New Roman"/>
          <w:sz w:val="18"/>
          <w:szCs w:val="18"/>
          <w:lang w:eastAsia="nl-NL"/>
        </w:rPr>
      </w:pPr>
      <w:r w:rsidRPr="00E43A50">
        <w:rPr>
          <w:rFonts w:ascii="Verdana" w:hAnsi="Verdana" w:eastAsia="Times New Roman" w:cs="Times New Roman"/>
          <w:bCs/>
          <w:sz w:val="18"/>
          <w:szCs w:val="18"/>
          <w:lang w:eastAsia="nl-NL"/>
        </w:rPr>
        <w:t xml:space="preserve">Het introduceren van een milieuprestatie-eis op </w:t>
      </w:r>
      <w:r w:rsidRPr="00E43A50" w:rsidR="009F2EA8">
        <w:rPr>
          <w:rFonts w:ascii="Verdana" w:hAnsi="Verdana" w:eastAsia="Times New Roman" w:cs="Times New Roman"/>
          <w:bCs/>
          <w:sz w:val="18"/>
          <w:szCs w:val="18"/>
          <w:lang w:eastAsia="nl-NL"/>
        </w:rPr>
        <w:t>product</w:t>
      </w:r>
      <w:r w:rsidRPr="00E43A50">
        <w:rPr>
          <w:rFonts w:ascii="Verdana" w:hAnsi="Verdana" w:eastAsia="Times New Roman" w:cs="Times New Roman"/>
          <w:bCs/>
          <w:sz w:val="18"/>
          <w:szCs w:val="18"/>
          <w:lang w:eastAsia="nl-NL"/>
        </w:rPr>
        <w:t>niveau via aanbestedingen</w:t>
      </w:r>
      <w:r w:rsidRPr="00E43A50" w:rsidR="009F2EA8">
        <w:rPr>
          <w:rFonts w:ascii="Verdana" w:hAnsi="Verdana" w:eastAsia="Times New Roman" w:cs="Times New Roman"/>
          <w:bCs/>
          <w:sz w:val="18"/>
          <w:szCs w:val="18"/>
          <w:lang w:eastAsia="nl-NL"/>
        </w:rPr>
        <w:t xml:space="preserve"> van GWW-werken</w:t>
      </w:r>
      <w:r w:rsidRPr="00E43A50">
        <w:rPr>
          <w:rFonts w:ascii="Verdana" w:hAnsi="Verdana" w:eastAsia="Times New Roman" w:cs="Times New Roman"/>
          <w:bCs/>
          <w:sz w:val="18"/>
          <w:szCs w:val="18"/>
          <w:lang w:eastAsia="nl-NL"/>
        </w:rPr>
        <w:t xml:space="preserve"> betekent dat alle </w:t>
      </w:r>
      <w:r w:rsidR="00335F81">
        <w:rPr>
          <w:rFonts w:ascii="Verdana" w:hAnsi="Verdana" w:eastAsia="Times New Roman" w:cs="Times New Roman"/>
          <w:bCs/>
          <w:sz w:val="18"/>
          <w:szCs w:val="18"/>
          <w:lang w:eastAsia="nl-NL"/>
        </w:rPr>
        <w:t xml:space="preserve">materialen </w:t>
      </w:r>
      <w:r w:rsidR="00C8684C">
        <w:rPr>
          <w:rFonts w:ascii="Verdana" w:hAnsi="Verdana" w:eastAsia="Times New Roman" w:cs="Times New Roman"/>
          <w:bCs/>
          <w:sz w:val="18"/>
          <w:szCs w:val="18"/>
          <w:lang w:eastAsia="nl-NL"/>
        </w:rPr>
        <w:t xml:space="preserve">en </w:t>
      </w:r>
      <w:r w:rsidRPr="00E43A50" w:rsidR="00335F81">
        <w:rPr>
          <w:rFonts w:ascii="Verdana" w:hAnsi="Verdana" w:eastAsia="Times New Roman" w:cs="Times New Roman"/>
          <w:bCs/>
          <w:sz w:val="18"/>
          <w:szCs w:val="18"/>
          <w:lang w:eastAsia="nl-NL"/>
        </w:rPr>
        <w:t xml:space="preserve">producten </w:t>
      </w:r>
      <w:r w:rsidRPr="00E43A50" w:rsidR="009F2EA8">
        <w:rPr>
          <w:rFonts w:ascii="Verdana" w:hAnsi="Verdana" w:eastAsia="Times New Roman" w:cs="Times New Roman"/>
          <w:bCs/>
          <w:sz w:val="18"/>
          <w:szCs w:val="18"/>
          <w:lang w:eastAsia="nl-NL"/>
        </w:rPr>
        <w:t xml:space="preserve">die </w:t>
      </w:r>
      <w:r w:rsidR="00335F81">
        <w:rPr>
          <w:rFonts w:ascii="Verdana" w:hAnsi="Verdana" w:eastAsia="Times New Roman" w:cs="Times New Roman"/>
          <w:bCs/>
          <w:sz w:val="18"/>
          <w:szCs w:val="18"/>
          <w:lang w:eastAsia="nl-NL"/>
        </w:rPr>
        <w:t>onder</w:t>
      </w:r>
      <w:r w:rsidRPr="00E43A50" w:rsidR="00335F81">
        <w:rPr>
          <w:rFonts w:ascii="Verdana" w:hAnsi="Verdana" w:eastAsia="Times New Roman" w:cs="Times New Roman"/>
          <w:bCs/>
          <w:sz w:val="18"/>
          <w:szCs w:val="18"/>
          <w:lang w:eastAsia="nl-NL"/>
        </w:rPr>
        <w:t xml:space="preserve"> </w:t>
      </w:r>
      <w:r w:rsidRPr="00E43A50" w:rsidR="009F2EA8">
        <w:rPr>
          <w:rFonts w:ascii="Verdana" w:hAnsi="Verdana" w:eastAsia="Times New Roman" w:cs="Times New Roman"/>
          <w:bCs/>
          <w:sz w:val="18"/>
          <w:szCs w:val="18"/>
          <w:lang w:eastAsia="nl-NL"/>
        </w:rPr>
        <w:t xml:space="preserve">dit wetsvoorstel </w:t>
      </w:r>
      <w:r w:rsidR="004B5706">
        <w:rPr>
          <w:rFonts w:ascii="Verdana" w:hAnsi="Verdana" w:eastAsia="Times New Roman" w:cs="Times New Roman"/>
          <w:bCs/>
          <w:sz w:val="18"/>
          <w:szCs w:val="18"/>
          <w:lang w:eastAsia="nl-NL"/>
        </w:rPr>
        <w:t xml:space="preserve">vallen </w:t>
      </w:r>
      <w:r w:rsidRPr="00E43A50">
        <w:rPr>
          <w:rFonts w:ascii="Verdana" w:hAnsi="Verdana" w:eastAsia="Times New Roman" w:cs="Times New Roman"/>
          <w:bCs/>
          <w:sz w:val="18"/>
          <w:szCs w:val="18"/>
          <w:lang w:eastAsia="nl-NL"/>
        </w:rPr>
        <w:t>aan deze eisen moeten voldoen</w:t>
      </w:r>
      <w:r w:rsidRPr="00E43A50" w:rsidR="009F2EA8">
        <w:rPr>
          <w:rFonts w:ascii="Verdana" w:hAnsi="Verdana" w:eastAsia="Times New Roman" w:cs="Times New Roman"/>
          <w:bCs/>
          <w:sz w:val="18"/>
          <w:szCs w:val="18"/>
          <w:lang w:eastAsia="nl-NL"/>
        </w:rPr>
        <w:t xml:space="preserve"> indien deze binnen het betreffende GWW-werk word</w:t>
      </w:r>
      <w:r w:rsidR="00C8684C">
        <w:rPr>
          <w:rFonts w:ascii="Verdana" w:hAnsi="Verdana" w:eastAsia="Times New Roman" w:cs="Times New Roman"/>
          <w:bCs/>
          <w:sz w:val="18"/>
          <w:szCs w:val="18"/>
          <w:lang w:eastAsia="nl-NL"/>
        </w:rPr>
        <w:t>en</w:t>
      </w:r>
      <w:r w:rsidRPr="00E43A50" w:rsidR="009F2EA8">
        <w:rPr>
          <w:rFonts w:ascii="Verdana" w:hAnsi="Verdana" w:eastAsia="Times New Roman" w:cs="Times New Roman"/>
          <w:bCs/>
          <w:sz w:val="18"/>
          <w:szCs w:val="18"/>
          <w:lang w:eastAsia="nl-NL"/>
        </w:rPr>
        <w:t xml:space="preserve"> toegepast</w:t>
      </w:r>
      <w:r w:rsidRPr="00E43A50">
        <w:rPr>
          <w:rFonts w:ascii="Verdana" w:hAnsi="Verdana" w:eastAsia="Times New Roman" w:cs="Times New Roman"/>
          <w:bCs/>
          <w:sz w:val="18"/>
          <w:szCs w:val="18"/>
          <w:lang w:eastAsia="nl-NL"/>
        </w:rPr>
        <w:t xml:space="preserve">. Het stellen van deze eisen heeft twee doelen: allereerst om de minst goed presterende materialen van de markt te weren, en daarnaast om producenten zekerheid te geven voor investeringsbeslissingen ten behoeve van verduurzaming. </w:t>
      </w:r>
    </w:p>
    <w:p w:rsidRPr="00E43A50" w:rsidR="00FD5F41" w:rsidP="00643E93" w:rsidRDefault="00FD5F41" w14:paraId="4277082E" w14:textId="77777777">
      <w:pPr>
        <w:spacing w:after="0" w:line="276" w:lineRule="auto"/>
        <w:rPr>
          <w:rFonts w:ascii="Verdana" w:hAnsi="Verdana" w:eastAsia="Times New Roman" w:cs="Times New Roman"/>
          <w:bCs/>
          <w:sz w:val="18"/>
          <w:szCs w:val="18"/>
          <w:lang w:eastAsia="nl-NL"/>
        </w:rPr>
      </w:pPr>
    </w:p>
    <w:p w:rsidRPr="00E43A50" w:rsidR="00CD07E7" w:rsidP="00643E93" w:rsidRDefault="002822F2" w14:paraId="049A0D57" w14:textId="2670B937">
      <w:pPr>
        <w:spacing w:after="0" w:line="276" w:lineRule="auto"/>
        <w:rPr>
          <w:rFonts w:ascii="Verdana" w:hAnsi="Verdana" w:eastAsia="Times New Roman" w:cs="Times New Roman"/>
          <w:sz w:val="18"/>
          <w:szCs w:val="18"/>
          <w:lang w:eastAsia="nl-NL"/>
        </w:rPr>
      </w:pPr>
      <w:r w:rsidRPr="00E43A50">
        <w:rPr>
          <w:rFonts w:ascii="Verdana" w:hAnsi="Verdana" w:eastAsia="Times New Roman" w:cs="Times New Roman"/>
          <w:sz w:val="18"/>
          <w:szCs w:val="18"/>
          <w:lang w:eastAsia="nl-NL"/>
        </w:rPr>
        <w:t>De keuze voor</w:t>
      </w:r>
      <w:r w:rsidRPr="00E43A50" w:rsidR="009A51B3">
        <w:rPr>
          <w:rFonts w:ascii="Verdana" w:hAnsi="Verdana" w:eastAsia="Times New Roman" w:cs="Times New Roman"/>
          <w:sz w:val="18"/>
          <w:szCs w:val="18"/>
          <w:lang w:eastAsia="nl-NL"/>
        </w:rPr>
        <w:t xml:space="preserve"> de</w:t>
      </w:r>
      <w:r w:rsidRPr="00E43A50">
        <w:rPr>
          <w:rFonts w:ascii="Verdana" w:hAnsi="Verdana" w:eastAsia="Times New Roman" w:cs="Times New Roman"/>
          <w:sz w:val="18"/>
          <w:szCs w:val="18"/>
          <w:lang w:eastAsia="nl-NL"/>
        </w:rPr>
        <w:t xml:space="preserve"> </w:t>
      </w:r>
      <w:r w:rsidRPr="00E43A50" w:rsidR="005A0525">
        <w:rPr>
          <w:rFonts w:ascii="Verdana" w:hAnsi="Verdana" w:eastAsia="Times New Roman" w:cs="Times New Roman"/>
          <w:sz w:val="18"/>
          <w:szCs w:val="18"/>
          <w:lang w:eastAsia="nl-NL"/>
        </w:rPr>
        <w:t>producten</w:t>
      </w:r>
      <w:r w:rsidRPr="00E43A50">
        <w:rPr>
          <w:rFonts w:ascii="Verdana" w:hAnsi="Verdana" w:eastAsia="Times New Roman" w:cs="Times New Roman"/>
          <w:sz w:val="18"/>
          <w:szCs w:val="18"/>
          <w:lang w:eastAsia="nl-NL"/>
        </w:rPr>
        <w:t xml:space="preserve"> die word</w:t>
      </w:r>
      <w:r w:rsidRPr="00E43A50" w:rsidR="009A51B3">
        <w:rPr>
          <w:rFonts w:ascii="Verdana" w:hAnsi="Verdana" w:eastAsia="Times New Roman" w:cs="Times New Roman"/>
          <w:sz w:val="18"/>
          <w:szCs w:val="18"/>
          <w:lang w:eastAsia="nl-NL"/>
        </w:rPr>
        <w:t>en</w:t>
      </w:r>
      <w:r w:rsidRPr="00E43A50">
        <w:rPr>
          <w:rFonts w:ascii="Verdana" w:hAnsi="Verdana" w:eastAsia="Times New Roman" w:cs="Times New Roman"/>
          <w:sz w:val="18"/>
          <w:szCs w:val="18"/>
          <w:lang w:eastAsia="nl-NL"/>
        </w:rPr>
        <w:t xml:space="preserve"> vastgesteld bij amvb kom</w:t>
      </w:r>
      <w:r w:rsidRPr="00E43A50" w:rsidR="009A51B3">
        <w:rPr>
          <w:rFonts w:ascii="Verdana" w:hAnsi="Verdana" w:eastAsia="Times New Roman" w:cs="Times New Roman"/>
          <w:sz w:val="18"/>
          <w:szCs w:val="18"/>
          <w:lang w:eastAsia="nl-NL"/>
        </w:rPr>
        <w:t>en</w:t>
      </w:r>
      <w:r w:rsidRPr="00E43A50">
        <w:rPr>
          <w:rFonts w:ascii="Verdana" w:hAnsi="Verdana" w:eastAsia="Times New Roman" w:cs="Times New Roman"/>
          <w:sz w:val="18"/>
          <w:szCs w:val="18"/>
          <w:lang w:eastAsia="nl-NL"/>
        </w:rPr>
        <w:t xml:space="preserve"> voort uit </w:t>
      </w:r>
      <w:r w:rsidRPr="00E43A50" w:rsidR="009A51B3">
        <w:rPr>
          <w:rFonts w:ascii="Verdana" w:hAnsi="Verdana" w:eastAsia="Times New Roman" w:cs="Times New Roman"/>
          <w:sz w:val="18"/>
          <w:szCs w:val="18"/>
          <w:lang w:eastAsia="nl-NL"/>
        </w:rPr>
        <w:t>de</w:t>
      </w:r>
      <w:r w:rsidRPr="00E43A50">
        <w:rPr>
          <w:rFonts w:ascii="Verdana" w:hAnsi="Verdana" w:eastAsia="Times New Roman" w:cs="Times New Roman"/>
          <w:sz w:val="18"/>
          <w:szCs w:val="18"/>
          <w:lang w:eastAsia="nl-NL"/>
        </w:rPr>
        <w:t xml:space="preserve"> grote </w:t>
      </w:r>
      <w:r w:rsidRPr="00E43A50" w:rsidR="0049687A">
        <w:rPr>
          <w:rFonts w:ascii="Verdana" w:hAnsi="Verdana" w:eastAsia="Times New Roman" w:cs="Times New Roman"/>
          <w:sz w:val="18"/>
          <w:szCs w:val="18"/>
          <w:lang w:eastAsia="nl-NL"/>
        </w:rPr>
        <w:t>milieu-</w:t>
      </w:r>
      <w:r w:rsidRPr="00E43A50">
        <w:rPr>
          <w:rFonts w:ascii="Verdana" w:hAnsi="Verdana" w:eastAsia="Times New Roman" w:cs="Times New Roman"/>
          <w:sz w:val="18"/>
          <w:szCs w:val="18"/>
          <w:lang w:eastAsia="nl-NL"/>
        </w:rPr>
        <w:t xml:space="preserve">impact </w:t>
      </w:r>
      <w:r w:rsidRPr="00E43A50" w:rsidR="009A51B3">
        <w:rPr>
          <w:rFonts w:ascii="Verdana" w:hAnsi="Verdana" w:eastAsia="Times New Roman" w:cs="Times New Roman"/>
          <w:sz w:val="18"/>
          <w:szCs w:val="18"/>
          <w:lang w:eastAsia="nl-NL"/>
        </w:rPr>
        <w:t xml:space="preserve">die zij hebben </w:t>
      </w:r>
      <w:r w:rsidRPr="00E43A50">
        <w:rPr>
          <w:rFonts w:ascii="Verdana" w:hAnsi="Verdana" w:eastAsia="Times New Roman" w:cs="Times New Roman"/>
          <w:sz w:val="18"/>
          <w:szCs w:val="18"/>
          <w:lang w:eastAsia="nl-NL"/>
        </w:rPr>
        <w:t xml:space="preserve">binnen de GWW. </w:t>
      </w:r>
      <w:r w:rsidRPr="00E43A50" w:rsidR="009F2EA8">
        <w:rPr>
          <w:rFonts w:ascii="Verdana" w:hAnsi="Verdana" w:eastAsia="Times New Roman" w:cs="Times New Roman"/>
          <w:sz w:val="18"/>
          <w:szCs w:val="18"/>
        </w:rPr>
        <w:t>Uit onderzoek blijkt dat de</w:t>
      </w:r>
      <w:r w:rsidRPr="00E43A50" w:rsidR="00FD5F41">
        <w:rPr>
          <w:rFonts w:ascii="Verdana" w:hAnsi="Verdana" w:eastAsia="Times New Roman" w:cs="Times New Roman"/>
          <w:sz w:val="18"/>
          <w:szCs w:val="18"/>
        </w:rPr>
        <w:t xml:space="preserve"> dominante </w:t>
      </w:r>
      <w:r w:rsidRPr="00E43A50" w:rsidR="005A0525">
        <w:rPr>
          <w:rFonts w:ascii="Verdana" w:hAnsi="Verdana" w:eastAsia="Times New Roman" w:cs="Times New Roman"/>
          <w:sz w:val="18"/>
          <w:szCs w:val="18"/>
        </w:rPr>
        <w:t>product</w:t>
      </w:r>
      <w:r w:rsidRPr="00E43A50" w:rsidR="00FD5F41">
        <w:rPr>
          <w:rFonts w:ascii="Verdana" w:hAnsi="Verdana" w:eastAsia="Times New Roman" w:cs="Times New Roman"/>
          <w:sz w:val="18"/>
          <w:szCs w:val="18"/>
        </w:rPr>
        <w:t>stromen in de GWW asfalt, staal en beton</w:t>
      </w:r>
      <w:r w:rsidRPr="00E43A50" w:rsidR="009F2EA8">
        <w:rPr>
          <w:rFonts w:ascii="Verdana" w:hAnsi="Verdana" w:eastAsia="Times New Roman" w:cs="Times New Roman"/>
          <w:sz w:val="18"/>
          <w:szCs w:val="18"/>
        </w:rPr>
        <w:t xml:space="preserve"> zijn</w:t>
      </w:r>
      <w:r w:rsidRPr="00E43A50" w:rsidR="00FD5F41">
        <w:rPr>
          <w:rFonts w:ascii="Verdana" w:hAnsi="Verdana" w:eastAsia="Times New Roman" w:cs="Times New Roman"/>
          <w:sz w:val="18"/>
          <w:szCs w:val="18"/>
        </w:rPr>
        <w:t>.</w:t>
      </w:r>
      <w:r w:rsidRPr="00E43A50" w:rsidR="009F2EA8">
        <w:rPr>
          <w:rStyle w:val="Voetnootmarkering"/>
          <w:rFonts w:ascii="Verdana" w:hAnsi="Verdana" w:eastAsia="Times New Roman" w:cs="Times New Roman"/>
          <w:sz w:val="18"/>
          <w:szCs w:val="18"/>
        </w:rPr>
        <w:footnoteReference w:id="19"/>
      </w:r>
      <w:r w:rsidRPr="00E43A50" w:rsidR="00FD5F41">
        <w:rPr>
          <w:rFonts w:ascii="Verdana" w:hAnsi="Verdana" w:eastAsia="Times New Roman" w:cs="Times New Roman"/>
          <w:sz w:val="18"/>
          <w:szCs w:val="18"/>
        </w:rPr>
        <w:t xml:space="preserve"> Op basis van een extrapolatie is de inschatting dat beton, staal en asfalt samen zo’n 69 procent van de milieu-impact in de GWW-sector omvatten.</w:t>
      </w:r>
      <w:r w:rsidRPr="00E43A50" w:rsidR="00FD5F41">
        <w:rPr>
          <w:rFonts w:ascii="Verdana" w:hAnsi="Verdana" w:eastAsia="Times New Roman" w:cs="Times New Roman"/>
          <w:sz w:val="18"/>
          <w:szCs w:val="18"/>
          <w:vertAlign w:val="superscript"/>
        </w:rPr>
        <w:footnoteReference w:id="20"/>
      </w:r>
      <w:r w:rsidRPr="00E43A50" w:rsidR="00FD5F41">
        <w:rPr>
          <w:rFonts w:ascii="Verdana" w:hAnsi="Verdana" w:eastAsia="Times New Roman" w:cs="Times New Roman"/>
          <w:sz w:val="18"/>
          <w:szCs w:val="18"/>
        </w:rPr>
        <w:t xml:space="preserve"> Hiermee is het effectief om </w:t>
      </w:r>
      <w:r w:rsidRPr="00E43A50" w:rsidR="000465A7">
        <w:rPr>
          <w:rFonts w:ascii="Verdana" w:hAnsi="Verdana" w:eastAsia="Times New Roman" w:cs="Times New Roman"/>
          <w:sz w:val="18"/>
          <w:szCs w:val="18"/>
        </w:rPr>
        <w:t xml:space="preserve">in ieder geval </w:t>
      </w:r>
      <w:r w:rsidRPr="00E43A50" w:rsidR="00FD5F41">
        <w:rPr>
          <w:rFonts w:ascii="Verdana" w:hAnsi="Verdana" w:eastAsia="Times New Roman" w:cs="Times New Roman"/>
          <w:sz w:val="18"/>
          <w:szCs w:val="18"/>
        </w:rPr>
        <w:t>op de milieu-</w:t>
      </w:r>
      <w:r w:rsidRPr="00E43A50" w:rsidR="00FD5F41">
        <w:rPr>
          <w:rFonts w:ascii="Verdana" w:hAnsi="Verdana" w:eastAsia="Times New Roman" w:cs="Times New Roman"/>
          <w:sz w:val="18"/>
          <w:szCs w:val="18"/>
        </w:rPr>
        <w:lastRenderedPageBreak/>
        <w:t xml:space="preserve">impact van deze </w:t>
      </w:r>
      <w:r w:rsidRPr="00E43A50" w:rsidR="005A0525">
        <w:rPr>
          <w:rFonts w:ascii="Verdana" w:hAnsi="Verdana" w:eastAsia="Times New Roman" w:cs="Times New Roman"/>
          <w:sz w:val="18"/>
          <w:szCs w:val="18"/>
        </w:rPr>
        <w:t>product</w:t>
      </w:r>
      <w:r w:rsidRPr="00E43A50" w:rsidR="00FD5F41">
        <w:rPr>
          <w:rFonts w:ascii="Verdana" w:hAnsi="Verdana" w:eastAsia="Times New Roman" w:cs="Times New Roman"/>
          <w:sz w:val="18"/>
          <w:szCs w:val="18"/>
        </w:rPr>
        <w:t xml:space="preserve">stromen te gaan sturen. </w:t>
      </w:r>
      <w:r w:rsidRPr="00E43A50">
        <w:rPr>
          <w:rFonts w:ascii="Verdana" w:hAnsi="Verdana" w:eastAsia="Times New Roman" w:cs="Times New Roman"/>
          <w:sz w:val="18"/>
          <w:szCs w:val="18"/>
          <w:lang w:eastAsia="nl-NL"/>
        </w:rPr>
        <w:t xml:space="preserve">Een aanvullend argument om te kiezen voor de meest impactvolle </w:t>
      </w:r>
      <w:r w:rsidRPr="00E43A50" w:rsidR="005A0525">
        <w:rPr>
          <w:rFonts w:ascii="Verdana" w:hAnsi="Verdana" w:eastAsia="Times New Roman" w:cs="Times New Roman"/>
          <w:sz w:val="18"/>
          <w:szCs w:val="18"/>
          <w:lang w:eastAsia="nl-NL"/>
        </w:rPr>
        <w:t>producten</w:t>
      </w:r>
      <w:r w:rsidRPr="00E43A50">
        <w:rPr>
          <w:rFonts w:ascii="Verdana" w:hAnsi="Verdana" w:eastAsia="Times New Roman" w:cs="Times New Roman"/>
          <w:sz w:val="18"/>
          <w:szCs w:val="18"/>
          <w:lang w:eastAsia="nl-NL"/>
        </w:rPr>
        <w:t xml:space="preserve"> is dat hier al initiatieven op lopen. Voor sommige </w:t>
      </w:r>
      <w:r w:rsidRPr="00E43A50" w:rsidR="005A0525">
        <w:rPr>
          <w:rFonts w:ascii="Verdana" w:hAnsi="Verdana" w:eastAsia="Times New Roman" w:cs="Times New Roman"/>
          <w:sz w:val="18"/>
          <w:szCs w:val="18"/>
          <w:lang w:eastAsia="nl-NL"/>
        </w:rPr>
        <w:t>producten</w:t>
      </w:r>
      <w:r w:rsidRPr="00E43A50">
        <w:rPr>
          <w:rFonts w:ascii="Verdana" w:hAnsi="Verdana" w:eastAsia="Times New Roman" w:cs="Times New Roman"/>
          <w:sz w:val="18"/>
          <w:szCs w:val="18"/>
          <w:lang w:eastAsia="nl-NL"/>
        </w:rPr>
        <w:t xml:space="preserve"> zijn reeds gewenste milieuprestatie-eisen op vrijwillige basis vastgelegd door een deel van de sector. </w:t>
      </w:r>
      <w:r w:rsidRPr="00E43A50" w:rsidR="00CD07E7">
        <w:rPr>
          <w:rFonts w:ascii="Verdana" w:hAnsi="Verdana" w:eastAsia="Times New Roman" w:cs="Times New Roman"/>
          <w:sz w:val="18"/>
          <w:szCs w:val="18"/>
        </w:rPr>
        <w:t xml:space="preserve">Omdat het mogelijk is dat er in de toekomst op andere </w:t>
      </w:r>
      <w:r w:rsidRPr="00E43A50" w:rsidR="005A0525">
        <w:rPr>
          <w:rFonts w:ascii="Verdana" w:hAnsi="Verdana" w:eastAsia="Times New Roman" w:cs="Times New Roman"/>
          <w:sz w:val="18"/>
          <w:szCs w:val="18"/>
        </w:rPr>
        <w:t>producten</w:t>
      </w:r>
      <w:r w:rsidRPr="00E43A50" w:rsidR="00CD07E7">
        <w:rPr>
          <w:rFonts w:ascii="Verdana" w:hAnsi="Verdana" w:eastAsia="Times New Roman" w:cs="Times New Roman"/>
          <w:sz w:val="18"/>
          <w:szCs w:val="18"/>
        </w:rPr>
        <w:t xml:space="preserve"> (bijvoorbeeld gebakken klinkers) </w:t>
      </w:r>
      <w:r w:rsidRPr="00E43A50" w:rsidR="008030C7">
        <w:rPr>
          <w:rFonts w:ascii="Verdana" w:hAnsi="Verdana" w:eastAsia="Times New Roman" w:cs="Times New Roman"/>
          <w:sz w:val="18"/>
          <w:szCs w:val="18"/>
        </w:rPr>
        <w:t>dominanter worden</w:t>
      </w:r>
      <w:r w:rsidRPr="00E43A50" w:rsidR="00CD07E7">
        <w:rPr>
          <w:rFonts w:ascii="Verdana" w:hAnsi="Verdana" w:eastAsia="Times New Roman" w:cs="Times New Roman"/>
          <w:sz w:val="18"/>
          <w:szCs w:val="18"/>
        </w:rPr>
        <w:t xml:space="preserve">, is gekozen om de </w:t>
      </w:r>
      <w:r w:rsidRPr="00E43A50" w:rsidR="005A0525">
        <w:rPr>
          <w:rFonts w:ascii="Verdana" w:hAnsi="Verdana" w:eastAsia="Times New Roman" w:cs="Times New Roman"/>
          <w:sz w:val="18"/>
          <w:szCs w:val="18"/>
        </w:rPr>
        <w:t>product</w:t>
      </w:r>
      <w:r w:rsidRPr="00E43A50" w:rsidR="00CD07E7">
        <w:rPr>
          <w:rFonts w:ascii="Verdana" w:hAnsi="Verdana" w:eastAsia="Times New Roman" w:cs="Times New Roman"/>
          <w:sz w:val="18"/>
          <w:szCs w:val="18"/>
        </w:rPr>
        <w:t xml:space="preserve">stromen op het niveau van een </w:t>
      </w:r>
      <w:r w:rsidRPr="00E43A50" w:rsidR="00D9004F">
        <w:rPr>
          <w:rFonts w:ascii="Verdana" w:hAnsi="Verdana" w:eastAsia="Times New Roman" w:cs="Times New Roman"/>
          <w:sz w:val="18"/>
          <w:szCs w:val="18"/>
        </w:rPr>
        <w:t>amvb</w:t>
      </w:r>
      <w:r w:rsidRPr="00E43A50" w:rsidR="00CD07E7">
        <w:rPr>
          <w:rFonts w:ascii="Verdana" w:hAnsi="Verdana" w:eastAsia="Times New Roman" w:cs="Times New Roman"/>
          <w:sz w:val="18"/>
          <w:szCs w:val="18"/>
        </w:rPr>
        <w:t xml:space="preserve"> vast te leggen. </w:t>
      </w:r>
    </w:p>
    <w:p w:rsidRPr="00E43A50" w:rsidR="002822F2" w:rsidP="00643E93" w:rsidRDefault="002822F2" w14:paraId="0B3D79A5" w14:textId="37DB47AE">
      <w:pPr>
        <w:spacing w:after="0" w:line="276" w:lineRule="auto"/>
        <w:rPr>
          <w:rFonts w:ascii="Verdana" w:hAnsi="Verdana" w:eastAsia="Times New Roman" w:cs="Times New Roman"/>
          <w:sz w:val="18"/>
          <w:szCs w:val="18"/>
          <w:lang w:eastAsia="nl-NL"/>
        </w:rPr>
      </w:pPr>
    </w:p>
    <w:p w:rsidRPr="00E43A50" w:rsidR="008030C7" w:rsidP="00643E93" w:rsidRDefault="008030C7" w14:paraId="579D07B3" w14:textId="03C8C6EE">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lang w:eastAsia="nl-NL"/>
        </w:rPr>
        <w:t xml:space="preserve">De milieuprestatie-eisen voor </w:t>
      </w:r>
      <w:r w:rsidR="00AA6E27">
        <w:rPr>
          <w:rFonts w:ascii="Verdana" w:hAnsi="Verdana" w:eastAsia="Times New Roman" w:cs="Times New Roman"/>
          <w:sz w:val="18"/>
          <w:szCs w:val="18"/>
          <w:lang w:eastAsia="nl-NL"/>
        </w:rPr>
        <w:t xml:space="preserve">materialen of </w:t>
      </w:r>
      <w:r w:rsidRPr="00E43A50">
        <w:rPr>
          <w:rFonts w:ascii="Verdana" w:hAnsi="Verdana" w:eastAsia="Times New Roman" w:cs="Times New Roman"/>
          <w:sz w:val="18"/>
          <w:szCs w:val="18"/>
          <w:lang w:eastAsia="nl-NL"/>
        </w:rPr>
        <w:t xml:space="preserve">producten worden </w:t>
      </w:r>
      <w:r w:rsidR="00C66E54">
        <w:rPr>
          <w:rFonts w:ascii="Verdana" w:hAnsi="Verdana" w:eastAsia="Times New Roman" w:cs="Times New Roman"/>
          <w:sz w:val="18"/>
          <w:szCs w:val="18"/>
          <w:lang w:eastAsia="nl-NL"/>
        </w:rPr>
        <w:t>vastgesteld</w:t>
      </w:r>
      <w:r w:rsidRPr="00E43A50" w:rsidR="00C66E54">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lang w:eastAsia="nl-NL"/>
        </w:rPr>
        <w:t xml:space="preserve">door </w:t>
      </w:r>
      <w:r w:rsidRPr="002B0281">
        <w:rPr>
          <w:rFonts w:ascii="Verdana" w:hAnsi="Verdana" w:eastAsia="Times New Roman" w:cs="Times New Roman"/>
          <w:sz w:val="18"/>
          <w:szCs w:val="18"/>
          <w:lang w:eastAsia="nl-NL"/>
        </w:rPr>
        <w:t>de minister</w:t>
      </w:r>
      <w:r w:rsidRPr="002B0281" w:rsidR="00C66E54">
        <w:rPr>
          <w:rFonts w:ascii="Verdana" w:hAnsi="Verdana" w:eastAsia="Times New Roman" w:cs="Times New Roman"/>
          <w:sz w:val="18"/>
          <w:szCs w:val="18"/>
          <w:lang w:eastAsia="nl-NL"/>
        </w:rPr>
        <w:t>.</w:t>
      </w:r>
      <w:r w:rsidR="00C66E54">
        <w:rPr>
          <w:rFonts w:ascii="Verdana" w:hAnsi="Verdana" w:eastAsia="Times New Roman" w:cs="Times New Roman"/>
          <w:sz w:val="18"/>
          <w:szCs w:val="18"/>
          <w:lang w:eastAsia="nl-NL"/>
        </w:rPr>
        <w:t xml:space="preserve"> Hij</w:t>
      </w:r>
      <w:r w:rsidRPr="00E43A50">
        <w:rPr>
          <w:rFonts w:ascii="Verdana" w:hAnsi="Verdana" w:eastAsia="Times New Roman" w:cs="Times New Roman"/>
          <w:sz w:val="18"/>
          <w:szCs w:val="18"/>
          <w:lang w:eastAsia="nl-NL"/>
        </w:rPr>
        <w:t xml:space="preserve"> wordt </w:t>
      </w:r>
      <w:r w:rsidR="00C66E54">
        <w:rPr>
          <w:rFonts w:ascii="Verdana" w:hAnsi="Verdana" w:eastAsia="Times New Roman" w:cs="Times New Roman"/>
          <w:sz w:val="18"/>
          <w:szCs w:val="18"/>
          <w:lang w:eastAsia="nl-NL"/>
        </w:rPr>
        <w:t xml:space="preserve">hierover </w:t>
      </w:r>
      <w:r w:rsidRPr="00E43A50">
        <w:rPr>
          <w:rFonts w:ascii="Verdana" w:hAnsi="Verdana" w:eastAsia="Times New Roman" w:cs="Times New Roman"/>
          <w:sz w:val="18"/>
          <w:szCs w:val="18"/>
          <w:lang w:eastAsia="nl-NL"/>
        </w:rPr>
        <w:t xml:space="preserve">geadviseerd door </w:t>
      </w:r>
      <w:r w:rsidR="00B100F5">
        <w:rPr>
          <w:rFonts w:ascii="Verdana" w:hAnsi="Verdana" w:eastAsia="Times New Roman" w:cs="Times New Roman"/>
          <w:sz w:val="18"/>
          <w:szCs w:val="18"/>
          <w:lang w:eastAsia="nl-NL"/>
        </w:rPr>
        <w:t>onafhankelijke</w:t>
      </w:r>
      <w:r w:rsidRPr="00E43A50">
        <w:rPr>
          <w:rFonts w:ascii="Verdana" w:hAnsi="Verdana" w:eastAsia="Times New Roman" w:cs="Times New Roman"/>
          <w:sz w:val="18"/>
          <w:szCs w:val="18"/>
          <w:lang w:eastAsia="nl-NL"/>
        </w:rPr>
        <w:t xml:space="preserve"> commissies op basis van haalbare prestaties met kwalitatief goede producten in de huidige praktijk.</w:t>
      </w:r>
      <w:r w:rsidRPr="00E43A50">
        <w:rPr>
          <w:rFonts w:ascii="Verdana" w:hAnsi="Verdana" w:eastAsia="Times New Roman" w:cs="Times New Roman"/>
          <w:sz w:val="18"/>
          <w:szCs w:val="18"/>
        </w:rPr>
        <w:t xml:space="preserve"> In de bepaling van de hoogte van de eis wordt nadrukkelijk de proportionaliteit en betaalbaarheid hiervan meegenomen; een eis op productniveau is beoogd als ‘peloton-eis’</w:t>
      </w:r>
      <w:r w:rsidR="00C66E54">
        <w:rPr>
          <w:rFonts w:ascii="Verdana" w:hAnsi="Verdana" w:eastAsia="Times New Roman" w:cs="Times New Roman"/>
          <w:sz w:val="18"/>
          <w:szCs w:val="18"/>
        </w:rPr>
        <w:t>.</w:t>
      </w:r>
      <w:r w:rsidRPr="00E43A50">
        <w:rPr>
          <w:rFonts w:ascii="Verdana" w:hAnsi="Verdana" w:eastAsia="Times New Roman" w:cs="Times New Roman"/>
          <w:sz w:val="18"/>
          <w:szCs w:val="18"/>
        </w:rPr>
        <w:t xml:space="preserve"> </w:t>
      </w:r>
      <w:r w:rsidR="00C66E54">
        <w:rPr>
          <w:rFonts w:ascii="Verdana" w:hAnsi="Verdana" w:eastAsia="Times New Roman" w:cs="Times New Roman"/>
          <w:sz w:val="18"/>
          <w:szCs w:val="18"/>
        </w:rPr>
        <w:t>Hiermee wordt</w:t>
      </w:r>
      <w:r w:rsidRPr="00E43A50">
        <w:rPr>
          <w:rFonts w:ascii="Verdana" w:hAnsi="Verdana" w:eastAsia="Times New Roman" w:cs="Times New Roman"/>
          <w:sz w:val="18"/>
          <w:szCs w:val="18"/>
        </w:rPr>
        <w:t xml:space="preserve"> bedoeld dat de </w:t>
      </w:r>
      <w:r w:rsidR="007F76BF">
        <w:rPr>
          <w:rFonts w:ascii="Verdana" w:hAnsi="Verdana" w:eastAsia="Times New Roman" w:cs="Times New Roman"/>
          <w:sz w:val="18"/>
          <w:szCs w:val="18"/>
        </w:rPr>
        <w:t>bovengrens</w:t>
      </w:r>
      <w:r w:rsidRPr="00E43A50" w:rsidR="007F76BF">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van </w:t>
      </w:r>
      <w:r w:rsidR="007F76BF">
        <w:rPr>
          <w:rFonts w:ascii="Verdana" w:hAnsi="Verdana" w:eastAsia="Times New Roman" w:cs="Times New Roman"/>
          <w:sz w:val="18"/>
          <w:szCs w:val="18"/>
        </w:rPr>
        <w:t>de</w:t>
      </w:r>
      <w:r w:rsidRPr="00E43A50">
        <w:rPr>
          <w:rFonts w:ascii="Verdana" w:hAnsi="Verdana" w:eastAsia="Times New Roman" w:cs="Times New Roman"/>
          <w:sz w:val="18"/>
          <w:szCs w:val="18"/>
        </w:rPr>
        <w:t xml:space="preserve"> milieuprestatie van dat specifieke product </w:t>
      </w:r>
      <w:r w:rsidRPr="00E43A50">
        <w:rPr>
          <w:rFonts w:ascii="Verdana" w:hAnsi="Verdana" w:eastAsia="Times New Roman" w:cs="Times New Roman"/>
          <w:sz w:val="18"/>
          <w:szCs w:val="18"/>
          <w:lang w:eastAsia="nl-NL"/>
        </w:rPr>
        <w:t>wordt vastgesteld</w:t>
      </w:r>
      <w:r w:rsidRPr="00E43A50" w:rsidR="000465A7">
        <w:rPr>
          <w:rFonts w:ascii="Verdana" w:hAnsi="Verdana" w:eastAsia="Times New Roman" w:cs="Times New Roman"/>
          <w:sz w:val="18"/>
          <w:szCs w:val="18"/>
          <w:lang w:eastAsia="nl-NL"/>
        </w:rPr>
        <w:t xml:space="preserve">. Dit is </w:t>
      </w:r>
      <w:r w:rsidRPr="00E43A50">
        <w:rPr>
          <w:rFonts w:ascii="Verdana" w:hAnsi="Verdana" w:eastAsia="Times New Roman" w:cs="Times New Roman"/>
          <w:sz w:val="18"/>
          <w:szCs w:val="18"/>
          <w:lang w:eastAsia="nl-NL"/>
        </w:rPr>
        <w:t xml:space="preserve">een zogeheten basisniveau </w:t>
      </w:r>
      <w:r w:rsidR="00E54192">
        <w:rPr>
          <w:rFonts w:ascii="Verdana" w:hAnsi="Verdana" w:eastAsia="Times New Roman" w:cs="Times New Roman"/>
          <w:sz w:val="18"/>
          <w:szCs w:val="18"/>
          <w:lang w:eastAsia="nl-NL"/>
        </w:rPr>
        <w:t xml:space="preserve">waar een product aan moet voldoen </w:t>
      </w:r>
      <w:r w:rsidRPr="00E43A50">
        <w:rPr>
          <w:rFonts w:ascii="Verdana" w:hAnsi="Verdana" w:eastAsia="Times New Roman" w:cs="Times New Roman"/>
          <w:sz w:val="18"/>
          <w:szCs w:val="18"/>
          <w:lang w:eastAsia="nl-NL"/>
        </w:rPr>
        <w:t xml:space="preserve">dat over de tijd </w:t>
      </w:r>
      <w:r w:rsidRPr="00E43A50" w:rsidR="000465A7">
        <w:rPr>
          <w:rFonts w:ascii="Verdana" w:hAnsi="Verdana" w:eastAsia="Times New Roman" w:cs="Times New Roman"/>
          <w:sz w:val="18"/>
          <w:szCs w:val="18"/>
          <w:lang w:eastAsia="nl-NL"/>
        </w:rPr>
        <w:t>kan worden</w:t>
      </w:r>
      <w:r w:rsidRPr="00E43A50">
        <w:rPr>
          <w:rFonts w:ascii="Verdana" w:hAnsi="Verdana" w:eastAsia="Times New Roman" w:cs="Times New Roman"/>
          <w:sz w:val="18"/>
          <w:szCs w:val="18"/>
          <w:lang w:eastAsia="nl-NL"/>
        </w:rPr>
        <w:t xml:space="preserve"> </w:t>
      </w:r>
      <w:r w:rsidR="00E54192">
        <w:rPr>
          <w:rFonts w:ascii="Verdana" w:hAnsi="Verdana" w:eastAsia="Times New Roman" w:cs="Times New Roman"/>
          <w:sz w:val="18"/>
          <w:szCs w:val="18"/>
        </w:rPr>
        <w:t>verlaagd</w:t>
      </w:r>
      <w:r w:rsidRPr="00E43A50" w:rsidR="00E54192">
        <w:rPr>
          <w:rFonts w:ascii="Verdana" w:hAnsi="Verdana" w:eastAsia="Times New Roman" w:cs="Times New Roman"/>
          <w:sz w:val="18"/>
          <w:szCs w:val="18"/>
        </w:rPr>
        <w:t xml:space="preserve"> </w:t>
      </w:r>
      <w:r w:rsidRPr="00E43A50">
        <w:rPr>
          <w:rFonts w:ascii="Verdana" w:hAnsi="Verdana" w:eastAsia="Times New Roman" w:cs="Times New Roman"/>
          <w:sz w:val="18"/>
          <w:szCs w:val="18"/>
          <w:lang w:eastAsia="nl-NL"/>
        </w:rPr>
        <w:t>om</w:t>
      </w:r>
      <w:r w:rsidRPr="00E43A50">
        <w:rPr>
          <w:rFonts w:ascii="Verdana" w:hAnsi="Verdana" w:eastAsia="Times New Roman" w:cs="Times New Roman"/>
          <w:sz w:val="18"/>
          <w:szCs w:val="18"/>
        </w:rPr>
        <w:t xml:space="preserve"> daarmee het achterblijvende deel van de markt te dwingen om te verduurzamen. </w:t>
      </w:r>
      <w:r w:rsidR="009E3BE6">
        <w:rPr>
          <w:rFonts w:ascii="Verdana" w:hAnsi="Verdana" w:eastAsia="Times New Roman" w:cs="Times New Roman"/>
          <w:sz w:val="18"/>
          <w:szCs w:val="18"/>
        </w:rPr>
        <w:t xml:space="preserve">Om ontwikkeling in de markt bij te houden worden de eisen, op advies van de </w:t>
      </w:r>
      <w:r w:rsidR="00B100F5">
        <w:rPr>
          <w:rFonts w:ascii="Verdana" w:hAnsi="Verdana" w:eastAsia="Times New Roman" w:cs="Times New Roman"/>
          <w:sz w:val="18"/>
          <w:szCs w:val="18"/>
        </w:rPr>
        <w:t xml:space="preserve">onafhankelijke </w:t>
      </w:r>
      <w:r w:rsidR="009E3BE6">
        <w:rPr>
          <w:rFonts w:ascii="Verdana" w:hAnsi="Verdana" w:eastAsia="Times New Roman" w:cs="Times New Roman"/>
          <w:sz w:val="18"/>
          <w:szCs w:val="18"/>
        </w:rPr>
        <w:t xml:space="preserve">commissies, elke twee jaar aangepast. </w:t>
      </w:r>
    </w:p>
    <w:p w:rsidRPr="00E43A50" w:rsidR="008030C7" w:rsidP="00643E93" w:rsidRDefault="008030C7" w14:paraId="512D20E5" w14:textId="77777777">
      <w:pPr>
        <w:spacing w:after="0" w:line="276" w:lineRule="auto"/>
        <w:rPr>
          <w:rFonts w:ascii="Verdana" w:hAnsi="Verdana" w:eastAsia="Times New Roman" w:cs="Times New Roman"/>
          <w:sz w:val="18"/>
          <w:szCs w:val="18"/>
        </w:rPr>
      </w:pPr>
    </w:p>
    <w:p w:rsidRPr="00E43A50" w:rsidR="008030C7" w:rsidP="00643E93" w:rsidRDefault="008030C7" w14:paraId="08830777" w14:textId="1A050588">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Met het wetsvoorstel worden </w:t>
      </w:r>
      <w:r w:rsidR="0043376A">
        <w:rPr>
          <w:rFonts w:ascii="Verdana" w:hAnsi="Verdana" w:eastAsia="Times New Roman" w:cs="Times New Roman"/>
          <w:sz w:val="18"/>
          <w:szCs w:val="18"/>
          <w:lang w:eastAsia="nl-NL"/>
        </w:rPr>
        <w:t>aanbestedende diensten en speciale-sectorbedrijven</w:t>
      </w:r>
      <w:r w:rsidRPr="00F5605C" w:rsidR="0043376A">
        <w:rPr>
          <w:rFonts w:ascii="Verdana" w:hAnsi="Verdana" w:eastAsia="Times New Roman" w:cs="Times New Roman"/>
          <w:sz w:val="18"/>
          <w:szCs w:val="18"/>
          <w:lang w:eastAsia="nl-NL"/>
        </w:rPr>
        <w:t xml:space="preserve"> </w:t>
      </w:r>
      <w:r w:rsidRPr="00E43A50" w:rsidR="00EB5684">
        <w:rPr>
          <w:rFonts w:ascii="Verdana" w:hAnsi="Verdana" w:eastAsia="Times New Roman" w:cs="Times New Roman"/>
          <w:sz w:val="18"/>
          <w:szCs w:val="18"/>
        </w:rPr>
        <w:t xml:space="preserve">verplicht om in </w:t>
      </w:r>
      <w:r w:rsidR="00EF2C12">
        <w:rPr>
          <w:rFonts w:ascii="Verdana" w:hAnsi="Verdana" w:eastAsia="Times New Roman" w:cs="Times New Roman"/>
          <w:sz w:val="18"/>
          <w:szCs w:val="18"/>
        </w:rPr>
        <w:t xml:space="preserve">de aanbesteding voor </w:t>
      </w:r>
      <w:r w:rsidR="00A90095">
        <w:rPr>
          <w:rFonts w:ascii="Verdana" w:hAnsi="Verdana" w:eastAsia="Times New Roman" w:cs="Times New Roman"/>
          <w:sz w:val="18"/>
          <w:szCs w:val="18"/>
        </w:rPr>
        <w:t>GWW-</w:t>
      </w:r>
      <w:r w:rsidR="00EF2C12">
        <w:rPr>
          <w:rFonts w:ascii="Verdana" w:hAnsi="Verdana" w:eastAsia="Times New Roman" w:cs="Times New Roman"/>
          <w:sz w:val="18"/>
          <w:szCs w:val="18"/>
        </w:rPr>
        <w:t>werken</w:t>
      </w:r>
      <w:r w:rsidRPr="00E43A50" w:rsidR="00EB5684">
        <w:rPr>
          <w:rFonts w:ascii="Verdana" w:hAnsi="Verdana" w:eastAsia="Times New Roman" w:cs="Times New Roman"/>
          <w:sz w:val="18"/>
          <w:szCs w:val="18"/>
        </w:rPr>
        <w:t xml:space="preserve"> milieuprestatie-eisen voor producten op te nemen. </w:t>
      </w:r>
      <w:r w:rsidRPr="00E43A50" w:rsidR="000465A7">
        <w:rPr>
          <w:rFonts w:ascii="Verdana" w:hAnsi="Verdana" w:eastAsia="Times New Roman" w:cs="Times New Roman"/>
          <w:sz w:val="18"/>
          <w:szCs w:val="18"/>
          <w:lang w:eastAsia="nl-NL"/>
        </w:rPr>
        <w:t>Doordat de milieuprestatie-eisen ook worden opgenomen in</w:t>
      </w:r>
      <w:r w:rsidR="00F330A6">
        <w:rPr>
          <w:rFonts w:ascii="Verdana" w:hAnsi="Verdana" w:eastAsia="Times New Roman" w:cs="Times New Roman"/>
          <w:sz w:val="18"/>
          <w:szCs w:val="18"/>
          <w:lang w:eastAsia="nl-NL"/>
        </w:rPr>
        <w:t xml:space="preserve"> de contractvormen</w:t>
      </w:r>
      <w:r w:rsidRPr="00E43A50" w:rsidR="000465A7">
        <w:rPr>
          <w:rFonts w:ascii="Verdana" w:hAnsi="Verdana" w:eastAsia="Times New Roman" w:cs="Times New Roman"/>
          <w:sz w:val="18"/>
          <w:szCs w:val="18"/>
          <w:lang w:eastAsia="nl-NL"/>
        </w:rPr>
        <w:t xml:space="preserve"> RAW, UAV, UAV-GC</w:t>
      </w:r>
      <w:r w:rsidRPr="00E43A50" w:rsidR="000465A7">
        <w:rPr>
          <w:rStyle w:val="Voetnootmarkering"/>
          <w:rFonts w:ascii="Verdana" w:hAnsi="Verdana" w:eastAsia="Times New Roman" w:cs="Times New Roman"/>
          <w:sz w:val="18"/>
          <w:szCs w:val="18"/>
          <w:lang w:eastAsia="nl-NL"/>
        </w:rPr>
        <w:footnoteReference w:id="21"/>
      </w:r>
      <w:r w:rsidRPr="00E43A50" w:rsidR="000465A7">
        <w:rPr>
          <w:rFonts w:ascii="Verdana" w:hAnsi="Verdana" w:eastAsia="Times New Roman" w:cs="Times New Roman"/>
          <w:sz w:val="18"/>
          <w:szCs w:val="18"/>
          <w:lang w:eastAsia="nl-NL"/>
        </w:rPr>
        <w:t xml:space="preserve"> zijn deze gemakkelijk te integreren in het bestaande aanbestedingsproces. </w:t>
      </w:r>
      <w:r w:rsidRPr="00E43A50" w:rsidR="00EB5684">
        <w:rPr>
          <w:rFonts w:ascii="Verdana" w:hAnsi="Verdana" w:eastAsia="Times New Roman" w:cs="Times New Roman"/>
          <w:sz w:val="18"/>
          <w:szCs w:val="18"/>
        </w:rPr>
        <w:t xml:space="preserve">Het is de verantwoordelijkheid van de </w:t>
      </w:r>
      <w:r w:rsidRPr="005B4CB1" w:rsidR="00EB5684">
        <w:rPr>
          <w:rFonts w:ascii="Verdana" w:hAnsi="Verdana" w:eastAsia="Times New Roman" w:cs="Times New Roman"/>
          <w:sz w:val="18"/>
          <w:szCs w:val="18"/>
        </w:rPr>
        <w:t>producent</w:t>
      </w:r>
      <w:r w:rsidRPr="00E43A50" w:rsidR="00EB5684">
        <w:rPr>
          <w:rFonts w:ascii="Verdana" w:hAnsi="Verdana" w:eastAsia="Times New Roman" w:cs="Times New Roman"/>
          <w:sz w:val="18"/>
          <w:szCs w:val="18"/>
        </w:rPr>
        <w:t xml:space="preserve"> van de </w:t>
      </w:r>
      <w:r w:rsidR="00335F81">
        <w:rPr>
          <w:rFonts w:ascii="Verdana" w:hAnsi="Verdana" w:eastAsia="Times New Roman" w:cs="Times New Roman"/>
          <w:sz w:val="18"/>
          <w:szCs w:val="18"/>
        </w:rPr>
        <w:t xml:space="preserve">materialen of </w:t>
      </w:r>
      <w:r w:rsidRPr="00E43A50" w:rsidR="00EB5684">
        <w:rPr>
          <w:rFonts w:ascii="Verdana" w:hAnsi="Verdana" w:eastAsia="Times New Roman" w:cs="Times New Roman"/>
          <w:sz w:val="18"/>
          <w:szCs w:val="18"/>
        </w:rPr>
        <w:t xml:space="preserve">producten om te </w:t>
      </w:r>
      <w:r w:rsidRPr="005B4CB1" w:rsidR="00EB5684">
        <w:rPr>
          <w:rFonts w:ascii="Verdana" w:hAnsi="Verdana" w:eastAsia="Times New Roman" w:cs="Times New Roman"/>
          <w:sz w:val="18"/>
          <w:szCs w:val="18"/>
        </w:rPr>
        <w:t>bewijzen</w:t>
      </w:r>
      <w:r w:rsidRPr="00E43A50" w:rsidR="00EB5684">
        <w:rPr>
          <w:rFonts w:ascii="Verdana" w:hAnsi="Verdana" w:eastAsia="Times New Roman" w:cs="Times New Roman"/>
          <w:sz w:val="18"/>
          <w:szCs w:val="18"/>
        </w:rPr>
        <w:t xml:space="preserve"> dat hun </w:t>
      </w:r>
      <w:r w:rsidR="00335F81">
        <w:rPr>
          <w:rFonts w:ascii="Verdana" w:hAnsi="Verdana" w:eastAsia="Times New Roman" w:cs="Times New Roman"/>
          <w:sz w:val="18"/>
          <w:szCs w:val="18"/>
        </w:rPr>
        <w:t xml:space="preserve">materialen of </w:t>
      </w:r>
      <w:r w:rsidRPr="00E43A50" w:rsidR="00EB5684">
        <w:rPr>
          <w:rFonts w:ascii="Verdana" w:hAnsi="Verdana" w:eastAsia="Times New Roman" w:cs="Times New Roman"/>
          <w:sz w:val="18"/>
          <w:szCs w:val="18"/>
        </w:rPr>
        <w:t xml:space="preserve">producten voldoen aan de vastgestelde milieuprestatie-eisen. </w:t>
      </w:r>
    </w:p>
    <w:p w:rsidRPr="00E43A50" w:rsidR="00055CDE" w:rsidDel="00CD07E7" w:rsidP="00643E93" w:rsidRDefault="00055CDE" w14:paraId="419AD8BF" w14:textId="77777777">
      <w:pPr>
        <w:spacing w:after="0" w:line="276" w:lineRule="auto"/>
        <w:rPr>
          <w:rFonts w:ascii="Verdana" w:hAnsi="Verdana" w:eastAsia="Times New Roman" w:cs="Times New Roman"/>
          <w:sz w:val="18"/>
          <w:szCs w:val="18"/>
        </w:rPr>
      </w:pPr>
    </w:p>
    <w:p w:rsidRPr="00D944A9" w:rsidR="002822F2" w:rsidP="00D944A9" w:rsidRDefault="00055CDE" w14:paraId="6D9D0C65" w14:textId="1FC2AF73">
      <w:pPr>
        <w:spacing w:after="0" w:line="276" w:lineRule="auto"/>
        <w:rPr>
          <w:rFonts w:ascii="Verdana" w:hAnsi="Verdana"/>
          <w:sz w:val="18"/>
          <w:szCs w:val="18"/>
          <w:u w:val="single"/>
        </w:rPr>
      </w:pPr>
      <w:r w:rsidRPr="00F2248B">
        <w:rPr>
          <w:rFonts w:ascii="Verdana" w:hAnsi="Verdana" w:eastAsia="Times New Roman" w:cs="Times New Roman"/>
          <w:sz w:val="18"/>
          <w:szCs w:val="18"/>
          <w:u w:val="single"/>
          <w:lang w:eastAsia="nl-NL"/>
        </w:rPr>
        <w:t>Invoeren</w:t>
      </w:r>
      <w:r w:rsidRPr="00F2248B" w:rsidR="00DF5FA5">
        <w:rPr>
          <w:rFonts w:ascii="Verdana" w:hAnsi="Verdana" w:eastAsia="Times New Roman" w:cs="Times New Roman"/>
          <w:sz w:val="18"/>
          <w:szCs w:val="18"/>
          <w:u w:val="single"/>
          <w:lang w:eastAsia="nl-NL"/>
        </w:rPr>
        <w:t xml:space="preserve"> van </w:t>
      </w:r>
      <w:r w:rsidR="00C56276">
        <w:rPr>
          <w:rFonts w:ascii="Verdana" w:hAnsi="Verdana" w:eastAsia="Times New Roman" w:cs="Times New Roman"/>
          <w:sz w:val="18"/>
          <w:szCs w:val="18"/>
          <w:u w:val="single"/>
          <w:lang w:eastAsia="nl-NL"/>
        </w:rPr>
        <w:t>het</w:t>
      </w:r>
      <w:r w:rsidRPr="00F2248B" w:rsidR="00DF5FA5">
        <w:rPr>
          <w:rFonts w:ascii="Verdana" w:hAnsi="Verdana" w:eastAsia="Times New Roman" w:cs="Times New Roman"/>
          <w:sz w:val="18"/>
          <w:szCs w:val="18"/>
          <w:u w:val="single"/>
          <w:lang w:eastAsia="nl-NL"/>
        </w:rPr>
        <w:t xml:space="preserve"> </w:t>
      </w:r>
      <w:r w:rsidR="00C56276">
        <w:rPr>
          <w:rFonts w:ascii="Verdana" w:hAnsi="Verdana" w:eastAsia="Times New Roman" w:cs="Times New Roman"/>
          <w:sz w:val="18"/>
          <w:szCs w:val="18"/>
          <w:u w:val="single"/>
          <w:lang w:eastAsia="nl-NL"/>
        </w:rPr>
        <w:t xml:space="preserve">nader criterium </w:t>
      </w:r>
      <w:r w:rsidR="00043C84">
        <w:rPr>
          <w:rFonts w:ascii="Verdana" w:hAnsi="Verdana" w:eastAsia="Times New Roman" w:cs="Times New Roman"/>
          <w:sz w:val="18"/>
          <w:szCs w:val="18"/>
          <w:u w:val="single"/>
          <w:lang w:eastAsia="nl-NL"/>
        </w:rPr>
        <w:t xml:space="preserve">met betrekking tot de </w:t>
      </w:r>
      <w:r w:rsidR="00CB716E">
        <w:rPr>
          <w:rFonts w:ascii="Verdana" w:hAnsi="Verdana" w:eastAsia="Times New Roman" w:cs="Times New Roman"/>
          <w:sz w:val="18"/>
          <w:szCs w:val="18"/>
          <w:u w:val="single"/>
          <w:lang w:eastAsia="nl-NL"/>
        </w:rPr>
        <w:t xml:space="preserve">milieuprestatie </w:t>
      </w:r>
      <w:r w:rsidRPr="00F2248B">
        <w:rPr>
          <w:rFonts w:ascii="Verdana" w:hAnsi="Verdana" w:eastAsia="Times New Roman" w:cs="Times New Roman"/>
          <w:sz w:val="18"/>
          <w:szCs w:val="18"/>
          <w:u w:val="single"/>
          <w:lang w:eastAsia="nl-NL"/>
        </w:rPr>
        <w:t xml:space="preserve">van GWW-werken </w:t>
      </w:r>
      <w:r w:rsidR="00C56276">
        <w:rPr>
          <w:rFonts w:ascii="Verdana" w:hAnsi="Verdana" w:eastAsia="Times New Roman" w:cs="Times New Roman"/>
          <w:sz w:val="18"/>
          <w:szCs w:val="18"/>
          <w:u w:val="single"/>
          <w:lang w:eastAsia="nl-NL"/>
        </w:rPr>
        <w:t>in aanbestedingen</w:t>
      </w:r>
    </w:p>
    <w:p w:rsidRPr="00E43A50" w:rsidR="00CC7787" w:rsidP="00643E93" w:rsidRDefault="00CC7787" w14:paraId="0427E221" w14:textId="77777777">
      <w:pPr>
        <w:spacing w:after="0" w:line="276" w:lineRule="auto"/>
        <w:rPr>
          <w:rFonts w:ascii="Verdana" w:hAnsi="Verdana"/>
          <w:i/>
          <w:sz w:val="18"/>
        </w:rPr>
      </w:pPr>
    </w:p>
    <w:p w:rsidR="00CC7787" w:rsidP="00643E93" w:rsidRDefault="002822F2" w14:paraId="31EF95DF" w14:textId="48944582">
      <w:pPr>
        <w:spacing w:after="0" w:line="276" w:lineRule="auto"/>
        <w:rPr>
          <w:rFonts w:ascii="Verdana" w:hAnsi="Verdana" w:eastAsia="Times New Roman" w:cs="Times New Roman"/>
          <w:sz w:val="18"/>
          <w:szCs w:val="18"/>
        </w:rPr>
      </w:pPr>
      <w:r w:rsidRPr="005B4CB1">
        <w:rPr>
          <w:rFonts w:ascii="Verdana" w:hAnsi="Verdana" w:eastAsia="Times New Roman" w:cs="Times New Roman"/>
          <w:sz w:val="18"/>
          <w:szCs w:val="18"/>
          <w:lang w:eastAsia="nl-NL"/>
        </w:rPr>
        <w:t xml:space="preserve">De tweede </w:t>
      </w:r>
      <w:r w:rsidRPr="005B4CB1" w:rsidR="005F1784">
        <w:rPr>
          <w:rFonts w:ascii="Verdana" w:hAnsi="Verdana" w:eastAsia="Times New Roman" w:cs="Times New Roman"/>
          <w:sz w:val="18"/>
          <w:szCs w:val="18"/>
          <w:lang w:eastAsia="nl-NL"/>
        </w:rPr>
        <w:t>wettelijke eis</w:t>
      </w:r>
      <w:r w:rsidRPr="005B4CB1">
        <w:rPr>
          <w:rFonts w:ascii="Verdana" w:hAnsi="Verdana" w:eastAsia="Times New Roman" w:cs="Times New Roman"/>
          <w:sz w:val="18"/>
          <w:szCs w:val="18"/>
          <w:lang w:eastAsia="nl-NL"/>
        </w:rPr>
        <w:t xml:space="preserve"> betreft </w:t>
      </w:r>
      <w:r w:rsidRPr="005B4CB1" w:rsidR="00055CDE">
        <w:rPr>
          <w:rFonts w:ascii="Verdana" w:hAnsi="Verdana" w:eastAsia="Times New Roman" w:cs="Times New Roman"/>
          <w:sz w:val="18"/>
          <w:szCs w:val="18"/>
          <w:lang w:eastAsia="nl-NL"/>
        </w:rPr>
        <w:t xml:space="preserve">het </w:t>
      </w:r>
      <w:r w:rsidRPr="005B4CB1" w:rsidR="005F1784">
        <w:rPr>
          <w:rFonts w:ascii="Verdana" w:hAnsi="Verdana" w:eastAsia="Times New Roman" w:cs="Times New Roman"/>
          <w:sz w:val="18"/>
          <w:szCs w:val="18"/>
          <w:lang w:eastAsia="nl-NL"/>
        </w:rPr>
        <w:t>verplicht</w:t>
      </w:r>
      <w:r w:rsidRPr="005B4CB1" w:rsidR="00055CDE">
        <w:rPr>
          <w:rFonts w:ascii="Verdana" w:hAnsi="Verdana" w:eastAsia="Times New Roman" w:cs="Times New Roman"/>
          <w:sz w:val="18"/>
          <w:szCs w:val="18"/>
          <w:lang w:eastAsia="nl-NL"/>
        </w:rPr>
        <w:t>en</w:t>
      </w:r>
      <w:r w:rsidRPr="005B4CB1">
        <w:rPr>
          <w:rFonts w:ascii="Verdana" w:hAnsi="Verdana" w:eastAsia="Times New Roman" w:cs="Times New Roman"/>
          <w:sz w:val="18"/>
          <w:szCs w:val="18"/>
          <w:lang w:eastAsia="nl-NL"/>
        </w:rPr>
        <w:t xml:space="preserve"> </w:t>
      </w:r>
      <w:r w:rsidRPr="005B4CB1" w:rsidR="00055CDE">
        <w:rPr>
          <w:rFonts w:ascii="Verdana" w:hAnsi="Verdana" w:eastAsia="Times New Roman" w:cs="Times New Roman"/>
          <w:sz w:val="18"/>
          <w:szCs w:val="18"/>
          <w:lang w:eastAsia="nl-NL"/>
        </w:rPr>
        <w:t xml:space="preserve">van </w:t>
      </w:r>
      <w:r w:rsidR="0043376A">
        <w:rPr>
          <w:rFonts w:ascii="Verdana" w:hAnsi="Verdana" w:eastAsia="Times New Roman" w:cs="Times New Roman"/>
          <w:sz w:val="18"/>
          <w:szCs w:val="18"/>
          <w:lang w:eastAsia="nl-NL"/>
        </w:rPr>
        <w:t>aanbestedende diensten en speciale-sectorbedrijven</w:t>
      </w:r>
      <w:r w:rsidRPr="00F5605C" w:rsidR="0043376A">
        <w:rPr>
          <w:rFonts w:ascii="Verdana" w:hAnsi="Verdana" w:eastAsia="Times New Roman" w:cs="Times New Roman"/>
          <w:sz w:val="18"/>
          <w:szCs w:val="18"/>
          <w:lang w:eastAsia="nl-NL"/>
        </w:rPr>
        <w:t xml:space="preserve"> </w:t>
      </w:r>
      <w:r w:rsidRPr="005B4CB1" w:rsidR="00055CDE">
        <w:rPr>
          <w:rFonts w:ascii="Verdana" w:hAnsi="Verdana" w:eastAsia="Times New Roman" w:cs="Times New Roman"/>
          <w:sz w:val="18"/>
          <w:szCs w:val="18"/>
          <w:lang w:eastAsia="nl-NL"/>
        </w:rPr>
        <w:t xml:space="preserve">om een afweging op milieuprestatie mee te nemen bij de aanbesteding van GWW-werken die </w:t>
      </w:r>
      <w:r w:rsidRPr="00E43A50" w:rsidR="00055CDE">
        <w:rPr>
          <w:rFonts w:ascii="Verdana" w:hAnsi="Verdana" w:eastAsia="Times New Roman" w:cs="Times New Roman"/>
          <w:sz w:val="18"/>
          <w:szCs w:val="18"/>
          <w:lang w:eastAsia="nl-NL"/>
        </w:rPr>
        <w:t>een bepaalde</w:t>
      </w:r>
      <w:r w:rsidRPr="005B4CB1" w:rsidR="00706429">
        <w:rPr>
          <w:rFonts w:ascii="Verdana" w:hAnsi="Verdana" w:eastAsia="Times New Roman" w:cs="Times New Roman"/>
          <w:sz w:val="18"/>
          <w:szCs w:val="18"/>
          <w:lang w:eastAsia="nl-NL"/>
        </w:rPr>
        <w:t xml:space="preserve"> </w:t>
      </w:r>
      <w:r w:rsidR="009C45FE">
        <w:rPr>
          <w:rFonts w:ascii="Verdana" w:hAnsi="Verdana" w:eastAsia="Times New Roman" w:cs="Times New Roman"/>
          <w:sz w:val="18"/>
          <w:szCs w:val="18"/>
          <w:lang w:eastAsia="nl-NL"/>
        </w:rPr>
        <w:t>minimum geraamde opdrachtwaarde</w:t>
      </w:r>
      <w:r w:rsidRPr="005B4CB1" w:rsidR="00706429">
        <w:rPr>
          <w:rFonts w:ascii="Verdana" w:hAnsi="Verdana" w:eastAsia="Times New Roman" w:cs="Times New Roman"/>
          <w:sz w:val="18"/>
          <w:szCs w:val="18"/>
          <w:lang w:eastAsia="nl-NL"/>
        </w:rPr>
        <w:t xml:space="preserve"> </w:t>
      </w:r>
      <w:r w:rsidRPr="005B4CB1" w:rsidR="00055CDE">
        <w:rPr>
          <w:rFonts w:ascii="Verdana" w:hAnsi="Verdana" w:eastAsia="Times New Roman" w:cs="Times New Roman"/>
          <w:sz w:val="18"/>
          <w:szCs w:val="18"/>
          <w:lang w:eastAsia="nl-NL"/>
        </w:rPr>
        <w:t>overschrijden, in de vorm van een</w:t>
      </w:r>
      <w:r w:rsidR="00C56276">
        <w:rPr>
          <w:rFonts w:ascii="Verdana" w:hAnsi="Verdana" w:eastAsia="Times New Roman" w:cs="Times New Roman"/>
          <w:sz w:val="18"/>
          <w:szCs w:val="18"/>
          <w:lang w:eastAsia="nl-NL"/>
        </w:rPr>
        <w:t xml:space="preserve"> nader criterium dat ziet op de milieuprestatie</w:t>
      </w:r>
      <w:r w:rsidRPr="005B4CB1" w:rsidR="00055CDE">
        <w:rPr>
          <w:rFonts w:ascii="Verdana" w:hAnsi="Verdana" w:eastAsia="Times New Roman" w:cs="Times New Roman"/>
          <w:sz w:val="18"/>
          <w:szCs w:val="18"/>
          <w:lang w:eastAsia="nl-NL"/>
        </w:rPr>
        <w:t>.</w:t>
      </w:r>
      <w:r w:rsidRPr="00E43A50" w:rsidR="00055CDE">
        <w:rPr>
          <w:rFonts w:ascii="Verdana" w:hAnsi="Verdana" w:eastAsia="Times New Roman" w:cs="Times New Roman"/>
          <w:sz w:val="18"/>
          <w:szCs w:val="18"/>
        </w:rPr>
        <w:t xml:space="preserve"> </w:t>
      </w:r>
      <w:bookmarkStart w:name="_Hlk201640339" w:id="19"/>
      <w:r w:rsidRPr="00E43A50" w:rsidR="005F1784">
        <w:rPr>
          <w:rFonts w:ascii="Verdana" w:hAnsi="Verdana" w:eastAsia="Times New Roman" w:cs="Times New Roman"/>
          <w:sz w:val="18"/>
          <w:szCs w:val="18"/>
        </w:rPr>
        <w:t xml:space="preserve">Om een klimaatneutrale en circulaire infrasector te realiseren, is meer nodig dan uitsluitend het stellen van milieuprestatie-eisen op </w:t>
      </w:r>
      <w:r w:rsidR="0035093C">
        <w:rPr>
          <w:rFonts w:ascii="Verdana" w:hAnsi="Verdana" w:eastAsia="Times New Roman" w:cs="Times New Roman"/>
          <w:sz w:val="18"/>
          <w:szCs w:val="18"/>
        </w:rPr>
        <w:t xml:space="preserve">materiaal of </w:t>
      </w:r>
      <w:r w:rsidRPr="00E43A50" w:rsidR="00055CDE">
        <w:rPr>
          <w:rFonts w:ascii="Verdana" w:hAnsi="Verdana" w:eastAsia="Times New Roman" w:cs="Times New Roman"/>
          <w:sz w:val="18"/>
          <w:szCs w:val="18"/>
        </w:rPr>
        <w:t>productniveau</w:t>
      </w:r>
      <w:r w:rsidRPr="00E43A50" w:rsidR="005F1784">
        <w:rPr>
          <w:rFonts w:ascii="Verdana" w:hAnsi="Verdana" w:eastAsia="Times New Roman" w:cs="Times New Roman"/>
          <w:sz w:val="18"/>
          <w:szCs w:val="18"/>
        </w:rPr>
        <w:t xml:space="preserve">. Een milieuprestatie-eis op </w:t>
      </w:r>
      <w:r w:rsidR="0035093C">
        <w:rPr>
          <w:rFonts w:ascii="Verdana" w:hAnsi="Verdana" w:eastAsia="Times New Roman" w:cs="Times New Roman"/>
          <w:sz w:val="18"/>
          <w:szCs w:val="18"/>
        </w:rPr>
        <w:t xml:space="preserve">materiaal of </w:t>
      </w:r>
      <w:r w:rsidRPr="00E43A50" w:rsidR="00055CDE">
        <w:rPr>
          <w:rFonts w:ascii="Verdana" w:hAnsi="Verdana" w:eastAsia="Times New Roman" w:cs="Times New Roman"/>
          <w:sz w:val="18"/>
          <w:szCs w:val="18"/>
        </w:rPr>
        <w:t>productniveau</w:t>
      </w:r>
      <w:r w:rsidRPr="00E43A50" w:rsidR="005F1784">
        <w:rPr>
          <w:rFonts w:ascii="Verdana" w:hAnsi="Verdana" w:eastAsia="Times New Roman" w:cs="Times New Roman"/>
          <w:sz w:val="18"/>
          <w:szCs w:val="18"/>
        </w:rPr>
        <w:t xml:space="preserve"> heeft niet voor elk </w:t>
      </w:r>
      <w:r w:rsidRPr="00E43A50" w:rsidR="00055CDE">
        <w:rPr>
          <w:rFonts w:ascii="Verdana" w:hAnsi="Verdana" w:eastAsia="Times New Roman" w:cs="Times New Roman"/>
          <w:sz w:val="18"/>
          <w:szCs w:val="18"/>
        </w:rPr>
        <w:t xml:space="preserve">GWW-werk </w:t>
      </w:r>
      <w:r w:rsidRPr="00E43A50" w:rsidR="005F1784">
        <w:rPr>
          <w:rFonts w:ascii="Verdana" w:hAnsi="Verdana" w:eastAsia="Times New Roman" w:cs="Times New Roman"/>
          <w:sz w:val="18"/>
          <w:szCs w:val="18"/>
        </w:rPr>
        <w:t xml:space="preserve">evenveel invloed op het verlagen van de milieu-impact. Het ziet namelijk toe op het verbeteren van de milieuprestatie van de </w:t>
      </w:r>
      <w:r w:rsidRPr="00E43A50" w:rsidR="00164F3C">
        <w:rPr>
          <w:rFonts w:ascii="Verdana" w:hAnsi="Verdana" w:eastAsia="Times New Roman" w:cs="Times New Roman"/>
          <w:sz w:val="18"/>
          <w:szCs w:val="18"/>
        </w:rPr>
        <w:t>bij amvb aangewezen</w:t>
      </w:r>
      <w:r w:rsidRPr="00E43A50" w:rsidR="005F1784">
        <w:rPr>
          <w:rFonts w:ascii="Verdana" w:hAnsi="Verdana" w:eastAsia="Times New Roman" w:cs="Times New Roman"/>
          <w:sz w:val="18"/>
          <w:szCs w:val="18"/>
        </w:rPr>
        <w:t xml:space="preserve"> </w:t>
      </w:r>
      <w:r w:rsidR="0035093C">
        <w:rPr>
          <w:rFonts w:ascii="Verdana" w:hAnsi="Verdana" w:eastAsia="Times New Roman" w:cs="Times New Roman"/>
          <w:sz w:val="18"/>
          <w:szCs w:val="18"/>
        </w:rPr>
        <w:t xml:space="preserve">materialen of </w:t>
      </w:r>
      <w:r w:rsidRPr="00E43A50" w:rsidR="00055CDE">
        <w:rPr>
          <w:rFonts w:ascii="Verdana" w:hAnsi="Verdana" w:eastAsia="Times New Roman" w:cs="Times New Roman"/>
          <w:sz w:val="18"/>
          <w:szCs w:val="18"/>
        </w:rPr>
        <w:t>producten</w:t>
      </w:r>
      <w:r w:rsidRPr="00E43A50" w:rsidR="005F1784">
        <w:rPr>
          <w:rFonts w:ascii="Verdana" w:hAnsi="Verdana" w:eastAsia="Times New Roman" w:cs="Times New Roman"/>
          <w:sz w:val="18"/>
          <w:szCs w:val="18"/>
        </w:rPr>
        <w:t>, in</w:t>
      </w:r>
      <w:r w:rsidRPr="00E43A50" w:rsidR="00055CDE">
        <w:rPr>
          <w:rFonts w:ascii="Verdana" w:hAnsi="Verdana" w:eastAsia="Times New Roman" w:cs="Times New Roman"/>
          <w:sz w:val="18"/>
          <w:szCs w:val="18"/>
        </w:rPr>
        <w:t xml:space="preserve">dien </w:t>
      </w:r>
      <w:r w:rsidRPr="00E43A50" w:rsidR="005F1784">
        <w:rPr>
          <w:rFonts w:ascii="Verdana" w:hAnsi="Verdana" w:eastAsia="Times New Roman" w:cs="Times New Roman"/>
          <w:sz w:val="18"/>
          <w:szCs w:val="18"/>
        </w:rPr>
        <w:t xml:space="preserve">één of meer van deze </w:t>
      </w:r>
      <w:r w:rsidR="0035093C">
        <w:rPr>
          <w:rFonts w:ascii="Verdana" w:hAnsi="Verdana" w:eastAsia="Times New Roman" w:cs="Times New Roman"/>
          <w:sz w:val="18"/>
          <w:szCs w:val="18"/>
        </w:rPr>
        <w:t>materialen of</w:t>
      </w:r>
      <w:r w:rsidRPr="00E43A50" w:rsidR="0035093C">
        <w:rPr>
          <w:rFonts w:ascii="Verdana" w:hAnsi="Verdana" w:eastAsia="Times New Roman" w:cs="Times New Roman"/>
          <w:sz w:val="18"/>
          <w:szCs w:val="18"/>
        </w:rPr>
        <w:t xml:space="preserve"> </w:t>
      </w:r>
      <w:r w:rsidRPr="00E43A50" w:rsidR="00511E1D">
        <w:rPr>
          <w:rFonts w:ascii="Verdana" w:hAnsi="Verdana" w:eastAsia="Times New Roman" w:cs="Times New Roman"/>
          <w:sz w:val="18"/>
          <w:szCs w:val="18"/>
        </w:rPr>
        <w:t>producten</w:t>
      </w:r>
      <w:r w:rsidRPr="00E43A50" w:rsidR="005F1784">
        <w:rPr>
          <w:rFonts w:ascii="Verdana" w:hAnsi="Verdana" w:eastAsia="Times New Roman" w:cs="Times New Roman"/>
          <w:sz w:val="18"/>
          <w:szCs w:val="18"/>
        </w:rPr>
        <w:t xml:space="preserve"> word</w:t>
      </w:r>
      <w:r w:rsidRPr="00E43A50" w:rsidR="00DF5FA5">
        <w:rPr>
          <w:rFonts w:ascii="Verdana" w:hAnsi="Verdana" w:eastAsia="Times New Roman" w:cs="Times New Roman"/>
          <w:sz w:val="18"/>
          <w:szCs w:val="18"/>
        </w:rPr>
        <w:t>en</w:t>
      </w:r>
      <w:r w:rsidRPr="00E43A50" w:rsidR="005F1784">
        <w:rPr>
          <w:rFonts w:ascii="Verdana" w:hAnsi="Verdana" w:eastAsia="Times New Roman" w:cs="Times New Roman"/>
          <w:sz w:val="18"/>
          <w:szCs w:val="18"/>
        </w:rPr>
        <w:t xml:space="preserve"> toegepast</w:t>
      </w:r>
      <w:r w:rsidRPr="00E43A50" w:rsidR="00DF5FA5">
        <w:rPr>
          <w:rFonts w:ascii="Verdana" w:hAnsi="Verdana" w:eastAsia="Times New Roman" w:cs="Times New Roman"/>
          <w:sz w:val="18"/>
          <w:szCs w:val="18"/>
        </w:rPr>
        <w:t xml:space="preserve"> in een GWW-werk</w:t>
      </w:r>
      <w:r w:rsidRPr="00E43A50" w:rsidR="005F1784">
        <w:rPr>
          <w:rFonts w:ascii="Verdana" w:hAnsi="Verdana" w:eastAsia="Times New Roman" w:cs="Times New Roman"/>
          <w:sz w:val="18"/>
          <w:szCs w:val="18"/>
        </w:rPr>
        <w:t xml:space="preserve">. Daarnaast legt de </w:t>
      </w:r>
      <w:r w:rsidRPr="00E43A50" w:rsidR="00055CDE">
        <w:rPr>
          <w:rFonts w:ascii="Verdana" w:hAnsi="Verdana" w:eastAsia="Times New Roman" w:cs="Times New Roman"/>
          <w:sz w:val="18"/>
          <w:szCs w:val="18"/>
        </w:rPr>
        <w:t>verplichting op productniveau</w:t>
      </w:r>
      <w:r w:rsidRPr="00E43A50" w:rsidR="005F1784">
        <w:rPr>
          <w:rFonts w:ascii="Verdana" w:hAnsi="Verdana" w:eastAsia="Times New Roman" w:cs="Times New Roman"/>
          <w:sz w:val="18"/>
          <w:szCs w:val="18"/>
        </w:rPr>
        <w:t xml:space="preserve"> </w:t>
      </w:r>
      <w:r w:rsidRPr="00E43A50" w:rsidR="00DF5FA5">
        <w:rPr>
          <w:rFonts w:ascii="Verdana" w:hAnsi="Verdana" w:eastAsia="Times New Roman" w:cs="Times New Roman"/>
          <w:sz w:val="18"/>
          <w:szCs w:val="18"/>
        </w:rPr>
        <w:t xml:space="preserve">weliswaar </w:t>
      </w:r>
      <w:r w:rsidRPr="00E43A50" w:rsidR="005F1784">
        <w:rPr>
          <w:rFonts w:ascii="Verdana" w:hAnsi="Verdana" w:eastAsia="Times New Roman" w:cs="Times New Roman"/>
          <w:sz w:val="18"/>
          <w:szCs w:val="18"/>
        </w:rPr>
        <w:t xml:space="preserve">een onderlat neer, maar stimuleert het </w:t>
      </w:r>
      <w:r w:rsidRPr="00E43A50" w:rsidR="005F1784">
        <w:rPr>
          <w:rFonts w:ascii="Verdana" w:hAnsi="Verdana" w:eastAsia="Times New Roman" w:cs="Times New Roman"/>
          <w:sz w:val="18"/>
          <w:szCs w:val="18"/>
        </w:rPr>
        <w:lastRenderedPageBreak/>
        <w:t xml:space="preserve">niet tot het </w:t>
      </w:r>
      <w:r w:rsidR="00E54192">
        <w:rPr>
          <w:rFonts w:ascii="Verdana" w:hAnsi="Verdana" w:eastAsia="Times New Roman" w:cs="Times New Roman"/>
          <w:sz w:val="18"/>
          <w:szCs w:val="18"/>
        </w:rPr>
        <w:t>beperken van de milieubelasting</w:t>
      </w:r>
      <w:r w:rsidRPr="00E43A50" w:rsidR="00055CDE">
        <w:rPr>
          <w:rFonts w:ascii="Verdana" w:hAnsi="Verdana" w:eastAsia="Times New Roman" w:cs="Times New Roman"/>
          <w:sz w:val="18"/>
          <w:szCs w:val="18"/>
        </w:rPr>
        <w:t xml:space="preserve"> van het </w:t>
      </w:r>
      <w:r w:rsidRPr="00E43A50" w:rsidR="00164F3C">
        <w:rPr>
          <w:rFonts w:ascii="Verdana" w:hAnsi="Verdana" w:eastAsia="Times New Roman" w:cs="Times New Roman"/>
          <w:sz w:val="18"/>
          <w:szCs w:val="18"/>
        </w:rPr>
        <w:t xml:space="preserve">gehele </w:t>
      </w:r>
      <w:r w:rsidRPr="00E43A50" w:rsidR="00055CDE">
        <w:rPr>
          <w:rFonts w:ascii="Verdana" w:hAnsi="Verdana" w:eastAsia="Times New Roman" w:cs="Times New Roman"/>
          <w:sz w:val="18"/>
          <w:szCs w:val="18"/>
        </w:rPr>
        <w:t>GWW-werk</w:t>
      </w:r>
      <w:r w:rsidRPr="00E43A50" w:rsidR="005F1784">
        <w:rPr>
          <w:rFonts w:ascii="Verdana" w:hAnsi="Verdana" w:eastAsia="Times New Roman" w:cs="Times New Roman"/>
          <w:sz w:val="18"/>
          <w:szCs w:val="18"/>
        </w:rPr>
        <w:t xml:space="preserve">, die in veel gevallen wel mogelijk is. Ook stimuleert deze </w:t>
      </w:r>
      <w:r w:rsidRPr="00E43A50" w:rsidR="00055CDE">
        <w:rPr>
          <w:rFonts w:ascii="Verdana" w:hAnsi="Verdana" w:eastAsia="Times New Roman" w:cs="Times New Roman"/>
          <w:sz w:val="18"/>
          <w:szCs w:val="18"/>
        </w:rPr>
        <w:t>verplichting</w:t>
      </w:r>
      <w:r w:rsidRPr="00E43A50" w:rsidR="005F1784">
        <w:rPr>
          <w:rFonts w:ascii="Verdana" w:hAnsi="Verdana" w:eastAsia="Times New Roman" w:cs="Times New Roman"/>
          <w:sz w:val="18"/>
          <w:szCs w:val="18"/>
        </w:rPr>
        <w:t xml:space="preserve"> geen alternatieve, duurzamere </w:t>
      </w:r>
      <w:r w:rsidRPr="00E43A50" w:rsidR="00055CDE">
        <w:rPr>
          <w:rFonts w:ascii="Verdana" w:hAnsi="Verdana" w:eastAsia="Times New Roman" w:cs="Times New Roman"/>
          <w:sz w:val="18"/>
          <w:szCs w:val="18"/>
        </w:rPr>
        <w:t>product</w:t>
      </w:r>
      <w:r w:rsidRPr="00E43A50" w:rsidR="005F1784">
        <w:rPr>
          <w:rFonts w:ascii="Verdana" w:hAnsi="Verdana" w:eastAsia="Times New Roman" w:cs="Times New Roman"/>
          <w:sz w:val="18"/>
          <w:szCs w:val="18"/>
        </w:rPr>
        <w:t xml:space="preserve">keuzes, integrale ontwerpkeuzes die tot duurzaamheidswinst leiden of maatregelen voor de duurzame uitvoering van het gehele </w:t>
      </w:r>
      <w:r w:rsidRPr="00E43A50" w:rsidR="00055CDE">
        <w:rPr>
          <w:rFonts w:ascii="Verdana" w:hAnsi="Verdana" w:eastAsia="Times New Roman" w:cs="Times New Roman"/>
          <w:sz w:val="18"/>
          <w:szCs w:val="18"/>
        </w:rPr>
        <w:t>GWW-werk</w:t>
      </w:r>
      <w:r w:rsidRPr="00E43A50" w:rsidR="005F1784">
        <w:rPr>
          <w:rFonts w:ascii="Verdana" w:hAnsi="Verdana" w:eastAsia="Times New Roman" w:cs="Times New Roman"/>
          <w:sz w:val="18"/>
          <w:szCs w:val="18"/>
        </w:rPr>
        <w:t xml:space="preserve">. Zo wordt met het meenemen van een </w:t>
      </w:r>
      <w:r w:rsidRPr="00E43A50" w:rsidR="00055CDE">
        <w:rPr>
          <w:rFonts w:ascii="Verdana" w:hAnsi="Verdana" w:eastAsia="Times New Roman" w:cs="Times New Roman"/>
          <w:sz w:val="18"/>
          <w:szCs w:val="18"/>
        </w:rPr>
        <w:t>milieuprestatie</w:t>
      </w:r>
      <w:r w:rsidRPr="00E43A50" w:rsidR="00164F3C">
        <w:rPr>
          <w:rFonts w:ascii="Verdana" w:hAnsi="Verdana" w:eastAsia="Times New Roman" w:cs="Times New Roman"/>
          <w:sz w:val="18"/>
          <w:szCs w:val="18"/>
        </w:rPr>
        <w:t>-</w:t>
      </w:r>
      <w:r w:rsidRPr="00E43A50" w:rsidR="005F1784">
        <w:rPr>
          <w:rFonts w:ascii="Verdana" w:hAnsi="Verdana" w:eastAsia="Times New Roman" w:cs="Times New Roman"/>
          <w:sz w:val="18"/>
          <w:szCs w:val="18"/>
        </w:rPr>
        <w:t xml:space="preserve">eis op </w:t>
      </w:r>
      <w:r w:rsidRPr="00E43A50" w:rsidR="00055CDE">
        <w:rPr>
          <w:rFonts w:ascii="Verdana" w:hAnsi="Verdana" w:eastAsia="Times New Roman" w:cs="Times New Roman"/>
          <w:sz w:val="18"/>
          <w:szCs w:val="18"/>
        </w:rPr>
        <w:t>product</w:t>
      </w:r>
      <w:r w:rsidRPr="00E43A50" w:rsidR="005F1784">
        <w:rPr>
          <w:rFonts w:ascii="Verdana" w:hAnsi="Verdana" w:eastAsia="Times New Roman" w:cs="Times New Roman"/>
          <w:sz w:val="18"/>
          <w:szCs w:val="18"/>
        </w:rPr>
        <w:t xml:space="preserve">niveau niet het toepassen van </w:t>
      </w:r>
      <w:r w:rsidR="006E2F06">
        <w:rPr>
          <w:rFonts w:ascii="Verdana" w:hAnsi="Verdana" w:eastAsia="Times New Roman" w:cs="Times New Roman"/>
          <w:sz w:val="18"/>
          <w:szCs w:val="18"/>
        </w:rPr>
        <w:t>een kleinere hoeveelheid</w:t>
      </w:r>
      <w:r w:rsidRPr="00E43A50" w:rsidR="005F1784">
        <w:rPr>
          <w:rFonts w:ascii="Verdana" w:hAnsi="Verdana" w:eastAsia="Times New Roman" w:cs="Times New Roman"/>
          <w:sz w:val="18"/>
          <w:szCs w:val="18"/>
        </w:rPr>
        <w:t xml:space="preserve"> </w:t>
      </w:r>
      <w:r w:rsidRPr="00E43A50" w:rsidR="00055CDE">
        <w:rPr>
          <w:rFonts w:ascii="Verdana" w:hAnsi="Verdana" w:eastAsia="Times New Roman" w:cs="Times New Roman"/>
          <w:sz w:val="18"/>
          <w:szCs w:val="18"/>
        </w:rPr>
        <w:t>producten</w:t>
      </w:r>
      <w:r w:rsidRPr="00E43A50" w:rsidR="005F1784">
        <w:rPr>
          <w:rFonts w:ascii="Verdana" w:hAnsi="Verdana" w:eastAsia="Times New Roman" w:cs="Times New Roman"/>
          <w:sz w:val="18"/>
          <w:szCs w:val="18"/>
        </w:rPr>
        <w:t xml:space="preserve"> gewaardeerd.</w:t>
      </w:r>
      <w:r w:rsidRPr="00371DE7" w:rsidR="00371DE7">
        <w:t xml:space="preserve"> </w:t>
      </w:r>
      <w:r w:rsidRPr="00371DE7" w:rsidR="00371DE7">
        <w:rPr>
          <w:rFonts w:ascii="Verdana" w:hAnsi="Verdana" w:eastAsia="Times New Roman" w:cs="Times New Roman"/>
          <w:sz w:val="18"/>
          <w:szCs w:val="18"/>
        </w:rPr>
        <w:t xml:space="preserve">Het </w:t>
      </w:r>
      <w:r w:rsidR="00C56276">
        <w:rPr>
          <w:rFonts w:ascii="Verdana" w:hAnsi="Verdana" w:eastAsia="Times New Roman" w:cs="Times New Roman"/>
          <w:sz w:val="18"/>
          <w:szCs w:val="18"/>
        </w:rPr>
        <w:t xml:space="preserve">nader criterium </w:t>
      </w:r>
      <w:r w:rsidR="00043C84">
        <w:rPr>
          <w:rFonts w:ascii="Verdana" w:hAnsi="Verdana" w:eastAsia="Times New Roman" w:cs="Times New Roman"/>
          <w:sz w:val="18"/>
          <w:szCs w:val="18"/>
        </w:rPr>
        <w:t>met betrekking tot de</w:t>
      </w:r>
      <w:r w:rsidDel="00C56276" w:rsidR="00CB716E">
        <w:rPr>
          <w:rFonts w:ascii="Verdana" w:hAnsi="Verdana" w:eastAsia="Times New Roman" w:cs="Times New Roman"/>
          <w:sz w:val="18"/>
          <w:szCs w:val="18"/>
        </w:rPr>
        <w:t xml:space="preserve"> </w:t>
      </w:r>
      <w:r w:rsidR="00CB716E">
        <w:rPr>
          <w:rFonts w:ascii="Verdana" w:hAnsi="Verdana" w:eastAsia="Times New Roman" w:cs="Times New Roman"/>
          <w:sz w:val="18"/>
          <w:szCs w:val="18"/>
        </w:rPr>
        <w:t>milieuprestatie</w:t>
      </w:r>
      <w:r w:rsidR="00043C84">
        <w:rPr>
          <w:rFonts w:ascii="Verdana" w:hAnsi="Verdana" w:eastAsia="Times New Roman" w:cs="Times New Roman"/>
          <w:sz w:val="18"/>
          <w:szCs w:val="18"/>
        </w:rPr>
        <w:t xml:space="preserve"> van GWW-werken</w:t>
      </w:r>
      <w:r w:rsidR="00CB716E">
        <w:rPr>
          <w:rFonts w:ascii="Verdana" w:hAnsi="Verdana" w:eastAsia="Times New Roman" w:cs="Times New Roman"/>
          <w:sz w:val="18"/>
          <w:szCs w:val="18"/>
        </w:rPr>
        <w:t xml:space="preserve"> </w:t>
      </w:r>
      <w:r w:rsidRPr="00371DE7" w:rsidR="00371DE7">
        <w:rPr>
          <w:rFonts w:ascii="Verdana" w:hAnsi="Verdana" w:eastAsia="Times New Roman" w:cs="Times New Roman"/>
          <w:sz w:val="18"/>
          <w:szCs w:val="18"/>
        </w:rPr>
        <w:t xml:space="preserve">zorgt </w:t>
      </w:r>
      <w:r w:rsidR="00371DE7">
        <w:rPr>
          <w:rFonts w:ascii="Verdana" w:hAnsi="Verdana" w:eastAsia="Times New Roman" w:cs="Times New Roman"/>
          <w:sz w:val="18"/>
          <w:szCs w:val="18"/>
        </w:rPr>
        <w:t>er dan voor dat ook</w:t>
      </w:r>
      <w:r w:rsidRPr="00371DE7" w:rsidR="00371DE7">
        <w:rPr>
          <w:rFonts w:ascii="Verdana" w:hAnsi="Verdana" w:eastAsia="Times New Roman" w:cs="Times New Roman"/>
          <w:sz w:val="18"/>
          <w:szCs w:val="18"/>
        </w:rPr>
        <w:t xml:space="preserve"> </w:t>
      </w:r>
      <w:r w:rsidR="00371DE7">
        <w:rPr>
          <w:rFonts w:ascii="Verdana" w:hAnsi="Verdana" w:eastAsia="Times New Roman" w:cs="Times New Roman"/>
          <w:sz w:val="18"/>
          <w:szCs w:val="18"/>
        </w:rPr>
        <w:t>voor</w:t>
      </w:r>
      <w:r w:rsidRPr="00371DE7" w:rsidR="00371DE7">
        <w:rPr>
          <w:rFonts w:ascii="Verdana" w:hAnsi="Verdana" w:eastAsia="Times New Roman" w:cs="Times New Roman"/>
          <w:sz w:val="18"/>
          <w:szCs w:val="18"/>
        </w:rPr>
        <w:t xml:space="preserve"> materialen waar met de eerste verplichting niet op wordt gestuurd duurzamere keuzes worden gemaakt. Naarmate een groter aandeel van het toegepaste materiaal in het GWW-werk circulaire en duurzame materialen betreft met een lage milieu-impact, wordt de inschrijving hoger gewaardeerd. Door een aanbieding te maken met een lagere milieu-impact maken aannemers dus een grotere kans om een werk te winnen of om met een hogere prijs in te schrijven. Hiermee krijgen vooruitstrevende partijen de kans om (extra) investeringen ten behoeve van verduurzaming terug te verdienen. </w:t>
      </w:r>
    </w:p>
    <w:bookmarkEnd w:id="19"/>
    <w:p w:rsidRPr="00E43A50" w:rsidR="005F1784" w:rsidP="00643E93" w:rsidRDefault="005F1784" w14:paraId="4C8B4F1C" w14:textId="77777777">
      <w:pPr>
        <w:spacing w:after="0" w:line="276" w:lineRule="auto"/>
        <w:rPr>
          <w:rFonts w:ascii="Verdana" w:hAnsi="Verdana" w:eastAsia="Times New Roman" w:cs="Times New Roman"/>
          <w:sz w:val="18"/>
          <w:szCs w:val="18"/>
        </w:rPr>
      </w:pPr>
    </w:p>
    <w:p w:rsidR="0083709A" w:rsidP="00643E93" w:rsidRDefault="00415C73" w14:paraId="53FF02F7" w14:textId="05888E83">
      <w:pPr>
        <w:spacing w:after="0" w:line="276" w:lineRule="auto"/>
        <w:rPr>
          <w:rFonts w:ascii="Verdana" w:hAnsi="Verdana" w:eastAsia="Times New Roman" w:cs="Times New Roman"/>
          <w:sz w:val="18"/>
          <w:szCs w:val="18"/>
          <w:lang w:eastAsia="nl-NL"/>
        </w:rPr>
      </w:pPr>
      <w:bookmarkStart w:name="_Hlk201640796" w:id="20"/>
      <w:r>
        <w:rPr>
          <w:rFonts w:ascii="Verdana" w:hAnsi="Verdana" w:eastAsia="Times New Roman" w:cs="Times New Roman"/>
          <w:sz w:val="18"/>
          <w:szCs w:val="18"/>
          <w:lang w:eastAsia="nl-NL"/>
        </w:rPr>
        <w:t>A</w:t>
      </w:r>
      <w:r w:rsidR="0043376A">
        <w:rPr>
          <w:rFonts w:ascii="Verdana" w:hAnsi="Verdana" w:eastAsia="Times New Roman" w:cs="Times New Roman"/>
          <w:sz w:val="18"/>
          <w:szCs w:val="18"/>
          <w:lang w:eastAsia="nl-NL"/>
        </w:rPr>
        <w:t>anbestedende diensten en speciale-sectorbedrijven</w:t>
      </w:r>
      <w:r w:rsidRPr="00F5605C" w:rsidR="0043376A">
        <w:rPr>
          <w:rFonts w:ascii="Verdana" w:hAnsi="Verdana" w:eastAsia="Times New Roman" w:cs="Times New Roman"/>
          <w:sz w:val="18"/>
          <w:szCs w:val="18"/>
          <w:lang w:eastAsia="nl-NL"/>
        </w:rPr>
        <w:t xml:space="preserve"> </w:t>
      </w:r>
      <w:r w:rsidRPr="00E43A50" w:rsidR="00DF5FA5">
        <w:rPr>
          <w:rFonts w:ascii="Verdana" w:hAnsi="Verdana" w:eastAsia="Times New Roman" w:cs="Times New Roman"/>
          <w:sz w:val="18"/>
          <w:szCs w:val="18"/>
          <w:lang w:eastAsia="nl-NL"/>
        </w:rPr>
        <w:t xml:space="preserve">worden verplicht om bij de aanbesteding van GWW-werken die een bepaalde </w:t>
      </w:r>
      <w:r w:rsidR="009C45FE">
        <w:rPr>
          <w:rFonts w:ascii="Verdana" w:hAnsi="Verdana" w:eastAsia="Times New Roman" w:cs="Times New Roman"/>
          <w:sz w:val="18"/>
          <w:szCs w:val="18"/>
          <w:lang w:eastAsia="nl-NL"/>
        </w:rPr>
        <w:t>minimum geraamde opdrachtwaarde</w:t>
      </w:r>
      <w:r w:rsidRPr="005B4CB1" w:rsidR="009C45FE">
        <w:rPr>
          <w:rFonts w:ascii="Verdana" w:hAnsi="Verdana" w:eastAsia="Times New Roman" w:cs="Times New Roman"/>
          <w:sz w:val="18"/>
          <w:szCs w:val="18"/>
          <w:lang w:eastAsia="nl-NL"/>
        </w:rPr>
        <w:t xml:space="preserve"> </w:t>
      </w:r>
      <w:r w:rsidRPr="00E43A50" w:rsidR="00DF5FA5">
        <w:rPr>
          <w:rFonts w:ascii="Verdana" w:hAnsi="Verdana" w:eastAsia="Times New Roman" w:cs="Times New Roman"/>
          <w:sz w:val="18"/>
          <w:szCs w:val="18"/>
          <w:lang w:eastAsia="nl-NL"/>
        </w:rPr>
        <w:t>overschrij</w:t>
      </w:r>
      <w:r w:rsidRPr="00E43A50" w:rsidR="00164F3C">
        <w:rPr>
          <w:rFonts w:ascii="Verdana" w:hAnsi="Verdana" w:eastAsia="Times New Roman" w:cs="Times New Roman"/>
          <w:sz w:val="18"/>
          <w:szCs w:val="18"/>
          <w:lang w:eastAsia="nl-NL"/>
        </w:rPr>
        <w:t>d</w:t>
      </w:r>
      <w:r w:rsidRPr="00E43A50" w:rsidR="00DF5FA5">
        <w:rPr>
          <w:rFonts w:ascii="Verdana" w:hAnsi="Verdana" w:eastAsia="Times New Roman" w:cs="Times New Roman"/>
          <w:sz w:val="18"/>
          <w:szCs w:val="18"/>
          <w:lang w:eastAsia="nl-NL"/>
        </w:rPr>
        <w:t xml:space="preserve">en milieuprestatie als </w:t>
      </w:r>
      <w:r w:rsidR="00C56276">
        <w:rPr>
          <w:rFonts w:ascii="Verdana" w:hAnsi="Verdana" w:eastAsia="Times New Roman" w:cs="Times New Roman"/>
          <w:sz w:val="18"/>
          <w:szCs w:val="18"/>
          <w:lang w:eastAsia="nl-NL"/>
        </w:rPr>
        <w:t xml:space="preserve">nader criterium </w:t>
      </w:r>
      <w:r w:rsidRPr="00E43A50" w:rsidR="00DF5FA5">
        <w:rPr>
          <w:rFonts w:ascii="Verdana" w:hAnsi="Verdana" w:eastAsia="Times New Roman" w:cs="Times New Roman"/>
          <w:sz w:val="18"/>
          <w:szCs w:val="18"/>
          <w:lang w:eastAsia="nl-NL"/>
        </w:rPr>
        <w:t xml:space="preserve">mee te nemen in </w:t>
      </w:r>
      <w:r w:rsidRPr="00E43A50" w:rsidDel="00C56276" w:rsidR="00DF5FA5">
        <w:rPr>
          <w:rFonts w:ascii="Verdana" w:hAnsi="Verdana" w:eastAsia="Times New Roman" w:cs="Times New Roman"/>
          <w:sz w:val="18"/>
          <w:szCs w:val="18"/>
          <w:lang w:eastAsia="nl-NL"/>
        </w:rPr>
        <w:t xml:space="preserve">de </w:t>
      </w:r>
      <w:r w:rsidRPr="00E43A50" w:rsidR="00DF5FA5">
        <w:rPr>
          <w:rFonts w:ascii="Verdana" w:hAnsi="Verdana" w:eastAsia="Times New Roman" w:cs="Times New Roman"/>
          <w:sz w:val="18"/>
          <w:szCs w:val="18"/>
          <w:lang w:eastAsia="nl-NL"/>
        </w:rPr>
        <w:t>afweging</w:t>
      </w:r>
      <w:r w:rsidRPr="00E43A50" w:rsidR="002822F2">
        <w:rPr>
          <w:rFonts w:ascii="Verdana" w:hAnsi="Verdana" w:eastAsia="Times New Roman" w:cs="Times New Roman"/>
          <w:sz w:val="18"/>
          <w:szCs w:val="18"/>
          <w:lang w:eastAsia="nl-NL"/>
        </w:rPr>
        <w:t xml:space="preserve">. </w:t>
      </w:r>
      <w:r w:rsidRPr="00E43A50" w:rsidR="00DF5FA5">
        <w:rPr>
          <w:rFonts w:ascii="Verdana" w:hAnsi="Verdana" w:eastAsia="Times New Roman" w:cs="Times New Roman"/>
          <w:sz w:val="18"/>
          <w:szCs w:val="18"/>
          <w:lang w:eastAsia="nl-NL"/>
        </w:rPr>
        <w:t>Hiermee</w:t>
      </w:r>
      <w:r w:rsidRPr="00E43A50" w:rsidR="002822F2">
        <w:rPr>
          <w:rFonts w:ascii="Verdana" w:hAnsi="Verdana" w:eastAsia="Times New Roman" w:cs="Times New Roman"/>
          <w:sz w:val="18"/>
          <w:szCs w:val="18"/>
          <w:lang w:eastAsia="nl-NL"/>
        </w:rPr>
        <w:t xml:space="preserve"> wordt aangesloten op de Aanbestedingswet</w:t>
      </w:r>
      <w:r w:rsidR="009412F1">
        <w:rPr>
          <w:rFonts w:ascii="Verdana" w:hAnsi="Verdana" w:eastAsia="Times New Roman" w:cs="Times New Roman"/>
          <w:sz w:val="18"/>
          <w:szCs w:val="18"/>
          <w:lang w:eastAsia="nl-NL"/>
        </w:rPr>
        <w:t xml:space="preserve"> 2012</w:t>
      </w:r>
      <w:r w:rsidRPr="00E43A50" w:rsidR="002822F2">
        <w:rPr>
          <w:rFonts w:ascii="Verdana" w:hAnsi="Verdana" w:eastAsia="Times New Roman" w:cs="Times New Roman"/>
          <w:sz w:val="18"/>
          <w:szCs w:val="18"/>
          <w:lang w:eastAsia="nl-NL"/>
        </w:rPr>
        <w:t>. Daarin is opgenomen dat het voor Europese aanbestedingen en aanbestedingen op grond van het Aanbestedingsreglement Werken 2016 (ARW 2016)</w:t>
      </w:r>
      <w:r w:rsidRPr="00E43A50" w:rsidR="002822F2">
        <w:rPr>
          <w:rStyle w:val="Voetnootmarkering"/>
          <w:rFonts w:ascii="Verdana" w:hAnsi="Verdana" w:eastAsia="Times New Roman" w:cs="Times New Roman"/>
          <w:sz w:val="18"/>
          <w:szCs w:val="18"/>
          <w:lang w:eastAsia="nl-NL"/>
        </w:rPr>
        <w:footnoteReference w:id="22"/>
      </w:r>
      <w:r w:rsidRPr="00E43A50" w:rsidR="002822F2">
        <w:rPr>
          <w:rFonts w:ascii="Verdana" w:hAnsi="Verdana" w:eastAsia="Times New Roman" w:cs="Times New Roman"/>
          <w:sz w:val="18"/>
          <w:szCs w:val="18"/>
          <w:lang w:eastAsia="nl-NL"/>
        </w:rPr>
        <w:t xml:space="preserve"> verplicht is om BPKV als gunningscriterium toe te passen. BPKV staat hierin voor Beste Prijs-Kwaliteitverhouding, waarmee wordt bedoeld dat naast prijs, ook </w:t>
      </w:r>
      <w:r w:rsidR="0083709A">
        <w:rPr>
          <w:rFonts w:ascii="Verdana" w:hAnsi="Verdana" w:eastAsia="Times New Roman" w:cs="Times New Roman"/>
          <w:sz w:val="18"/>
          <w:szCs w:val="18"/>
          <w:lang w:eastAsia="nl-NL"/>
        </w:rPr>
        <w:t>één of meerdere</w:t>
      </w:r>
      <w:r w:rsidRPr="00E43A50" w:rsidR="002822F2">
        <w:rPr>
          <w:rFonts w:ascii="Verdana" w:hAnsi="Verdana" w:eastAsia="Times New Roman" w:cs="Times New Roman"/>
          <w:sz w:val="18"/>
          <w:szCs w:val="18"/>
          <w:lang w:eastAsia="nl-NL"/>
        </w:rPr>
        <w:t xml:space="preserve"> </w:t>
      </w:r>
      <w:r w:rsidR="00C56276">
        <w:rPr>
          <w:rFonts w:ascii="Verdana" w:hAnsi="Verdana" w:eastAsia="Times New Roman" w:cs="Times New Roman"/>
          <w:sz w:val="18"/>
          <w:szCs w:val="18"/>
          <w:lang w:eastAsia="nl-NL"/>
        </w:rPr>
        <w:t>nadere criteria me</w:t>
      </w:r>
      <w:r w:rsidRPr="00E43A50" w:rsidR="002822F2">
        <w:rPr>
          <w:rFonts w:ascii="Verdana" w:hAnsi="Verdana" w:eastAsia="Times New Roman" w:cs="Times New Roman"/>
          <w:sz w:val="18"/>
          <w:szCs w:val="18"/>
          <w:lang w:eastAsia="nl-NL"/>
        </w:rPr>
        <w:t>ewegen in de aanbesteding</w:t>
      </w:r>
      <w:r w:rsidR="00C56276">
        <w:rPr>
          <w:rFonts w:ascii="Verdana" w:hAnsi="Verdana" w:eastAsia="Times New Roman" w:cs="Times New Roman"/>
          <w:sz w:val="18"/>
          <w:szCs w:val="18"/>
          <w:lang w:eastAsia="nl-NL"/>
        </w:rPr>
        <w:t xml:space="preserve"> die gebruik</w:t>
      </w:r>
      <w:r w:rsidR="00BE5C82">
        <w:rPr>
          <w:rFonts w:ascii="Verdana" w:hAnsi="Verdana" w:eastAsia="Times New Roman" w:cs="Times New Roman"/>
          <w:sz w:val="18"/>
          <w:szCs w:val="18"/>
          <w:lang w:eastAsia="nl-NL"/>
        </w:rPr>
        <w:t>t</w:t>
      </w:r>
      <w:r w:rsidR="00C56276">
        <w:rPr>
          <w:rFonts w:ascii="Verdana" w:hAnsi="Verdana" w:eastAsia="Times New Roman" w:cs="Times New Roman"/>
          <w:sz w:val="18"/>
          <w:szCs w:val="18"/>
          <w:lang w:eastAsia="nl-NL"/>
        </w:rPr>
        <w:t xml:space="preserve"> worden om een inschrijving te beoordelen op kwaliteit</w:t>
      </w:r>
      <w:r w:rsidRPr="00E43A50" w:rsidR="002822F2">
        <w:rPr>
          <w:rFonts w:ascii="Verdana" w:hAnsi="Verdana" w:eastAsia="Times New Roman" w:cs="Times New Roman"/>
          <w:sz w:val="18"/>
          <w:szCs w:val="18"/>
          <w:lang w:eastAsia="nl-NL"/>
        </w:rPr>
        <w:t xml:space="preserve">. </w:t>
      </w:r>
      <w:bookmarkStart w:name="_Hlk201640824" w:id="21"/>
      <w:bookmarkEnd w:id="20"/>
      <w:r w:rsidRPr="00E43A50" w:rsidR="002822F2">
        <w:rPr>
          <w:rFonts w:ascii="Verdana" w:hAnsi="Verdana" w:eastAsia="Times New Roman" w:cs="Times New Roman"/>
          <w:sz w:val="18"/>
          <w:szCs w:val="18"/>
          <w:lang w:eastAsia="nl-NL"/>
        </w:rPr>
        <w:t xml:space="preserve">In dit wetsvoorstel is een verplichting opgenomen dat één van deze </w:t>
      </w:r>
      <w:r w:rsidR="00C56276">
        <w:rPr>
          <w:rFonts w:ascii="Verdana" w:hAnsi="Verdana" w:eastAsia="Times New Roman" w:cs="Times New Roman"/>
          <w:sz w:val="18"/>
          <w:szCs w:val="18"/>
          <w:lang w:eastAsia="nl-NL"/>
        </w:rPr>
        <w:t xml:space="preserve">nadere criteria </w:t>
      </w:r>
      <w:r w:rsidR="00E54192">
        <w:rPr>
          <w:rFonts w:ascii="Verdana" w:hAnsi="Verdana" w:eastAsia="Times New Roman" w:cs="Times New Roman"/>
          <w:sz w:val="18"/>
          <w:szCs w:val="18"/>
          <w:lang w:eastAsia="nl-NL"/>
        </w:rPr>
        <w:t>het</w:t>
      </w:r>
      <w:r w:rsidRPr="00E43A50" w:rsidR="00E54192">
        <w:rPr>
          <w:rFonts w:ascii="Verdana" w:hAnsi="Verdana" w:eastAsia="Times New Roman" w:cs="Times New Roman"/>
          <w:sz w:val="18"/>
          <w:szCs w:val="18"/>
          <w:lang w:eastAsia="nl-NL"/>
        </w:rPr>
        <w:t xml:space="preserve"> </w:t>
      </w:r>
      <w:r w:rsidRPr="00E43A50" w:rsidR="00DF5FA5">
        <w:rPr>
          <w:rFonts w:ascii="Verdana" w:hAnsi="Verdana" w:eastAsia="Times New Roman" w:cs="Times New Roman"/>
          <w:sz w:val="18"/>
          <w:szCs w:val="18"/>
          <w:lang w:eastAsia="nl-NL"/>
        </w:rPr>
        <w:t xml:space="preserve">bij amvb vastgestelde </w:t>
      </w:r>
      <w:r w:rsidR="00C56276">
        <w:rPr>
          <w:rFonts w:ascii="Verdana" w:hAnsi="Verdana" w:eastAsia="Times New Roman" w:cs="Times New Roman"/>
          <w:sz w:val="18"/>
          <w:szCs w:val="18"/>
          <w:lang w:eastAsia="nl-NL"/>
        </w:rPr>
        <w:t xml:space="preserve">criterium </w:t>
      </w:r>
      <w:r w:rsidR="00E54192">
        <w:rPr>
          <w:rFonts w:ascii="Verdana" w:hAnsi="Verdana" w:eastAsia="Times New Roman" w:cs="Times New Roman"/>
          <w:sz w:val="18"/>
          <w:szCs w:val="18"/>
          <w:lang w:eastAsia="nl-NL"/>
        </w:rPr>
        <w:t xml:space="preserve">op </w:t>
      </w:r>
      <w:r w:rsidRPr="00E43A50" w:rsidR="002822F2">
        <w:rPr>
          <w:rFonts w:ascii="Verdana" w:hAnsi="Verdana" w:eastAsia="Times New Roman" w:cs="Times New Roman"/>
          <w:sz w:val="18"/>
          <w:szCs w:val="18"/>
          <w:lang w:eastAsia="nl-NL"/>
        </w:rPr>
        <w:t>milieuprestatie</w:t>
      </w:r>
      <w:r w:rsidRPr="00E43A50" w:rsidDel="00C56276" w:rsidR="002822F2">
        <w:rPr>
          <w:rFonts w:ascii="Verdana" w:hAnsi="Verdana" w:eastAsia="Times New Roman" w:cs="Times New Roman"/>
          <w:sz w:val="18"/>
          <w:szCs w:val="18"/>
          <w:lang w:eastAsia="nl-NL"/>
        </w:rPr>
        <w:t xml:space="preserve"> is</w:t>
      </w:r>
      <w:r w:rsidRPr="00E43A50" w:rsidR="002822F2">
        <w:rPr>
          <w:rFonts w:ascii="Verdana" w:hAnsi="Verdana" w:eastAsia="Times New Roman" w:cs="Times New Roman"/>
          <w:sz w:val="18"/>
          <w:szCs w:val="18"/>
          <w:lang w:eastAsia="nl-NL"/>
        </w:rPr>
        <w:t xml:space="preserve">. Hiermee wordt de milieuprestatie van een inschrijving </w:t>
      </w:r>
      <w:r w:rsidR="00BA4156">
        <w:rPr>
          <w:rFonts w:ascii="Verdana" w:hAnsi="Verdana" w:eastAsia="Times New Roman" w:cs="Times New Roman"/>
          <w:sz w:val="18"/>
          <w:szCs w:val="18"/>
          <w:lang w:eastAsia="nl-NL"/>
        </w:rPr>
        <w:t>meegenomen</w:t>
      </w:r>
      <w:r w:rsidRPr="00E43A50" w:rsidR="00BA4156">
        <w:rPr>
          <w:rFonts w:ascii="Verdana" w:hAnsi="Verdana" w:eastAsia="Times New Roman" w:cs="Times New Roman"/>
          <w:sz w:val="18"/>
          <w:szCs w:val="18"/>
          <w:lang w:eastAsia="nl-NL"/>
        </w:rPr>
        <w:t xml:space="preserve"> </w:t>
      </w:r>
      <w:r w:rsidRPr="00E43A50" w:rsidR="002822F2">
        <w:rPr>
          <w:rFonts w:ascii="Verdana" w:hAnsi="Verdana" w:eastAsia="Times New Roman" w:cs="Times New Roman"/>
          <w:sz w:val="18"/>
          <w:szCs w:val="18"/>
          <w:lang w:eastAsia="nl-NL"/>
        </w:rPr>
        <w:t xml:space="preserve">in de gunningsbeslissing. Het doel is om de </w:t>
      </w:r>
      <w:r w:rsidR="00E54192">
        <w:rPr>
          <w:rFonts w:ascii="Verdana" w:hAnsi="Verdana" w:eastAsia="Times New Roman" w:cs="Times New Roman"/>
          <w:sz w:val="18"/>
          <w:szCs w:val="18"/>
          <w:lang w:eastAsia="nl-NL"/>
        </w:rPr>
        <w:t>milieubelasting</w:t>
      </w:r>
      <w:r w:rsidRPr="00E43A50" w:rsidR="00E54192">
        <w:rPr>
          <w:rFonts w:ascii="Verdana" w:hAnsi="Verdana" w:eastAsia="Times New Roman" w:cs="Times New Roman"/>
          <w:sz w:val="18"/>
          <w:szCs w:val="18"/>
          <w:lang w:eastAsia="nl-NL"/>
        </w:rPr>
        <w:t xml:space="preserve"> </w:t>
      </w:r>
      <w:r w:rsidRPr="00E43A50" w:rsidR="002822F2">
        <w:rPr>
          <w:rFonts w:ascii="Verdana" w:hAnsi="Verdana" w:eastAsia="Times New Roman" w:cs="Times New Roman"/>
          <w:sz w:val="18"/>
          <w:szCs w:val="18"/>
          <w:lang w:eastAsia="nl-NL"/>
        </w:rPr>
        <w:t xml:space="preserve">van </w:t>
      </w:r>
      <w:r w:rsidRPr="00E43A50" w:rsidR="00DF5FA5">
        <w:rPr>
          <w:rFonts w:ascii="Verdana" w:hAnsi="Verdana" w:eastAsia="Times New Roman" w:cs="Times New Roman"/>
          <w:sz w:val="18"/>
          <w:szCs w:val="18"/>
          <w:lang w:eastAsia="nl-NL"/>
        </w:rPr>
        <w:t>GWW-werken</w:t>
      </w:r>
      <w:r w:rsidRPr="00E43A50" w:rsidR="002822F2">
        <w:rPr>
          <w:rFonts w:ascii="Verdana" w:hAnsi="Verdana" w:eastAsia="Times New Roman" w:cs="Times New Roman"/>
          <w:sz w:val="18"/>
          <w:szCs w:val="18"/>
          <w:lang w:eastAsia="nl-NL"/>
        </w:rPr>
        <w:t xml:space="preserve"> te </w:t>
      </w:r>
      <w:r w:rsidR="00E54192">
        <w:rPr>
          <w:rFonts w:ascii="Verdana" w:hAnsi="Verdana" w:eastAsia="Times New Roman" w:cs="Times New Roman"/>
          <w:sz w:val="18"/>
          <w:szCs w:val="18"/>
          <w:lang w:eastAsia="nl-NL"/>
        </w:rPr>
        <w:t>beperken</w:t>
      </w:r>
      <w:r w:rsidRPr="00E43A50" w:rsidR="002822F2">
        <w:rPr>
          <w:rFonts w:ascii="Verdana" w:hAnsi="Verdana" w:eastAsia="Times New Roman" w:cs="Times New Roman"/>
          <w:sz w:val="18"/>
          <w:szCs w:val="18"/>
          <w:lang w:eastAsia="nl-NL"/>
        </w:rPr>
        <w:t>, zowel door het verbeteren van</w:t>
      </w:r>
      <w:r w:rsidRPr="00E43A50" w:rsidR="00DF5FA5">
        <w:rPr>
          <w:rFonts w:ascii="Verdana" w:hAnsi="Verdana" w:eastAsia="Times New Roman" w:cs="Times New Roman"/>
          <w:sz w:val="18"/>
          <w:szCs w:val="18"/>
          <w:lang w:eastAsia="nl-NL"/>
        </w:rPr>
        <w:t xml:space="preserve"> product</w:t>
      </w:r>
      <w:r w:rsidRPr="00E43A50" w:rsidR="002822F2">
        <w:rPr>
          <w:rFonts w:ascii="Verdana" w:hAnsi="Verdana" w:eastAsia="Times New Roman" w:cs="Times New Roman"/>
          <w:sz w:val="18"/>
          <w:szCs w:val="18"/>
          <w:lang w:eastAsia="nl-NL"/>
        </w:rPr>
        <w:t xml:space="preserve">prestaties als met andere ontwerpkeuzes. </w:t>
      </w:r>
      <w:r w:rsidR="0083709A">
        <w:rPr>
          <w:rFonts w:ascii="Verdana" w:hAnsi="Verdana" w:eastAsia="Times New Roman" w:cs="Times New Roman"/>
          <w:sz w:val="18"/>
          <w:szCs w:val="18"/>
          <w:lang w:eastAsia="nl-NL"/>
        </w:rPr>
        <w:t xml:space="preserve">De rekenmethodiek voor de bepaling van </w:t>
      </w:r>
      <w:r w:rsidR="00E54192">
        <w:rPr>
          <w:rFonts w:ascii="Verdana" w:hAnsi="Verdana" w:eastAsia="Times New Roman" w:cs="Times New Roman"/>
          <w:sz w:val="18"/>
          <w:szCs w:val="18"/>
          <w:lang w:eastAsia="nl-NL"/>
        </w:rPr>
        <w:t xml:space="preserve">de milieuprestatie als </w:t>
      </w:r>
      <w:r w:rsidR="00C56276">
        <w:rPr>
          <w:rFonts w:ascii="Verdana" w:hAnsi="Verdana" w:eastAsia="Times New Roman" w:cs="Times New Roman"/>
          <w:sz w:val="18"/>
          <w:szCs w:val="18"/>
          <w:lang w:eastAsia="nl-NL"/>
        </w:rPr>
        <w:t>nader c</w:t>
      </w:r>
      <w:r w:rsidR="00E54192">
        <w:rPr>
          <w:rFonts w:ascii="Verdana" w:hAnsi="Verdana" w:eastAsia="Times New Roman" w:cs="Times New Roman"/>
          <w:sz w:val="18"/>
          <w:szCs w:val="18"/>
          <w:lang w:eastAsia="nl-NL"/>
        </w:rPr>
        <w:t>riterium wo</w:t>
      </w:r>
      <w:r w:rsidR="0083709A">
        <w:rPr>
          <w:rFonts w:ascii="Verdana" w:hAnsi="Verdana" w:eastAsia="Times New Roman" w:cs="Times New Roman"/>
          <w:sz w:val="18"/>
          <w:szCs w:val="18"/>
          <w:lang w:eastAsia="nl-NL"/>
        </w:rPr>
        <w:t>rdt bij of krachtens amvb geregeld.</w:t>
      </w:r>
      <w:r w:rsidR="00BA4156">
        <w:rPr>
          <w:rFonts w:ascii="Verdana" w:hAnsi="Verdana" w:eastAsia="Times New Roman" w:cs="Times New Roman"/>
          <w:sz w:val="18"/>
          <w:szCs w:val="18"/>
          <w:lang w:eastAsia="nl-NL"/>
        </w:rPr>
        <w:t xml:space="preserve"> </w:t>
      </w:r>
    </w:p>
    <w:p w:rsidR="00CC7787" w:rsidP="00643E93" w:rsidRDefault="00CC7787" w14:paraId="727AC292" w14:textId="77777777">
      <w:pPr>
        <w:spacing w:after="0" w:line="276" w:lineRule="auto"/>
        <w:rPr>
          <w:rFonts w:ascii="Verdana" w:hAnsi="Verdana" w:eastAsia="Times New Roman" w:cs="Times New Roman"/>
          <w:sz w:val="18"/>
          <w:szCs w:val="18"/>
          <w:lang w:eastAsia="nl-NL"/>
        </w:rPr>
      </w:pPr>
    </w:p>
    <w:p w:rsidR="008D367D" w:rsidP="00643E93" w:rsidRDefault="0083709A" w14:paraId="66A358C1" w14:textId="06F9EB34">
      <w:pPr>
        <w:spacing w:after="0" w:line="276" w:lineRule="auto"/>
        <w:rPr>
          <w:rFonts w:ascii="Verdana" w:hAnsi="Verdana" w:eastAsia="Times New Roman" w:cs="Times New Roman"/>
          <w:sz w:val="18"/>
          <w:szCs w:val="18"/>
          <w:lang w:eastAsia="nl-NL"/>
        </w:rPr>
      </w:pPr>
      <w:bookmarkStart w:name="_Hlk208603434" w:id="22"/>
      <w:r>
        <w:rPr>
          <w:rFonts w:ascii="Verdana" w:hAnsi="Verdana" w:eastAsia="Times New Roman" w:cs="Times New Roman"/>
          <w:sz w:val="18"/>
          <w:szCs w:val="18"/>
          <w:lang w:eastAsia="nl-NL"/>
        </w:rPr>
        <w:t xml:space="preserve">Wanneer een kwantitatief criterium niet mogelijk is, </w:t>
      </w:r>
      <w:r w:rsidRPr="00E43A50">
        <w:rPr>
          <w:rFonts w:ascii="Verdana" w:hAnsi="Verdana" w:eastAsia="Times New Roman" w:cs="Times New Roman"/>
          <w:sz w:val="18"/>
          <w:szCs w:val="18"/>
          <w:lang w:eastAsia="nl-NL"/>
        </w:rPr>
        <w:t>bijvoorbeeld voor een raamcontract voor langjarige samenwerking</w:t>
      </w:r>
      <w:r>
        <w:rPr>
          <w:rFonts w:ascii="Verdana" w:hAnsi="Verdana" w:eastAsia="Times New Roman" w:cs="Times New Roman"/>
          <w:sz w:val="18"/>
          <w:szCs w:val="18"/>
          <w:lang w:eastAsia="nl-NL"/>
        </w:rPr>
        <w:t xml:space="preserve">, </w:t>
      </w:r>
      <w:r w:rsidR="008D367D">
        <w:rPr>
          <w:rFonts w:ascii="Verdana" w:hAnsi="Verdana" w:eastAsia="Times New Roman" w:cs="Times New Roman"/>
          <w:sz w:val="18"/>
          <w:szCs w:val="18"/>
          <w:lang w:eastAsia="nl-NL"/>
        </w:rPr>
        <w:t>is het ook mogelijk om een</w:t>
      </w:r>
      <w:r w:rsidRPr="00E43A50" w:rsidR="002822F2">
        <w:rPr>
          <w:rFonts w:ascii="Verdana" w:hAnsi="Verdana" w:eastAsia="Times New Roman" w:cs="Times New Roman"/>
          <w:sz w:val="18"/>
          <w:szCs w:val="18"/>
          <w:lang w:eastAsia="nl-NL"/>
        </w:rPr>
        <w:t xml:space="preserve"> kwalitatief criterium </w:t>
      </w:r>
      <w:r w:rsidR="008D367D">
        <w:rPr>
          <w:rFonts w:ascii="Verdana" w:hAnsi="Verdana" w:eastAsia="Times New Roman" w:cs="Times New Roman"/>
          <w:sz w:val="18"/>
          <w:szCs w:val="18"/>
          <w:lang w:eastAsia="nl-NL"/>
        </w:rPr>
        <w:t xml:space="preserve">toe te passen. Dit kan bijvoorbeeld </w:t>
      </w:r>
      <w:r w:rsidRPr="00E43A50" w:rsidR="002822F2">
        <w:rPr>
          <w:rFonts w:ascii="Verdana" w:hAnsi="Verdana" w:eastAsia="Times New Roman" w:cs="Times New Roman"/>
          <w:sz w:val="18"/>
          <w:szCs w:val="18"/>
          <w:lang w:eastAsia="nl-NL"/>
        </w:rPr>
        <w:t xml:space="preserve">in de vorm van een plan van aanpak voor </w:t>
      </w:r>
      <w:r w:rsidR="00580230">
        <w:rPr>
          <w:rFonts w:ascii="Verdana" w:hAnsi="Verdana" w:eastAsia="Times New Roman" w:cs="Times New Roman"/>
          <w:sz w:val="18"/>
          <w:szCs w:val="18"/>
          <w:lang w:eastAsia="nl-NL"/>
        </w:rPr>
        <w:t xml:space="preserve">het beperken </w:t>
      </w:r>
      <w:r w:rsidRPr="00E43A50" w:rsidR="002822F2">
        <w:rPr>
          <w:rFonts w:ascii="Verdana" w:hAnsi="Verdana" w:eastAsia="Times New Roman" w:cs="Times New Roman"/>
          <w:sz w:val="18"/>
          <w:szCs w:val="18"/>
          <w:lang w:eastAsia="nl-NL"/>
        </w:rPr>
        <w:t xml:space="preserve">van de </w:t>
      </w:r>
      <w:r w:rsidR="00580230">
        <w:rPr>
          <w:rFonts w:ascii="Verdana" w:hAnsi="Verdana" w:eastAsia="Times New Roman" w:cs="Times New Roman"/>
          <w:sz w:val="18"/>
          <w:szCs w:val="18"/>
          <w:lang w:eastAsia="nl-NL"/>
        </w:rPr>
        <w:t xml:space="preserve">milieubelasting </w:t>
      </w:r>
      <w:r w:rsidRPr="00E43A50" w:rsidR="002822F2">
        <w:rPr>
          <w:rFonts w:ascii="Verdana" w:hAnsi="Verdana" w:eastAsia="Times New Roman" w:cs="Times New Roman"/>
          <w:sz w:val="18"/>
          <w:szCs w:val="18"/>
          <w:lang w:eastAsia="nl-NL"/>
        </w:rPr>
        <w:t xml:space="preserve">bij het maken van ontwerpkeuzes. </w:t>
      </w:r>
      <w:r w:rsidR="008D367D">
        <w:rPr>
          <w:rFonts w:ascii="Verdana" w:hAnsi="Verdana" w:eastAsia="Times New Roman" w:cs="Times New Roman"/>
          <w:sz w:val="18"/>
          <w:szCs w:val="18"/>
          <w:lang w:eastAsia="nl-NL"/>
        </w:rPr>
        <w:t xml:space="preserve">De precieze uitwerking hiervan wordt bij of krachtens amvb geregeld. </w:t>
      </w:r>
      <w:bookmarkEnd w:id="22"/>
      <w:r w:rsidR="008D367D">
        <w:rPr>
          <w:rFonts w:ascii="Verdana" w:hAnsi="Verdana" w:eastAsia="Times New Roman" w:cs="Times New Roman"/>
          <w:sz w:val="18"/>
          <w:szCs w:val="18"/>
          <w:lang w:eastAsia="nl-NL"/>
        </w:rPr>
        <w:t>Door de voorgestelde verplichting in de gunning</w:t>
      </w:r>
      <w:r w:rsidRPr="00E43A50" w:rsidR="002822F2">
        <w:rPr>
          <w:rFonts w:ascii="Verdana" w:hAnsi="Verdana" w:eastAsia="Times New Roman" w:cs="Times New Roman"/>
          <w:sz w:val="18"/>
          <w:szCs w:val="18"/>
          <w:lang w:eastAsia="nl-NL"/>
        </w:rPr>
        <w:t xml:space="preserve"> wordt er aanvullend </w:t>
      </w:r>
      <w:r w:rsidR="009412F1">
        <w:rPr>
          <w:rFonts w:ascii="Verdana" w:hAnsi="Verdana" w:eastAsia="Times New Roman" w:cs="Times New Roman"/>
          <w:sz w:val="18"/>
          <w:szCs w:val="18"/>
          <w:lang w:eastAsia="nl-NL"/>
        </w:rPr>
        <w:t>gestuurd</w:t>
      </w:r>
      <w:r w:rsidRPr="00E43A50" w:rsidR="002822F2">
        <w:rPr>
          <w:rFonts w:ascii="Verdana" w:hAnsi="Verdana" w:eastAsia="Times New Roman" w:cs="Times New Roman"/>
          <w:sz w:val="18"/>
          <w:szCs w:val="18"/>
          <w:lang w:eastAsia="nl-NL"/>
        </w:rPr>
        <w:t xml:space="preserve"> </w:t>
      </w:r>
      <w:r w:rsidR="008D367D">
        <w:rPr>
          <w:rFonts w:ascii="Verdana" w:hAnsi="Verdana" w:eastAsia="Times New Roman" w:cs="Times New Roman"/>
          <w:sz w:val="18"/>
          <w:szCs w:val="18"/>
          <w:lang w:eastAsia="nl-NL"/>
        </w:rPr>
        <w:t>op de</w:t>
      </w:r>
      <w:r w:rsidRPr="00E43A50" w:rsidR="002822F2">
        <w:rPr>
          <w:rFonts w:ascii="Verdana" w:hAnsi="Verdana" w:eastAsia="Times New Roman" w:cs="Times New Roman"/>
          <w:sz w:val="18"/>
          <w:szCs w:val="18"/>
          <w:lang w:eastAsia="nl-NL"/>
        </w:rPr>
        <w:t xml:space="preserve"> milieuprestatie</w:t>
      </w:r>
      <w:r w:rsidR="00580230">
        <w:rPr>
          <w:rFonts w:ascii="Verdana" w:hAnsi="Verdana" w:eastAsia="Times New Roman" w:cs="Times New Roman"/>
          <w:sz w:val="18"/>
          <w:szCs w:val="18"/>
          <w:lang w:eastAsia="nl-NL"/>
        </w:rPr>
        <w:t>-eisen</w:t>
      </w:r>
      <w:r w:rsidRPr="00E43A50" w:rsidR="002822F2">
        <w:rPr>
          <w:rFonts w:ascii="Verdana" w:hAnsi="Verdana" w:eastAsia="Times New Roman" w:cs="Times New Roman"/>
          <w:sz w:val="18"/>
          <w:szCs w:val="18"/>
          <w:lang w:eastAsia="nl-NL"/>
        </w:rPr>
        <w:t xml:space="preserve"> op </w:t>
      </w:r>
      <w:r w:rsidR="00415C73">
        <w:rPr>
          <w:rFonts w:ascii="Verdana" w:hAnsi="Verdana" w:eastAsia="Times New Roman" w:cs="Times New Roman"/>
          <w:sz w:val="18"/>
          <w:szCs w:val="18"/>
          <w:lang w:eastAsia="nl-NL"/>
        </w:rPr>
        <w:t xml:space="preserve">materiaal of </w:t>
      </w:r>
      <w:r w:rsidRPr="00E43A50" w:rsidR="00DF5FA5">
        <w:rPr>
          <w:rFonts w:ascii="Verdana" w:hAnsi="Verdana" w:eastAsia="Times New Roman" w:cs="Times New Roman"/>
          <w:sz w:val="18"/>
          <w:szCs w:val="18"/>
          <w:lang w:eastAsia="nl-NL"/>
        </w:rPr>
        <w:t>product</w:t>
      </w:r>
      <w:r w:rsidRPr="00E43A50" w:rsidR="002822F2">
        <w:rPr>
          <w:rFonts w:ascii="Verdana" w:hAnsi="Verdana" w:eastAsia="Times New Roman" w:cs="Times New Roman"/>
          <w:sz w:val="18"/>
          <w:szCs w:val="18"/>
          <w:lang w:eastAsia="nl-NL"/>
        </w:rPr>
        <w:t>niveau (eerste wijziging)</w:t>
      </w:r>
      <w:r w:rsidR="008D367D">
        <w:rPr>
          <w:rFonts w:ascii="Verdana" w:hAnsi="Verdana" w:eastAsia="Times New Roman" w:cs="Times New Roman"/>
          <w:sz w:val="18"/>
          <w:szCs w:val="18"/>
          <w:lang w:eastAsia="nl-NL"/>
        </w:rPr>
        <w:t xml:space="preserve"> op het niveau van het gehele werk</w:t>
      </w:r>
      <w:r w:rsidRPr="00E43A50" w:rsidR="002822F2">
        <w:rPr>
          <w:rFonts w:ascii="Verdana" w:hAnsi="Verdana" w:eastAsia="Times New Roman" w:cs="Times New Roman"/>
          <w:sz w:val="18"/>
          <w:szCs w:val="18"/>
          <w:lang w:eastAsia="nl-NL"/>
        </w:rPr>
        <w:t xml:space="preserve">. </w:t>
      </w:r>
      <w:r w:rsidR="00BA4156">
        <w:rPr>
          <w:rFonts w:ascii="Verdana" w:hAnsi="Verdana" w:eastAsia="Times New Roman" w:cs="Times New Roman"/>
          <w:sz w:val="18"/>
          <w:szCs w:val="18"/>
          <w:lang w:eastAsia="nl-NL"/>
        </w:rPr>
        <w:t>Uit aanbestedingsrichtlijnen</w:t>
      </w:r>
      <w:r w:rsidRPr="00BA4156" w:rsidR="00BA4156">
        <w:rPr>
          <w:rFonts w:ascii="Verdana" w:hAnsi="Verdana" w:eastAsia="Times New Roman" w:cs="Times New Roman"/>
          <w:sz w:val="18"/>
          <w:szCs w:val="18"/>
          <w:lang w:eastAsia="nl-NL"/>
        </w:rPr>
        <w:t xml:space="preserve"> volgt dat bij gunning aan de hand van BPKV de </w:t>
      </w:r>
      <w:r w:rsidR="00C56276">
        <w:rPr>
          <w:rFonts w:ascii="Verdana" w:hAnsi="Verdana" w:eastAsia="Times New Roman" w:cs="Times New Roman"/>
          <w:sz w:val="18"/>
          <w:szCs w:val="18"/>
          <w:lang w:eastAsia="nl-NL"/>
        </w:rPr>
        <w:t xml:space="preserve">nadere criteria, </w:t>
      </w:r>
      <w:r w:rsidRPr="00BA4156" w:rsidR="00BA4156">
        <w:rPr>
          <w:rFonts w:ascii="Verdana" w:hAnsi="Verdana" w:eastAsia="Times New Roman" w:cs="Times New Roman"/>
          <w:sz w:val="18"/>
          <w:szCs w:val="18"/>
          <w:lang w:eastAsia="nl-NL"/>
        </w:rPr>
        <w:t>inclusief wegingsfactoren, vooraf bekend moeten worden gemaakt. Dit moet worden opgenomen in de aankondiging, het beschrijvend document (bestek) of in de gunningsleidraad (zie artikel 67 lid 5 Richtlijn 2014/24 en artikel 2.115 Aanbestedingswet 2012).</w:t>
      </w:r>
      <w:bookmarkStart w:name="_Hlk208516746" w:id="23"/>
      <w:r w:rsidRPr="00BA4156" w:rsidR="00BA4156">
        <w:rPr>
          <w:rFonts w:ascii="Verdana" w:hAnsi="Verdana" w:eastAsia="Times New Roman" w:cs="Times New Roman"/>
          <w:sz w:val="18"/>
          <w:szCs w:val="18"/>
          <w:lang w:eastAsia="nl-NL"/>
        </w:rPr>
        <w:t xml:space="preserve"> </w:t>
      </w:r>
      <w:bookmarkStart w:name="_Hlk208516378" w:id="24"/>
      <w:r w:rsidR="00426882">
        <w:rPr>
          <w:rFonts w:ascii="Verdana" w:hAnsi="Verdana" w:eastAsia="Times New Roman" w:cs="Times New Roman"/>
          <w:sz w:val="18"/>
          <w:szCs w:val="18"/>
          <w:lang w:eastAsia="nl-NL"/>
        </w:rPr>
        <w:t xml:space="preserve">Om een richting te geven aan het gewicht dat aanbestedende diensten kunnen toekennen aan het </w:t>
      </w:r>
      <w:r w:rsidR="00C56276">
        <w:rPr>
          <w:rFonts w:ascii="Verdana" w:hAnsi="Verdana" w:eastAsia="Times New Roman" w:cs="Times New Roman"/>
          <w:sz w:val="18"/>
          <w:szCs w:val="18"/>
          <w:lang w:eastAsia="nl-NL"/>
        </w:rPr>
        <w:t>nader criterium</w:t>
      </w:r>
      <w:r w:rsidR="00426882">
        <w:rPr>
          <w:rFonts w:ascii="Verdana" w:hAnsi="Verdana" w:eastAsia="Times New Roman" w:cs="Times New Roman"/>
          <w:sz w:val="18"/>
          <w:szCs w:val="18"/>
          <w:lang w:eastAsia="nl-NL"/>
        </w:rPr>
        <w:t xml:space="preserve">, zal </w:t>
      </w:r>
      <w:r w:rsidR="00D3470F">
        <w:rPr>
          <w:rFonts w:ascii="Verdana" w:hAnsi="Verdana" w:eastAsia="Times New Roman" w:cs="Times New Roman"/>
          <w:sz w:val="18"/>
          <w:szCs w:val="18"/>
          <w:lang w:eastAsia="nl-NL"/>
        </w:rPr>
        <w:t>onderzocht</w:t>
      </w:r>
      <w:r w:rsidR="00542F74">
        <w:rPr>
          <w:rFonts w:ascii="Verdana" w:hAnsi="Verdana" w:eastAsia="Times New Roman" w:cs="Times New Roman"/>
          <w:sz w:val="18"/>
          <w:szCs w:val="18"/>
          <w:lang w:eastAsia="nl-NL"/>
        </w:rPr>
        <w:t xml:space="preserve"> worden </w:t>
      </w:r>
      <w:r w:rsidR="00E5773D">
        <w:rPr>
          <w:rFonts w:ascii="Verdana" w:hAnsi="Verdana" w:eastAsia="Times New Roman" w:cs="Times New Roman"/>
          <w:sz w:val="18"/>
          <w:szCs w:val="18"/>
          <w:lang w:eastAsia="nl-NL"/>
        </w:rPr>
        <w:t xml:space="preserve">of een minimumgewicht kan worden </w:t>
      </w:r>
      <w:bookmarkEnd w:id="23"/>
      <w:r w:rsidR="00806361">
        <w:rPr>
          <w:rFonts w:ascii="Verdana" w:hAnsi="Verdana" w:eastAsia="Times New Roman" w:cs="Times New Roman"/>
          <w:sz w:val="18"/>
          <w:szCs w:val="18"/>
          <w:lang w:eastAsia="nl-NL"/>
        </w:rPr>
        <w:t>geadviseerd</w:t>
      </w:r>
      <w:r w:rsidR="00426882">
        <w:rPr>
          <w:rFonts w:ascii="Verdana" w:hAnsi="Verdana" w:eastAsia="Times New Roman" w:cs="Times New Roman"/>
          <w:sz w:val="18"/>
          <w:szCs w:val="18"/>
          <w:lang w:eastAsia="nl-NL"/>
        </w:rPr>
        <w:t xml:space="preserve"> via het ondersteuningspunt (zie flankerend beleid). </w:t>
      </w:r>
    </w:p>
    <w:bookmarkEnd w:id="24"/>
    <w:p w:rsidR="003B0991" w:rsidP="00643E93" w:rsidRDefault="003B0991" w14:paraId="30A2B0E2" w14:textId="77777777">
      <w:pPr>
        <w:spacing w:after="0" w:line="276" w:lineRule="auto"/>
        <w:rPr>
          <w:rFonts w:ascii="Verdana" w:hAnsi="Verdana" w:eastAsia="Times New Roman" w:cs="Times New Roman"/>
          <w:sz w:val="18"/>
          <w:szCs w:val="18"/>
          <w:lang w:eastAsia="nl-NL"/>
        </w:rPr>
      </w:pPr>
    </w:p>
    <w:p w:rsidRPr="00E43A50" w:rsidR="002822F2" w:rsidP="002D7850" w:rsidRDefault="003B0991" w14:paraId="075D6344" w14:textId="40D6814D">
      <w:pPr>
        <w:spacing w:after="42" w:line="276" w:lineRule="auto"/>
        <w:rPr>
          <w:rFonts w:ascii="Verdana" w:hAnsi="Verdana" w:eastAsia="Times New Roman" w:cs="Times New Roman"/>
          <w:sz w:val="18"/>
          <w:szCs w:val="18"/>
        </w:rPr>
      </w:pPr>
      <w:r w:rsidRPr="00E43A50">
        <w:rPr>
          <w:rFonts w:ascii="Verdana" w:hAnsi="Verdana" w:eastAsia="Times New Roman" w:cs="Times New Roman"/>
          <w:sz w:val="18"/>
          <w:szCs w:val="18"/>
        </w:rPr>
        <w:lastRenderedPageBreak/>
        <w:t xml:space="preserve">Bij de bepaling van deze </w:t>
      </w:r>
      <w:r>
        <w:rPr>
          <w:rFonts w:ascii="Verdana" w:hAnsi="Verdana" w:eastAsia="Times New Roman" w:cs="Times New Roman"/>
          <w:sz w:val="18"/>
          <w:szCs w:val="18"/>
          <w:lang w:eastAsia="nl-NL"/>
        </w:rPr>
        <w:t>minimum geraamde opdrachtwaarde</w:t>
      </w:r>
      <w:r w:rsidRPr="005B4CB1">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wordt een afweging gemaakt tussen de verwachte (positieve) impact op de milieuprestatie van GWW-werken, de kosten die de uitvoering van de maatregel met zich meebrengt</w:t>
      </w:r>
      <w:r w:rsidRPr="00E43A50">
        <w:rPr>
          <w:rFonts w:ascii="Verdana" w:hAnsi="Verdana" w:eastAsia="Times New Roman" w:cs="Times New Roman"/>
          <w:sz w:val="18"/>
          <w:szCs w:val="18"/>
          <w:vertAlign w:val="superscript"/>
        </w:rPr>
        <w:footnoteReference w:id="23"/>
      </w:r>
      <w:r w:rsidRPr="00E43A50">
        <w:rPr>
          <w:rFonts w:ascii="Verdana" w:hAnsi="Verdana" w:eastAsia="Times New Roman" w:cs="Times New Roman"/>
          <w:sz w:val="18"/>
          <w:szCs w:val="18"/>
        </w:rPr>
        <w:t xml:space="preserve"> in verhouding tot de omvang van het GWW-werk en het aandeel van de markt en de </w:t>
      </w:r>
      <w:r>
        <w:rPr>
          <w:rFonts w:ascii="Verdana" w:hAnsi="Verdana" w:eastAsia="Times New Roman" w:cs="Times New Roman"/>
          <w:sz w:val="18"/>
          <w:szCs w:val="18"/>
          <w:lang w:eastAsia="nl-NL"/>
        </w:rPr>
        <w:t>aanbestedende diensten en speciale-sectorbedrijven</w:t>
      </w:r>
      <w:r w:rsidRPr="00F5605C">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 xml:space="preserve">die met de afbakening bereikt gaan worden. Daarbij is het streven om een zo groot mogelijk aandeel van alle productgebruik en de daarmee gepaard </w:t>
      </w:r>
      <w:r w:rsidRPr="00D2432E">
        <w:rPr>
          <w:rFonts w:ascii="Verdana" w:hAnsi="Verdana" w:eastAsia="Times New Roman" w:cs="Times New Roman"/>
          <w:sz w:val="18"/>
          <w:szCs w:val="18"/>
        </w:rPr>
        <w:t xml:space="preserve">gaande milieu-impact en grondstoffeninzet van GWW-werken te bestrijken. Kleine werken, waar de te verwachten impact beperkt is, worden, zeker in de eerste periode, ontzien van de verplichting. </w:t>
      </w:r>
      <w:r w:rsidRPr="00D2432E" w:rsidR="00E02761">
        <w:rPr>
          <w:rFonts w:ascii="Verdana" w:hAnsi="Verdana" w:eastAsia="Times New Roman" w:cs="Times New Roman"/>
          <w:sz w:val="18"/>
          <w:szCs w:val="18"/>
        </w:rPr>
        <w:t>Hierdoor wordt ook rekening gehouden met het MKB d</w:t>
      </w:r>
      <w:r w:rsidR="009412F1">
        <w:rPr>
          <w:rFonts w:ascii="Verdana" w:hAnsi="Verdana" w:eastAsia="Times New Roman" w:cs="Times New Roman"/>
          <w:sz w:val="18"/>
          <w:szCs w:val="18"/>
        </w:rPr>
        <w:t>at</w:t>
      </w:r>
      <w:r w:rsidRPr="00D2432E" w:rsidR="00E02761">
        <w:rPr>
          <w:rFonts w:ascii="Verdana" w:hAnsi="Verdana" w:eastAsia="Times New Roman" w:cs="Times New Roman"/>
          <w:sz w:val="18"/>
          <w:szCs w:val="18"/>
        </w:rPr>
        <w:t xml:space="preserve"> doorgaans de opdracht</w:t>
      </w:r>
      <w:r w:rsidR="00E02761">
        <w:rPr>
          <w:rFonts w:ascii="Verdana" w:hAnsi="Verdana" w:eastAsia="Times New Roman" w:cs="Times New Roman"/>
          <w:sz w:val="18"/>
          <w:szCs w:val="18"/>
        </w:rPr>
        <w:t xml:space="preserve"> voor kleinere GWW-werken uitvoert. </w:t>
      </w:r>
      <w:r w:rsidRPr="00E43A50">
        <w:rPr>
          <w:rFonts w:ascii="Verdana" w:hAnsi="Verdana" w:eastAsia="Times New Roman" w:cs="Times New Roman"/>
          <w:sz w:val="18"/>
          <w:szCs w:val="18"/>
        </w:rPr>
        <w:t>De hoogte van de</w:t>
      </w:r>
      <w:r w:rsidR="00BA76AE">
        <w:rPr>
          <w:rFonts w:ascii="Verdana" w:hAnsi="Verdana" w:eastAsia="Times New Roman" w:cs="Times New Roman"/>
          <w:sz w:val="18"/>
          <w:szCs w:val="18"/>
        </w:rPr>
        <w:t xml:space="preserve"> </w:t>
      </w:r>
      <w:r>
        <w:rPr>
          <w:rFonts w:ascii="Verdana" w:hAnsi="Verdana" w:eastAsia="Times New Roman" w:cs="Times New Roman"/>
          <w:sz w:val="18"/>
          <w:szCs w:val="18"/>
          <w:lang w:eastAsia="nl-NL"/>
        </w:rPr>
        <w:t>minimum geraamde opdrachtwaarde</w:t>
      </w:r>
      <w:r w:rsidRPr="005B4CB1">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en de wijze waarop het</w:t>
      </w:r>
      <w:r w:rsidR="00C56276">
        <w:rPr>
          <w:rFonts w:ascii="Verdana" w:hAnsi="Verdana" w:eastAsia="Times New Roman" w:cs="Times New Roman"/>
          <w:sz w:val="18"/>
          <w:szCs w:val="18"/>
        </w:rPr>
        <w:t xml:space="preserve"> nader criterium</w:t>
      </w:r>
      <w:r w:rsidRPr="00E43A50" w:rsidDel="00C56276">
        <w:rPr>
          <w:rFonts w:ascii="Verdana" w:hAnsi="Verdana" w:eastAsia="Times New Roman" w:cs="Times New Roman"/>
          <w:sz w:val="18"/>
          <w:szCs w:val="18"/>
        </w:rPr>
        <w:t xml:space="preserve"> </w:t>
      </w:r>
      <w:r w:rsidR="00D3470F">
        <w:rPr>
          <w:rFonts w:ascii="Verdana" w:hAnsi="Verdana" w:eastAsia="Times New Roman" w:cs="Times New Roman"/>
          <w:sz w:val="18"/>
          <w:szCs w:val="18"/>
        </w:rPr>
        <w:t>met betrekking tot de milieuprestatie van het GWW-werk</w:t>
      </w:r>
      <w:r w:rsidRPr="00E43A50">
        <w:rPr>
          <w:rFonts w:ascii="Verdana" w:hAnsi="Verdana" w:eastAsia="Times New Roman" w:cs="Times New Roman"/>
          <w:sz w:val="18"/>
          <w:szCs w:val="18"/>
        </w:rPr>
        <w:t xml:space="preserve"> wordt vormgegeven wordt nader geregeld bij </w:t>
      </w:r>
      <w:r>
        <w:rPr>
          <w:rFonts w:ascii="Verdana" w:hAnsi="Verdana" w:eastAsia="Times New Roman" w:cs="Times New Roman"/>
          <w:sz w:val="18"/>
          <w:szCs w:val="18"/>
        </w:rPr>
        <w:t>amvb</w:t>
      </w:r>
      <w:r w:rsidRPr="00E43A50">
        <w:rPr>
          <w:rFonts w:ascii="Verdana" w:hAnsi="Verdana" w:eastAsia="Times New Roman" w:cs="Times New Roman"/>
          <w:sz w:val="18"/>
          <w:szCs w:val="18"/>
        </w:rPr>
        <w:t>. Uitganspunt is om zoveel mogelijk eenduidigheid te creëren voor de markt en tegelijk ruimte te laten aan een specifieke invulling per (type) opdrachtgever waar dat noodzakelijk of wenselijk is.</w:t>
      </w:r>
      <w:bookmarkEnd w:id="21"/>
    </w:p>
    <w:p w:rsidRPr="00E43A50" w:rsidR="00511E1D" w:rsidP="00643E93" w:rsidRDefault="00511E1D" w14:paraId="5FB8BE3C" w14:textId="77777777">
      <w:pPr>
        <w:spacing w:after="0" w:line="276" w:lineRule="auto"/>
        <w:rPr>
          <w:rFonts w:ascii="Verdana" w:hAnsi="Verdana" w:eastAsia="Times New Roman" w:cs="Times New Roman"/>
          <w:sz w:val="18"/>
          <w:szCs w:val="18"/>
        </w:rPr>
      </w:pPr>
    </w:p>
    <w:p w:rsidRPr="00E43A50" w:rsidR="00C66E54" w:rsidP="00643E93" w:rsidRDefault="00C66E54" w14:paraId="0982C112" w14:textId="00F33DAC">
      <w:pPr>
        <w:spacing w:after="0" w:line="276" w:lineRule="auto"/>
        <w:rPr>
          <w:rFonts w:ascii="Verdana" w:hAnsi="Verdana" w:eastAsia="Times New Roman" w:cs="Times New Roman"/>
          <w:sz w:val="18"/>
          <w:szCs w:val="18"/>
        </w:rPr>
      </w:pPr>
      <w:r w:rsidRPr="00BE6A87">
        <w:rPr>
          <w:rFonts w:ascii="Verdana" w:hAnsi="Verdana" w:eastAsia="Times New Roman" w:cs="Times New Roman"/>
          <w:i/>
          <w:iCs/>
          <w:sz w:val="18"/>
          <w:szCs w:val="18"/>
          <w:lang w:eastAsia="nl-NL"/>
        </w:rPr>
        <w:t xml:space="preserve">Het flankerend beleid </w:t>
      </w:r>
    </w:p>
    <w:p w:rsidRPr="006130E0" w:rsidR="000705F3" w:rsidP="000705F3" w:rsidRDefault="000705F3" w14:paraId="29B54C56" w14:textId="0AD1E999">
      <w:pPr>
        <w:rPr>
          <w:rFonts w:ascii="Verdana" w:hAnsi="Verdana" w:eastAsia="Times New Roman" w:cs="Times New Roman"/>
          <w:sz w:val="18"/>
          <w:szCs w:val="18"/>
        </w:rPr>
      </w:pPr>
      <w:r w:rsidRPr="006130E0">
        <w:rPr>
          <w:rFonts w:ascii="Verdana" w:hAnsi="Verdana" w:eastAsia="Times New Roman" w:cs="Times New Roman"/>
          <w:sz w:val="18"/>
          <w:szCs w:val="18"/>
        </w:rPr>
        <w:t xml:space="preserve">Er wordt een ondersteuningspunt opgericht om een goede uitvoering van dit wetsvoorstel te borgen. Het ondersteuningspunt wordt gefaciliteerd door PIANOo. PIANOo is het Expertisecentrum Aanbesteden van het Ministerie van Economische Zaken en Klimaat en biedt informatie, advies, instrumenten en praktische tips aan iedereen die zich in de publieke sector bezighoudt met het inkopen en aanbesteden van werken, leveringen en diensten. Door PIANOo wordt op het MKI ondersteuningspunt ondersteuning geboden aan aanbestedende diensten en andere betrokken bij de toepassing van de in dit wetsvoorstel voorgestelde maatregelen. Deze ondersteuning wordt op verschillende manieren vormgegeven: vragen van opdrachtgevers worden beantwoord via een infoloket, er worden voorlichtingen gegeven en handreikingen en protocollen worden gepubliceerd op de website van PIANOo.  </w:t>
      </w:r>
    </w:p>
    <w:p w:rsidR="000705F3" w:rsidP="00643E93" w:rsidRDefault="000705F3" w14:paraId="0C6591DA" w14:textId="77777777">
      <w:pPr>
        <w:spacing w:after="0" w:line="276" w:lineRule="auto"/>
        <w:rPr>
          <w:rFonts w:ascii="Verdana" w:hAnsi="Verdana" w:eastAsia="Times New Roman" w:cs="Times New Roman"/>
          <w:sz w:val="18"/>
          <w:szCs w:val="18"/>
        </w:rPr>
      </w:pPr>
    </w:p>
    <w:p w:rsidRPr="00E43A50" w:rsidR="00C66E54" w:rsidP="00643E93" w:rsidRDefault="000705F3" w14:paraId="7835839C" w14:textId="2977EDC1">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Met het ondersteuningspunt w</w:t>
      </w:r>
      <w:r w:rsidRPr="00E43A50" w:rsidR="00C66E54">
        <w:rPr>
          <w:rFonts w:ascii="Verdana" w:hAnsi="Verdana" w:eastAsia="Times New Roman" w:cs="Times New Roman"/>
          <w:sz w:val="18"/>
          <w:szCs w:val="18"/>
        </w:rPr>
        <w:t>ordt gewerkt aan de volgende onderwerpen:</w:t>
      </w:r>
    </w:p>
    <w:p w:rsidRPr="00580230" w:rsidR="00C66E54" w:rsidP="00643E93" w:rsidRDefault="00C66E54" w14:paraId="38070117" w14:textId="36121624">
      <w:pPr>
        <w:numPr>
          <w:ilvl w:val="0"/>
          <w:numId w:val="34"/>
        </w:numPr>
        <w:spacing w:after="0" w:line="276" w:lineRule="auto"/>
        <w:rPr>
          <w:rFonts w:ascii="Verdana" w:hAnsi="Verdana" w:eastAsia="Times New Roman" w:cs="Times New Roman"/>
          <w:sz w:val="18"/>
          <w:szCs w:val="18"/>
        </w:rPr>
      </w:pPr>
      <w:r w:rsidRPr="00580230">
        <w:rPr>
          <w:rFonts w:ascii="Verdana" w:hAnsi="Verdana" w:eastAsia="Times New Roman" w:cs="Times New Roman"/>
          <w:sz w:val="18"/>
          <w:szCs w:val="18"/>
        </w:rPr>
        <w:t xml:space="preserve">Stimulering van partijen om een afweging te maken om </w:t>
      </w:r>
      <w:r w:rsidRPr="00580230" w:rsidR="00580230">
        <w:rPr>
          <w:rFonts w:ascii="Verdana" w:hAnsi="Verdana" w:eastAsia="Times New Roman" w:cs="Times New Roman"/>
          <w:sz w:val="18"/>
          <w:szCs w:val="18"/>
        </w:rPr>
        <w:t xml:space="preserve">eisen die de milieubelasting van GWW-werken beperken </w:t>
      </w:r>
      <w:r w:rsidRPr="00580230">
        <w:rPr>
          <w:rFonts w:ascii="Verdana" w:hAnsi="Verdana" w:eastAsia="Times New Roman" w:cs="Times New Roman"/>
          <w:sz w:val="18"/>
          <w:szCs w:val="18"/>
        </w:rPr>
        <w:t xml:space="preserve">mee te nemen bij de aanbesteding van </w:t>
      </w:r>
      <w:r w:rsidR="00580230">
        <w:rPr>
          <w:rFonts w:ascii="Verdana" w:hAnsi="Verdana" w:eastAsia="Times New Roman" w:cs="Times New Roman"/>
          <w:sz w:val="18"/>
          <w:szCs w:val="18"/>
        </w:rPr>
        <w:t xml:space="preserve">deze </w:t>
      </w:r>
      <w:r w:rsidRPr="00580230">
        <w:rPr>
          <w:rFonts w:ascii="Verdana" w:hAnsi="Verdana" w:eastAsia="Times New Roman" w:cs="Times New Roman"/>
          <w:sz w:val="18"/>
          <w:szCs w:val="18"/>
        </w:rPr>
        <w:t xml:space="preserve">GWW-werken, ook indien dat GWW-werk de bij amvb gestelde </w:t>
      </w:r>
      <w:r w:rsidRPr="00580230" w:rsidR="009C45FE">
        <w:rPr>
          <w:rFonts w:ascii="Verdana" w:hAnsi="Verdana" w:eastAsia="Times New Roman" w:cs="Times New Roman"/>
          <w:sz w:val="18"/>
          <w:szCs w:val="18"/>
          <w:lang w:eastAsia="nl-NL"/>
        </w:rPr>
        <w:t>minimum geraamde opdrachtwaarde</w:t>
      </w:r>
      <w:r w:rsidRPr="00580230">
        <w:rPr>
          <w:rFonts w:ascii="Verdana" w:hAnsi="Verdana" w:eastAsia="Times New Roman" w:cs="Times New Roman"/>
          <w:sz w:val="18"/>
          <w:szCs w:val="18"/>
        </w:rPr>
        <w:t xml:space="preserve"> niet overschrijdt</w:t>
      </w:r>
      <w:r w:rsidR="009412F1">
        <w:rPr>
          <w:rFonts w:ascii="Verdana" w:hAnsi="Verdana" w:eastAsia="Times New Roman" w:cs="Times New Roman"/>
          <w:sz w:val="18"/>
          <w:szCs w:val="18"/>
        </w:rPr>
        <w:t>.</w:t>
      </w:r>
      <w:r w:rsidRPr="00453A7D" w:rsidR="00453A7D">
        <w:rPr>
          <w:rFonts w:ascii="Verdana" w:hAnsi="Verdana" w:eastAsia="Times New Roman" w:cs="Times New Roman"/>
          <w:sz w:val="18"/>
          <w:szCs w:val="18"/>
        </w:rPr>
        <w:t xml:space="preserve"> </w:t>
      </w:r>
      <w:r w:rsidR="00453A7D">
        <w:rPr>
          <w:rFonts w:ascii="Verdana" w:hAnsi="Verdana" w:eastAsia="Times New Roman" w:cs="Times New Roman"/>
          <w:sz w:val="18"/>
          <w:szCs w:val="18"/>
        </w:rPr>
        <w:t>Het draagt zo bij aan de opbouw van kennis en daarmee capaciteit om de verplichtingen uit te kunnen voeren.</w:t>
      </w:r>
    </w:p>
    <w:p w:rsidRPr="00580230" w:rsidR="00C66E54" w:rsidP="00643E93" w:rsidRDefault="00C66E54" w14:paraId="7FC1AE49" w14:textId="6A52BAEC">
      <w:pPr>
        <w:numPr>
          <w:ilvl w:val="0"/>
          <w:numId w:val="34"/>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Bevorderen van eenduidigheid in inkopen met </w:t>
      </w:r>
      <w:r w:rsidRPr="00580230" w:rsidR="00580230">
        <w:rPr>
          <w:rFonts w:ascii="Verdana" w:hAnsi="Verdana" w:eastAsia="Times New Roman" w:cs="Times New Roman"/>
          <w:sz w:val="18"/>
          <w:szCs w:val="18"/>
        </w:rPr>
        <w:t>eisen die de milieubelasting van GWW-werken beperken</w:t>
      </w:r>
      <w:r w:rsidR="009412F1">
        <w:rPr>
          <w:rFonts w:ascii="Verdana" w:hAnsi="Verdana" w:eastAsia="Times New Roman" w:cs="Times New Roman"/>
          <w:sz w:val="18"/>
          <w:szCs w:val="18"/>
        </w:rPr>
        <w:t>.</w:t>
      </w:r>
    </w:p>
    <w:p w:rsidR="00C66E54" w:rsidP="00643E93" w:rsidRDefault="00C66E54" w14:paraId="44482C0B" w14:textId="24F34833">
      <w:pPr>
        <w:numPr>
          <w:ilvl w:val="0"/>
          <w:numId w:val="34"/>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Stimulering van toepassing </w:t>
      </w:r>
      <w:r w:rsidR="009412F1">
        <w:rPr>
          <w:rFonts w:ascii="Verdana" w:hAnsi="Verdana" w:eastAsia="Times New Roman" w:cs="Times New Roman"/>
          <w:sz w:val="18"/>
          <w:szCs w:val="18"/>
        </w:rPr>
        <w:t xml:space="preserve">van </w:t>
      </w:r>
      <w:r w:rsidRPr="00580230" w:rsidR="00580230">
        <w:rPr>
          <w:rFonts w:ascii="Verdana" w:hAnsi="Verdana" w:eastAsia="Times New Roman" w:cs="Times New Roman"/>
          <w:sz w:val="18"/>
          <w:szCs w:val="18"/>
        </w:rPr>
        <w:t>eisen die de milieubelasting van GWW-werken beperken</w:t>
      </w:r>
      <w:r w:rsidR="00580230">
        <w:rPr>
          <w:rFonts w:ascii="Verdana" w:hAnsi="Verdana" w:eastAsia="Times New Roman" w:cs="Times New Roman"/>
          <w:sz w:val="18"/>
          <w:szCs w:val="18"/>
        </w:rPr>
        <w:t xml:space="preserve"> </w:t>
      </w:r>
      <w:r w:rsidRPr="00580230">
        <w:rPr>
          <w:rFonts w:ascii="Verdana" w:hAnsi="Verdana" w:eastAsia="Times New Roman" w:cs="Times New Roman"/>
          <w:sz w:val="18"/>
          <w:szCs w:val="18"/>
        </w:rPr>
        <w:t>in</w:t>
      </w:r>
      <w:r w:rsidR="00580230">
        <w:rPr>
          <w:rFonts w:ascii="Verdana" w:hAnsi="Verdana" w:eastAsia="Times New Roman" w:cs="Times New Roman"/>
          <w:sz w:val="18"/>
          <w:szCs w:val="18"/>
        </w:rPr>
        <w:t xml:space="preserve"> de</w:t>
      </w:r>
      <w:r w:rsidRPr="00580230">
        <w:rPr>
          <w:rFonts w:ascii="Verdana" w:hAnsi="Verdana" w:eastAsia="Times New Roman" w:cs="Times New Roman"/>
          <w:sz w:val="18"/>
          <w:szCs w:val="18"/>
        </w:rPr>
        <w:t xml:space="preserve"> ontwerpfase</w:t>
      </w:r>
      <w:r w:rsidRPr="00580230" w:rsidR="0035093C">
        <w:rPr>
          <w:rFonts w:ascii="Verdana" w:hAnsi="Verdana" w:eastAsia="Times New Roman" w:cs="Times New Roman"/>
          <w:sz w:val="18"/>
          <w:szCs w:val="18"/>
        </w:rPr>
        <w:t>.</w:t>
      </w:r>
    </w:p>
    <w:p w:rsidR="009412F1" w:rsidP="00643E93" w:rsidRDefault="009412F1" w14:paraId="318EC3F2" w14:textId="77777777">
      <w:pPr>
        <w:spacing w:after="0" w:line="276" w:lineRule="auto"/>
        <w:rPr>
          <w:rFonts w:ascii="Verdana" w:hAnsi="Verdana" w:eastAsia="Times New Roman" w:cs="Times New Roman"/>
          <w:sz w:val="18"/>
          <w:szCs w:val="18"/>
        </w:rPr>
      </w:pPr>
    </w:p>
    <w:p w:rsidRPr="00E43A50" w:rsidR="00C66E54" w:rsidP="00643E93" w:rsidRDefault="00C66E54" w14:paraId="1FCE6FD9" w14:textId="1C7AE423">
      <w:pPr>
        <w:spacing w:after="0" w:line="276" w:lineRule="auto"/>
        <w:rPr>
          <w:rFonts w:ascii="Verdana" w:hAnsi="Verdana" w:eastAsia="Times New Roman" w:cs="Times New Roman"/>
          <w:sz w:val="18"/>
          <w:szCs w:val="18"/>
        </w:rPr>
      </w:pPr>
      <w:r w:rsidRPr="006E2E3D">
        <w:rPr>
          <w:rFonts w:ascii="Verdana" w:hAnsi="Verdana" w:eastAsia="Times New Roman" w:cs="Times New Roman"/>
          <w:sz w:val="18"/>
          <w:szCs w:val="18"/>
        </w:rPr>
        <w:t>Hieronder worden eerst de wettelijke eisen, en daarna het flankerend beleid toegelicht.</w:t>
      </w:r>
      <w:r w:rsidRPr="00E43A50">
        <w:rPr>
          <w:rFonts w:ascii="Verdana" w:hAnsi="Verdana" w:eastAsia="Times New Roman" w:cs="Times New Roman"/>
          <w:sz w:val="18"/>
          <w:szCs w:val="18"/>
        </w:rPr>
        <w:t xml:space="preserve"> </w:t>
      </w:r>
    </w:p>
    <w:p w:rsidR="00C66E54" w:rsidP="00643E93" w:rsidRDefault="00C66E54" w14:paraId="1B44E463" w14:textId="77777777">
      <w:pPr>
        <w:spacing w:after="42" w:line="276" w:lineRule="auto"/>
        <w:rPr>
          <w:rFonts w:ascii="Verdana" w:hAnsi="Verdana" w:eastAsia="Times New Roman" w:cs="Times New Roman"/>
          <w:sz w:val="18"/>
          <w:szCs w:val="18"/>
        </w:rPr>
      </w:pPr>
    </w:p>
    <w:p w:rsidRPr="00E43A50" w:rsidR="004F0533" w:rsidP="00643E93" w:rsidRDefault="004F0533" w14:paraId="4226FD4F" w14:textId="30043F6A">
      <w:pPr>
        <w:spacing w:after="0" w:line="276" w:lineRule="auto"/>
        <w:rPr>
          <w:rFonts w:ascii="Verdana" w:hAnsi="Verdana" w:eastAsia="Times New Roman" w:cs="Times New Roman"/>
          <w:sz w:val="18"/>
          <w:szCs w:val="18"/>
        </w:rPr>
      </w:pPr>
      <w:r w:rsidRPr="00E43A50">
        <w:rPr>
          <w:rFonts w:ascii="Verdana" w:hAnsi="Verdana" w:eastAsia="Times New Roman" w:cs="Times New Roman"/>
          <w:i/>
          <w:iCs/>
          <w:sz w:val="18"/>
          <w:szCs w:val="18"/>
        </w:rPr>
        <w:t xml:space="preserve">Oprichting van een </w:t>
      </w:r>
      <w:r w:rsidRPr="00E43A50" w:rsidR="00D02D8C">
        <w:rPr>
          <w:rFonts w:ascii="Verdana" w:hAnsi="Verdana" w:eastAsia="Times New Roman" w:cs="Times New Roman"/>
          <w:i/>
          <w:iCs/>
          <w:sz w:val="18"/>
          <w:szCs w:val="18"/>
        </w:rPr>
        <w:t xml:space="preserve">ondersteuningspunt </w:t>
      </w:r>
      <w:r w:rsidRPr="00E43A50">
        <w:rPr>
          <w:rFonts w:ascii="Verdana" w:hAnsi="Verdana" w:eastAsia="Times New Roman" w:cs="Times New Roman"/>
          <w:i/>
          <w:iCs/>
          <w:sz w:val="18"/>
          <w:szCs w:val="18"/>
        </w:rPr>
        <w:t xml:space="preserve">om partijen te ondersteunen </w:t>
      </w:r>
      <w:r w:rsidRPr="00E43A50" w:rsidR="00D02D8C">
        <w:rPr>
          <w:rFonts w:ascii="Verdana" w:hAnsi="Verdana" w:eastAsia="Times New Roman" w:cs="Times New Roman"/>
          <w:i/>
          <w:iCs/>
          <w:sz w:val="18"/>
          <w:szCs w:val="18"/>
        </w:rPr>
        <w:t xml:space="preserve">bij aanbesteden </w:t>
      </w:r>
      <w:r w:rsidRPr="00E43A50">
        <w:rPr>
          <w:rFonts w:ascii="Verdana" w:hAnsi="Verdana" w:eastAsia="Times New Roman" w:cs="Times New Roman"/>
          <w:i/>
          <w:iCs/>
          <w:sz w:val="18"/>
          <w:szCs w:val="18"/>
        </w:rPr>
        <w:t>met milieuprestatie-eisen</w:t>
      </w:r>
    </w:p>
    <w:p w:rsidRPr="00E43A50" w:rsidR="004F0533" w:rsidP="00643E93" w:rsidRDefault="004F0533" w14:paraId="6CD090FE" w14:textId="5B665513">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Kennis en ervaring van het werken met </w:t>
      </w:r>
      <w:r w:rsidRPr="00580230" w:rsidR="00580230">
        <w:rPr>
          <w:rFonts w:ascii="Verdana" w:hAnsi="Verdana" w:eastAsia="Times New Roman" w:cs="Times New Roman"/>
          <w:sz w:val="18"/>
          <w:szCs w:val="18"/>
        </w:rPr>
        <w:t>eisen die de milieubelasting van GWW-werken beperken</w:t>
      </w:r>
      <w:r w:rsidR="00580230">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wisselt sterk tussen opdrachtgevers. Met name grote aanbestedende diensten hebben veel ervaring en zullen de wetgeving relatief eenvoudig kunnen implementeren, </w:t>
      </w:r>
      <w:r w:rsidRPr="00E43A50">
        <w:rPr>
          <w:rFonts w:ascii="Verdana" w:hAnsi="Verdana" w:eastAsia="Times New Roman" w:cs="Times New Roman"/>
          <w:sz w:val="18"/>
          <w:szCs w:val="18"/>
        </w:rPr>
        <w:lastRenderedPageBreak/>
        <w:t xml:space="preserve">waar kleinere aanbestedende diensten die nog niet met </w:t>
      </w:r>
      <w:r w:rsidR="00580230">
        <w:rPr>
          <w:rFonts w:ascii="Verdana" w:hAnsi="Verdana" w:eastAsia="Times New Roman" w:cs="Times New Roman"/>
          <w:sz w:val="18"/>
          <w:szCs w:val="18"/>
        </w:rPr>
        <w:t>dergelijke eisen werken</w:t>
      </w:r>
      <w:r w:rsidRPr="00E43A50">
        <w:rPr>
          <w:rFonts w:ascii="Verdana" w:hAnsi="Verdana" w:eastAsia="Times New Roman" w:cs="Times New Roman"/>
          <w:sz w:val="18"/>
          <w:szCs w:val="18"/>
        </w:rPr>
        <w:t xml:space="preserve"> hier mogelijk meer ondersteuning bij nodig hebben. Om kennis en ervaringen te delen wordt een </w:t>
      </w:r>
      <w:r w:rsidRPr="00E43A50" w:rsidR="00164F3C">
        <w:rPr>
          <w:rFonts w:ascii="Verdana" w:hAnsi="Verdana" w:eastAsia="Times New Roman" w:cs="Times New Roman"/>
          <w:sz w:val="18"/>
          <w:szCs w:val="18"/>
        </w:rPr>
        <w:t xml:space="preserve">ondersteuningspunt </w:t>
      </w:r>
      <w:r w:rsidRPr="00E43A50">
        <w:rPr>
          <w:rFonts w:ascii="Verdana" w:hAnsi="Verdana" w:eastAsia="Times New Roman" w:cs="Times New Roman"/>
          <w:sz w:val="18"/>
          <w:szCs w:val="18"/>
        </w:rPr>
        <w:t xml:space="preserve">opgericht. Het doel van het </w:t>
      </w:r>
      <w:r w:rsidRPr="00E43A50" w:rsidR="00164F3C">
        <w:rPr>
          <w:rFonts w:ascii="Verdana" w:hAnsi="Verdana" w:eastAsia="Times New Roman" w:cs="Times New Roman"/>
          <w:sz w:val="18"/>
          <w:szCs w:val="18"/>
        </w:rPr>
        <w:t xml:space="preserve">ondersteuningspunt </w:t>
      </w:r>
      <w:r w:rsidRPr="00E43A50">
        <w:rPr>
          <w:rFonts w:ascii="Verdana" w:hAnsi="Verdana" w:eastAsia="Times New Roman" w:cs="Times New Roman"/>
          <w:sz w:val="18"/>
          <w:szCs w:val="18"/>
        </w:rPr>
        <w:t xml:space="preserve">is primair het ondersteunen van aanbestedende diensten bij het inkopen met </w:t>
      </w:r>
      <w:r w:rsidRPr="00580230" w:rsidR="00580230">
        <w:rPr>
          <w:rFonts w:ascii="Verdana" w:hAnsi="Verdana" w:eastAsia="Times New Roman" w:cs="Times New Roman"/>
          <w:sz w:val="18"/>
          <w:szCs w:val="18"/>
        </w:rPr>
        <w:t>eisen die de milieubelasting van GWW-werken beperken</w:t>
      </w:r>
      <w:r w:rsidRPr="00E43A50">
        <w:rPr>
          <w:rFonts w:ascii="Verdana" w:hAnsi="Verdana" w:eastAsia="Times New Roman" w:cs="Times New Roman"/>
          <w:sz w:val="18"/>
          <w:szCs w:val="18"/>
        </w:rPr>
        <w:t>. Hierbij zal, zoals naar voren is gekomen uit gesprekken met stakeholders, gebruik</w:t>
      </w:r>
      <w:r w:rsidR="00DA3509">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gemaakt worden van ervaringen van andere aanbestedende diensten. Het </w:t>
      </w:r>
      <w:r w:rsidRPr="00E43A50" w:rsidR="00164F3C">
        <w:rPr>
          <w:rFonts w:ascii="Verdana" w:hAnsi="Verdana" w:eastAsia="Times New Roman" w:cs="Times New Roman"/>
          <w:sz w:val="18"/>
          <w:szCs w:val="18"/>
        </w:rPr>
        <w:t xml:space="preserve">ondersteuningspunt </w:t>
      </w:r>
      <w:r w:rsidRPr="00E43A50">
        <w:rPr>
          <w:rFonts w:ascii="Verdana" w:hAnsi="Verdana" w:eastAsia="Times New Roman" w:cs="Times New Roman"/>
          <w:sz w:val="18"/>
          <w:szCs w:val="18"/>
        </w:rPr>
        <w:t>word</w:t>
      </w:r>
      <w:r w:rsidRPr="00E43A50" w:rsidR="00B32659">
        <w:rPr>
          <w:rFonts w:ascii="Verdana" w:hAnsi="Verdana" w:eastAsia="Times New Roman" w:cs="Times New Roman"/>
          <w:sz w:val="18"/>
          <w:szCs w:val="18"/>
        </w:rPr>
        <w:t>t</w:t>
      </w:r>
      <w:r w:rsidRPr="00E43A50">
        <w:rPr>
          <w:rFonts w:ascii="Verdana" w:hAnsi="Verdana" w:eastAsia="Times New Roman" w:cs="Times New Roman"/>
          <w:sz w:val="18"/>
          <w:szCs w:val="18"/>
        </w:rPr>
        <w:t xml:space="preserve"> opgericht, vooruitlopend op de implementatie van de wetgeving, om zo al kennis en ervaringen te kunnen delen, voordat aanbestedende diensten wettelijk verplicht zijn. Het </w:t>
      </w:r>
      <w:r w:rsidR="00EB1CF8">
        <w:rPr>
          <w:rFonts w:ascii="Verdana" w:hAnsi="Verdana" w:eastAsia="Times New Roman" w:cs="Times New Roman"/>
          <w:sz w:val="18"/>
          <w:szCs w:val="18"/>
        </w:rPr>
        <w:t>ondersteuningspunt</w:t>
      </w:r>
      <w:r w:rsidRPr="00E43A50" w:rsidR="00EB1CF8">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zal niet alleen de onervaren aanbestedende diensten ondersteunen, ook de ervaren </w:t>
      </w:r>
      <w:r w:rsidR="0043376A">
        <w:rPr>
          <w:rFonts w:ascii="Verdana" w:hAnsi="Verdana" w:eastAsia="Times New Roman" w:cs="Times New Roman"/>
          <w:sz w:val="18"/>
          <w:szCs w:val="18"/>
          <w:lang w:eastAsia="nl-NL"/>
        </w:rPr>
        <w:t>aanbestedende diensten en speciale-sectorbedrijven</w:t>
      </w:r>
      <w:r w:rsidRPr="00F5605C" w:rsidR="0043376A">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 xml:space="preserve">zullen voordelen ondervinden, met name in eenduidigheid en efficiëntie. </w:t>
      </w:r>
      <w:r w:rsidR="00453A7D">
        <w:rPr>
          <w:rFonts w:ascii="Verdana" w:hAnsi="Verdana" w:eastAsia="Times New Roman" w:cs="Times New Roman"/>
          <w:sz w:val="18"/>
          <w:szCs w:val="18"/>
        </w:rPr>
        <w:t xml:space="preserve">Het draagt zo bij aan de opbouw van kennis en daarmee capaciteit om de verplichtingen uit te kunnen voeren. </w:t>
      </w:r>
      <w:r w:rsidRPr="00E43A50">
        <w:rPr>
          <w:rFonts w:ascii="Verdana" w:hAnsi="Verdana" w:eastAsia="Times New Roman" w:cs="Times New Roman"/>
          <w:sz w:val="18"/>
          <w:szCs w:val="18"/>
        </w:rPr>
        <w:t xml:space="preserve">Uit stakeholderconsultaties is naar voren gekomen dat veel </w:t>
      </w:r>
      <w:r w:rsidR="0043376A">
        <w:rPr>
          <w:rFonts w:ascii="Verdana" w:hAnsi="Verdana" w:eastAsia="Times New Roman" w:cs="Times New Roman"/>
          <w:sz w:val="18"/>
          <w:szCs w:val="18"/>
          <w:lang w:eastAsia="nl-NL"/>
        </w:rPr>
        <w:t>aanbestedende diensten en speciale-sectorbedrijven</w:t>
      </w:r>
      <w:r w:rsidRPr="00F5605C" w:rsidR="0043376A">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zelf werken met</w:t>
      </w:r>
      <w:r w:rsidRPr="00E43A50" w:rsidR="00164F3C">
        <w:rPr>
          <w:rFonts w:ascii="Verdana" w:hAnsi="Verdana" w:eastAsia="Times New Roman" w:cs="Times New Roman"/>
          <w:sz w:val="18"/>
          <w:szCs w:val="18"/>
        </w:rPr>
        <w:t xml:space="preserve"> </w:t>
      </w:r>
      <w:r w:rsidRPr="00580230" w:rsidR="00580230">
        <w:rPr>
          <w:rFonts w:ascii="Verdana" w:hAnsi="Verdana" w:eastAsia="Times New Roman" w:cs="Times New Roman"/>
          <w:sz w:val="18"/>
          <w:szCs w:val="18"/>
        </w:rPr>
        <w:t>eisen die de milieubelasting van GWW-werken beperken</w:t>
      </w:r>
      <w:r w:rsidRPr="00E43A50">
        <w:rPr>
          <w:rFonts w:ascii="Verdana" w:hAnsi="Verdana" w:eastAsia="Times New Roman" w:cs="Times New Roman"/>
          <w:sz w:val="18"/>
          <w:szCs w:val="18"/>
        </w:rPr>
        <w:t>, maar vaak op een net iets andere manier. Voor deze aanbestedende diensten valt veel winst te behalen als ervaringen worden gedeeld en samen wordt gewerkt aan een eenduidige aanpak.</w:t>
      </w:r>
    </w:p>
    <w:p w:rsidRPr="00E43A50" w:rsidR="005F1784" w:rsidP="00643E93" w:rsidRDefault="005F1784" w14:paraId="7167643A" w14:textId="77777777">
      <w:pPr>
        <w:spacing w:after="0" w:line="276" w:lineRule="auto"/>
        <w:rPr>
          <w:rFonts w:ascii="Verdana" w:hAnsi="Verdana" w:eastAsia="Times New Roman" w:cs="Times New Roman"/>
          <w:sz w:val="18"/>
          <w:szCs w:val="18"/>
        </w:rPr>
      </w:pPr>
    </w:p>
    <w:p w:rsidRPr="00D944A9" w:rsidR="005F1784" w:rsidP="00643E93" w:rsidRDefault="005F1784" w14:paraId="386C1CE4" w14:textId="216041CB">
      <w:pPr>
        <w:spacing w:after="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 xml:space="preserve">Stimulering inkopen met een </w:t>
      </w:r>
      <w:r w:rsidR="00580230">
        <w:rPr>
          <w:rFonts w:ascii="Verdana" w:hAnsi="Verdana" w:eastAsia="Times New Roman" w:cs="Times New Roman"/>
          <w:i/>
          <w:iCs/>
          <w:sz w:val="18"/>
          <w:szCs w:val="18"/>
        </w:rPr>
        <w:t>gunningscriterium op milieuprestatie</w:t>
      </w:r>
      <w:r w:rsidRPr="00E43A50">
        <w:rPr>
          <w:rFonts w:ascii="Verdana" w:hAnsi="Verdana" w:eastAsia="Times New Roman" w:cs="Times New Roman"/>
          <w:i/>
          <w:iCs/>
          <w:sz w:val="18"/>
          <w:szCs w:val="18"/>
        </w:rPr>
        <w:t>,</w:t>
      </w:r>
      <w:r w:rsidRPr="00E43A50">
        <w:rPr>
          <w:rFonts w:ascii="Verdana" w:hAnsi="Verdana" w:eastAsia="Times New Roman" w:cs="Times New Roman"/>
          <w:i/>
          <w:sz w:val="18"/>
          <w:szCs w:val="18"/>
        </w:rPr>
        <w:t xml:space="preserve"> </w:t>
      </w:r>
      <w:r w:rsidRPr="00E43A50">
        <w:rPr>
          <w:rFonts w:ascii="Verdana" w:hAnsi="Verdana" w:eastAsia="Times New Roman" w:cs="Times New Roman"/>
          <w:i/>
          <w:iCs/>
          <w:sz w:val="18"/>
          <w:szCs w:val="18"/>
        </w:rPr>
        <w:t>ook voor kleinere projecten</w:t>
      </w:r>
    </w:p>
    <w:p w:rsidRPr="00E43A50" w:rsidR="005F1784" w:rsidP="00643E93" w:rsidRDefault="00164F3C" w14:paraId="269D2E92" w14:textId="324C52D0">
      <w:pPr>
        <w:spacing w:after="0" w:line="276" w:lineRule="auto"/>
        <w:rPr>
          <w:rFonts w:ascii="Verdana" w:hAnsi="Verdana" w:eastAsia="Times New Roman" w:cs="Times New Roman"/>
          <w:sz w:val="18"/>
          <w:szCs w:val="18"/>
        </w:rPr>
      </w:pPr>
      <w:bookmarkStart w:name="_Hlk201640972" w:id="25"/>
      <w:r w:rsidRPr="00E43A50">
        <w:rPr>
          <w:rFonts w:ascii="Verdana" w:hAnsi="Verdana" w:eastAsia="Times New Roman" w:cs="Times New Roman"/>
          <w:sz w:val="18"/>
          <w:szCs w:val="18"/>
        </w:rPr>
        <w:t xml:space="preserve">Aanbestedende diensten die GWW-werken aanbesteden die onder de bij amvb vastgestelde </w:t>
      </w:r>
      <w:r w:rsidR="009C45FE">
        <w:rPr>
          <w:rFonts w:ascii="Verdana" w:hAnsi="Verdana" w:eastAsia="Times New Roman" w:cs="Times New Roman"/>
          <w:sz w:val="18"/>
          <w:szCs w:val="18"/>
          <w:lang w:eastAsia="nl-NL"/>
        </w:rPr>
        <w:t>minimum geraamde opdrachtwaarde</w:t>
      </w:r>
      <w:r w:rsidRPr="005B4CB1" w:rsidR="009C45FE">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 xml:space="preserve">vallen </w:t>
      </w:r>
      <w:r w:rsidRPr="00E43A50" w:rsidR="005F1784">
        <w:rPr>
          <w:rFonts w:ascii="Verdana" w:hAnsi="Verdana" w:eastAsia="Times New Roman" w:cs="Times New Roman"/>
          <w:sz w:val="18"/>
          <w:szCs w:val="18"/>
        </w:rPr>
        <w:t xml:space="preserve">en waarvoor het toepassen van </w:t>
      </w:r>
      <w:r w:rsidR="00CF4F88">
        <w:rPr>
          <w:rFonts w:ascii="Verdana" w:hAnsi="Verdana" w:eastAsia="Times New Roman" w:cs="Times New Roman"/>
          <w:sz w:val="18"/>
          <w:szCs w:val="18"/>
        </w:rPr>
        <w:t>de</w:t>
      </w:r>
      <w:r w:rsidRPr="00E43A50" w:rsidR="005F1784">
        <w:rPr>
          <w:rFonts w:ascii="Verdana" w:hAnsi="Verdana" w:eastAsia="Times New Roman" w:cs="Times New Roman"/>
          <w:sz w:val="18"/>
          <w:szCs w:val="18"/>
        </w:rPr>
        <w:t xml:space="preserve"> milieuprestatie </w:t>
      </w:r>
      <w:r w:rsidR="00CF4F88">
        <w:rPr>
          <w:rFonts w:ascii="Verdana" w:hAnsi="Verdana" w:eastAsia="Times New Roman" w:cs="Times New Roman"/>
          <w:sz w:val="18"/>
          <w:szCs w:val="18"/>
        </w:rPr>
        <w:t xml:space="preserve">als </w:t>
      </w:r>
      <w:r w:rsidR="00727D43">
        <w:rPr>
          <w:rFonts w:ascii="Verdana" w:hAnsi="Verdana" w:eastAsia="Times New Roman" w:cs="Times New Roman"/>
          <w:sz w:val="18"/>
          <w:szCs w:val="18"/>
        </w:rPr>
        <w:t>nader criterium</w:t>
      </w:r>
      <w:r w:rsidR="00CF4F88">
        <w:rPr>
          <w:rFonts w:ascii="Verdana" w:hAnsi="Verdana" w:eastAsia="Times New Roman" w:cs="Times New Roman"/>
          <w:sz w:val="18"/>
          <w:szCs w:val="18"/>
        </w:rPr>
        <w:t xml:space="preserve"> </w:t>
      </w:r>
      <w:r w:rsidRPr="00E43A50" w:rsidR="005F1784">
        <w:rPr>
          <w:rFonts w:ascii="Verdana" w:hAnsi="Verdana" w:eastAsia="Times New Roman" w:cs="Times New Roman"/>
          <w:sz w:val="18"/>
          <w:szCs w:val="18"/>
        </w:rPr>
        <w:t xml:space="preserve">dus niet wettelijk wordt verplicht, zijn uiteraard wel vrij om dit alsnog te doen. Wanneer er (veel) milieuwinst te behalen is, wordt dit gestimuleerd. Het op te richten </w:t>
      </w:r>
      <w:r w:rsidRPr="00E43A50" w:rsidR="009A4526">
        <w:rPr>
          <w:rFonts w:ascii="Verdana" w:hAnsi="Verdana" w:eastAsia="Times New Roman" w:cs="Times New Roman"/>
          <w:sz w:val="18"/>
          <w:szCs w:val="18"/>
        </w:rPr>
        <w:t xml:space="preserve">ondersteuningspunt </w:t>
      </w:r>
      <w:r w:rsidRPr="00E43A50" w:rsidR="005F1784">
        <w:rPr>
          <w:rFonts w:ascii="Verdana" w:hAnsi="Verdana" w:eastAsia="Times New Roman" w:cs="Times New Roman"/>
          <w:sz w:val="18"/>
          <w:szCs w:val="18"/>
        </w:rPr>
        <w:t xml:space="preserve">kan een rol bij spelen bij het stimuleren van </w:t>
      </w:r>
      <w:r w:rsidR="0043376A">
        <w:rPr>
          <w:rFonts w:ascii="Verdana" w:hAnsi="Verdana" w:eastAsia="Times New Roman" w:cs="Times New Roman"/>
          <w:sz w:val="18"/>
          <w:szCs w:val="18"/>
          <w:lang w:eastAsia="nl-NL"/>
        </w:rPr>
        <w:t>aanbestedende diensten en speciale-sectorbedrijven</w:t>
      </w:r>
      <w:r w:rsidRPr="00F5605C" w:rsidR="0043376A">
        <w:rPr>
          <w:rFonts w:ascii="Verdana" w:hAnsi="Verdana" w:eastAsia="Times New Roman" w:cs="Times New Roman"/>
          <w:sz w:val="18"/>
          <w:szCs w:val="18"/>
          <w:lang w:eastAsia="nl-NL"/>
        </w:rPr>
        <w:t xml:space="preserve"> </w:t>
      </w:r>
      <w:r w:rsidRPr="00E43A50" w:rsidR="005F1784">
        <w:rPr>
          <w:rFonts w:ascii="Verdana" w:hAnsi="Verdana" w:eastAsia="Times New Roman" w:cs="Times New Roman"/>
          <w:sz w:val="18"/>
          <w:szCs w:val="18"/>
        </w:rPr>
        <w:t xml:space="preserve">om milieuprestatie in meer projecten te laten </w:t>
      </w:r>
      <w:r w:rsidR="00D11479">
        <w:rPr>
          <w:rFonts w:ascii="Verdana" w:hAnsi="Verdana" w:eastAsia="Times New Roman" w:cs="Times New Roman"/>
          <w:sz w:val="18"/>
          <w:szCs w:val="18"/>
        </w:rPr>
        <w:t>mee</w:t>
      </w:r>
      <w:r w:rsidRPr="00E43A50" w:rsidR="005F1784">
        <w:rPr>
          <w:rFonts w:ascii="Verdana" w:hAnsi="Verdana" w:eastAsia="Times New Roman" w:cs="Times New Roman"/>
          <w:sz w:val="18"/>
          <w:szCs w:val="18"/>
        </w:rPr>
        <w:t xml:space="preserve">wegen dan alleen de projecten die onder de wettelijke verplichting vallen. </w:t>
      </w:r>
    </w:p>
    <w:bookmarkEnd w:id="25"/>
    <w:p w:rsidRPr="00E43A50" w:rsidR="004F0533" w:rsidP="00643E93" w:rsidRDefault="004F0533" w14:paraId="0D5264F1" w14:textId="77777777">
      <w:pPr>
        <w:spacing w:after="0" w:line="276" w:lineRule="auto"/>
        <w:rPr>
          <w:rFonts w:ascii="Verdana" w:hAnsi="Verdana" w:eastAsia="Times New Roman" w:cs="Times New Roman"/>
          <w:i/>
          <w:iCs/>
          <w:sz w:val="18"/>
          <w:szCs w:val="18"/>
        </w:rPr>
      </w:pPr>
    </w:p>
    <w:p w:rsidRPr="00D944A9" w:rsidR="004F0533" w:rsidDel="00DA3509" w:rsidP="00643E93" w:rsidRDefault="004F0533" w14:paraId="2CF72DF2" w14:textId="4357471A">
      <w:pPr>
        <w:spacing w:after="0" w:line="276" w:lineRule="auto"/>
        <w:rPr>
          <w:rFonts w:ascii="Verdana" w:hAnsi="Verdana" w:eastAsia="Times New Roman" w:cs="Times New Roman"/>
          <w:i/>
          <w:sz w:val="18"/>
          <w:szCs w:val="18"/>
        </w:rPr>
      </w:pPr>
      <w:r w:rsidRPr="00E43A50" w:rsidDel="00DA3509">
        <w:rPr>
          <w:rFonts w:ascii="Verdana" w:hAnsi="Verdana" w:eastAsia="Times New Roman" w:cs="Times New Roman"/>
          <w:i/>
          <w:iCs/>
          <w:sz w:val="18"/>
          <w:szCs w:val="18"/>
        </w:rPr>
        <w:t>Bevorderen van eenduidigheid in het inkopen met een milieuprestatie-eis</w:t>
      </w:r>
    </w:p>
    <w:p w:rsidRPr="00E43A50" w:rsidR="004F0533" w:rsidDel="00DA3509" w:rsidP="00643E93" w:rsidRDefault="004F0533" w14:paraId="21AA5FD4" w14:textId="4FDE403D">
      <w:pPr>
        <w:spacing w:after="0" w:line="276" w:lineRule="auto"/>
        <w:rPr>
          <w:rFonts w:ascii="Verdana" w:hAnsi="Verdana" w:eastAsia="Times New Roman" w:cs="Times New Roman"/>
          <w:sz w:val="18"/>
          <w:szCs w:val="18"/>
        </w:rPr>
      </w:pPr>
      <w:r w:rsidRPr="00E43A50" w:rsidDel="00DA3509">
        <w:rPr>
          <w:rFonts w:ascii="Verdana" w:hAnsi="Verdana" w:eastAsia="Times New Roman" w:cs="Times New Roman"/>
          <w:sz w:val="18"/>
          <w:szCs w:val="18"/>
        </w:rPr>
        <w:t xml:space="preserve">Momenteel zijn er veel verschillen in de markt </w:t>
      </w:r>
      <w:r w:rsidR="00580230">
        <w:rPr>
          <w:rFonts w:ascii="Verdana" w:hAnsi="Verdana" w:eastAsia="Times New Roman" w:cs="Times New Roman"/>
          <w:sz w:val="18"/>
          <w:szCs w:val="18"/>
        </w:rPr>
        <w:t>als het gaat om</w:t>
      </w:r>
      <w:r w:rsidRPr="00E43A50" w:rsidDel="00DA3509">
        <w:rPr>
          <w:rFonts w:ascii="Verdana" w:hAnsi="Verdana" w:eastAsia="Times New Roman" w:cs="Times New Roman"/>
          <w:sz w:val="18"/>
          <w:szCs w:val="18"/>
        </w:rPr>
        <w:t xml:space="preserve"> </w:t>
      </w:r>
      <w:r w:rsidRPr="00580230" w:rsidR="00580230">
        <w:rPr>
          <w:rFonts w:ascii="Verdana" w:hAnsi="Verdana" w:eastAsia="Times New Roman" w:cs="Times New Roman"/>
          <w:sz w:val="18"/>
          <w:szCs w:val="18"/>
        </w:rPr>
        <w:t>eisen die de milieubelasting van GWW-werken beperken</w:t>
      </w:r>
      <w:r w:rsidRPr="00E43A50" w:rsidDel="00DA3509">
        <w:rPr>
          <w:rFonts w:ascii="Verdana" w:hAnsi="Verdana" w:eastAsia="Times New Roman" w:cs="Times New Roman"/>
          <w:sz w:val="18"/>
          <w:szCs w:val="18"/>
        </w:rPr>
        <w:t xml:space="preserve">. </w:t>
      </w:r>
      <w:r w:rsidDel="00DA3509" w:rsidR="0043376A">
        <w:rPr>
          <w:rFonts w:ascii="Verdana" w:hAnsi="Verdana" w:eastAsia="Times New Roman" w:cs="Times New Roman"/>
          <w:sz w:val="18"/>
          <w:szCs w:val="18"/>
        </w:rPr>
        <w:t>A</w:t>
      </w:r>
      <w:r w:rsidDel="00DA3509" w:rsidR="0043376A">
        <w:rPr>
          <w:rFonts w:ascii="Verdana" w:hAnsi="Verdana" w:eastAsia="Times New Roman" w:cs="Times New Roman"/>
          <w:sz w:val="18"/>
          <w:szCs w:val="18"/>
          <w:lang w:eastAsia="nl-NL"/>
        </w:rPr>
        <w:t>anbestedende diensten en speciale-sectorbedrijven</w:t>
      </w:r>
      <w:r w:rsidRPr="00F5605C" w:rsidDel="00DA3509" w:rsidR="0043376A">
        <w:rPr>
          <w:rFonts w:ascii="Verdana" w:hAnsi="Verdana" w:eastAsia="Times New Roman" w:cs="Times New Roman"/>
          <w:sz w:val="18"/>
          <w:szCs w:val="18"/>
          <w:lang w:eastAsia="nl-NL"/>
        </w:rPr>
        <w:t xml:space="preserve"> </w:t>
      </w:r>
      <w:r w:rsidRPr="00E43A50" w:rsidDel="00DA3509">
        <w:rPr>
          <w:rFonts w:ascii="Verdana" w:hAnsi="Verdana" w:eastAsia="Times New Roman" w:cs="Times New Roman"/>
          <w:sz w:val="18"/>
          <w:szCs w:val="18"/>
        </w:rPr>
        <w:t xml:space="preserve">zijn vrij om deze eisen zelf in te vullen, </w:t>
      </w:r>
      <w:r w:rsidRPr="00E43A50" w:rsidDel="00DA3509" w:rsidR="00181A1E">
        <w:rPr>
          <w:rFonts w:ascii="Verdana" w:hAnsi="Verdana" w:eastAsia="Times New Roman" w:cs="Times New Roman"/>
          <w:sz w:val="18"/>
          <w:szCs w:val="18"/>
        </w:rPr>
        <w:t>wat tot onduidelijkheid leidt</w:t>
      </w:r>
      <w:r w:rsidRPr="00E43A50" w:rsidDel="00DA3509">
        <w:rPr>
          <w:rFonts w:ascii="Verdana" w:hAnsi="Verdana" w:eastAsia="Times New Roman" w:cs="Times New Roman"/>
          <w:sz w:val="18"/>
          <w:szCs w:val="18"/>
        </w:rPr>
        <w:t xml:space="preserve"> bij opdrachtnemers</w:t>
      </w:r>
      <w:r w:rsidRPr="00E43A50" w:rsidDel="00DA3509" w:rsidR="00181A1E">
        <w:rPr>
          <w:rFonts w:ascii="Verdana" w:hAnsi="Verdana" w:eastAsia="Times New Roman" w:cs="Times New Roman"/>
          <w:sz w:val="18"/>
          <w:szCs w:val="18"/>
        </w:rPr>
        <w:t xml:space="preserve"> en </w:t>
      </w:r>
      <w:r w:rsidRPr="00E43A50" w:rsidDel="00DA3509" w:rsidR="00C04945">
        <w:rPr>
          <w:rFonts w:ascii="Verdana" w:hAnsi="Verdana" w:eastAsia="Times New Roman" w:cs="Times New Roman"/>
          <w:sz w:val="18"/>
          <w:szCs w:val="18"/>
        </w:rPr>
        <w:t>onzekerheid geeft over de richting van maatregelen die vereist of beloond worden</w:t>
      </w:r>
      <w:r w:rsidRPr="00E43A50" w:rsidDel="00DA3509">
        <w:rPr>
          <w:rFonts w:ascii="Verdana" w:hAnsi="Verdana" w:eastAsia="Times New Roman" w:cs="Times New Roman"/>
          <w:sz w:val="18"/>
          <w:szCs w:val="18"/>
        </w:rPr>
        <w:t xml:space="preserve">. Deze onzekerheid heeft </w:t>
      </w:r>
      <w:r w:rsidRPr="00E43A50" w:rsidDel="00DA3509" w:rsidR="00C04945">
        <w:rPr>
          <w:rFonts w:ascii="Verdana" w:hAnsi="Verdana" w:eastAsia="Times New Roman" w:cs="Times New Roman"/>
          <w:sz w:val="18"/>
          <w:szCs w:val="18"/>
        </w:rPr>
        <w:t>tot</w:t>
      </w:r>
      <w:r w:rsidRPr="00E43A50" w:rsidDel="00DA3509">
        <w:rPr>
          <w:rFonts w:ascii="Verdana" w:hAnsi="Verdana" w:eastAsia="Times New Roman" w:cs="Times New Roman"/>
          <w:sz w:val="18"/>
          <w:szCs w:val="18"/>
        </w:rPr>
        <w:t xml:space="preserve"> gevolg dat opdrachtnemers minder bereid zijn om investeringen te doen die bijdragen aan verduurzaming</w:t>
      </w:r>
      <w:r w:rsidRPr="00E43A50" w:rsidDel="00DA3509" w:rsidR="00C04945">
        <w:rPr>
          <w:rFonts w:ascii="Verdana" w:hAnsi="Verdana" w:eastAsia="Times New Roman" w:cs="Times New Roman"/>
          <w:sz w:val="18"/>
          <w:szCs w:val="18"/>
        </w:rPr>
        <w:t>. Er is onvoldoende zekerheid</w:t>
      </w:r>
      <w:r w:rsidRPr="00E43A50" w:rsidDel="00DA3509">
        <w:rPr>
          <w:rFonts w:ascii="Verdana" w:hAnsi="Verdana" w:eastAsia="Times New Roman" w:cs="Times New Roman"/>
          <w:sz w:val="18"/>
          <w:szCs w:val="18"/>
        </w:rPr>
        <w:t xml:space="preserve"> dat deze investeringen binnen afzienbare tijd kunnen worden terugverdiend. </w:t>
      </w:r>
      <w:r w:rsidRPr="00E43A50" w:rsidDel="00DA3509" w:rsidR="00C04945">
        <w:rPr>
          <w:rFonts w:ascii="Verdana" w:hAnsi="Verdana" w:eastAsia="Times New Roman" w:cs="Times New Roman"/>
          <w:sz w:val="18"/>
          <w:szCs w:val="18"/>
        </w:rPr>
        <w:t>E</w:t>
      </w:r>
      <w:r w:rsidRPr="00E43A50" w:rsidDel="00DA3509">
        <w:rPr>
          <w:rFonts w:ascii="Verdana" w:hAnsi="Verdana" w:eastAsia="Times New Roman" w:cs="Times New Roman"/>
          <w:sz w:val="18"/>
          <w:szCs w:val="18"/>
        </w:rPr>
        <w:t xml:space="preserve">enduidige eisen </w:t>
      </w:r>
      <w:r w:rsidRPr="00E43A50" w:rsidDel="00DA3509" w:rsidR="00C04945">
        <w:rPr>
          <w:rFonts w:ascii="Verdana" w:hAnsi="Verdana" w:eastAsia="Times New Roman" w:cs="Times New Roman"/>
          <w:sz w:val="18"/>
          <w:szCs w:val="18"/>
        </w:rPr>
        <w:t>en</w:t>
      </w:r>
      <w:r w:rsidRPr="00E43A50" w:rsidDel="00DA3509">
        <w:rPr>
          <w:rFonts w:ascii="Verdana" w:hAnsi="Verdana" w:eastAsia="Times New Roman" w:cs="Times New Roman"/>
          <w:sz w:val="18"/>
          <w:szCs w:val="18"/>
        </w:rPr>
        <w:t xml:space="preserve"> eenduidig</w:t>
      </w:r>
      <w:r w:rsidRPr="00E43A50" w:rsidDel="00DA3509" w:rsidR="00C04945">
        <w:rPr>
          <w:rFonts w:ascii="Verdana" w:hAnsi="Verdana" w:eastAsia="Times New Roman" w:cs="Times New Roman"/>
          <w:sz w:val="18"/>
          <w:szCs w:val="18"/>
        </w:rPr>
        <w:t xml:space="preserve">e </w:t>
      </w:r>
      <w:r w:rsidRPr="00E43A50" w:rsidDel="00DA3509">
        <w:rPr>
          <w:rFonts w:ascii="Verdana" w:hAnsi="Verdana" w:eastAsia="Times New Roman" w:cs="Times New Roman"/>
          <w:sz w:val="18"/>
          <w:szCs w:val="18"/>
        </w:rPr>
        <w:t>handha</w:t>
      </w:r>
      <w:r w:rsidRPr="00E43A50" w:rsidDel="00DA3509" w:rsidR="00C04945">
        <w:rPr>
          <w:rFonts w:ascii="Verdana" w:hAnsi="Verdana" w:eastAsia="Times New Roman" w:cs="Times New Roman"/>
          <w:sz w:val="18"/>
          <w:szCs w:val="18"/>
        </w:rPr>
        <w:t>ving</w:t>
      </w:r>
      <w:r w:rsidRPr="00E43A50" w:rsidDel="00DA3509">
        <w:rPr>
          <w:rFonts w:ascii="Verdana" w:hAnsi="Verdana" w:eastAsia="Times New Roman" w:cs="Times New Roman"/>
          <w:sz w:val="18"/>
          <w:szCs w:val="18"/>
        </w:rPr>
        <w:t xml:space="preserve">, </w:t>
      </w:r>
      <w:r w:rsidRPr="00E43A50" w:rsidDel="00DA3509" w:rsidR="00C04945">
        <w:rPr>
          <w:rFonts w:ascii="Verdana" w:hAnsi="Verdana" w:eastAsia="Times New Roman" w:cs="Times New Roman"/>
          <w:sz w:val="18"/>
          <w:szCs w:val="18"/>
        </w:rPr>
        <w:t>dragen daarom bij aan</w:t>
      </w:r>
      <w:r w:rsidRPr="00E43A50" w:rsidDel="00DA3509">
        <w:rPr>
          <w:rFonts w:ascii="Verdana" w:hAnsi="Verdana" w:eastAsia="Times New Roman" w:cs="Times New Roman"/>
          <w:sz w:val="18"/>
          <w:szCs w:val="18"/>
        </w:rPr>
        <w:t xml:space="preserve"> investeringsperspectief geboden aan ondernemers</w:t>
      </w:r>
      <w:r w:rsidRPr="00E43A50" w:rsidDel="00DA3509" w:rsidR="00454B02">
        <w:rPr>
          <w:rFonts w:ascii="Verdana" w:hAnsi="Verdana" w:eastAsia="Times New Roman" w:cs="Times New Roman"/>
          <w:sz w:val="18"/>
          <w:szCs w:val="18"/>
        </w:rPr>
        <w:t xml:space="preserve"> </w:t>
      </w:r>
      <w:r w:rsidRPr="00E43A50" w:rsidDel="00DA3509" w:rsidR="00C04945">
        <w:rPr>
          <w:rFonts w:ascii="Verdana" w:hAnsi="Verdana" w:eastAsia="Times New Roman" w:cs="Times New Roman"/>
          <w:sz w:val="18"/>
          <w:szCs w:val="18"/>
        </w:rPr>
        <w:t>en zorgen dat</w:t>
      </w:r>
      <w:r w:rsidRPr="00E43A50" w:rsidDel="00DA3509">
        <w:rPr>
          <w:rFonts w:ascii="Verdana" w:hAnsi="Verdana" w:eastAsia="Times New Roman" w:cs="Times New Roman"/>
          <w:sz w:val="18"/>
          <w:szCs w:val="18"/>
        </w:rPr>
        <w:t xml:space="preserve"> de transactiekosten verlaagd en de benodigde expertise beperkt</w:t>
      </w:r>
      <w:r w:rsidRPr="00E43A50" w:rsidDel="00DA3509" w:rsidR="00C04945">
        <w:rPr>
          <w:rFonts w:ascii="Verdana" w:hAnsi="Verdana" w:eastAsia="Times New Roman" w:cs="Times New Roman"/>
          <w:sz w:val="18"/>
          <w:szCs w:val="18"/>
        </w:rPr>
        <w:t xml:space="preserve"> kunnen worden</w:t>
      </w:r>
      <w:r w:rsidRPr="00E43A50" w:rsidDel="00DA3509">
        <w:rPr>
          <w:rFonts w:ascii="Verdana" w:hAnsi="Verdana" w:eastAsia="Times New Roman" w:cs="Times New Roman"/>
          <w:sz w:val="18"/>
          <w:szCs w:val="18"/>
        </w:rPr>
        <w:t xml:space="preserve">. </w:t>
      </w:r>
      <w:r w:rsidR="0035093C">
        <w:rPr>
          <w:rFonts w:ascii="Verdana" w:hAnsi="Verdana" w:eastAsia="Times New Roman" w:cs="Times New Roman"/>
          <w:sz w:val="18"/>
          <w:szCs w:val="18"/>
        </w:rPr>
        <w:t>Met de verplichtingen in dit wetsvoorstel krijgen partijen eenduidigheid over de manier waarop wordt ingekocht op milieuprestatie door aanbestedende diensten en speciale</w:t>
      </w:r>
      <w:r w:rsidR="005B5C55">
        <w:rPr>
          <w:rFonts w:ascii="Verdana" w:hAnsi="Verdana" w:eastAsia="Times New Roman" w:cs="Times New Roman"/>
          <w:sz w:val="18"/>
          <w:szCs w:val="18"/>
        </w:rPr>
        <w:t>-</w:t>
      </w:r>
      <w:r w:rsidR="0035093C">
        <w:rPr>
          <w:rFonts w:ascii="Verdana" w:hAnsi="Verdana" w:eastAsia="Times New Roman" w:cs="Times New Roman"/>
          <w:sz w:val="18"/>
          <w:szCs w:val="18"/>
        </w:rPr>
        <w:t xml:space="preserve">sectorbedrijven. </w:t>
      </w:r>
      <w:r w:rsidR="002B0281">
        <w:rPr>
          <w:rFonts w:ascii="Verdana" w:hAnsi="Verdana" w:eastAsia="Times New Roman" w:cs="Times New Roman"/>
          <w:sz w:val="18"/>
          <w:szCs w:val="18"/>
        </w:rPr>
        <w:t>Via</w:t>
      </w:r>
      <w:r w:rsidR="0035093C">
        <w:rPr>
          <w:rFonts w:ascii="Verdana" w:hAnsi="Verdana" w:eastAsia="Times New Roman" w:cs="Times New Roman"/>
          <w:sz w:val="18"/>
          <w:szCs w:val="18"/>
        </w:rPr>
        <w:t xml:space="preserve"> het </w:t>
      </w:r>
      <w:r w:rsidR="00700ACE">
        <w:rPr>
          <w:rFonts w:ascii="Verdana" w:hAnsi="Verdana" w:eastAsia="Times New Roman" w:cs="Times New Roman"/>
          <w:sz w:val="18"/>
          <w:szCs w:val="18"/>
        </w:rPr>
        <w:t>o</w:t>
      </w:r>
      <w:r w:rsidR="0035093C">
        <w:rPr>
          <w:rFonts w:ascii="Verdana" w:hAnsi="Verdana" w:eastAsia="Times New Roman" w:cs="Times New Roman"/>
          <w:sz w:val="18"/>
          <w:szCs w:val="18"/>
        </w:rPr>
        <w:t xml:space="preserve">ndersteuningspunt zullen daarnaast documenten te vinden zijn om eenduidigheid verder te bevorderen, zoals toetsingsprotocollen of </w:t>
      </w:r>
      <w:r w:rsidR="000E5DFD">
        <w:rPr>
          <w:rFonts w:ascii="Verdana" w:hAnsi="Verdana" w:eastAsia="Times New Roman" w:cs="Times New Roman"/>
          <w:sz w:val="18"/>
          <w:szCs w:val="18"/>
        </w:rPr>
        <w:t>leidraden voor te hanteren wegingen bij het gunningscriterium</w:t>
      </w:r>
      <w:r w:rsidR="00CB716E">
        <w:rPr>
          <w:rFonts w:ascii="Verdana" w:hAnsi="Verdana" w:eastAsia="Times New Roman" w:cs="Times New Roman"/>
          <w:sz w:val="18"/>
          <w:szCs w:val="18"/>
        </w:rPr>
        <w:t xml:space="preserve"> op milieuprestatie</w:t>
      </w:r>
      <w:r w:rsidR="000E5DFD">
        <w:rPr>
          <w:rFonts w:ascii="Verdana" w:hAnsi="Verdana" w:eastAsia="Times New Roman" w:cs="Times New Roman"/>
          <w:sz w:val="18"/>
          <w:szCs w:val="18"/>
        </w:rPr>
        <w:t>.</w:t>
      </w:r>
    </w:p>
    <w:p w:rsidRPr="00E43A50" w:rsidR="004F0533" w:rsidP="00643E93" w:rsidRDefault="004F0533" w14:paraId="202B035C" w14:textId="77777777">
      <w:pPr>
        <w:spacing w:after="0" w:line="276" w:lineRule="auto"/>
        <w:rPr>
          <w:rFonts w:ascii="Verdana" w:hAnsi="Verdana" w:eastAsia="Times New Roman" w:cs="Times New Roman"/>
          <w:sz w:val="18"/>
          <w:szCs w:val="18"/>
        </w:rPr>
      </w:pPr>
    </w:p>
    <w:p w:rsidRPr="00D944A9" w:rsidR="00BD77EE" w:rsidP="00643E93" w:rsidRDefault="00953482" w14:paraId="2D2CB4DE" w14:textId="1C5340ED">
      <w:pPr>
        <w:spacing w:after="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 xml:space="preserve">Stimulering van toepassing </w:t>
      </w:r>
      <w:r w:rsidR="00580230">
        <w:rPr>
          <w:rFonts w:ascii="Verdana" w:hAnsi="Verdana" w:eastAsia="Times New Roman" w:cs="Times New Roman"/>
          <w:i/>
          <w:iCs/>
          <w:sz w:val="18"/>
          <w:szCs w:val="18"/>
        </w:rPr>
        <w:t>e</w:t>
      </w:r>
      <w:r w:rsidRPr="00E43A50" w:rsidR="004F0533">
        <w:rPr>
          <w:rFonts w:ascii="Verdana" w:hAnsi="Verdana" w:eastAsia="Times New Roman" w:cs="Times New Roman"/>
          <w:i/>
          <w:iCs/>
          <w:sz w:val="18"/>
          <w:szCs w:val="18"/>
        </w:rPr>
        <w:t>isen</w:t>
      </w:r>
      <w:r w:rsidRPr="00E43A50">
        <w:rPr>
          <w:rFonts w:ascii="Verdana" w:hAnsi="Verdana" w:eastAsia="Times New Roman" w:cs="Times New Roman"/>
          <w:i/>
          <w:iCs/>
          <w:sz w:val="18"/>
          <w:szCs w:val="18"/>
        </w:rPr>
        <w:t xml:space="preserve"> in ontwerpfase </w:t>
      </w:r>
    </w:p>
    <w:p w:rsidR="004F0533" w:rsidP="00643E93" w:rsidRDefault="004F0533" w14:paraId="0E189226" w14:textId="16B05C9D">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De wetgeving ziet toe op het inkopen met </w:t>
      </w:r>
      <w:r w:rsidRPr="00580230" w:rsidR="00580230">
        <w:rPr>
          <w:rFonts w:ascii="Verdana" w:hAnsi="Verdana" w:eastAsia="Times New Roman" w:cs="Times New Roman"/>
          <w:sz w:val="18"/>
          <w:szCs w:val="18"/>
        </w:rPr>
        <w:t>eisen die de milieubelasting van GWW-werken beperken</w:t>
      </w:r>
      <w:r w:rsidRPr="00E43A50">
        <w:rPr>
          <w:rFonts w:ascii="Verdana" w:hAnsi="Verdana" w:eastAsia="Times New Roman" w:cs="Times New Roman"/>
          <w:sz w:val="18"/>
          <w:szCs w:val="18"/>
        </w:rPr>
        <w:t>. In de fase v</w:t>
      </w:r>
      <w:r w:rsidRPr="00E43A50" w:rsidR="009A4526">
        <w:rPr>
          <w:rFonts w:ascii="Verdana" w:hAnsi="Verdana" w:eastAsia="Times New Roman" w:cs="Times New Roman"/>
          <w:sz w:val="18"/>
          <w:szCs w:val="18"/>
        </w:rPr>
        <w:t>óó</w:t>
      </w:r>
      <w:r w:rsidRPr="00E43A50">
        <w:rPr>
          <w:rFonts w:ascii="Verdana" w:hAnsi="Verdana" w:eastAsia="Times New Roman" w:cs="Times New Roman"/>
          <w:sz w:val="18"/>
          <w:szCs w:val="18"/>
        </w:rPr>
        <w:t>r inkoop, namelijk tijdens het ontwerp van een werk, is er echter ook (in grote mate) milieu</w:t>
      </w:r>
      <w:r w:rsidRPr="00E43A50" w:rsidR="00C04945">
        <w:rPr>
          <w:rFonts w:ascii="Verdana" w:hAnsi="Verdana" w:eastAsia="Times New Roman" w:cs="Times New Roman"/>
          <w:sz w:val="18"/>
          <w:szCs w:val="18"/>
        </w:rPr>
        <w:t xml:space="preserve">winst </w:t>
      </w:r>
      <w:r w:rsidRPr="00E43A50">
        <w:rPr>
          <w:rFonts w:ascii="Verdana" w:hAnsi="Verdana" w:eastAsia="Times New Roman" w:cs="Times New Roman"/>
          <w:sz w:val="18"/>
          <w:szCs w:val="18"/>
        </w:rPr>
        <w:t xml:space="preserve">te behalen. Via het </w:t>
      </w:r>
      <w:r w:rsidRPr="00E43A50" w:rsidR="009A4526">
        <w:rPr>
          <w:rFonts w:ascii="Verdana" w:hAnsi="Verdana" w:eastAsia="Times New Roman" w:cs="Times New Roman"/>
          <w:sz w:val="18"/>
          <w:szCs w:val="18"/>
        </w:rPr>
        <w:t>ondersteuningspunt</w:t>
      </w:r>
      <w:r w:rsidRPr="00E43A50">
        <w:rPr>
          <w:rFonts w:ascii="Verdana" w:hAnsi="Verdana" w:eastAsia="Times New Roman" w:cs="Times New Roman"/>
          <w:sz w:val="18"/>
          <w:szCs w:val="18"/>
        </w:rPr>
        <w:t xml:space="preserve"> wordt </w:t>
      </w:r>
      <w:r w:rsidRPr="00E43A50" w:rsidR="00C04945">
        <w:rPr>
          <w:rFonts w:ascii="Verdana" w:hAnsi="Verdana" w:eastAsia="Times New Roman" w:cs="Times New Roman"/>
          <w:sz w:val="18"/>
          <w:szCs w:val="18"/>
        </w:rPr>
        <w:lastRenderedPageBreak/>
        <w:t>daarom</w:t>
      </w:r>
      <w:r w:rsidRPr="00E43A50">
        <w:rPr>
          <w:rFonts w:ascii="Verdana" w:hAnsi="Verdana" w:eastAsia="Times New Roman" w:cs="Times New Roman"/>
          <w:sz w:val="18"/>
          <w:szCs w:val="18"/>
        </w:rPr>
        <w:t xml:space="preserve"> gewerkt aan het stimuleren van circulaire ontwerpprincipes. Ook het stimuleren van een afweging op de milieuprestatie van verschillende ontwerpvarianten en -keuzes tijdens de (vroege) ontwerpfase in het project wordt gestimuleerd. Daarbij wordt aangesloten op beleidsinzet vanuit onder meer de strategie </w:t>
      </w:r>
      <w:r w:rsidR="00DA3509">
        <w:rPr>
          <w:rFonts w:ascii="Verdana" w:hAnsi="Verdana" w:eastAsia="Times New Roman" w:cs="Times New Roman"/>
          <w:sz w:val="18"/>
          <w:szCs w:val="18"/>
        </w:rPr>
        <w:t>KCI</w:t>
      </w:r>
      <w:r w:rsidRPr="00E43A50">
        <w:rPr>
          <w:rFonts w:ascii="Verdana" w:hAnsi="Verdana" w:eastAsia="Times New Roman" w:cs="Times New Roman"/>
          <w:sz w:val="18"/>
          <w:szCs w:val="18"/>
        </w:rPr>
        <w:t>, de Buyer Groups en het Manifest Maatschappelijk Verantwoord Opdrachtgeven en Inkopen.</w:t>
      </w:r>
    </w:p>
    <w:p w:rsidRPr="005B4CB1" w:rsidR="00FB5E8C" w:rsidP="00643E93" w:rsidRDefault="00FB5E8C" w14:paraId="48EC80E3" w14:textId="77777777">
      <w:pPr>
        <w:spacing w:after="0" w:line="276" w:lineRule="auto"/>
        <w:rPr>
          <w:rFonts w:ascii="Verdana" w:hAnsi="Verdana" w:eastAsia="Times New Roman" w:cs="Times New Roman"/>
          <w:sz w:val="21"/>
          <w:szCs w:val="21"/>
        </w:rPr>
      </w:pPr>
    </w:p>
    <w:p w:rsidRPr="00E43A50" w:rsidR="00E0425E" w:rsidP="00643E93" w:rsidRDefault="004F0533" w14:paraId="4DD773DA" w14:textId="619ED916">
      <w:pPr>
        <w:pStyle w:val="Kop3"/>
        <w:spacing w:line="276" w:lineRule="auto"/>
      </w:pPr>
      <w:bookmarkStart w:name="_Toc195040751" w:id="26"/>
      <w:r w:rsidRPr="00E43A50">
        <w:t>Motivering instrumentkeuze</w:t>
      </w:r>
      <w:bookmarkEnd w:id="26"/>
    </w:p>
    <w:p w:rsidRPr="001E609C" w:rsidR="00A50737" w:rsidP="00643E93" w:rsidRDefault="0060212F" w14:paraId="2E02C565" w14:textId="78250A7C">
      <w:pPr>
        <w:spacing w:after="0" w:line="276" w:lineRule="auto"/>
        <w:rPr>
          <w:rFonts w:ascii="Verdana" w:hAnsi="Verdana" w:eastAsia="Times New Roman" w:cs="Times New Roman"/>
          <w:sz w:val="18"/>
          <w:szCs w:val="18"/>
        </w:rPr>
      </w:pPr>
      <w:r w:rsidRPr="001E609C">
        <w:rPr>
          <w:rFonts w:ascii="Verdana" w:hAnsi="Verdana" w:eastAsia="Times New Roman" w:cs="Times New Roman"/>
          <w:sz w:val="18"/>
          <w:szCs w:val="18"/>
        </w:rPr>
        <w:t>Bij het ontwerpen van dit wetsvoorstel is zorgvuldig nagedacht over het meest effectieve en passende instrument om de milieu-impact van GWW-werken terug te dringen</w:t>
      </w:r>
      <w:r w:rsidR="0039687A">
        <w:rPr>
          <w:rFonts w:ascii="Verdana" w:hAnsi="Verdana" w:eastAsia="Times New Roman" w:cs="Times New Roman"/>
          <w:sz w:val="18"/>
          <w:szCs w:val="18"/>
        </w:rPr>
        <w:t xml:space="preserve"> en eenduidigheid in inkoop te realiseren</w:t>
      </w:r>
      <w:r w:rsidRPr="001E609C">
        <w:rPr>
          <w:rFonts w:ascii="Verdana" w:hAnsi="Verdana" w:eastAsia="Times New Roman" w:cs="Times New Roman"/>
          <w:sz w:val="18"/>
          <w:szCs w:val="18"/>
        </w:rPr>
        <w:t xml:space="preserve">. </w:t>
      </w:r>
      <w:r w:rsidR="00160A3A">
        <w:rPr>
          <w:rFonts w:ascii="Verdana" w:hAnsi="Verdana" w:eastAsia="Times New Roman" w:cs="Times New Roman"/>
          <w:sz w:val="18"/>
          <w:szCs w:val="18"/>
        </w:rPr>
        <w:t>Hieronder</w:t>
      </w:r>
      <w:r w:rsidRPr="001E609C" w:rsidR="00160A3A">
        <w:rPr>
          <w:rFonts w:ascii="Verdana" w:hAnsi="Verdana" w:eastAsia="Times New Roman" w:cs="Times New Roman"/>
          <w:sz w:val="18"/>
          <w:szCs w:val="18"/>
        </w:rPr>
        <w:t xml:space="preserve"> wordt toegelicht waarom niet is gekozen voor vrijwillige instrumenten, maar voor regelgeving. </w:t>
      </w:r>
      <w:r w:rsidR="00160A3A">
        <w:rPr>
          <w:rFonts w:ascii="Verdana" w:hAnsi="Verdana" w:eastAsia="Times New Roman" w:cs="Times New Roman"/>
          <w:sz w:val="18"/>
          <w:szCs w:val="18"/>
        </w:rPr>
        <w:t xml:space="preserve">Daarna </w:t>
      </w:r>
      <w:r w:rsidRPr="001E609C">
        <w:rPr>
          <w:rFonts w:ascii="Verdana" w:hAnsi="Verdana" w:eastAsia="Times New Roman" w:cs="Times New Roman"/>
          <w:sz w:val="18"/>
          <w:szCs w:val="18"/>
        </w:rPr>
        <w:t>wordt beargumenteerd waarom</w:t>
      </w:r>
      <w:r w:rsidRPr="001E609C" w:rsidR="001E609C">
        <w:rPr>
          <w:rFonts w:ascii="Verdana" w:hAnsi="Verdana" w:eastAsia="Times New Roman" w:cs="Times New Roman"/>
          <w:sz w:val="18"/>
          <w:szCs w:val="18"/>
        </w:rPr>
        <w:t xml:space="preserve"> </w:t>
      </w:r>
      <w:r w:rsidRPr="001E609C" w:rsidR="00802540">
        <w:rPr>
          <w:rFonts w:ascii="Verdana" w:hAnsi="Verdana" w:eastAsia="Times New Roman" w:cs="Times New Roman"/>
          <w:sz w:val="18"/>
          <w:szCs w:val="18"/>
        </w:rPr>
        <w:t xml:space="preserve">is </w:t>
      </w:r>
      <w:r w:rsidRPr="001E609C">
        <w:rPr>
          <w:rFonts w:ascii="Verdana" w:hAnsi="Verdana" w:eastAsia="Times New Roman" w:cs="Times New Roman"/>
          <w:sz w:val="18"/>
          <w:szCs w:val="18"/>
        </w:rPr>
        <w:t>gekozen om geen generieke producteisen in te voeren</w:t>
      </w:r>
      <w:r w:rsidRPr="006D1603" w:rsidR="006D1603">
        <w:rPr>
          <w:rFonts w:ascii="Verdana" w:hAnsi="Verdana" w:eastAsia="Times New Roman" w:cs="Times New Roman"/>
          <w:sz w:val="18"/>
          <w:szCs w:val="18"/>
        </w:rPr>
        <w:t xml:space="preserve"> </w:t>
      </w:r>
      <w:r w:rsidRPr="001E609C" w:rsidR="006D1603">
        <w:rPr>
          <w:rFonts w:ascii="Verdana" w:hAnsi="Verdana" w:eastAsia="Times New Roman" w:cs="Times New Roman"/>
          <w:sz w:val="18"/>
          <w:szCs w:val="18"/>
        </w:rPr>
        <w:t xml:space="preserve">en geen aanvullende regels op te nemen in de </w:t>
      </w:r>
      <w:r w:rsidR="00A50737">
        <w:rPr>
          <w:rFonts w:ascii="Verdana" w:hAnsi="Verdana" w:eastAsia="Times New Roman" w:cs="Times New Roman"/>
          <w:sz w:val="18"/>
          <w:szCs w:val="18"/>
        </w:rPr>
        <w:t>amvb’s onder</w:t>
      </w:r>
      <w:r w:rsidRPr="001E609C" w:rsidR="006D1603">
        <w:rPr>
          <w:rFonts w:ascii="Verdana" w:hAnsi="Verdana" w:eastAsia="Times New Roman" w:cs="Times New Roman"/>
          <w:sz w:val="18"/>
          <w:szCs w:val="18"/>
        </w:rPr>
        <w:t xml:space="preserve"> de Omgevingswet</w:t>
      </w:r>
      <w:r w:rsidRPr="001E609C">
        <w:rPr>
          <w:rFonts w:ascii="Verdana" w:hAnsi="Verdana" w:eastAsia="Times New Roman" w:cs="Times New Roman"/>
          <w:sz w:val="18"/>
          <w:szCs w:val="18"/>
        </w:rPr>
        <w:t>.</w:t>
      </w:r>
      <w:r w:rsidRPr="001E609C" w:rsidR="00802540">
        <w:rPr>
          <w:rStyle w:val="Voetnootmarkering"/>
          <w:rFonts w:ascii="Verdana" w:hAnsi="Verdana" w:eastAsia="Times New Roman" w:cs="Times New Roman"/>
          <w:sz w:val="18"/>
          <w:szCs w:val="18"/>
        </w:rPr>
        <w:footnoteReference w:id="24"/>
      </w:r>
      <w:r w:rsidRPr="001E609C">
        <w:rPr>
          <w:rFonts w:ascii="Verdana" w:hAnsi="Verdana" w:eastAsia="Times New Roman" w:cs="Times New Roman"/>
          <w:sz w:val="18"/>
          <w:szCs w:val="18"/>
        </w:rPr>
        <w:t xml:space="preserve"> Vervolgens wordt toegelicht waarom het instrument van aanbesteding geschikt is voor het bereiken van de gewenste doelen.</w:t>
      </w:r>
      <w:r w:rsidRPr="001E609C" w:rsidR="00EF1DA4">
        <w:rPr>
          <w:rFonts w:ascii="Verdana" w:hAnsi="Verdana" w:eastAsia="Times New Roman" w:cs="Times New Roman"/>
          <w:sz w:val="18"/>
          <w:szCs w:val="18"/>
        </w:rPr>
        <w:t xml:space="preserve"> </w:t>
      </w:r>
    </w:p>
    <w:p w:rsidR="00160A3A" w:rsidP="00643E93" w:rsidRDefault="00160A3A" w14:paraId="52A67329" w14:textId="77777777">
      <w:pPr>
        <w:spacing w:after="0" w:line="276" w:lineRule="auto"/>
        <w:rPr>
          <w:rFonts w:ascii="Verdana" w:hAnsi="Verdana" w:eastAsia="Times New Roman" w:cs="Times New Roman"/>
          <w:sz w:val="18"/>
          <w:szCs w:val="18"/>
        </w:rPr>
      </w:pPr>
    </w:p>
    <w:p w:rsidRPr="00E43A50" w:rsidR="00160A3A" w:rsidP="00643E93" w:rsidRDefault="00160A3A" w14:paraId="4CEE0A7E" w14:textId="2785A9C3">
      <w:pPr>
        <w:spacing w:line="276" w:lineRule="auto"/>
        <w:textAlignment w:val="baseline"/>
        <w:rPr>
          <w:rFonts w:ascii="Verdana" w:hAnsi="Verdana" w:eastAsia="Times New Roman" w:cs="Times New Roman"/>
          <w:sz w:val="18"/>
          <w:szCs w:val="18"/>
        </w:rPr>
      </w:pPr>
      <w:r>
        <w:rPr>
          <w:rFonts w:ascii="Verdana" w:hAnsi="Verdana" w:eastAsia="Times New Roman" w:cs="Times New Roman"/>
          <w:sz w:val="18"/>
          <w:szCs w:val="18"/>
        </w:rPr>
        <w:t xml:space="preserve">Zoals gezegd is er niet </w:t>
      </w:r>
      <w:r w:rsidR="00A50737">
        <w:rPr>
          <w:rFonts w:ascii="Verdana" w:hAnsi="Verdana" w:eastAsia="Times New Roman" w:cs="Times New Roman"/>
          <w:sz w:val="18"/>
          <w:szCs w:val="18"/>
        </w:rPr>
        <w:t xml:space="preserve">alleen </w:t>
      </w:r>
      <w:r>
        <w:rPr>
          <w:rFonts w:ascii="Verdana" w:hAnsi="Verdana" w:eastAsia="Times New Roman" w:cs="Times New Roman"/>
          <w:sz w:val="18"/>
          <w:szCs w:val="18"/>
        </w:rPr>
        <w:t>gekozen voor sturing met vrijwillige instrumenten, maar voor regelgeving en normering. Dit omdat b</w:t>
      </w:r>
      <w:r w:rsidRPr="00E43A50">
        <w:rPr>
          <w:rFonts w:ascii="Verdana" w:hAnsi="Verdana" w:eastAsia="Times New Roman" w:cs="Times New Roman"/>
          <w:sz w:val="18"/>
          <w:szCs w:val="18"/>
        </w:rPr>
        <w:t xml:space="preserve">innen de GWW-sector al jaren ontwikkelingen en initiatieven </w:t>
      </w:r>
      <w:r>
        <w:rPr>
          <w:rFonts w:ascii="Verdana" w:hAnsi="Verdana" w:eastAsia="Times New Roman" w:cs="Times New Roman"/>
          <w:sz w:val="18"/>
          <w:szCs w:val="18"/>
        </w:rPr>
        <w:t xml:space="preserve">opdrachtgevers in de GWW aansporen en ondersteunen om de </w:t>
      </w:r>
      <w:r w:rsidRPr="00580230" w:rsidR="00580230">
        <w:rPr>
          <w:rFonts w:ascii="Verdana" w:hAnsi="Verdana" w:eastAsia="Times New Roman" w:cs="Times New Roman"/>
          <w:sz w:val="18"/>
          <w:szCs w:val="18"/>
        </w:rPr>
        <w:t xml:space="preserve">milieubelasting van </w:t>
      </w:r>
      <w:r w:rsidR="00580230">
        <w:rPr>
          <w:rFonts w:ascii="Verdana" w:hAnsi="Verdana" w:eastAsia="Times New Roman" w:cs="Times New Roman"/>
          <w:sz w:val="18"/>
          <w:szCs w:val="18"/>
        </w:rPr>
        <w:t xml:space="preserve">hun </w:t>
      </w:r>
      <w:r w:rsidRPr="00580230" w:rsidR="00580230">
        <w:rPr>
          <w:rFonts w:ascii="Verdana" w:hAnsi="Verdana" w:eastAsia="Times New Roman" w:cs="Times New Roman"/>
          <w:sz w:val="18"/>
          <w:szCs w:val="18"/>
        </w:rPr>
        <w:t xml:space="preserve">werken </w:t>
      </w:r>
      <w:r w:rsidR="00580230">
        <w:rPr>
          <w:rFonts w:ascii="Verdana" w:hAnsi="Verdana" w:eastAsia="Times New Roman" w:cs="Times New Roman"/>
          <w:sz w:val="18"/>
          <w:szCs w:val="18"/>
        </w:rPr>
        <w:t xml:space="preserve">te </w:t>
      </w:r>
      <w:r w:rsidRPr="00580230" w:rsidR="00580230">
        <w:rPr>
          <w:rFonts w:ascii="Verdana" w:hAnsi="Verdana" w:eastAsia="Times New Roman" w:cs="Times New Roman"/>
          <w:sz w:val="18"/>
          <w:szCs w:val="18"/>
        </w:rPr>
        <w:t>beperken</w:t>
      </w:r>
      <w:r w:rsidRPr="00E43A50">
        <w:rPr>
          <w:rFonts w:ascii="Verdana" w:hAnsi="Verdana" w:eastAsia="Times New Roman" w:cs="Times New Roman"/>
          <w:sz w:val="18"/>
          <w:szCs w:val="18"/>
        </w:rPr>
        <w:t>, zoals onder andere:</w:t>
      </w:r>
    </w:p>
    <w:p w:rsidRPr="00E43A50" w:rsidR="00160A3A" w:rsidP="00643E93" w:rsidRDefault="00160A3A" w14:paraId="63156780" w14:textId="7777777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Grondstoffenakkoord</w:t>
      </w:r>
    </w:p>
    <w:p w:rsidRPr="00E43A50" w:rsidR="00160A3A" w:rsidP="00643E93" w:rsidRDefault="00160A3A" w14:paraId="473090A3" w14:textId="7777777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Strategie Klimaatneutrale en Circulaire Infrastructuur </w:t>
      </w:r>
    </w:p>
    <w:p w:rsidRPr="00E43A50" w:rsidR="00160A3A" w:rsidP="00643E93" w:rsidRDefault="00160A3A" w14:paraId="2D298FB6" w14:textId="7777777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Transitie-agenda Circulaire Bouweconomie</w:t>
      </w:r>
    </w:p>
    <w:p w:rsidRPr="00E43A50" w:rsidR="00160A3A" w:rsidP="00643E93" w:rsidRDefault="00160A3A" w14:paraId="2E7B126F" w14:textId="7777777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Manifest Duurzaam GWW 2030 (voorheen Green Deal Duurzaam GWW sinds 2017) </w:t>
      </w:r>
    </w:p>
    <w:p w:rsidRPr="00E43A50" w:rsidR="00160A3A" w:rsidP="00643E93" w:rsidRDefault="00160A3A" w14:paraId="427EF395" w14:textId="7777777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Manifest Maatschappelijk Verantwoord Opdrachtgeven en Inkopen (MVOI)</w:t>
      </w:r>
    </w:p>
    <w:p w:rsidRPr="00E43A50" w:rsidR="00160A3A" w:rsidP="00643E93" w:rsidRDefault="00160A3A" w14:paraId="1B536B01" w14:textId="7777777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Betonakkoord</w:t>
      </w:r>
    </w:p>
    <w:p w:rsidRPr="00E43A50" w:rsidR="00160A3A" w:rsidP="00643E93" w:rsidRDefault="00160A3A" w14:paraId="6A3CD0F7" w14:textId="7777777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Buyer Groups gericht op de GWW</w:t>
      </w:r>
    </w:p>
    <w:p w:rsidRPr="00E43A50" w:rsidR="00160A3A" w:rsidP="00643E93" w:rsidRDefault="00160A3A" w14:paraId="3A297823" w14:textId="7B84A44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Diverse platforms en initiatieven, waaronder Bouwcirculair, Cirkelstad/Het Nieuwe Normaal </w:t>
      </w:r>
    </w:p>
    <w:p w:rsidRPr="00E43A50" w:rsidR="00160A3A" w:rsidP="00643E93" w:rsidRDefault="00160A3A" w14:paraId="63F29979" w14:textId="77777777">
      <w:pPr>
        <w:numPr>
          <w:ilvl w:val="0"/>
          <w:numId w:val="5"/>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Ontwikkelingen binnen bestaande platforms, zoals CROW, WoW, Bouwend Nederland</w:t>
      </w:r>
    </w:p>
    <w:p w:rsidRPr="00E43A50" w:rsidR="00160A3A" w:rsidP="00643E93" w:rsidRDefault="00160A3A" w14:paraId="6CF6B116" w14:textId="77777777">
      <w:pPr>
        <w:spacing w:after="0" w:line="276" w:lineRule="auto"/>
        <w:rPr>
          <w:rFonts w:ascii="Verdana" w:hAnsi="Verdana" w:eastAsia="Times New Roman" w:cs="Times New Roman"/>
          <w:sz w:val="18"/>
          <w:szCs w:val="18"/>
        </w:rPr>
      </w:pPr>
    </w:p>
    <w:p w:rsidRPr="00E43A50" w:rsidR="00160A3A" w:rsidP="00643E93" w:rsidRDefault="00160A3A" w14:paraId="4EF49C0B" w14:textId="4925D50C">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Met deze programma’s en initiatieven, maar ook met behulp van verschillende subsidies, is bewustwording gecreëerd dat inkoop als instrument niet alleen gebruikt kan worden voor de onmiddellijke inkoopbehoefte, maar ook breder kan worden toegepast als instrument voor de realisatie van belangrijke beleidsdoelstellingen. Deze – vrijwillige – initiatieven zorgen voor bewustwording, samenwerking, kennisdeling en vooruitgang. Maar niet in het hoge, noodzakelijke tempo om de internationale, Rijks-, regionale, lokale en sectordoelstellingen te halen. Zoals eerder beschreven</w:t>
      </w:r>
      <w:r w:rsidR="00D11479">
        <w:rPr>
          <w:rFonts w:ascii="Verdana" w:hAnsi="Verdana" w:eastAsia="Times New Roman" w:cs="Times New Roman"/>
          <w:sz w:val="18"/>
          <w:szCs w:val="18"/>
        </w:rPr>
        <w:t xml:space="preserve"> geven</w:t>
      </w:r>
      <w:r w:rsidRPr="00E43A50" w:rsidDel="000F14B5">
        <w:rPr>
          <w:rFonts w:ascii="Verdana" w:hAnsi="Verdana" w:eastAsia="Times New Roman" w:cs="Times New Roman"/>
          <w:sz w:val="18"/>
          <w:szCs w:val="18"/>
        </w:rPr>
        <w:t xml:space="preserve"> </w:t>
      </w:r>
      <w:r w:rsidRPr="00E43A50">
        <w:rPr>
          <w:rFonts w:ascii="Verdana" w:hAnsi="Verdana" w:eastAsia="Times New Roman" w:cs="Times New Roman"/>
          <w:sz w:val="18"/>
          <w:szCs w:val="18"/>
        </w:rPr>
        <w:t>het bedrijfsleven en verschillende aanbestedende diensten en speciale</w:t>
      </w:r>
      <w:r>
        <w:rPr>
          <w:rFonts w:ascii="Verdana" w:hAnsi="Verdana" w:eastAsia="Times New Roman" w:cs="Times New Roman"/>
          <w:sz w:val="18"/>
          <w:szCs w:val="18"/>
        </w:rPr>
        <w:t>-</w:t>
      </w:r>
      <w:r w:rsidRPr="00E43A50">
        <w:rPr>
          <w:rFonts w:ascii="Verdana" w:hAnsi="Verdana" w:eastAsia="Times New Roman" w:cs="Times New Roman"/>
          <w:sz w:val="18"/>
          <w:szCs w:val="18"/>
        </w:rPr>
        <w:t>sectorbedrijven, evenals onderzoeks- en adviesbureaus</w:t>
      </w:r>
      <w:r w:rsidRPr="00E43A50" w:rsidDel="00DA3509">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aan dat een bindende landelijke maatregel ervoor zal zorgen dat het circulair ontwerpen en uitvoeren van projecten in de GWW geen beleidspunt blijft voor elke aanbestedende dienst afzonderlijk, zoals nu, maar dat de versnelling van deze transitie in de GWW gezamenlijk wordt ingezet. Dit wetsvoorstel </w:t>
      </w:r>
      <w:r w:rsidRPr="00E43A50">
        <w:rPr>
          <w:rFonts w:ascii="Verdana" w:hAnsi="Verdana" w:eastAsia="Times New Roman" w:cs="Times New Roman"/>
          <w:sz w:val="18"/>
          <w:szCs w:val="18"/>
        </w:rPr>
        <w:lastRenderedPageBreak/>
        <w:t xml:space="preserve">geldt dan ook als een basisniveau voor de hele sector, aanvullend op de inzet zoals hierboven beschreven. </w:t>
      </w:r>
      <w:r>
        <w:rPr>
          <w:rFonts w:ascii="Verdana" w:hAnsi="Verdana" w:eastAsia="Times New Roman" w:cs="Times New Roman"/>
          <w:sz w:val="18"/>
          <w:szCs w:val="18"/>
        </w:rPr>
        <w:t>Er is</w:t>
      </w:r>
      <w:r w:rsidRPr="00E43A50">
        <w:rPr>
          <w:rFonts w:ascii="Verdana" w:hAnsi="Verdana" w:eastAsia="Times New Roman" w:cs="Times New Roman"/>
          <w:sz w:val="18"/>
          <w:szCs w:val="18"/>
        </w:rPr>
        <w:t xml:space="preserve"> onderzoek uitgevoerd ter voorbereiding op het kabinetsbesluit om wettelijk te gaan sturen op het verlagen van milieu-impact in de GWW</w:t>
      </w:r>
      <w:r>
        <w:rPr>
          <w:rFonts w:ascii="Verdana" w:hAnsi="Verdana" w:eastAsia="Times New Roman" w:cs="Times New Roman"/>
          <w:sz w:val="18"/>
          <w:szCs w:val="18"/>
        </w:rPr>
        <w:t>. Daaruit</w:t>
      </w:r>
      <w:r w:rsidRPr="00E43A50">
        <w:rPr>
          <w:rFonts w:ascii="Verdana" w:hAnsi="Verdana" w:eastAsia="Times New Roman" w:cs="Times New Roman"/>
          <w:sz w:val="18"/>
          <w:szCs w:val="18"/>
        </w:rPr>
        <w:t xml:space="preserve"> blijkt het significante effect van de verplichting</w:t>
      </w:r>
      <w:r>
        <w:rPr>
          <w:rFonts w:ascii="Verdana" w:hAnsi="Verdana" w:eastAsia="Times New Roman" w:cs="Times New Roman"/>
          <w:sz w:val="18"/>
          <w:szCs w:val="18"/>
        </w:rPr>
        <w:t>.</w:t>
      </w:r>
      <w:r w:rsidRPr="00E43A50">
        <w:rPr>
          <w:rStyle w:val="Voetnootmarkering"/>
          <w:rFonts w:ascii="Verdana" w:hAnsi="Verdana" w:eastAsia="Times New Roman" w:cs="Times New Roman"/>
          <w:sz w:val="18"/>
          <w:szCs w:val="18"/>
        </w:rPr>
        <w:footnoteReference w:id="25"/>
      </w:r>
      <w:r>
        <w:rPr>
          <w:rFonts w:ascii="Verdana" w:hAnsi="Verdana" w:eastAsia="Times New Roman" w:cs="Times New Roman"/>
          <w:sz w:val="18"/>
          <w:szCs w:val="18"/>
        </w:rPr>
        <w:t xml:space="preserve"> </w:t>
      </w:r>
      <w:r w:rsidRPr="00E43A50">
        <w:rPr>
          <w:rFonts w:ascii="Verdana" w:hAnsi="Verdana" w:eastAsia="Times New Roman" w:cs="Times New Roman"/>
          <w:sz w:val="18"/>
          <w:szCs w:val="18"/>
        </w:rPr>
        <w:t>De verplichtingen kunnen leiden tot een vermindering van ongeveer 0,8 megaton broeikasgasemissies in 2030.</w:t>
      </w:r>
      <w:r w:rsidRPr="00E43A50">
        <w:rPr>
          <w:rStyle w:val="Voetnootmarkering"/>
          <w:rFonts w:ascii="Verdana" w:hAnsi="Verdana" w:eastAsia="Times New Roman" w:cs="Times New Roman"/>
          <w:sz w:val="18"/>
          <w:szCs w:val="18"/>
        </w:rPr>
        <w:footnoteReference w:id="26"/>
      </w:r>
      <w:r w:rsidRPr="00E43A50">
        <w:rPr>
          <w:rFonts w:ascii="Verdana" w:hAnsi="Verdana" w:eastAsia="Times New Roman" w:cs="Times New Roman"/>
          <w:sz w:val="18"/>
          <w:szCs w:val="18"/>
        </w:rPr>
        <w:t xml:space="preserve"> </w:t>
      </w:r>
    </w:p>
    <w:p w:rsidR="0060212F" w:rsidP="00643E93" w:rsidRDefault="0060212F" w14:paraId="32027347" w14:textId="77777777">
      <w:pPr>
        <w:spacing w:after="0" w:line="276" w:lineRule="auto"/>
        <w:rPr>
          <w:rFonts w:ascii="Verdana" w:hAnsi="Verdana" w:eastAsia="Times New Roman" w:cs="Times New Roman"/>
          <w:sz w:val="18"/>
          <w:szCs w:val="18"/>
        </w:rPr>
      </w:pPr>
    </w:p>
    <w:p w:rsidRPr="00D944A9" w:rsidR="006D1603" w:rsidP="00643E93" w:rsidRDefault="006D1603" w14:paraId="6DB86DA0" w14:textId="6C5564F3">
      <w:pPr>
        <w:spacing w:after="0" w:line="276" w:lineRule="auto"/>
        <w:rPr>
          <w:rFonts w:ascii="Verdana" w:hAnsi="Verdana" w:eastAsia="Times New Roman" w:cs="Times New Roman"/>
          <w:i/>
          <w:sz w:val="18"/>
          <w:szCs w:val="18"/>
        </w:rPr>
      </w:pPr>
      <w:r w:rsidRPr="00F2248B">
        <w:rPr>
          <w:rFonts w:ascii="Verdana" w:hAnsi="Verdana" w:eastAsia="Times New Roman" w:cs="Times New Roman"/>
          <w:i/>
          <w:iCs/>
          <w:sz w:val="18"/>
          <w:szCs w:val="18"/>
        </w:rPr>
        <w:t>Het stellen van generieke producteisen</w:t>
      </w:r>
    </w:p>
    <w:p w:rsidR="0060212F" w:rsidP="00643E93" w:rsidRDefault="009F2B89" w14:paraId="6E6F0B9E" w14:textId="4F1B591B">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Wanneer gekeken wordt naar generieke</w:t>
      </w:r>
      <w:r w:rsidRPr="0060212F" w:rsidR="0060212F">
        <w:rPr>
          <w:rFonts w:ascii="Verdana" w:hAnsi="Verdana" w:eastAsia="Times New Roman" w:cs="Times New Roman"/>
          <w:sz w:val="18"/>
          <w:szCs w:val="18"/>
        </w:rPr>
        <w:t xml:space="preserve"> producteisen, zoals milieucertificaten of minimale milieustandaarden voor bouwmaterialen, kunnen </w:t>
      </w:r>
      <w:r w:rsidR="00B35515">
        <w:rPr>
          <w:rFonts w:ascii="Verdana" w:hAnsi="Verdana" w:eastAsia="Times New Roman" w:cs="Times New Roman"/>
          <w:sz w:val="18"/>
          <w:szCs w:val="18"/>
        </w:rPr>
        <w:t xml:space="preserve">deze </w:t>
      </w:r>
      <w:r w:rsidRPr="0060212F" w:rsidR="0060212F">
        <w:rPr>
          <w:rFonts w:ascii="Verdana" w:hAnsi="Verdana" w:eastAsia="Times New Roman" w:cs="Times New Roman"/>
          <w:sz w:val="18"/>
          <w:szCs w:val="18"/>
        </w:rPr>
        <w:t xml:space="preserve">bijdragen aan verduurzaming, maar </w:t>
      </w:r>
      <w:r w:rsidR="006F2D2A">
        <w:rPr>
          <w:rFonts w:ascii="Verdana" w:hAnsi="Verdana" w:eastAsia="Times New Roman" w:cs="Times New Roman"/>
          <w:sz w:val="18"/>
          <w:szCs w:val="18"/>
        </w:rPr>
        <w:t>zijn er</w:t>
      </w:r>
      <w:r w:rsidRPr="0060212F" w:rsidR="0060212F">
        <w:rPr>
          <w:rFonts w:ascii="Verdana" w:hAnsi="Verdana" w:eastAsia="Times New Roman" w:cs="Times New Roman"/>
          <w:sz w:val="18"/>
          <w:szCs w:val="18"/>
        </w:rPr>
        <w:t xml:space="preserve"> ook belangrijke beperkingen. Het is niet proportioneel om voor álle producten binnen de GWW-sector strenge milieueisen te stellen, ongeacht de specifieke toepassing en de milieu-impact van het product binnen een bepaald project. Dit zou bovendien kleinere producenten en leveranciers onevenredig zwaar belasten, </w:t>
      </w:r>
      <w:r w:rsidR="00371DE7">
        <w:rPr>
          <w:rFonts w:ascii="Verdana" w:hAnsi="Verdana" w:eastAsia="Times New Roman" w:cs="Times New Roman"/>
          <w:sz w:val="18"/>
          <w:szCs w:val="18"/>
        </w:rPr>
        <w:t xml:space="preserve">omdat zij voor alle producten een milieuverklaring moeten opstellen. Dit is niet voor ieder product logisch, omdat het </w:t>
      </w:r>
      <w:r w:rsidRPr="0060212F" w:rsidR="0060212F">
        <w:rPr>
          <w:rFonts w:ascii="Verdana" w:hAnsi="Verdana" w:eastAsia="Times New Roman" w:cs="Times New Roman"/>
          <w:sz w:val="18"/>
          <w:szCs w:val="18"/>
        </w:rPr>
        <w:t xml:space="preserve">effect </w:t>
      </w:r>
      <w:r w:rsidR="00371DE7">
        <w:rPr>
          <w:rFonts w:ascii="Verdana" w:hAnsi="Verdana" w:eastAsia="Times New Roman" w:cs="Times New Roman"/>
          <w:sz w:val="18"/>
          <w:szCs w:val="18"/>
        </w:rPr>
        <w:t xml:space="preserve">van de producten </w:t>
      </w:r>
      <w:r w:rsidRPr="0060212F" w:rsidR="0060212F">
        <w:rPr>
          <w:rFonts w:ascii="Verdana" w:hAnsi="Verdana" w:eastAsia="Times New Roman" w:cs="Times New Roman"/>
          <w:sz w:val="18"/>
          <w:szCs w:val="18"/>
        </w:rPr>
        <w:t>op de totale milieuprestatie beperkt kan zijn. Door</w:t>
      </w:r>
      <w:r w:rsidR="0060212F">
        <w:rPr>
          <w:rFonts w:ascii="Verdana" w:hAnsi="Verdana" w:eastAsia="Times New Roman" w:cs="Times New Roman"/>
          <w:sz w:val="18"/>
          <w:szCs w:val="18"/>
        </w:rPr>
        <w:t xml:space="preserve"> enkel</w:t>
      </w:r>
      <w:r w:rsidRPr="0060212F" w:rsidR="0060212F">
        <w:rPr>
          <w:rFonts w:ascii="Verdana" w:hAnsi="Verdana" w:eastAsia="Times New Roman" w:cs="Times New Roman"/>
          <w:sz w:val="18"/>
          <w:szCs w:val="18"/>
        </w:rPr>
        <w:t xml:space="preserve"> te kiezen voor generieke producteisen zou de flexibiliteit en innovatie in de markt bovendien worden ingeperkt, doordat marktpartijen worden beperkt tot vooraf vastgestelde standaarden die mogelijk niet voor iedere situatie passend zijn</w:t>
      </w:r>
      <w:r>
        <w:rPr>
          <w:rFonts w:ascii="Verdana" w:hAnsi="Verdana" w:eastAsia="Times New Roman" w:cs="Times New Roman"/>
          <w:sz w:val="18"/>
          <w:szCs w:val="18"/>
        </w:rPr>
        <w:t xml:space="preserve">. </w:t>
      </w:r>
      <w:r w:rsidRPr="0060212F" w:rsidR="0060212F">
        <w:rPr>
          <w:rFonts w:ascii="Verdana" w:hAnsi="Verdana" w:eastAsia="Times New Roman" w:cs="Times New Roman"/>
          <w:sz w:val="18"/>
          <w:szCs w:val="18"/>
        </w:rPr>
        <w:t xml:space="preserve">Via het instrument van aanbesteding kan proportioneel </w:t>
      </w:r>
      <w:r w:rsidR="00B35515">
        <w:rPr>
          <w:rFonts w:ascii="Verdana" w:hAnsi="Verdana" w:eastAsia="Times New Roman" w:cs="Times New Roman"/>
          <w:sz w:val="18"/>
          <w:szCs w:val="18"/>
        </w:rPr>
        <w:t xml:space="preserve">en effectief </w:t>
      </w:r>
      <w:r w:rsidRPr="0060212F" w:rsidR="0060212F">
        <w:rPr>
          <w:rFonts w:ascii="Verdana" w:hAnsi="Verdana" w:eastAsia="Times New Roman" w:cs="Times New Roman"/>
          <w:sz w:val="18"/>
          <w:szCs w:val="18"/>
        </w:rPr>
        <w:t xml:space="preserve">worden gestuurd: eisen kunnen worden afgestemd op de aard en omvang van het project, zonder onnodige belemmeringen voor kleinere producenten en leveranciers. </w:t>
      </w:r>
    </w:p>
    <w:p w:rsidR="0060212F" w:rsidP="00643E93" w:rsidRDefault="0060212F" w14:paraId="0F3B90C4" w14:textId="77777777">
      <w:pPr>
        <w:spacing w:after="0" w:line="276" w:lineRule="auto"/>
        <w:rPr>
          <w:rFonts w:ascii="Verdana" w:hAnsi="Verdana" w:eastAsia="Times New Roman" w:cs="Times New Roman"/>
          <w:sz w:val="18"/>
          <w:szCs w:val="18"/>
        </w:rPr>
      </w:pPr>
    </w:p>
    <w:p w:rsidRPr="00D944A9" w:rsidR="006D1603" w:rsidP="00643E93" w:rsidRDefault="006D1603" w14:paraId="2ED728BB" w14:textId="0871B2B2">
      <w:pPr>
        <w:spacing w:line="276" w:lineRule="auto"/>
        <w:contextualSpacing/>
        <w:rPr>
          <w:rFonts w:ascii="Verdana" w:hAnsi="Verdana" w:eastAsia="MS Mincho" w:cs="Calibri"/>
          <w:i/>
          <w:sz w:val="18"/>
          <w:szCs w:val="18"/>
        </w:rPr>
      </w:pPr>
      <w:r w:rsidRPr="00F2248B">
        <w:rPr>
          <w:rFonts w:ascii="Verdana" w:hAnsi="Verdana" w:eastAsia="MS Mincho" w:cs="Calibri"/>
          <w:i/>
          <w:iCs/>
          <w:sz w:val="18"/>
          <w:szCs w:val="18"/>
        </w:rPr>
        <w:t>Het stellen van eisen onder de Omgevingswet</w:t>
      </w:r>
    </w:p>
    <w:p w:rsidR="00EF7ED1" w:rsidP="00643E93" w:rsidRDefault="006D1603" w14:paraId="20898F38" w14:textId="532A6EA1">
      <w:pPr>
        <w:spacing w:line="276" w:lineRule="auto"/>
        <w:contextualSpacing/>
        <w:rPr>
          <w:rFonts w:ascii="Verdana" w:hAnsi="Verdana" w:eastAsia="MS Mincho" w:cs="Calibri"/>
          <w:sz w:val="18"/>
          <w:szCs w:val="18"/>
        </w:rPr>
      </w:pPr>
      <w:r w:rsidRPr="00C95C40">
        <w:rPr>
          <w:rFonts w:ascii="Verdana" w:hAnsi="Verdana" w:eastAsia="MS Mincho" w:cs="Calibri"/>
          <w:sz w:val="18"/>
          <w:szCs w:val="18"/>
        </w:rPr>
        <w:t xml:space="preserve">Het omgevingsrecht regelt wat wel of niet mag in de fysieke leefomgeving en onder welke voorwaarden. </w:t>
      </w:r>
      <w:r>
        <w:rPr>
          <w:rFonts w:ascii="Verdana" w:hAnsi="Verdana" w:eastAsia="MS Mincho" w:cs="Calibri"/>
          <w:sz w:val="18"/>
          <w:szCs w:val="18"/>
        </w:rPr>
        <w:t>R</w:t>
      </w:r>
      <w:r w:rsidRPr="00C95C40">
        <w:rPr>
          <w:rFonts w:ascii="Verdana" w:hAnsi="Verdana" w:eastAsia="MS Mincho" w:cs="Calibri"/>
          <w:sz w:val="18"/>
          <w:szCs w:val="18"/>
        </w:rPr>
        <w:t xml:space="preserve">egels </w:t>
      </w:r>
      <w:r>
        <w:rPr>
          <w:rFonts w:ascii="Verdana" w:hAnsi="Verdana" w:eastAsia="MS Mincho" w:cs="Calibri"/>
          <w:sz w:val="18"/>
          <w:szCs w:val="18"/>
        </w:rPr>
        <w:t xml:space="preserve">om </w:t>
      </w:r>
      <w:r w:rsidRPr="00C95C40">
        <w:rPr>
          <w:rFonts w:ascii="Verdana" w:hAnsi="Verdana" w:eastAsia="MS Mincho" w:cs="Calibri"/>
          <w:sz w:val="18"/>
          <w:szCs w:val="18"/>
        </w:rPr>
        <w:t>de milieu-impact van GWW-werken terug te dringen</w:t>
      </w:r>
      <w:r>
        <w:rPr>
          <w:rFonts w:ascii="Verdana" w:hAnsi="Verdana" w:eastAsia="MS Mincho" w:cs="Calibri"/>
          <w:sz w:val="18"/>
          <w:szCs w:val="18"/>
        </w:rPr>
        <w:t xml:space="preserve"> zouden kunnen worden gesteld in de avmb’s onder de Omgevingswet</w:t>
      </w:r>
      <w:r w:rsidRPr="00C95C40">
        <w:rPr>
          <w:rFonts w:ascii="Verdana" w:hAnsi="Verdana" w:eastAsia="MS Mincho" w:cs="Calibri"/>
          <w:sz w:val="18"/>
          <w:szCs w:val="18"/>
        </w:rPr>
        <w:t>.</w:t>
      </w:r>
      <w:r>
        <w:rPr>
          <w:rFonts w:ascii="Verdana" w:hAnsi="Verdana" w:eastAsia="MS Mincho" w:cs="Calibri"/>
          <w:sz w:val="18"/>
          <w:szCs w:val="18"/>
        </w:rPr>
        <w:t xml:space="preserve"> </w:t>
      </w:r>
      <w:r w:rsidR="00D11479">
        <w:rPr>
          <w:rFonts w:ascii="Verdana" w:hAnsi="Verdana" w:eastAsia="MS Mincho" w:cs="Calibri"/>
          <w:sz w:val="18"/>
          <w:szCs w:val="18"/>
        </w:rPr>
        <w:t>Bij</w:t>
      </w:r>
      <w:r>
        <w:rPr>
          <w:rFonts w:ascii="Verdana" w:hAnsi="Verdana" w:eastAsia="MS Mincho" w:cs="Calibri"/>
          <w:sz w:val="18"/>
          <w:szCs w:val="18"/>
        </w:rPr>
        <w:t xml:space="preserve"> de voorbereiding van dit wetvoorstel zijn hiervoor verschillende varianten onderzocht. </w:t>
      </w:r>
      <w:r w:rsidR="00922883">
        <w:rPr>
          <w:rFonts w:ascii="Verdana" w:hAnsi="Verdana" w:eastAsia="MS Mincho" w:cs="Calibri"/>
          <w:sz w:val="18"/>
          <w:szCs w:val="18"/>
        </w:rPr>
        <w:t xml:space="preserve">Zo kunnen op grond van paragraaf 4.123 </w:t>
      </w:r>
      <w:r w:rsidR="00EF7ED1">
        <w:rPr>
          <w:rFonts w:ascii="Verdana" w:hAnsi="Verdana" w:eastAsia="MS Mincho" w:cs="Calibri"/>
          <w:sz w:val="18"/>
          <w:szCs w:val="18"/>
        </w:rPr>
        <w:t xml:space="preserve">van het Besluit activiteiten leefomgeving </w:t>
      </w:r>
      <w:r w:rsidR="00922883">
        <w:rPr>
          <w:rFonts w:ascii="Verdana" w:hAnsi="Verdana" w:eastAsia="MS Mincho" w:cs="Calibri"/>
          <w:sz w:val="18"/>
          <w:szCs w:val="18"/>
        </w:rPr>
        <w:t xml:space="preserve">regels worden gesteld </w:t>
      </w:r>
      <w:r w:rsidR="001D0B6B">
        <w:rPr>
          <w:rFonts w:ascii="Verdana" w:hAnsi="Verdana" w:eastAsia="MS Mincho" w:cs="Calibri"/>
          <w:sz w:val="18"/>
          <w:szCs w:val="18"/>
        </w:rPr>
        <w:t>over</w:t>
      </w:r>
      <w:r w:rsidR="00922883">
        <w:rPr>
          <w:rFonts w:ascii="Verdana" w:hAnsi="Verdana" w:eastAsia="MS Mincho" w:cs="Calibri"/>
          <w:sz w:val="18"/>
          <w:szCs w:val="18"/>
        </w:rPr>
        <w:t xml:space="preserve"> het toepassen van bouwstoffen in werken</w:t>
      </w:r>
      <w:r w:rsidR="00910530">
        <w:rPr>
          <w:rFonts w:ascii="Verdana" w:hAnsi="Verdana" w:eastAsia="MS Mincho" w:cs="Calibri"/>
          <w:sz w:val="18"/>
          <w:szCs w:val="18"/>
        </w:rPr>
        <w:t>. Net als voor het stellen van generieke producteisen is het</w:t>
      </w:r>
      <w:r w:rsidR="007870DA">
        <w:rPr>
          <w:rFonts w:ascii="Verdana" w:hAnsi="Verdana" w:eastAsia="MS Mincho" w:cs="Calibri"/>
          <w:sz w:val="18"/>
          <w:szCs w:val="18"/>
        </w:rPr>
        <w:t xml:space="preserve"> echter</w:t>
      </w:r>
      <w:r w:rsidR="00910530">
        <w:rPr>
          <w:rFonts w:ascii="Verdana" w:hAnsi="Verdana" w:eastAsia="MS Mincho" w:cs="Calibri"/>
          <w:sz w:val="18"/>
          <w:szCs w:val="18"/>
        </w:rPr>
        <w:t xml:space="preserve"> </w:t>
      </w:r>
      <w:r w:rsidRPr="0060212F" w:rsidR="00910530">
        <w:rPr>
          <w:rFonts w:ascii="Verdana" w:hAnsi="Verdana" w:eastAsia="Times New Roman" w:cs="Times New Roman"/>
          <w:sz w:val="18"/>
          <w:szCs w:val="18"/>
        </w:rPr>
        <w:t xml:space="preserve">niet proportioneel om ongeacht de specifieke toepassing en de milieu-impact van </w:t>
      </w:r>
      <w:r w:rsidR="001D0B6B">
        <w:rPr>
          <w:rFonts w:ascii="Verdana" w:hAnsi="Verdana" w:eastAsia="Times New Roman" w:cs="Times New Roman"/>
          <w:sz w:val="18"/>
          <w:szCs w:val="18"/>
        </w:rPr>
        <w:t xml:space="preserve">bouwstoffen, </w:t>
      </w:r>
      <w:r w:rsidR="00EF7ED1">
        <w:rPr>
          <w:rFonts w:ascii="Verdana" w:hAnsi="Verdana" w:eastAsia="Times New Roman" w:cs="Times New Roman"/>
          <w:sz w:val="18"/>
          <w:szCs w:val="18"/>
        </w:rPr>
        <w:t>generieke</w:t>
      </w:r>
      <w:r w:rsidRPr="0060212F" w:rsidR="00910530">
        <w:rPr>
          <w:rFonts w:ascii="Verdana" w:hAnsi="Verdana" w:eastAsia="Times New Roman" w:cs="Times New Roman"/>
          <w:sz w:val="18"/>
          <w:szCs w:val="18"/>
        </w:rPr>
        <w:t xml:space="preserve"> milieueisen te stellen.</w:t>
      </w:r>
      <w:r w:rsidR="00922883">
        <w:rPr>
          <w:rFonts w:ascii="Verdana" w:hAnsi="Verdana" w:eastAsia="MS Mincho" w:cs="Calibri"/>
          <w:sz w:val="18"/>
          <w:szCs w:val="18"/>
        </w:rPr>
        <w:t xml:space="preserve"> </w:t>
      </w:r>
      <w:r w:rsidR="001D0B6B">
        <w:rPr>
          <w:rFonts w:ascii="Verdana" w:hAnsi="Verdana" w:eastAsia="MS Mincho" w:cs="Calibri"/>
          <w:sz w:val="18"/>
          <w:szCs w:val="18"/>
        </w:rPr>
        <w:t>Zoals hiervoor is toegelicht bij generieke producteisen kan d</w:t>
      </w:r>
      <w:r w:rsidR="00EF7ED1">
        <w:rPr>
          <w:rFonts w:ascii="Verdana" w:hAnsi="Verdana" w:eastAsia="MS Mincho" w:cs="Calibri"/>
          <w:sz w:val="18"/>
          <w:szCs w:val="18"/>
        </w:rPr>
        <w:t xml:space="preserve">oor </w:t>
      </w:r>
      <w:r w:rsidR="00EF7ED1">
        <w:rPr>
          <w:rFonts w:ascii="Verdana" w:hAnsi="Verdana" w:eastAsia="Times New Roman" w:cs="Times New Roman"/>
          <w:sz w:val="18"/>
          <w:szCs w:val="18"/>
        </w:rPr>
        <w:t>enkel</w:t>
      </w:r>
      <w:r w:rsidRPr="0060212F" w:rsidR="00EF7ED1">
        <w:rPr>
          <w:rFonts w:ascii="Verdana" w:hAnsi="Verdana" w:eastAsia="Times New Roman" w:cs="Times New Roman"/>
          <w:sz w:val="18"/>
          <w:szCs w:val="18"/>
        </w:rPr>
        <w:t xml:space="preserve"> te kiezen voor generieke </w:t>
      </w:r>
      <w:r w:rsidR="00EF7ED1">
        <w:rPr>
          <w:rFonts w:ascii="Verdana" w:hAnsi="Verdana" w:eastAsia="Times New Roman" w:cs="Times New Roman"/>
          <w:sz w:val="18"/>
          <w:szCs w:val="18"/>
        </w:rPr>
        <w:t>toepassings</w:t>
      </w:r>
      <w:r w:rsidRPr="0060212F" w:rsidR="00EF7ED1">
        <w:rPr>
          <w:rFonts w:ascii="Verdana" w:hAnsi="Verdana" w:eastAsia="Times New Roman" w:cs="Times New Roman"/>
          <w:sz w:val="18"/>
          <w:szCs w:val="18"/>
        </w:rPr>
        <w:t>eisen</w:t>
      </w:r>
      <w:r w:rsidR="00EF7ED1">
        <w:rPr>
          <w:rFonts w:ascii="Verdana" w:hAnsi="Verdana" w:eastAsia="MS Mincho" w:cs="Calibri"/>
          <w:sz w:val="18"/>
          <w:szCs w:val="18"/>
        </w:rPr>
        <w:t xml:space="preserve"> </w:t>
      </w:r>
      <w:r w:rsidR="001D0B6B">
        <w:rPr>
          <w:rFonts w:ascii="Verdana" w:hAnsi="Verdana" w:eastAsia="MS Mincho" w:cs="Calibri"/>
          <w:sz w:val="18"/>
          <w:szCs w:val="18"/>
        </w:rPr>
        <w:t xml:space="preserve">voor bouwstoffen, </w:t>
      </w:r>
      <w:r w:rsidR="00EF7ED1">
        <w:rPr>
          <w:rFonts w:ascii="Verdana" w:hAnsi="Verdana" w:eastAsia="Times New Roman" w:cs="Times New Roman"/>
          <w:sz w:val="18"/>
          <w:szCs w:val="18"/>
        </w:rPr>
        <w:t xml:space="preserve">het </w:t>
      </w:r>
      <w:r w:rsidRPr="0060212F" w:rsidR="00EF7ED1">
        <w:rPr>
          <w:rFonts w:ascii="Verdana" w:hAnsi="Verdana" w:eastAsia="Times New Roman" w:cs="Times New Roman"/>
          <w:sz w:val="18"/>
          <w:szCs w:val="18"/>
        </w:rPr>
        <w:t>effect op de totale milieuprestatie beperkt zijn</w:t>
      </w:r>
      <w:r w:rsidR="00EF7ED1">
        <w:rPr>
          <w:rFonts w:ascii="Verdana" w:hAnsi="Verdana" w:eastAsia="Times New Roman" w:cs="Times New Roman"/>
          <w:sz w:val="18"/>
          <w:szCs w:val="18"/>
        </w:rPr>
        <w:t xml:space="preserve"> en</w:t>
      </w:r>
      <w:r w:rsidRPr="0060212F" w:rsidR="00EF7ED1">
        <w:rPr>
          <w:rFonts w:ascii="Verdana" w:hAnsi="Verdana" w:eastAsia="Times New Roman" w:cs="Times New Roman"/>
          <w:sz w:val="18"/>
          <w:szCs w:val="18"/>
        </w:rPr>
        <w:t xml:space="preserve"> zou de flexibiliteit en innovatie in de markt worden ingeperkt</w:t>
      </w:r>
      <w:r w:rsidR="00EF7ED1">
        <w:rPr>
          <w:rFonts w:ascii="Verdana" w:hAnsi="Verdana" w:eastAsia="Times New Roman" w:cs="Times New Roman"/>
          <w:sz w:val="18"/>
          <w:szCs w:val="18"/>
        </w:rPr>
        <w:t>.</w:t>
      </w:r>
      <w:r w:rsidR="00EF7ED1">
        <w:rPr>
          <w:rFonts w:ascii="Verdana" w:hAnsi="Verdana" w:eastAsia="MS Mincho" w:cs="Calibri"/>
          <w:sz w:val="18"/>
          <w:szCs w:val="18"/>
        </w:rPr>
        <w:t xml:space="preserve"> </w:t>
      </w:r>
    </w:p>
    <w:p w:rsidR="00EF7ED1" w:rsidP="00643E93" w:rsidRDefault="00EF7ED1" w14:paraId="238A9A65" w14:textId="77777777">
      <w:pPr>
        <w:spacing w:line="276" w:lineRule="auto"/>
        <w:contextualSpacing/>
        <w:rPr>
          <w:rFonts w:ascii="Verdana" w:hAnsi="Verdana" w:eastAsia="MS Mincho" w:cs="Calibri"/>
          <w:sz w:val="18"/>
          <w:szCs w:val="18"/>
        </w:rPr>
      </w:pPr>
    </w:p>
    <w:p w:rsidRPr="005F16C9" w:rsidR="006D1603" w:rsidP="00643E93" w:rsidRDefault="00922883" w14:paraId="2A8A77EC" w14:textId="70140A65">
      <w:pPr>
        <w:spacing w:line="276" w:lineRule="auto"/>
        <w:contextualSpacing/>
        <w:rPr>
          <w:rFonts w:ascii="Verdana" w:hAnsi="Verdana" w:eastAsia="Times New Roman" w:cs="Times New Roman"/>
          <w:sz w:val="18"/>
          <w:szCs w:val="18"/>
        </w:rPr>
      </w:pPr>
      <w:r>
        <w:rPr>
          <w:rFonts w:ascii="Verdana" w:hAnsi="Verdana" w:eastAsia="MS Mincho" w:cs="Calibri"/>
          <w:sz w:val="18"/>
          <w:szCs w:val="18"/>
        </w:rPr>
        <w:t>Andere v</w:t>
      </w:r>
      <w:r w:rsidR="006D1603">
        <w:rPr>
          <w:rFonts w:ascii="Verdana" w:hAnsi="Verdana" w:eastAsia="MS Mincho" w:cs="Calibri"/>
          <w:sz w:val="18"/>
          <w:szCs w:val="18"/>
        </w:rPr>
        <w:t>arianten die aansluiten bij de systematiek van de Omgevingswet zijn het stellen van instructieregels of omgevingswaarden voor werkzaamheden aan GWW-werken.</w:t>
      </w:r>
      <w:r w:rsidR="00EF7ED1">
        <w:rPr>
          <w:rStyle w:val="Voetnootmarkering"/>
          <w:rFonts w:ascii="Verdana" w:hAnsi="Verdana" w:eastAsia="MS Mincho" w:cs="Calibri"/>
          <w:sz w:val="18"/>
          <w:szCs w:val="18"/>
        </w:rPr>
        <w:footnoteReference w:id="27"/>
      </w:r>
      <w:r w:rsidR="006D1603">
        <w:rPr>
          <w:rFonts w:ascii="Verdana" w:hAnsi="Verdana" w:eastAsia="MS Mincho" w:cs="Calibri"/>
          <w:sz w:val="18"/>
          <w:szCs w:val="18"/>
        </w:rPr>
        <w:t xml:space="preserve"> </w:t>
      </w:r>
      <w:r w:rsidRPr="005877F7" w:rsidR="006D1603">
        <w:rPr>
          <w:rFonts w:ascii="Verdana" w:hAnsi="Verdana" w:eastAsia="MS Mincho" w:cs="Calibri"/>
          <w:sz w:val="18"/>
          <w:szCs w:val="18"/>
        </w:rPr>
        <w:t xml:space="preserve">De </w:t>
      </w:r>
      <w:r w:rsidRPr="005877F7" w:rsidR="006D1603">
        <w:rPr>
          <w:rFonts w:ascii="Verdana" w:hAnsi="Verdana" w:eastAsia="MS Mincho" w:cs="Calibri"/>
          <w:sz w:val="18"/>
          <w:szCs w:val="18"/>
        </w:rPr>
        <w:lastRenderedPageBreak/>
        <w:t xml:space="preserve">instructieregel zou </w:t>
      </w:r>
      <w:r w:rsidR="006D1603">
        <w:rPr>
          <w:rFonts w:ascii="Verdana" w:hAnsi="Verdana" w:eastAsia="MS Mincho" w:cs="Calibri"/>
          <w:sz w:val="18"/>
          <w:szCs w:val="18"/>
        </w:rPr>
        <w:t xml:space="preserve">dan </w:t>
      </w:r>
      <w:r w:rsidRPr="005877F7" w:rsidR="006D1603">
        <w:rPr>
          <w:rFonts w:ascii="Verdana" w:hAnsi="Verdana" w:eastAsia="MS Mincho" w:cs="Calibri"/>
          <w:sz w:val="18"/>
          <w:szCs w:val="18"/>
        </w:rPr>
        <w:t xml:space="preserve">van toepassing moeten zijn op een GWW-project dat wordt gerealiseerd, onderhouden of op een andere manier wordt gewijzigd. </w:t>
      </w:r>
      <w:r w:rsidR="006D1603">
        <w:rPr>
          <w:rFonts w:ascii="Verdana" w:hAnsi="Verdana" w:eastAsia="MS Mincho" w:cs="Calibri"/>
          <w:sz w:val="18"/>
          <w:szCs w:val="18"/>
        </w:rPr>
        <w:t xml:space="preserve">Daarnaast kan </w:t>
      </w:r>
      <w:r w:rsidRPr="004A1B4C" w:rsidR="006D1603">
        <w:rPr>
          <w:rFonts w:ascii="Verdana" w:hAnsi="Verdana" w:eastAsia="MS Mincho" w:cs="Calibri"/>
          <w:sz w:val="18"/>
          <w:szCs w:val="18"/>
        </w:rPr>
        <w:t>een milieueffectenplafond als omgevingswaarde voor GWW-werke</w:t>
      </w:r>
      <w:r w:rsidR="006D1603">
        <w:rPr>
          <w:rFonts w:ascii="Verdana" w:hAnsi="Verdana" w:eastAsia="MS Mincho" w:cs="Calibri"/>
          <w:sz w:val="18"/>
          <w:szCs w:val="18"/>
        </w:rPr>
        <w:t xml:space="preserve">n worden gesteld. Door deze op te nemen als </w:t>
      </w:r>
      <w:r w:rsidRPr="004A1B4C" w:rsidR="006D1603">
        <w:rPr>
          <w:rFonts w:ascii="Verdana" w:hAnsi="Verdana" w:eastAsia="MS Mincho" w:cs="Calibri"/>
          <w:sz w:val="18"/>
          <w:szCs w:val="18"/>
        </w:rPr>
        <w:t xml:space="preserve">een instructieregel, wordt </w:t>
      </w:r>
      <w:r w:rsidR="006D1603">
        <w:rPr>
          <w:rFonts w:ascii="Verdana" w:hAnsi="Verdana" w:eastAsia="MS Mincho" w:cs="Calibri"/>
          <w:sz w:val="18"/>
          <w:szCs w:val="18"/>
        </w:rPr>
        <w:t xml:space="preserve">deze omgevingswaarde </w:t>
      </w:r>
      <w:r w:rsidRPr="004A1B4C" w:rsidR="006D1603">
        <w:rPr>
          <w:rFonts w:ascii="Verdana" w:hAnsi="Verdana" w:eastAsia="MS Mincho" w:cs="Calibri"/>
          <w:sz w:val="18"/>
          <w:szCs w:val="18"/>
        </w:rPr>
        <w:t>aan overheden dwingend opgelegd om te bewaken dat de milieueffecten die ontstaan door werkzaamheden aan (nieuwe) GWW-werken, het milieueffectenplafond niet overschrijden.</w:t>
      </w:r>
    </w:p>
    <w:p w:rsidR="006D1603" w:rsidP="00643E93" w:rsidRDefault="006D1603" w14:paraId="1D275341" w14:textId="77777777">
      <w:pPr>
        <w:spacing w:line="276" w:lineRule="auto"/>
        <w:contextualSpacing/>
        <w:rPr>
          <w:rFonts w:ascii="Verdana" w:hAnsi="Verdana" w:eastAsia="MS Mincho" w:cs="Calibri"/>
          <w:sz w:val="18"/>
          <w:szCs w:val="18"/>
        </w:rPr>
      </w:pPr>
    </w:p>
    <w:p w:rsidRPr="00E55036" w:rsidR="006D1603" w:rsidP="00643E93" w:rsidRDefault="006D1603" w14:paraId="08B1B923" w14:textId="7C44ACF2">
      <w:pPr>
        <w:spacing w:line="276" w:lineRule="auto"/>
        <w:contextualSpacing/>
        <w:rPr>
          <w:rFonts w:ascii="Verdana" w:hAnsi="Verdana" w:eastAsia="MS Mincho" w:cs="Calibri"/>
          <w:sz w:val="18"/>
          <w:szCs w:val="18"/>
        </w:rPr>
      </w:pPr>
      <w:r>
        <w:rPr>
          <w:rFonts w:ascii="Verdana" w:hAnsi="Verdana" w:eastAsia="MS Mincho" w:cs="Calibri"/>
          <w:sz w:val="18"/>
          <w:szCs w:val="18"/>
        </w:rPr>
        <w:t xml:space="preserve">Omdat de omgevingswaarden gericht zijn op de impact van werkzaamheden aan GWW-werken aan de omgeving en niet op de producten of materialen die in de GWW-werken worden toegepast, </w:t>
      </w:r>
      <w:r w:rsidR="00160A3A">
        <w:rPr>
          <w:rFonts w:ascii="Verdana" w:hAnsi="Verdana" w:eastAsia="MS Mincho" w:cs="Calibri"/>
          <w:sz w:val="18"/>
          <w:szCs w:val="18"/>
        </w:rPr>
        <w:t xml:space="preserve">is </w:t>
      </w:r>
      <w:r w:rsidR="00A50737">
        <w:rPr>
          <w:rFonts w:ascii="Verdana" w:hAnsi="Verdana" w:eastAsia="MS Mincho" w:cs="Calibri"/>
          <w:sz w:val="18"/>
          <w:szCs w:val="18"/>
        </w:rPr>
        <w:t xml:space="preserve">met name </w:t>
      </w:r>
      <w:r w:rsidR="00160A3A">
        <w:rPr>
          <w:rFonts w:ascii="Verdana" w:hAnsi="Verdana" w:eastAsia="MS Mincho" w:cs="Calibri"/>
          <w:sz w:val="18"/>
          <w:szCs w:val="18"/>
        </w:rPr>
        <w:t>het stellen van</w:t>
      </w:r>
      <w:r>
        <w:rPr>
          <w:rFonts w:ascii="Verdana" w:hAnsi="Verdana" w:eastAsia="MS Mincho" w:cs="Calibri"/>
          <w:sz w:val="18"/>
          <w:szCs w:val="18"/>
        </w:rPr>
        <w:t xml:space="preserve"> instructieregels in het Besluit kwaliteit leefomgeving</w:t>
      </w:r>
      <w:r w:rsidR="00160A3A">
        <w:rPr>
          <w:rFonts w:ascii="Verdana" w:hAnsi="Verdana" w:eastAsia="MS Mincho" w:cs="Calibri"/>
          <w:sz w:val="18"/>
          <w:szCs w:val="18"/>
        </w:rPr>
        <w:t xml:space="preserve"> een</w:t>
      </w:r>
      <w:r>
        <w:rPr>
          <w:rFonts w:ascii="Verdana" w:hAnsi="Verdana" w:eastAsia="MS Mincho" w:cs="Calibri"/>
          <w:sz w:val="18"/>
          <w:szCs w:val="18"/>
        </w:rPr>
        <w:t xml:space="preserve"> reële variant. De reden om toch niet voor uitwerking onder de Omgevingswet te kiezen, is gelegen in de Europese Bouwproductenverordening (CPR). </w:t>
      </w:r>
      <w:r w:rsidRPr="00E55036">
        <w:rPr>
          <w:rFonts w:ascii="Verdana" w:hAnsi="Verdana" w:eastAsia="MS Mincho" w:cs="Calibri"/>
          <w:sz w:val="18"/>
          <w:szCs w:val="18"/>
        </w:rPr>
        <w:t>Op grond van de CPR is het</w:t>
      </w:r>
      <w:r>
        <w:rPr>
          <w:rFonts w:ascii="Verdana" w:hAnsi="Verdana" w:eastAsia="MS Mincho" w:cs="Calibri"/>
          <w:sz w:val="18"/>
          <w:szCs w:val="18"/>
        </w:rPr>
        <w:t xml:space="preserve"> </w:t>
      </w:r>
      <w:r w:rsidR="00A50737">
        <w:rPr>
          <w:rFonts w:ascii="Verdana" w:hAnsi="Verdana" w:eastAsia="MS Mincho" w:cs="Calibri"/>
          <w:sz w:val="18"/>
          <w:szCs w:val="18"/>
        </w:rPr>
        <w:t xml:space="preserve">mogelijk </w:t>
      </w:r>
      <w:r>
        <w:rPr>
          <w:rFonts w:ascii="Verdana" w:hAnsi="Verdana" w:eastAsia="MS Mincho" w:cs="Calibri"/>
          <w:sz w:val="18"/>
          <w:szCs w:val="18"/>
        </w:rPr>
        <w:t>in de toekomst niet langer</w:t>
      </w:r>
      <w:r w:rsidRPr="00E55036">
        <w:rPr>
          <w:rFonts w:ascii="Verdana" w:hAnsi="Verdana" w:eastAsia="MS Mincho" w:cs="Calibri"/>
          <w:sz w:val="18"/>
          <w:szCs w:val="18"/>
        </w:rPr>
        <w:t xml:space="preserve"> toegestaan om ambitieuze prestatie-eisen voor specifieke bouwproducten op te nemen in wetgeving</w:t>
      </w:r>
      <w:r w:rsidR="00686AE4">
        <w:rPr>
          <w:rFonts w:ascii="Verdana" w:hAnsi="Verdana" w:eastAsia="MS Mincho" w:cs="Calibri"/>
          <w:sz w:val="18"/>
          <w:szCs w:val="18"/>
        </w:rPr>
        <w:t>, indien deze worden vastgesteld door de Europese Commissie</w:t>
      </w:r>
      <w:r>
        <w:rPr>
          <w:rFonts w:ascii="Verdana" w:hAnsi="Verdana" w:eastAsia="MS Mincho" w:cs="Calibri"/>
          <w:sz w:val="18"/>
          <w:szCs w:val="18"/>
        </w:rPr>
        <w:t>.</w:t>
      </w:r>
      <w:r w:rsidR="00686AE4">
        <w:rPr>
          <w:rStyle w:val="Voetnootmarkering"/>
          <w:rFonts w:ascii="Verdana" w:hAnsi="Verdana" w:eastAsia="MS Mincho" w:cs="Calibri"/>
          <w:sz w:val="18"/>
          <w:szCs w:val="18"/>
        </w:rPr>
        <w:footnoteReference w:id="28"/>
      </w:r>
      <w:r>
        <w:rPr>
          <w:rFonts w:ascii="Verdana" w:hAnsi="Verdana" w:eastAsia="MS Mincho" w:cs="Calibri"/>
          <w:sz w:val="18"/>
          <w:szCs w:val="18"/>
        </w:rPr>
        <w:t xml:space="preserve"> </w:t>
      </w:r>
      <w:r w:rsidRPr="00E55036">
        <w:rPr>
          <w:rFonts w:ascii="Verdana" w:hAnsi="Verdana" w:eastAsia="MS Mincho" w:cs="Calibri"/>
          <w:sz w:val="18"/>
          <w:szCs w:val="18"/>
        </w:rPr>
        <w:t xml:space="preserve">Wel is </w:t>
      </w:r>
      <w:r w:rsidR="00CB5A26">
        <w:rPr>
          <w:rFonts w:ascii="Verdana" w:hAnsi="Verdana" w:eastAsia="MS Mincho" w:cs="Calibri"/>
          <w:sz w:val="18"/>
          <w:szCs w:val="18"/>
        </w:rPr>
        <w:t xml:space="preserve">en blijft </w:t>
      </w:r>
      <w:r w:rsidRPr="00E55036">
        <w:rPr>
          <w:rFonts w:ascii="Verdana" w:hAnsi="Verdana" w:eastAsia="MS Mincho" w:cs="Calibri"/>
          <w:sz w:val="18"/>
          <w:szCs w:val="18"/>
        </w:rPr>
        <w:t>het mogelijk om eisen te stellen in inkoop- en aanbestedingstrajecten, vanuit de relatie tussen opdrachtgevers en opdrachtnemers. Er is</w:t>
      </w:r>
      <w:r>
        <w:rPr>
          <w:rFonts w:ascii="Verdana" w:hAnsi="Verdana" w:eastAsia="MS Mincho" w:cs="Calibri"/>
          <w:sz w:val="18"/>
          <w:szCs w:val="18"/>
        </w:rPr>
        <w:t xml:space="preserve"> daarom</w:t>
      </w:r>
      <w:r w:rsidRPr="00E55036">
        <w:rPr>
          <w:rFonts w:ascii="Verdana" w:hAnsi="Verdana" w:eastAsia="MS Mincho" w:cs="Calibri"/>
          <w:sz w:val="18"/>
          <w:szCs w:val="18"/>
        </w:rPr>
        <w:t xml:space="preserve"> gekozen voor de optie waar geen conflict optreedt met de CPR indien op Europees niveau milieuprestatie-eisen worden vastgesteld</w:t>
      </w:r>
      <w:r>
        <w:rPr>
          <w:rFonts w:ascii="Verdana" w:hAnsi="Verdana" w:eastAsia="MS Mincho" w:cs="Calibri"/>
          <w:sz w:val="18"/>
          <w:szCs w:val="18"/>
        </w:rPr>
        <w:t>.</w:t>
      </w:r>
      <w:r w:rsidR="00CB5A26">
        <w:rPr>
          <w:rFonts w:ascii="Verdana" w:hAnsi="Verdana" w:eastAsia="MS Mincho" w:cs="Calibri"/>
          <w:sz w:val="18"/>
          <w:szCs w:val="18"/>
        </w:rPr>
        <w:t xml:space="preserve"> De verhouding tussen het aanbestedingsrecht en de CPR is verder toegelicht in paragraaf 4.1 van deze toelichting.</w:t>
      </w:r>
    </w:p>
    <w:p w:rsidR="006D1603" w:rsidP="00643E93" w:rsidRDefault="006D1603" w14:paraId="1DEE6583" w14:textId="77777777">
      <w:pPr>
        <w:spacing w:after="0" w:line="276" w:lineRule="auto"/>
        <w:rPr>
          <w:rFonts w:ascii="Verdana" w:hAnsi="Verdana" w:eastAsia="Times New Roman" w:cs="Times New Roman"/>
          <w:sz w:val="18"/>
          <w:szCs w:val="18"/>
        </w:rPr>
      </w:pPr>
    </w:p>
    <w:p w:rsidRPr="00D944A9" w:rsidR="006D1603" w:rsidP="00643E93" w:rsidRDefault="006D1603" w14:paraId="069F1476" w14:textId="7EDCCA0B">
      <w:pPr>
        <w:spacing w:after="0" w:line="276" w:lineRule="auto"/>
        <w:rPr>
          <w:rFonts w:ascii="Verdana" w:hAnsi="Verdana" w:eastAsia="Times New Roman" w:cs="Times New Roman"/>
          <w:i/>
          <w:sz w:val="18"/>
          <w:szCs w:val="18"/>
        </w:rPr>
      </w:pPr>
      <w:r w:rsidRPr="00F2248B">
        <w:rPr>
          <w:rFonts w:ascii="Verdana" w:hAnsi="Verdana" w:eastAsia="Times New Roman" w:cs="Times New Roman"/>
          <w:i/>
          <w:iCs/>
          <w:sz w:val="18"/>
          <w:szCs w:val="18"/>
        </w:rPr>
        <w:t>De keuze voor het instrument van aanbesteding</w:t>
      </w:r>
    </w:p>
    <w:p w:rsidR="009A3E05" w:rsidP="00643E93" w:rsidRDefault="00EF1DA4" w14:paraId="1C00A5F5" w14:textId="099D825C">
      <w:pPr>
        <w:spacing w:after="0" w:line="276" w:lineRule="auto"/>
        <w:rPr>
          <w:rFonts w:ascii="Verdana" w:hAnsi="Verdana" w:eastAsia="Times New Roman" w:cs="Times New Roman"/>
          <w:sz w:val="18"/>
          <w:szCs w:val="18"/>
        </w:rPr>
      </w:pPr>
      <w:r w:rsidRPr="00EF1DA4">
        <w:rPr>
          <w:rFonts w:ascii="Verdana" w:hAnsi="Verdana" w:eastAsia="Times New Roman" w:cs="Times New Roman"/>
          <w:sz w:val="18"/>
          <w:szCs w:val="18"/>
        </w:rPr>
        <w:t xml:space="preserve">Het instrument van aanbesteding biedt een flexibele mogelijkheid om </w:t>
      </w:r>
      <w:r w:rsidR="00580230">
        <w:rPr>
          <w:rFonts w:ascii="Verdana" w:hAnsi="Verdana" w:eastAsia="Times New Roman" w:cs="Times New Roman"/>
          <w:sz w:val="18"/>
          <w:szCs w:val="18"/>
        </w:rPr>
        <w:t xml:space="preserve">de </w:t>
      </w:r>
      <w:r w:rsidRPr="00580230" w:rsidR="00580230">
        <w:rPr>
          <w:rFonts w:ascii="Verdana" w:hAnsi="Verdana" w:eastAsia="Times New Roman" w:cs="Times New Roman"/>
          <w:sz w:val="18"/>
          <w:szCs w:val="18"/>
        </w:rPr>
        <w:t xml:space="preserve">milieubelasting van GWW-werken </w:t>
      </w:r>
      <w:r w:rsidR="00D11479">
        <w:rPr>
          <w:rFonts w:ascii="Verdana" w:hAnsi="Verdana" w:eastAsia="Times New Roman" w:cs="Times New Roman"/>
          <w:sz w:val="18"/>
          <w:szCs w:val="18"/>
        </w:rPr>
        <w:t xml:space="preserve">te </w:t>
      </w:r>
      <w:r w:rsidRPr="00580230" w:rsidR="00580230">
        <w:rPr>
          <w:rFonts w:ascii="Verdana" w:hAnsi="Verdana" w:eastAsia="Times New Roman" w:cs="Times New Roman"/>
          <w:sz w:val="18"/>
          <w:szCs w:val="18"/>
        </w:rPr>
        <w:t>beperken</w:t>
      </w:r>
      <w:r w:rsidRPr="00EF1DA4">
        <w:rPr>
          <w:rFonts w:ascii="Verdana" w:hAnsi="Verdana" w:eastAsia="Times New Roman" w:cs="Times New Roman"/>
          <w:sz w:val="18"/>
          <w:szCs w:val="18"/>
        </w:rPr>
        <w:t xml:space="preserve">. Aanbestedingen zijn immers het moment waarop </w:t>
      </w:r>
      <w:r>
        <w:rPr>
          <w:rFonts w:ascii="Verdana" w:hAnsi="Verdana" w:eastAsia="Times New Roman" w:cs="Times New Roman"/>
          <w:sz w:val="18"/>
          <w:szCs w:val="18"/>
        </w:rPr>
        <w:t xml:space="preserve">overheden </w:t>
      </w:r>
      <w:r w:rsidRPr="00EF1DA4">
        <w:rPr>
          <w:rFonts w:ascii="Verdana" w:hAnsi="Verdana" w:eastAsia="Times New Roman" w:cs="Times New Roman"/>
          <w:sz w:val="18"/>
          <w:szCs w:val="18"/>
        </w:rPr>
        <w:t>en andere aanbestedende diensten concrete keuzes maken in opdrachtverstrekking en contractvoorwaarden</w:t>
      </w:r>
      <w:r w:rsidR="00926F0B">
        <w:rPr>
          <w:rFonts w:ascii="Verdana" w:hAnsi="Verdana" w:eastAsia="Times New Roman" w:cs="Times New Roman"/>
          <w:sz w:val="18"/>
          <w:szCs w:val="18"/>
        </w:rPr>
        <w:t xml:space="preserve"> van GWW-werken</w:t>
      </w:r>
      <w:r w:rsidRPr="00EF1DA4">
        <w:rPr>
          <w:rFonts w:ascii="Verdana" w:hAnsi="Verdana" w:eastAsia="Times New Roman" w:cs="Times New Roman"/>
          <w:sz w:val="18"/>
          <w:szCs w:val="18"/>
        </w:rPr>
        <w:t xml:space="preserve">. </w:t>
      </w:r>
      <w:r w:rsidRPr="0039687A" w:rsidR="0039687A">
        <w:rPr>
          <w:rFonts w:ascii="Verdana" w:hAnsi="Verdana" w:eastAsia="Times New Roman" w:cs="Times New Roman"/>
          <w:sz w:val="18"/>
          <w:szCs w:val="18"/>
        </w:rPr>
        <w:t xml:space="preserve">Via aanbestedingen kunnen overheden doelmatig sturen op het verlagen van de milieu-impact in de GWW omdat ze hiermee concrete eisen en criteria kunnen stellen. Dit stimuleert bedrijven om duurzame oplossingen te ontwikkelen en toe te passen, terwijl overheden invloed houden op het gehele projectproces. </w:t>
      </w:r>
      <w:r w:rsidR="0039687A">
        <w:rPr>
          <w:rFonts w:ascii="Verdana" w:hAnsi="Verdana" w:eastAsia="Times New Roman" w:cs="Times New Roman"/>
          <w:sz w:val="18"/>
          <w:szCs w:val="18"/>
        </w:rPr>
        <w:t>Hierdoor kan</w:t>
      </w:r>
      <w:r w:rsidRPr="00EF1DA4" w:rsidR="0039687A">
        <w:rPr>
          <w:rFonts w:ascii="Verdana" w:hAnsi="Verdana" w:eastAsia="Times New Roman" w:cs="Times New Roman"/>
          <w:sz w:val="18"/>
          <w:szCs w:val="18"/>
        </w:rPr>
        <w:t xml:space="preserve"> de milieubelasting van GWW-werken over de hele keten significant afnemen.</w:t>
      </w:r>
      <w:r w:rsidR="0039687A">
        <w:rPr>
          <w:rFonts w:ascii="Verdana" w:hAnsi="Verdana" w:eastAsia="Times New Roman" w:cs="Times New Roman"/>
          <w:sz w:val="18"/>
          <w:szCs w:val="18"/>
        </w:rPr>
        <w:t xml:space="preserve"> </w:t>
      </w:r>
      <w:r w:rsidRPr="0039687A" w:rsidR="0039687A">
        <w:rPr>
          <w:rFonts w:ascii="Verdana" w:hAnsi="Verdana" w:eastAsia="Times New Roman" w:cs="Times New Roman"/>
          <w:sz w:val="18"/>
          <w:szCs w:val="18"/>
        </w:rPr>
        <w:t>Zo ontstaat een efficiënte, marktgerichte aanpak die innovatie en milieuwinst bevordert.</w:t>
      </w:r>
      <w:r w:rsidR="0039687A">
        <w:rPr>
          <w:rFonts w:ascii="Verdana" w:hAnsi="Verdana" w:eastAsia="Times New Roman" w:cs="Times New Roman"/>
          <w:sz w:val="18"/>
          <w:szCs w:val="18"/>
        </w:rPr>
        <w:t xml:space="preserve"> De verplichtingen in dit wetsvoorstel</w:t>
      </w:r>
      <w:r w:rsidRPr="00EF1DA4">
        <w:rPr>
          <w:rFonts w:ascii="Verdana" w:hAnsi="Verdana" w:eastAsia="Times New Roman" w:cs="Times New Roman"/>
          <w:sz w:val="18"/>
          <w:szCs w:val="18"/>
        </w:rPr>
        <w:t xml:space="preserve"> sluit</w:t>
      </w:r>
      <w:r w:rsidR="0039687A">
        <w:rPr>
          <w:rFonts w:ascii="Verdana" w:hAnsi="Verdana" w:eastAsia="Times New Roman" w:cs="Times New Roman"/>
          <w:sz w:val="18"/>
          <w:szCs w:val="18"/>
        </w:rPr>
        <w:t>en</w:t>
      </w:r>
      <w:r w:rsidRPr="00EF1DA4">
        <w:rPr>
          <w:rFonts w:ascii="Verdana" w:hAnsi="Verdana" w:eastAsia="Times New Roman" w:cs="Times New Roman"/>
          <w:sz w:val="18"/>
          <w:szCs w:val="18"/>
        </w:rPr>
        <w:t xml:space="preserve"> bovendien goed aan bij bestaande regelgeving en praktijk, zoals de Aanbestedingswet</w:t>
      </w:r>
      <w:r>
        <w:rPr>
          <w:rFonts w:ascii="Verdana" w:hAnsi="Verdana" w:eastAsia="Times New Roman" w:cs="Times New Roman"/>
          <w:sz w:val="18"/>
          <w:szCs w:val="18"/>
        </w:rPr>
        <w:t xml:space="preserve"> en de </w:t>
      </w:r>
      <w:r w:rsidR="00A50737">
        <w:rPr>
          <w:rFonts w:ascii="Verdana" w:hAnsi="Verdana" w:eastAsia="Times New Roman" w:cs="Times New Roman"/>
          <w:sz w:val="18"/>
          <w:szCs w:val="18"/>
        </w:rPr>
        <w:t>CPR</w:t>
      </w:r>
      <w:r>
        <w:rPr>
          <w:rFonts w:ascii="Verdana" w:hAnsi="Verdana" w:eastAsia="Times New Roman" w:cs="Times New Roman"/>
          <w:sz w:val="18"/>
          <w:szCs w:val="18"/>
        </w:rPr>
        <w:t xml:space="preserve"> – waarbij aanbestedende diensten desgewenst strengere eisen kunnen stellen (zie hoofdstuk 4)</w:t>
      </w:r>
      <w:r w:rsidRPr="00EF1DA4">
        <w:rPr>
          <w:rFonts w:ascii="Verdana" w:hAnsi="Verdana" w:eastAsia="Times New Roman" w:cs="Times New Roman"/>
          <w:sz w:val="18"/>
          <w:szCs w:val="18"/>
        </w:rPr>
        <w:t xml:space="preserve">, en kan eenvoudig worden aangepast aan ontwikkelingen in techniek en beleid. </w:t>
      </w:r>
    </w:p>
    <w:p w:rsidR="00EF1DA4" w:rsidP="00643E93" w:rsidRDefault="00EF1DA4" w14:paraId="385609CB" w14:textId="77777777">
      <w:pPr>
        <w:spacing w:after="0" w:line="276" w:lineRule="auto"/>
        <w:rPr>
          <w:rFonts w:ascii="Verdana" w:hAnsi="Verdana" w:eastAsia="Times New Roman" w:cs="Times New Roman"/>
          <w:sz w:val="18"/>
          <w:szCs w:val="18"/>
        </w:rPr>
      </w:pPr>
    </w:p>
    <w:p w:rsidR="00926F0B" w:rsidP="00643E93" w:rsidRDefault="00926F0B" w14:paraId="05E57F98" w14:textId="378CCB77">
      <w:pPr>
        <w:spacing w:line="276" w:lineRule="auto"/>
        <w:textAlignment w:val="baseline"/>
        <w:rPr>
          <w:rFonts w:ascii="Verdana" w:hAnsi="Verdana" w:eastAsia="Times New Roman" w:cs="Calibri"/>
          <w:color w:val="000000"/>
          <w:sz w:val="18"/>
          <w:szCs w:val="18"/>
          <w:lang w:eastAsia="nl-NL"/>
        </w:rPr>
      </w:pPr>
      <w:r w:rsidRPr="00F2248B">
        <w:rPr>
          <w:rFonts w:ascii="Verdana" w:hAnsi="Verdana" w:eastAsia="Times New Roman" w:cs="Calibri"/>
          <w:color w:val="000000"/>
          <w:sz w:val="18"/>
          <w:szCs w:val="18"/>
          <w:lang w:eastAsia="nl-NL"/>
        </w:rPr>
        <w:t xml:space="preserve">Het verplicht stellen van </w:t>
      </w:r>
      <w:r w:rsidRPr="00580230" w:rsidR="00580230">
        <w:rPr>
          <w:rFonts w:ascii="Verdana" w:hAnsi="Verdana" w:eastAsia="Times New Roman" w:cs="Calibri"/>
          <w:color w:val="000000"/>
          <w:sz w:val="18"/>
          <w:szCs w:val="18"/>
          <w:lang w:eastAsia="nl-NL"/>
        </w:rPr>
        <w:t>eisen die de milieubelasting van GWW-werken beperken</w:t>
      </w:r>
      <w:r w:rsidR="00580230">
        <w:rPr>
          <w:rFonts w:ascii="Verdana" w:hAnsi="Verdana" w:eastAsia="Times New Roman" w:cs="Calibri"/>
          <w:color w:val="000000"/>
          <w:sz w:val="18"/>
          <w:szCs w:val="18"/>
          <w:lang w:eastAsia="nl-NL"/>
        </w:rPr>
        <w:t xml:space="preserve"> </w:t>
      </w:r>
      <w:r w:rsidRPr="00F2248B">
        <w:rPr>
          <w:rFonts w:ascii="Verdana" w:hAnsi="Verdana" w:eastAsia="Times New Roman" w:cs="Calibri"/>
          <w:color w:val="000000"/>
          <w:sz w:val="18"/>
          <w:szCs w:val="18"/>
          <w:lang w:eastAsia="nl-NL"/>
        </w:rPr>
        <w:t>via aanbestedende diensten biedt de mogelijkheid om deze eisen proportioneel toe te passen. In de GWW-sector lopen projecten sterk uiteen in omvang en aard. Door eisen via het aanbestedingsproces op te nemen, kunnen ze afgestemd worden op de concrete context van het werk, het voorkomt dat de eisen te zwaar of juist te licht uitpakken. Bovendien sluit deze aanpak goed aan bij de bestaande verantwoordelijkheid van aanbestedende diensten om duurzaam in te kopen, en past het binnen het juridische kader van de Aanbestedingswet</w:t>
      </w:r>
      <w:r w:rsidR="00AC5FE5">
        <w:rPr>
          <w:rFonts w:ascii="Verdana" w:hAnsi="Verdana" w:eastAsia="Times New Roman" w:cs="Calibri"/>
          <w:color w:val="000000"/>
          <w:sz w:val="18"/>
          <w:szCs w:val="18"/>
          <w:lang w:eastAsia="nl-NL"/>
        </w:rPr>
        <w:t xml:space="preserve"> 2012</w:t>
      </w:r>
      <w:r w:rsidRPr="00F2248B">
        <w:rPr>
          <w:rFonts w:ascii="Verdana" w:hAnsi="Verdana" w:eastAsia="Times New Roman" w:cs="Calibri"/>
          <w:color w:val="000000"/>
          <w:sz w:val="18"/>
          <w:szCs w:val="18"/>
          <w:lang w:eastAsia="nl-NL"/>
        </w:rPr>
        <w:t xml:space="preserve">. </w:t>
      </w:r>
    </w:p>
    <w:p w:rsidRPr="00F2248B" w:rsidR="00AC54A6" w:rsidP="00643E93" w:rsidRDefault="00AC54A6" w14:paraId="1428C930" w14:textId="527DD613">
      <w:pPr>
        <w:spacing w:line="276" w:lineRule="auto"/>
        <w:textAlignment w:val="baseline"/>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Tot slot is ervoor gekozen de voorgestelde bepalingen in te passen in de Wet milieubeheer</w:t>
      </w:r>
      <w:r w:rsidR="00AC5FE5">
        <w:rPr>
          <w:rFonts w:ascii="Verdana" w:hAnsi="Verdana" w:eastAsia="Times New Roman" w:cs="Calibri"/>
          <w:color w:val="000000"/>
          <w:sz w:val="18"/>
          <w:szCs w:val="18"/>
          <w:lang w:eastAsia="nl-NL"/>
        </w:rPr>
        <w:t xml:space="preserve"> (Wm)</w:t>
      </w:r>
      <w:r>
        <w:rPr>
          <w:rFonts w:ascii="Verdana" w:hAnsi="Verdana" w:eastAsia="Times New Roman" w:cs="Calibri"/>
          <w:color w:val="000000"/>
          <w:sz w:val="18"/>
          <w:szCs w:val="18"/>
          <w:lang w:eastAsia="nl-NL"/>
        </w:rPr>
        <w:t xml:space="preserve">. </w:t>
      </w:r>
      <w:r w:rsidRPr="0015213E">
        <w:rPr>
          <w:rFonts w:ascii="Verdana" w:hAnsi="Verdana" w:eastAsia="Times New Roman" w:cs="Calibri"/>
          <w:color w:val="000000"/>
          <w:sz w:val="18"/>
          <w:szCs w:val="18"/>
          <w:lang w:eastAsia="nl-NL"/>
        </w:rPr>
        <w:t xml:space="preserve">In de </w:t>
      </w:r>
      <w:r>
        <w:rPr>
          <w:rFonts w:ascii="Verdana" w:hAnsi="Verdana" w:eastAsia="Times New Roman" w:cs="Calibri"/>
          <w:color w:val="000000"/>
          <w:sz w:val="18"/>
          <w:szCs w:val="18"/>
          <w:lang w:eastAsia="nl-NL"/>
        </w:rPr>
        <w:t>W</w:t>
      </w:r>
      <w:r w:rsidRPr="0015213E">
        <w:rPr>
          <w:rFonts w:ascii="Verdana" w:hAnsi="Verdana" w:eastAsia="Times New Roman" w:cs="Calibri"/>
          <w:color w:val="000000"/>
          <w:sz w:val="18"/>
          <w:szCs w:val="18"/>
          <w:lang w:eastAsia="nl-NL"/>
        </w:rPr>
        <w:t xml:space="preserve">et </w:t>
      </w:r>
      <w:r>
        <w:rPr>
          <w:rFonts w:ascii="Verdana" w:hAnsi="Verdana" w:eastAsia="Times New Roman" w:cs="Calibri"/>
          <w:color w:val="000000"/>
          <w:sz w:val="18"/>
          <w:szCs w:val="18"/>
          <w:lang w:eastAsia="nl-NL"/>
        </w:rPr>
        <w:t>m</w:t>
      </w:r>
      <w:r w:rsidRPr="0015213E">
        <w:rPr>
          <w:rFonts w:ascii="Verdana" w:hAnsi="Verdana" w:eastAsia="Times New Roman" w:cs="Calibri"/>
          <w:color w:val="000000"/>
          <w:sz w:val="18"/>
          <w:szCs w:val="18"/>
          <w:lang w:eastAsia="nl-NL"/>
        </w:rPr>
        <w:t xml:space="preserve">ilieubeheer bestaat </w:t>
      </w:r>
      <w:r>
        <w:rPr>
          <w:rFonts w:ascii="Verdana" w:hAnsi="Verdana" w:eastAsia="Times New Roman" w:cs="Calibri"/>
          <w:color w:val="000000"/>
          <w:sz w:val="18"/>
          <w:szCs w:val="18"/>
          <w:lang w:eastAsia="nl-NL"/>
        </w:rPr>
        <w:t xml:space="preserve">momenteel </w:t>
      </w:r>
      <w:r w:rsidRPr="0015213E">
        <w:rPr>
          <w:rFonts w:ascii="Verdana" w:hAnsi="Verdana" w:eastAsia="Times New Roman" w:cs="Calibri"/>
          <w:color w:val="000000"/>
          <w:sz w:val="18"/>
          <w:szCs w:val="18"/>
          <w:lang w:eastAsia="nl-NL"/>
        </w:rPr>
        <w:t xml:space="preserve">al een regeling die </w:t>
      </w:r>
      <w:r w:rsidRPr="0015213E">
        <w:rPr>
          <w:rFonts w:ascii="Verdana" w:hAnsi="Verdana" w:eastAsia="Times New Roman" w:cs="Calibri"/>
          <w:color w:val="000000"/>
          <w:sz w:val="18"/>
          <w:szCs w:val="18"/>
          <w:lang w:eastAsia="nl-NL"/>
        </w:rPr>
        <w:lastRenderedPageBreak/>
        <w:t xml:space="preserve">sturing geeft aan aanbestedende diensten. </w:t>
      </w:r>
      <w:r>
        <w:rPr>
          <w:rFonts w:ascii="Verdana" w:hAnsi="Verdana" w:eastAsia="Times New Roman" w:cs="Calibri"/>
          <w:color w:val="000000"/>
          <w:sz w:val="18"/>
          <w:szCs w:val="18"/>
          <w:lang w:eastAsia="nl-NL"/>
        </w:rPr>
        <w:t>O</w:t>
      </w:r>
      <w:r w:rsidRPr="0015213E">
        <w:rPr>
          <w:rFonts w:ascii="Verdana" w:hAnsi="Verdana" w:eastAsia="Times New Roman" w:cs="Calibri"/>
          <w:color w:val="000000"/>
          <w:sz w:val="18"/>
          <w:szCs w:val="18"/>
          <w:lang w:eastAsia="nl-NL"/>
        </w:rPr>
        <w:t>p grond van artikel 9.6.1 Wm</w:t>
      </w:r>
      <w:r>
        <w:rPr>
          <w:rFonts w:ascii="Verdana" w:hAnsi="Verdana" w:eastAsia="Times New Roman" w:cs="Calibri"/>
          <w:color w:val="000000"/>
          <w:sz w:val="18"/>
          <w:szCs w:val="18"/>
          <w:lang w:eastAsia="nl-NL"/>
        </w:rPr>
        <w:t xml:space="preserve"> kunnen</w:t>
      </w:r>
      <w:r w:rsidRPr="0015213E">
        <w:rPr>
          <w:rFonts w:ascii="Verdana" w:hAnsi="Verdana" w:eastAsia="Times New Roman" w:cs="Calibri"/>
          <w:color w:val="000000"/>
          <w:sz w:val="18"/>
          <w:szCs w:val="18"/>
          <w:lang w:eastAsia="nl-NL"/>
        </w:rPr>
        <w:t xml:space="preserve"> in een amvb regels worden gesteld over de inkoop van wegvoertuigen, welke in de Regeling bevordering schone wegvoertuigen </w:t>
      </w:r>
      <w:r w:rsidR="009562F0">
        <w:rPr>
          <w:rFonts w:ascii="Verdana" w:hAnsi="Verdana" w:eastAsia="Times New Roman" w:cs="Calibri"/>
          <w:color w:val="000000"/>
          <w:sz w:val="18"/>
          <w:szCs w:val="18"/>
          <w:lang w:eastAsia="nl-NL"/>
        </w:rPr>
        <w:t xml:space="preserve">nader </w:t>
      </w:r>
      <w:r w:rsidR="00A50737">
        <w:rPr>
          <w:rFonts w:ascii="Verdana" w:hAnsi="Verdana" w:eastAsia="Times New Roman" w:cs="Calibri"/>
          <w:color w:val="000000"/>
          <w:sz w:val="18"/>
          <w:szCs w:val="18"/>
          <w:lang w:eastAsia="nl-NL"/>
        </w:rPr>
        <w:t>zijn</w:t>
      </w:r>
      <w:r w:rsidRPr="0015213E">
        <w:rPr>
          <w:rFonts w:ascii="Verdana" w:hAnsi="Verdana" w:eastAsia="Times New Roman" w:cs="Calibri"/>
          <w:color w:val="000000"/>
          <w:sz w:val="18"/>
          <w:szCs w:val="18"/>
          <w:lang w:eastAsia="nl-NL"/>
        </w:rPr>
        <w:t xml:space="preserve"> uitgewerkt</w:t>
      </w:r>
      <w:r>
        <w:rPr>
          <w:rFonts w:ascii="Verdana" w:hAnsi="Verdana" w:eastAsia="Times New Roman" w:cs="Calibri"/>
          <w:color w:val="000000"/>
          <w:sz w:val="18"/>
          <w:szCs w:val="18"/>
          <w:lang w:eastAsia="nl-NL"/>
        </w:rPr>
        <w:t>.</w:t>
      </w:r>
      <w:r w:rsidRPr="0015213E">
        <w:rPr>
          <w:rFonts w:ascii="Verdana" w:hAnsi="Verdana" w:eastAsia="Times New Roman" w:cs="Calibri"/>
          <w:color w:val="000000"/>
          <w:sz w:val="18"/>
          <w:szCs w:val="18"/>
          <w:lang w:eastAsia="nl-NL"/>
        </w:rPr>
        <w:t xml:space="preserve"> </w:t>
      </w:r>
      <w:r>
        <w:rPr>
          <w:rFonts w:ascii="Verdana" w:hAnsi="Verdana" w:eastAsia="Times New Roman" w:cs="Calibri"/>
          <w:color w:val="000000"/>
          <w:sz w:val="18"/>
          <w:szCs w:val="18"/>
          <w:lang w:eastAsia="nl-NL"/>
        </w:rPr>
        <w:t xml:space="preserve">Met deze regelgeving is </w:t>
      </w:r>
      <w:r w:rsidRPr="0015213E">
        <w:rPr>
          <w:rFonts w:ascii="Verdana" w:hAnsi="Verdana" w:eastAsia="Times New Roman" w:cs="Calibri"/>
          <w:color w:val="000000"/>
          <w:sz w:val="18"/>
          <w:szCs w:val="18"/>
          <w:lang w:eastAsia="nl-NL"/>
        </w:rPr>
        <w:t>de Europese richtlijn schone en energiezuinige wegvoertuigen</w:t>
      </w:r>
      <w:r>
        <w:rPr>
          <w:rFonts w:ascii="Verdana" w:hAnsi="Verdana" w:eastAsia="Times New Roman" w:cs="Calibri"/>
          <w:color w:val="000000"/>
          <w:sz w:val="18"/>
          <w:szCs w:val="18"/>
          <w:lang w:eastAsia="nl-NL"/>
        </w:rPr>
        <w:t xml:space="preserve"> geïmplementeerd</w:t>
      </w:r>
      <w:r w:rsidRPr="0015213E">
        <w:rPr>
          <w:rFonts w:ascii="Verdana" w:hAnsi="Verdana" w:eastAsia="Times New Roman" w:cs="Calibri"/>
          <w:color w:val="000000"/>
          <w:sz w:val="18"/>
          <w:szCs w:val="18"/>
          <w:lang w:eastAsia="nl-NL"/>
        </w:rPr>
        <w:t>.</w:t>
      </w:r>
      <w:r>
        <w:rPr>
          <w:rFonts w:ascii="Verdana" w:hAnsi="Verdana" w:eastAsia="Times New Roman" w:cs="Calibri"/>
          <w:color w:val="000000"/>
          <w:sz w:val="18"/>
          <w:szCs w:val="18"/>
          <w:lang w:eastAsia="nl-NL"/>
        </w:rPr>
        <w:t xml:space="preserve"> Hoewel bij dit wetsvoorstel geen sprake is van implementatie,</w:t>
      </w:r>
      <w:r w:rsidR="009562F0">
        <w:rPr>
          <w:rFonts w:ascii="Verdana" w:hAnsi="Verdana" w:eastAsia="Times New Roman" w:cs="Calibri"/>
          <w:color w:val="000000"/>
          <w:sz w:val="18"/>
          <w:szCs w:val="18"/>
          <w:lang w:eastAsia="nl-NL"/>
        </w:rPr>
        <w:t xml:space="preserve"> gaat het in beide gevallen om het stellen van regels aan aanbestedingen voor het beschermen van mens en milieu.</w:t>
      </w:r>
      <w:r>
        <w:rPr>
          <w:rFonts w:ascii="Verdana" w:hAnsi="Verdana" w:eastAsia="Times New Roman" w:cs="Calibri"/>
          <w:color w:val="000000"/>
          <w:sz w:val="18"/>
          <w:szCs w:val="18"/>
          <w:lang w:eastAsia="nl-NL"/>
        </w:rPr>
        <w:t xml:space="preserve"> </w:t>
      </w:r>
    </w:p>
    <w:p w:rsidR="004F0533" w:rsidP="00643E93" w:rsidRDefault="004F0533" w14:paraId="158C1C6D" w14:textId="77777777">
      <w:pPr>
        <w:spacing w:after="0" w:line="276" w:lineRule="auto"/>
        <w:rPr>
          <w:rFonts w:ascii="Verdana" w:hAnsi="Verdana" w:eastAsia="Times New Roman" w:cs="Times New Roman"/>
          <w:sz w:val="18"/>
          <w:szCs w:val="18"/>
        </w:rPr>
      </w:pPr>
    </w:p>
    <w:p w:rsidRPr="00D944A9" w:rsidR="00160A3A" w:rsidP="00643E93" w:rsidRDefault="00160A3A" w14:paraId="7E8D983E" w14:textId="338FEEA6">
      <w:pPr>
        <w:spacing w:after="0" w:line="276" w:lineRule="auto"/>
        <w:rPr>
          <w:rFonts w:ascii="Verdana" w:hAnsi="Verdana" w:eastAsia="Times New Roman" w:cs="Times New Roman"/>
          <w:i/>
          <w:sz w:val="18"/>
          <w:szCs w:val="18"/>
        </w:rPr>
      </w:pPr>
      <w:r w:rsidRPr="00F2248B">
        <w:rPr>
          <w:rFonts w:ascii="Verdana" w:hAnsi="Verdana" w:eastAsia="Times New Roman" w:cs="Times New Roman"/>
          <w:i/>
          <w:iCs/>
          <w:sz w:val="18"/>
          <w:szCs w:val="18"/>
        </w:rPr>
        <w:t>Varianten om te sturen op aanbestedingen van GWW-werken</w:t>
      </w:r>
    </w:p>
    <w:p w:rsidRPr="00E43A50" w:rsidR="004F0533" w:rsidP="00643E93" w:rsidRDefault="004F0533" w14:paraId="3B2B40EA" w14:textId="173C262F">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Een verkenning is uitgevoerd naar de mogelijkheden om effectief te sturen op een reductie van </w:t>
      </w:r>
      <w:r w:rsidR="00580230">
        <w:rPr>
          <w:rFonts w:ascii="Verdana" w:hAnsi="Verdana" w:eastAsia="Times New Roman" w:cs="Times New Roman"/>
          <w:sz w:val="18"/>
          <w:szCs w:val="18"/>
        </w:rPr>
        <w:t>milieubelasting</w:t>
      </w:r>
      <w:r w:rsidRPr="00E43A50" w:rsidR="00580230">
        <w:rPr>
          <w:rFonts w:ascii="Verdana" w:hAnsi="Verdana" w:eastAsia="Times New Roman" w:cs="Times New Roman"/>
          <w:sz w:val="18"/>
          <w:szCs w:val="18"/>
        </w:rPr>
        <w:t xml:space="preserve"> </w:t>
      </w:r>
      <w:r w:rsidRPr="00E43A50">
        <w:rPr>
          <w:rFonts w:ascii="Verdana" w:hAnsi="Verdana" w:eastAsia="Times New Roman" w:cs="Times New Roman"/>
          <w:sz w:val="18"/>
          <w:szCs w:val="18"/>
        </w:rPr>
        <w:t>in de GWW</w:t>
      </w:r>
      <w:r w:rsidR="00160A3A">
        <w:rPr>
          <w:rFonts w:ascii="Verdana" w:hAnsi="Verdana" w:eastAsia="Times New Roman" w:cs="Times New Roman"/>
          <w:sz w:val="18"/>
          <w:szCs w:val="18"/>
        </w:rPr>
        <w:t xml:space="preserve"> via aanbestedingen</w:t>
      </w:r>
      <w:r w:rsidRPr="00E43A50">
        <w:rPr>
          <w:rFonts w:ascii="Verdana" w:hAnsi="Verdana" w:eastAsia="Times New Roman" w:cs="Times New Roman"/>
          <w:sz w:val="18"/>
          <w:szCs w:val="18"/>
        </w:rPr>
        <w:t>. In onderstaand overzicht zijn de vier belangrijkste varianten omschreven met daarbij de argumentatie waarom deze niet gekozen zijn.</w:t>
      </w:r>
    </w:p>
    <w:p w:rsidRPr="00E43A50" w:rsidR="004F0533" w:rsidP="00643E93" w:rsidRDefault="004F0533" w14:paraId="05661725" w14:textId="77777777">
      <w:pPr>
        <w:spacing w:after="0" w:line="276" w:lineRule="auto"/>
        <w:rPr>
          <w:rFonts w:ascii="Verdana" w:hAnsi="Verdana" w:eastAsia="Times New Roman" w:cs="Times New Roman"/>
          <w:sz w:val="18"/>
          <w:szCs w:val="18"/>
        </w:rPr>
      </w:pPr>
    </w:p>
    <w:p w:rsidRPr="00D944A9" w:rsidR="004F0533" w:rsidP="00643E93" w:rsidRDefault="004F0533" w14:paraId="38929A84" w14:textId="74294B25">
      <w:pPr>
        <w:spacing w:after="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 xml:space="preserve">1. Rekenverplichting voor alle </w:t>
      </w:r>
      <w:r w:rsidRPr="00E43A50" w:rsidR="009A4526">
        <w:rPr>
          <w:rFonts w:ascii="Verdana" w:hAnsi="Verdana" w:eastAsia="Times New Roman" w:cs="Times New Roman"/>
          <w:i/>
          <w:iCs/>
          <w:sz w:val="18"/>
          <w:szCs w:val="18"/>
        </w:rPr>
        <w:t>GWW-werken</w:t>
      </w:r>
    </w:p>
    <w:p w:rsidRPr="00E43A50" w:rsidR="004F0533" w:rsidP="00643E93" w:rsidRDefault="004F0533" w14:paraId="6B3E9D02" w14:textId="01F481F0">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Een veelgenoemde route voor introductie van een wettelijke verplichting op reductie van milieukosten is een rekenverplichting voor alle </w:t>
      </w:r>
      <w:r w:rsidRPr="00E43A50" w:rsidR="009A4526">
        <w:rPr>
          <w:rFonts w:ascii="Verdana" w:hAnsi="Verdana" w:eastAsia="Times New Roman" w:cs="Times New Roman"/>
          <w:sz w:val="18"/>
          <w:szCs w:val="18"/>
        </w:rPr>
        <w:t>GWW-we</w:t>
      </w:r>
      <w:r w:rsidR="00AC5FE5">
        <w:rPr>
          <w:rFonts w:ascii="Verdana" w:hAnsi="Verdana" w:eastAsia="Times New Roman" w:cs="Times New Roman"/>
          <w:sz w:val="18"/>
          <w:szCs w:val="18"/>
        </w:rPr>
        <w:t>r</w:t>
      </w:r>
      <w:r w:rsidRPr="00E43A50" w:rsidR="009A4526">
        <w:rPr>
          <w:rFonts w:ascii="Verdana" w:hAnsi="Verdana" w:eastAsia="Times New Roman" w:cs="Times New Roman"/>
          <w:sz w:val="18"/>
          <w:szCs w:val="18"/>
        </w:rPr>
        <w:t>ken</w:t>
      </w:r>
      <w:r w:rsidRPr="00E43A50">
        <w:rPr>
          <w:rFonts w:ascii="Verdana" w:hAnsi="Verdana" w:eastAsia="Times New Roman" w:cs="Times New Roman"/>
          <w:sz w:val="18"/>
          <w:szCs w:val="18"/>
        </w:rPr>
        <w:t xml:space="preserve">, mogelijk als eerste stap naar een resultaatverplichting. Dit betekent dat voor elk </w:t>
      </w:r>
      <w:r w:rsidRPr="00E43A50" w:rsidR="009A4526">
        <w:rPr>
          <w:rFonts w:ascii="Verdana" w:hAnsi="Verdana" w:eastAsia="Times New Roman" w:cs="Times New Roman"/>
          <w:sz w:val="18"/>
          <w:szCs w:val="18"/>
        </w:rPr>
        <w:t xml:space="preserve">werk </w:t>
      </w:r>
      <w:r w:rsidRPr="00E43A50">
        <w:rPr>
          <w:rFonts w:ascii="Verdana" w:hAnsi="Verdana" w:eastAsia="Times New Roman" w:cs="Times New Roman"/>
          <w:sz w:val="18"/>
          <w:szCs w:val="18"/>
        </w:rPr>
        <w:t>binnen de GWW moet worden bepaald wat de milieukosten van dat specifieke project zijn. Uitsluitend een rekenverplichting levert echter weinig aanvullende sturing naar producenten op, en geeft geen invulling aan het gewenste investeringsperspectief. Daardoor levert het naar verwachting weinig duurzaamheidseffect op. Wel kan het bijdragen aan het vergroten van kennis en bewustwording.</w:t>
      </w:r>
    </w:p>
    <w:p w:rsidRPr="00E43A50" w:rsidR="004F0533" w:rsidP="00643E93" w:rsidRDefault="004F0533" w14:paraId="5C1A3482" w14:textId="77777777">
      <w:pPr>
        <w:spacing w:after="0" w:line="276" w:lineRule="auto"/>
        <w:rPr>
          <w:rFonts w:ascii="Verdana" w:hAnsi="Verdana" w:eastAsia="Times New Roman" w:cs="Times New Roman"/>
          <w:sz w:val="18"/>
          <w:szCs w:val="18"/>
        </w:rPr>
      </w:pPr>
    </w:p>
    <w:p w:rsidRPr="00D944A9" w:rsidR="004F0533" w:rsidP="00643E93" w:rsidRDefault="004F0533" w14:paraId="745D56E2" w14:textId="77777777">
      <w:pPr>
        <w:spacing w:after="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 xml:space="preserve">2. Rekenverplichting op productniveau </w:t>
      </w:r>
    </w:p>
    <w:p w:rsidRPr="00E43A50" w:rsidR="004F0533" w:rsidP="00643E93" w:rsidRDefault="004F0533" w14:paraId="3BDB1F60" w14:textId="2CAEF519">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Ook een rekenverplichting op productniveau</w:t>
      </w:r>
      <w:r w:rsidRPr="00E43A50" w:rsidR="00607377">
        <w:rPr>
          <w:rFonts w:ascii="Verdana" w:hAnsi="Verdana" w:eastAsia="Times New Roman" w:cs="Times New Roman"/>
          <w:sz w:val="18"/>
          <w:szCs w:val="18"/>
        </w:rPr>
        <w:t xml:space="preserve"> w</w:t>
      </w:r>
      <w:r w:rsidRPr="00E43A50">
        <w:rPr>
          <w:rFonts w:ascii="Verdana" w:hAnsi="Verdana" w:eastAsia="Times New Roman" w:cs="Times New Roman"/>
          <w:sz w:val="18"/>
          <w:szCs w:val="18"/>
        </w:rPr>
        <w:t xml:space="preserve">ordt gezien als mogelijke eerste stap naar een verlaging van milieukosten, omdat producenten dan verplicht milieuprestaties moeten gaan uitrekenen en de onderliggende datakwaliteit verbetert. </w:t>
      </w:r>
      <w:r w:rsidRPr="00E43A50" w:rsidR="00607377">
        <w:rPr>
          <w:rFonts w:ascii="Verdana" w:hAnsi="Verdana" w:eastAsia="Times New Roman" w:cs="Times New Roman"/>
          <w:sz w:val="18"/>
          <w:szCs w:val="18"/>
        </w:rPr>
        <w:t xml:space="preserve">Met een rekenverplichting wordt bedoeld dat een opdrachtnemer verplicht wordt om bij een aanbieding ook de milieuprestatie te (laten) bereken en in te dienen. </w:t>
      </w:r>
      <w:r w:rsidRPr="00E43A50">
        <w:rPr>
          <w:rFonts w:ascii="Verdana" w:hAnsi="Verdana" w:eastAsia="Times New Roman" w:cs="Times New Roman"/>
          <w:sz w:val="18"/>
          <w:szCs w:val="18"/>
        </w:rPr>
        <w:t>Hier geldt echter ook dat een verplichting om een berekening te maken wel inzicht oplevert, maar geen dwingend karakter heeft en daarmee geen reductie kan worden afgedwongen.</w:t>
      </w:r>
    </w:p>
    <w:p w:rsidRPr="00E43A50" w:rsidR="004F0533" w:rsidP="00643E93" w:rsidRDefault="004F0533" w14:paraId="604F88B4" w14:textId="77777777">
      <w:pPr>
        <w:spacing w:after="0" w:line="276" w:lineRule="auto"/>
        <w:rPr>
          <w:rFonts w:ascii="Verdana" w:hAnsi="Verdana" w:eastAsia="Times New Roman" w:cs="Times New Roman"/>
          <w:sz w:val="18"/>
          <w:szCs w:val="18"/>
        </w:rPr>
      </w:pPr>
    </w:p>
    <w:p w:rsidRPr="00D944A9" w:rsidR="004F0533" w:rsidP="00643E93" w:rsidRDefault="004F0533" w14:paraId="663C51A2" w14:textId="77777777">
      <w:pPr>
        <w:spacing w:after="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3. Grenswaarde op bouwwerkniveau</w:t>
      </w:r>
    </w:p>
    <w:p w:rsidRPr="00E43A50" w:rsidR="004F0533" w:rsidP="00643E93" w:rsidRDefault="004F0533" w14:paraId="33149170" w14:textId="4EDCD39D">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Een derde voorgestelde route is een </w:t>
      </w:r>
      <w:r w:rsidRPr="00E43A50" w:rsidR="009A4526">
        <w:rPr>
          <w:rFonts w:ascii="Verdana" w:hAnsi="Verdana" w:eastAsia="Times New Roman" w:cs="Times New Roman"/>
          <w:sz w:val="18"/>
          <w:szCs w:val="18"/>
        </w:rPr>
        <w:t xml:space="preserve">generieke </w:t>
      </w:r>
      <w:r w:rsidRPr="00E43A50">
        <w:rPr>
          <w:rFonts w:ascii="Verdana" w:hAnsi="Verdana" w:eastAsia="Times New Roman" w:cs="Times New Roman"/>
          <w:sz w:val="18"/>
          <w:szCs w:val="18"/>
        </w:rPr>
        <w:t>resultaatverplichting op bouwwerkniveau</w:t>
      </w:r>
      <w:r w:rsidRPr="00E43A50" w:rsidR="009A4526">
        <w:rPr>
          <w:rFonts w:ascii="Verdana" w:hAnsi="Verdana" w:eastAsia="Times New Roman" w:cs="Times New Roman"/>
          <w:sz w:val="18"/>
          <w:szCs w:val="18"/>
        </w:rPr>
        <w:t xml:space="preserve"> die geldig is voor alle GWW-werken</w:t>
      </w:r>
      <w:r w:rsidRPr="00E43A50">
        <w:rPr>
          <w:rFonts w:ascii="Verdana" w:hAnsi="Verdana" w:eastAsia="Times New Roman" w:cs="Times New Roman"/>
          <w:sz w:val="18"/>
          <w:szCs w:val="18"/>
        </w:rPr>
        <w:t>, in lijn met de grenswaarde voor de Milieu Prestatie Gebouwen (MPG) in woningen en utiliteitsbouw</w:t>
      </w:r>
      <w:r w:rsidRPr="00E43A50" w:rsidR="009A4526">
        <w:rPr>
          <w:rFonts w:ascii="Verdana" w:hAnsi="Verdana" w:eastAsia="Times New Roman" w:cs="Times New Roman"/>
          <w:sz w:val="18"/>
          <w:szCs w:val="18"/>
        </w:rPr>
        <w:t xml:space="preserve"> – voor de nieuwbouw van een woning is de MPG bijvoorbeeld vastgesteld op 0,8</w:t>
      </w:r>
      <w:r w:rsidRPr="00E43A50">
        <w:rPr>
          <w:rFonts w:ascii="Verdana" w:hAnsi="Verdana" w:eastAsia="Times New Roman" w:cs="Times New Roman"/>
          <w:sz w:val="18"/>
          <w:szCs w:val="18"/>
        </w:rPr>
        <w:t xml:space="preserve">. </w:t>
      </w:r>
      <w:r w:rsidRPr="00E43A50" w:rsidR="00607377">
        <w:rPr>
          <w:rFonts w:ascii="Verdana" w:hAnsi="Verdana" w:eastAsia="Times New Roman" w:cs="Times New Roman"/>
          <w:sz w:val="18"/>
          <w:szCs w:val="18"/>
        </w:rPr>
        <w:t xml:space="preserve">In een dergelijk geval </w:t>
      </w:r>
      <w:r w:rsidRPr="00E43A50" w:rsidR="00DE455F">
        <w:rPr>
          <w:rFonts w:ascii="Verdana" w:hAnsi="Verdana" w:eastAsia="Times New Roman" w:cs="Times New Roman"/>
          <w:sz w:val="18"/>
          <w:szCs w:val="18"/>
        </w:rPr>
        <w:t>zal per type object (bijvoorbeeld een brug of tunnel) moeten worden voorgeschreven wat de grenswaarde voor de milieu</w:t>
      </w:r>
      <w:r w:rsidRPr="00E43A50" w:rsidR="00872E0C">
        <w:rPr>
          <w:rFonts w:ascii="Verdana" w:hAnsi="Verdana" w:eastAsia="Times New Roman" w:cs="Times New Roman"/>
          <w:sz w:val="18"/>
          <w:szCs w:val="18"/>
        </w:rPr>
        <w:t>-</w:t>
      </w:r>
      <w:r w:rsidRPr="00E43A50" w:rsidR="00DE455F">
        <w:rPr>
          <w:rFonts w:ascii="Verdana" w:hAnsi="Verdana" w:eastAsia="Times New Roman" w:cs="Times New Roman"/>
          <w:sz w:val="18"/>
          <w:szCs w:val="18"/>
        </w:rPr>
        <w:t xml:space="preserve">impact is. </w:t>
      </w:r>
      <w:r w:rsidRPr="00E43A50">
        <w:rPr>
          <w:rFonts w:ascii="Verdana" w:hAnsi="Verdana" w:eastAsia="Times New Roman" w:cs="Times New Roman"/>
          <w:sz w:val="18"/>
          <w:szCs w:val="18"/>
        </w:rPr>
        <w:t>De GWW leent zich echter minder goed voor zo’n grenswaarde, om verschillende redenen:</w:t>
      </w:r>
    </w:p>
    <w:p w:rsidRPr="00E43A50" w:rsidR="004F0533" w:rsidP="00643E93" w:rsidRDefault="004F0533" w14:paraId="371C4A82" w14:textId="23759CD8">
      <w:pPr>
        <w:numPr>
          <w:ilvl w:val="0"/>
          <w:numId w:val="6"/>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Een goede vergelijkende eenheid voor GWW-werken is niet beschikbaar, onder meer omdat </w:t>
      </w:r>
      <w:r w:rsidRPr="00E43A50" w:rsidR="009A4526">
        <w:rPr>
          <w:rFonts w:ascii="Verdana" w:hAnsi="Verdana" w:eastAsia="Times New Roman" w:cs="Times New Roman"/>
          <w:sz w:val="18"/>
          <w:szCs w:val="18"/>
        </w:rPr>
        <w:t xml:space="preserve">werken </w:t>
      </w:r>
      <w:r w:rsidRPr="00E43A50">
        <w:rPr>
          <w:rFonts w:ascii="Verdana" w:hAnsi="Verdana" w:eastAsia="Times New Roman" w:cs="Times New Roman"/>
          <w:sz w:val="18"/>
          <w:szCs w:val="18"/>
        </w:rPr>
        <w:t>vaak worden gerealiseerd op basis van lokale omstandigheden. Dit is anders dan in de B&amp;U, waar de vierkante meters een vergelijkbare eenheid vormen.</w:t>
      </w:r>
    </w:p>
    <w:p w:rsidRPr="00E43A50" w:rsidR="004F0533" w:rsidP="00643E93" w:rsidRDefault="004F0533" w14:paraId="53632861" w14:textId="77777777">
      <w:pPr>
        <w:numPr>
          <w:ilvl w:val="0"/>
          <w:numId w:val="6"/>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De ondergrond is een dominante factor in de milieuprestatie door de benodigde fundering. De samenstelling van de ondergrond verschilt sterk per locatie.</w:t>
      </w:r>
    </w:p>
    <w:p w:rsidRPr="00E43A50" w:rsidR="004F0533" w:rsidP="00643E93" w:rsidRDefault="004F0533" w14:paraId="1E10F233" w14:textId="3DAA7B48">
      <w:pPr>
        <w:numPr>
          <w:ilvl w:val="0"/>
          <w:numId w:val="6"/>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In het ontwerp van GWW-werken is minder vrijheid in de toe te passen </w:t>
      </w:r>
      <w:r w:rsidRPr="00E43A50" w:rsidR="005A0525">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 xml:space="preserve">dan in de B&amp;U. Het bepalen van een grenswaarde op </w:t>
      </w:r>
      <w:r w:rsidRPr="00E43A50" w:rsidR="009A4526">
        <w:rPr>
          <w:rFonts w:ascii="Verdana" w:hAnsi="Verdana" w:eastAsia="Times New Roman" w:cs="Times New Roman"/>
          <w:sz w:val="18"/>
          <w:szCs w:val="18"/>
        </w:rPr>
        <w:t xml:space="preserve">bouwwerkniveau </w:t>
      </w:r>
      <w:r w:rsidRPr="00E43A50">
        <w:rPr>
          <w:rFonts w:ascii="Verdana" w:hAnsi="Verdana" w:eastAsia="Times New Roman" w:cs="Times New Roman"/>
          <w:sz w:val="18"/>
          <w:szCs w:val="18"/>
        </w:rPr>
        <w:t>leidt daarom óf tot een waarde die in de praktijk eenvoudig haalbaar is, óf tot een scherpere grenswaarde waar in de praktijk veel uitzonderingen op moeten worden gemaakt.</w:t>
      </w:r>
    </w:p>
    <w:p w:rsidRPr="00E43A50" w:rsidR="004F0533" w:rsidP="00643E93" w:rsidRDefault="004F0533" w14:paraId="0B2843A8" w14:textId="77777777">
      <w:pPr>
        <w:spacing w:after="0" w:line="276" w:lineRule="auto"/>
        <w:rPr>
          <w:rFonts w:ascii="Verdana" w:hAnsi="Verdana" w:eastAsia="Times New Roman" w:cs="Times New Roman"/>
          <w:sz w:val="18"/>
          <w:szCs w:val="18"/>
        </w:rPr>
      </w:pPr>
    </w:p>
    <w:p w:rsidRPr="00D944A9" w:rsidR="004F0533" w:rsidP="00643E93" w:rsidRDefault="004F0533" w14:paraId="22B82F31" w14:textId="4153B440">
      <w:pPr>
        <w:spacing w:after="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lastRenderedPageBreak/>
        <w:t xml:space="preserve">4. Verplichting inkopen met milieuprestatie als </w:t>
      </w:r>
      <w:r w:rsidR="00173DC2">
        <w:rPr>
          <w:rFonts w:ascii="Verdana" w:hAnsi="Verdana" w:eastAsia="Times New Roman" w:cs="Times New Roman"/>
          <w:i/>
          <w:iCs/>
          <w:sz w:val="18"/>
          <w:szCs w:val="18"/>
        </w:rPr>
        <w:t xml:space="preserve">nader criterium in de </w:t>
      </w:r>
      <w:r w:rsidRPr="00E43A50">
        <w:rPr>
          <w:rFonts w:ascii="Verdana" w:hAnsi="Verdana" w:eastAsia="Times New Roman" w:cs="Times New Roman"/>
          <w:i/>
          <w:iCs/>
          <w:sz w:val="18"/>
          <w:szCs w:val="18"/>
        </w:rPr>
        <w:t>gunning voor alle aanbestedingen</w:t>
      </w:r>
    </w:p>
    <w:p w:rsidRPr="00E43A50" w:rsidR="004F0533" w:rsidP="00643E93" w:rsidRDefault="004F0533" w14:paraId="0EF73642" w14:textId="0D089228">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Eén van de mogelijke implementatieroutes is een sectorbrede verplichting om in te kopen met milieuprestatie als criterium in álle aanbestedingen. Er is niet gekozen om de verplichting voor alle projecten te laten gelden, omdat de mogelijke impact in veel gevallen relatief laag is ten opzichte van de kosten (zowel in tijd als in capaciteit) voor een aanbestedende dienst. Met name kleine </w:t>
      </w:r>
      <w:r w:rsidR="0043376A">
        <w:rPr>
          <w:rFonts w:ascii="Verdana" w:hAnsi="Verdana" w:eastAsia="Times New Roman" w:cs="Times New Roman"/>
          <w:sz w:val="18"/>
          <w:szCs w:val="18"/>
          <w:lang w:eastAsia="nl-NL"/>
        </w:rPr>
        <w:t>aanbestedende diensten en speciale-sectorbedrijven</w:t>
      </w:r>
      <w:r w:rsidRPr="00F5605C" w:rsidR="0043376A">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worden met een dergelijke eis substantieel extra belast.</w:t>
      </w:r>
    </w:p>
    <w:p w:rsidRPr="00E43A50" w:rsidR="004F0533" w:rsidP="00643E93" w:rsidRDefault="004F0533" w14:paraId="3CE93215" w14:textId="77777777">
      <w:pPr>
        <w:spacing w:after="0" w:line="276" w:lineRule="auto"/>
        <w:rPr>
          <w:rFonts w:ascii="Verdana" w:hAnsi="Verdana" w:eastAsia="Times New Roman" w:cs="Times New Roman"/>
          <w:sz w:val="18"/>
          <w:szCs w:val="18"/>
        </w:rPr>
      </w:pPr>
    </w:p>
    <w:p w:rsidRPr="00E43A50" w:rsidR="004F0533" w:rsidP="00643E93" w:rsidRDefault="004F0533" w14:paraId="59331AA2" w14:textId="77777777">
      <w:pPr>
        <w:spacing w:after="0" w:line="276" w:lineRule="auto"/>
        <w:rPr>
          <w:rFonts w:ascii="Verdana" w:hAnsi="Verdana" w:eastAsia="Times New Roman" w:cs="Times New Roman"/>
          <w:sz w:val="18"/>
          <w:szCs w:val="18"/>
        </w:rPr>
      </w:pPr>
      <w:r w:rsidRPr="00E43A50">
        <w:rPr>
          <w:rFonts w:ascii="Verdana" w:hAnsi="Verdana" w:eastAsia="Times New Roman" w:cs="Times New Roman"/>
          <w:i/>
          <w:iCs/>
          <w:sz w:val="18"/>
          <w:szCs w:val="18"/>
        </w:rPr>
        <w:t>Gekozen instrument</w:t>
      </w:r>
    </w:p>
    <w:p w:rsidRPr="005B4CB1" w:rsidR="00160A3A" w:rsidP="00643E93" w:rsidRDefault="00160A3A" w14:paraId="03FC045E" w14:textId="2FA5FA9C">
      <w:pPr>
        <w:spacing w:after="0" w:line="276" w:lineRule="auto"/>
        <w:rPr>
          <w:rFonts w:ascii="Verdana" w:hAnsi="Verdana" w:eastAsia="Times New Roman" w:cs="Times New Roman"/>
          <w:sz w:val="21"/>
          <w:szCs w:val="21"/>
        </w:rPr>
      </w:pPr>
      <w:r w:rsidRPr="00E43A50">
        <w:rPr>
          <w:rFonts w:ascii="Verdana" w:hAnsi="Verdana" w:eastAsia="Times New Roman" w:cs="Times New Roman"/>
          <w:sz w:val="18"/>
          <w:szCs w:val="18"/>
        </w:rPr>
        <w:t>Met wettelijke verankering worden aanbestedende diensten en speciale-sectorbedrijven verplicht om duurzaam in te kopen. Op deze wijze werken aanbestedende diensten toe naar volledig klimaatneutraal en circulair aanbesteden, zodat deze sector als geheel klimaatneutraal en circulair gaat opereren. Hiermee wordt voortgebouwd op bestaande samenwerking en afspraken die met partijen zijn gemaakt.</w:t>
      </w:r>
    </w:p>
    <w:p w:rsidR="00AC5FE5" w:rsidP="00643E93" w:rsidRDefault="00AC5FE5" w14:paraId="5D9A0518" w14:textId="77777777">
      <w:pPr>
        <w:spacing w:after="0" w:line="276" w:lineRule="auto"/>
        <w:rPr>
          <w:rFonts w:ascii="Verdana" w:hAnsi="Verdana" w:eastAsia="Times New Roman" w:cs="Times New Roman"/>
          <w:sz w:val="18"/>
          <w:szCs w:val="18"/>
        </w:rPr>
      </w:pPr>
    </w:p>
    <w:p w:rsidRPr="00E43A50" w:rsidR="004F0533" w:rsidP="00643E93" w:rsidRDefault="004F0533" w14:paraId="18918BE0" w14:textId="55390288">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Eerder zijn </w:t>
      </w:r>
      <w:r w:rsidR="00160A3A">
        <w:rPr>
          <w:rFonts w:ascii="Verdana" w:hAnsi="Verdana" w:eastAsia="Times New Roman" w:cs="Times New Roman"/>
          <w:sz w:val="18"/>
          <w:szCs w:val="18"/>
        </w:rPr>
        <w:t>andere opties dan regelgeving</w:t>
      </w:r>
      <w:r w:rsidRPr="00E43A50" w:rsidR="00160A3A">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verkend en uitgevoerd via </w:t>
      </w:r>
      <w:r w:rsidR="00160A3A">
        <w:rPr>
          <w:rFonts w:ascii="Verdana" w:hAnsi="Verdana" w:eastAsia="Times New Roman" w:cs="Times New Roman"/>
          <w:sz w:val="18"/>
          <w:szCs w:val="18"/>
        </w:rPr>
        <w:t>verschillende</w:t>
      </w:r>
      <w:r w:rsidRPr="00E43A50" w:rsidR="00160A3A">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initiatieven om de GWW te verduurzamen (communicatie, financieel, organisatie, co-regulering en ondersteunende instrumenten). Al deze - vrijwillige - initiatieven zorgen voor bewustwording, samenwerking, kennisdeling en vooruitgang. Maar niet in het hoge, noodzakelijke tempo om de internationale, Rijks-, regionale, lokale en sectordoelstellingen te halen. Desalniettemin kunnen en zullen deze opties nog steeds ondersteunend worden ingezet aan </w:t>
      </w:r>
      <w:r w:rsidRPr="00E43A50" w:rsidR="00DE455F">
        <w:rPr>
          <w:rFonts w:ascii="Verdana" w:hAnsi="Verdana" w:eastAsia="Times New Roman" w:cs="Times New Roman"/>
          <w:sz w:val="18"/>
          <w:szCs w:val="18"/>
        </w:rPr>
        <w:t>de wettelijke verplichting</w:t>
      </w:r>
      <w:r w:rsidRPr="00E43A50">
        <w:rPr>
          <w:rFonts w:ascii="Verdana" w:hAnsi="Verdana" w:eastAsia="Times New Roman" w:cs="Times New Roman"/>
          <w:sz w:val="18"/>
          <w:szCs w:val="18"/>
        </w:rPr>
        <w:t xml:space="preserve">. De ondersteunende maatregelen worden, zoveel als mogelijk, centraal bij het in 2.3 genoemde </w:t>
      </w:r>
      <w:r w:rsidRPr="00E43A50" w:rsidR="008D468A">
        <w:rPr>
          <w:rFonts w:ascii="Verdana" w:hAnsi="Verdana" w:eastAsia="Times New Roman" w:cs="Times New Roman"/>
          <w:sz w:val="18"/>
          <w:szCs w:val="18"/>
        </w:rPr>
        <w:t xml:space="preserve">ondersteuningspunt </w:t>
      </w:r>
      <w:r w:rsidRPr="00E43A50">
        <w:rPr>
          <w:rFonts w:ascii="Verdana" w:hAnsi="Verdana" w:eastAsia="Times New Roman" w:cs="Times New Roman"/>
          <w:sz w:val="18"/>
          <w:szCs w:val="18"/>
        </w:rPr>
        <w:t>ondergebracht.</w:t>
      </w:r>
    </w:p>
    <w:p w:rsidRPr="00E43A50" w:rsidR="004F0533" w:rsidP="00643E93" w:rsidRDefault="004F0533" w14:paraId="22AFCDBE" w14:textId="77777777">
      <w:pPr>
        <w:spacing w:after="0" w:line="276" w:lineRule="auto"/>
        <w:rPr>
          <w:rFonts w:ascii="Verdana" w:hAnsi="Verdana" w:eastAsia="Times New Roman" w:cs="Times New Roman"/>
          <w:sz w:val="18"/>
          <w:szCs w:val="18"/>
        </w:rPr>
      </w:pPr>
    </w:p>
    <w:p w:rsidRPr="00E43A50" w:rsidR="004F0533" w:rsidP="00643E93" w:rsidRDefault="004F0533" w14:paraId="2CA5B9A0" w14:textId="77777777">
      <w:pPr>
        <w:pStyle w:val="Kop3"/>
        <w:spacing w:line="276" w:lineRule="auto"/>
      </w:pPr>
      <w:bookmarkStart w:name="_Toc195040754" w:id="27"/>
      <w:r w:rsidRPr="00E43A50">
        <w:t>Verhouding tot hoger recht</w:t>
      </w:r>
      <w:bookmarkEnd w:id="27"/>
    </w:p>
    <w:p w:rsidRPr="00E43A50" w:rsidR="007B1DC3" w:rsidP="00643E93" w:rsidRDefault="004F0533" w14:paraId="3BF1511D" w14:textId="21F96E0E">
      <w:pPr>
        <w:pStyle w:val="Kop4"/>
        <w:numPr>
          <w:ilvl w:val="1"/>
          <w:numId w:val="24"/>
        </w:numPr>
        <w:spacing w:line="276" w:lineRule="auto"/>
      </w:pPr>
      <w:bookmarkStart w:name="_Toc195040755" w:id="28"/>
      <w:r w:rsidRPr="00E43A50">
        <w:t>Relevante EU-regelgeving</w:t>
      </w:r>
      <w:bookmarkEnd w:id="28"/>
    </w:p>
    <w:p w:rsidR="008B4F71" w:rsidP="00643E93" w:rsidRDefault="008B4F71" w14:paraId="6A26EEC7" w14:textId="58B4E4D7">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Dit wetsvoorstel is</w:t>
      </w:r>
      <w:r w:rsidRPr="008B4F71">
        <w:rPr>
          <w:rFonts w:ascii="Verdana" w:hAnsi="Verdana" w:eastAsia="Times New Roman" w:cs="Times New Roman"/>
          <w:sz w:val="18"/>
          <w:szCs w:val="18"/>
        </w:rPr>
        <w:t xml:space="preserve"> in overeenstemming met het Europees aanbestedingsrecht. </w:t>
      </w:r>
      <w:r>
        <w:rPr>
          <w:rFonts w:ascii="Verdana" w:hAnsi="Verdana" w:eastAsia="Times New Roman" w:cs="Times New Roman"/>
          <w:sz w:val="18"/>
          <w:szCs w:val="18"/>
        </w:rPr>
        <w:t xml:space="preserve">De in dit wetsvoorstel opgenomen maatregelen zijn </w:t>
      </w:r>
      <w:r w:rsidRPr="008B4F71">
        <w:rPr>
          <w:rFonts w:ascii="Verdana" w:hAnsi="Verdana" w:eastAsia="Times New Roman" w:cs="Times New Roman"/>
          <w:sz w:val="18"/>
          <w:szCs w:val="18"/>
        </w:rPr>
        <w:t xml:space="preserve">getoetst aan </w:t>
      </w:r>
      <w:r>
        <w:rPr>
          <w:rFonts w:ascii="Verdana" w:hAnsi="Verdana" w:eastAsia="Times New Roman" w:cs="Times New Roman"/>
          <w:sz w:val="18"/>
          <w:szCs w:val="18"/>
        </w:rPr>
        <w:t xml:space="preserve">de </w:t>
      </w:r>
      <w:r w:rsidRPr="008B4F71">
        <w:rPr>
          <w:rFonts w:ascii="Verdana" w:hAnsi="Verdana" w:eastAsia="Times New Roman" w:cs="Times New Roman"/>
          <w:sz w:val="18"/>
          <w:szCs w:val="18"/>
        </w:rPr>
        <w:t xml:space="preserve">Richtlijn (EU) 2014/24 (de Aanbestedingsrichtlijn) en </w:t>
      </w:r>
      <w:r>
        <w:rPr>
          <w:rFonts w:ascii="Verdana" w:hAnsi="Verdana" w:eastAsia="Times New Roman" w:cs="Times New Roman"/>
          <w:sz w:val="18"/>
          <w:szCs w:val="18"/>
        </w:rPr>
        <w:t xml:space="preserve">de </w:t>
      </w:r>
      <w:r w:rsidRPr="008B4F71">
        <w:rPr>
          <w:rFonts w:ascii="Verdana" w:hAnsi="Verdana" w:eastAsia="Times New Roman" w:cs="Times New Roman"/>
          <w:sz w:val="18"/>
          <w:szCs w:val="18"/>
        </w:rPr>
        <w:t>Richtlijn (EU) 2014/25 (de Speciale-sectoren Richtlijn). De Europese Commissie heeft in de preambule van beide richtlijnen opgenomen dat geen enkele bepaling in deze richtlijnen mag beletten dat maatregelen worden voorgeschreven of toegepast ter bescherming van (onder meer) de gezondheid van mensen, dieren of planten of andere milieumaatregelen — in het bijzonder met het oog op duurzame ontwikkeling — op voorwaarde dat deze maatregelen in overeenstemming zijn met het VWEU.  In dit wetsvoorstel worden maatregelen voorgeschreven ter bescherming van het milieu en met het oog op een duurzame ontwikkeling. Zoals is toegelicht in paragraaf 4.2 zijn de voorgestelde maatregelen in overeenstemming met het VWEU.</w:t>
      </w:r>
    </w:p>
    <w:p w:rsidR="00B85D13" w:rsidP="00643E93" w:rsidRDefault="00B85D13" w14:paraId="274727CE" w14:textId="77777777">
      <w:pPr>
        <w:spacing w:after="0" w:line="276" w:lineRule="auto"/>
        <w:rPr>
          <w:rFonts w:ascii="Verdana" w:hAnsi="Verdana" w:eastAsia="Times New Roman" w:cs="Times New Roman"/>
          <w:sz w:val="18"/>
          <w:szCs w:val="18"/>
        </w:rPr>
      </w:pPr>
    </w:p>
    <w:p w:rsidR="00B06EBB" w:rsidP="00643E93" w:rsidRDefault="007B1DC3" w14:paraId="337A7818" w14:textId="5BBC904F">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Aangezien het wetsvoorstel mede ziet op bouwproducten</w:t>
      </w:r>
      <w:r w:rsidR="00B06EBB">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is bij de totstandkoming daarvan zorggedragen voor afstemming met de </w:t>
      </w:r>
      <w:r w:rsidR="00B06EBB">
        <w:rPr>
          <w:rFonts w:ascii="Verdana" w:hAnsi="Verdana" w:eastAsia="Times New Roman" w:cs="Times New Roman"/>
          <w:sz w:val="18"/>
          <w:szCs w:val="18"/>
        </w:rPr>
        <w:t xml:space="preserve">herziene </w:t>
      </w:r>
      <w:r w:rsidRPr="00E43A50" w:rsidR="001666DC">
        <w:rPr>
          <w:rFonts w:ascii="Verdana" w:hAnsi="Verdana" w:eastAsia="Times New Roman" w:cs="Times New Roman"/>
          <w:sz w:val="18"/>
          <w:szCs w:val="18"/>
        </w:rPr>
        <w:t>Europese Verordening bouwproducten (</w:t>
      </w:r>
      <w:r w:rsidR="006A5613">
        <w:rPr>
          <w:rFonts w:ascii="Verdana" w:hAnsi="Verdana" w:eastAsia="Times New Roman" w:cs="Times New Roman"/>
          <w:sz w:val="18"/>
          <w:szCs w:val="18"/>
        </w:rPr>
        <w:t xml:space="preserve">EU </w:t>
      </w:r>
      <w:r w:rsidRPr="00E43A50">
        <w:rPr>
          <w:rFonts w:ascii="Verdana" w:hAnsi="Verdana" w:eastAsia="Times New Roman" w:cs="Times New Roman"/>
          <w:sz w:val="18"/>
          <w:szCs w:val="18"/>
        </w:rPr>
        <w:t>2024/3110</w:t>
      </w:r>
      <w:r w:rsidRPr="00E43A50" w:rsidR="001666DC">
        <w:rPr>
          <w:rFonts w:ascii="Verdana" w:hAnsi="Verdana" w:eastAsia="Times New Roman" w:cs="Times New Roman"/>
          <w:sz w:val="18"/>
          <w:szCs w:val="18"/>
        </w:rPr>
        <w:t>)</w:t>
      </w:r>
      <w:r w:rsidRPr="00E43A50">
        <w:rPr>
          <w:rFonts w:ascii="Verdana" w:hAnsi="Verdana" w:eastAsia="Times New Roman" w:cs="Times New Roman"/>
          <w:sz w:val="18"/>
          <w:szCs w:val="18"/>
        </w:rPr>
        <w:t xml:space="preserve"> tot vaststelling van geharmoniseerde regels voor het in de handel brengen van </w:t>
      </w:r>
      <w:r w:rsidRPr="00E43A50" w:rsidR="001666DC">
        <w:rPr>
          <w:rFonts w:ascii="Verdana" w:hAnsi="Verdana" w:eastAsia="Times New Roman" w:cs="Times New Roman"/>
          <w:sz w:val="18"/>
          <w:szCs w:val="18"/>
        </w:rPr>
        <w:t xml:space="preserve">veilige en duurzame </w:t>
      </w:r>
      <w:r w:rsidRPr="00E43A50">
        <w:rPr>
          <w:rFonts w:ascii="Verdana" w:hAnsi="Verdana" w:eastAsia="Times New Roman" w:cs="Times New Roman"/>
          <w:sz w:val="18"/>
          <w:szCs w:val="18"/>
        </w:rPr>
        <w:t>bouwproducten (hierna: Europese Bouwproductenverorde</w:t>
      </w:r>
      <w:r w:rsidRPr="00E43A50" w:rsidR="004E6184">
        <w:rPr>
          <w:rFonts w:ascii="Verdana" w:hAnsi="Verdana" w:eastAsia="Times New Roman" w:cs="Times New Roman"/>
          <w:sz w:val="18"/>
          <w:szCs w:val="18"/>
        </w:rPr>
        <w:t>n</w:t>
      </w:r>
      <w:r w:rsidRPr="00E43A50">
        <w:rPr>
          <w:rFonts w:ascii="Verdana" w:hAnsi="Verdana" w:eastAsia="Times New Roman" w:cs="Times New Roman"/>
          <w:sz w:val="18"/>
          <w:szCs w:val="18"/>
        </w:rPr>
        <w:t xml:space="preserve">ing), </w:t>
      </w:r>
      <w:r w:rsidRPr="00E43A50" w:rsidR="004E6184">
        <w:rPr>
          <w:rFonts w:ascii="Verdana" w:hAnsi="Verdana" w:eastAsia="Times New Roman" w:cs="Times New Roman"/>
          <w:sz w:val="18"/>
          <w:szCs w:val="18"/>
        </w:rPr>
        <w:t xml:space="preserve">om zo </w:t>
      </w:r>
      <w:r w:rsidRPr="00E43A50">
        <w:rPr>
          <w:rFonts w:ascii="Verdana" w:hAnsi="Verdana" w:eastAsia="Times New Roman" w:cs="Times New Roman"/>
          <w:sz w:val="18"/>
          <w:szCs w:val="18"/>
        </w:rPr>
        <w:t>strijdigheid met het Europese recht te voorkomen</w:t>
      </w:r>
      <w:r w:rsidRPr="00E43A50" w:rsidR="001666DC">
        <w:rPr>
          <w:rFonts w:ascii="Verdana" w:hAnsi="Verdana" w:eastAsia="Times New Roman" w:cs="Times New Roman"/>
          <w:sz w:val="18"/>
          <w:szCs w:val="18"/>
        </w:rPr>
        <w:t>.</w:t>
      </w:r>
      <w:r w:rsidRPr="00E43A50" w:rsidR="00F56F78">
        <w:rPr>
          <w:rFonts w:ascii="Verdana" w:hAnsi="Verdana" w:eastAsia="Times New Roman" w:cs="Times New Roman"/>
          <w:sz w:val="18"/>
          <w:szCs w:val="18"/>
        </w:rPr>
        <w:t xml:space="preserve"> </w:t>
      </w:r>
    </w:p>
    <w:p w:rsidR="00B06EBB" w:rsidP="00643E93" w:rsidRDefault="00B06EBB" w14:paraId="3D4C72B1" w14:textId="77777777">
      <w:pPr>
        <w:spacing w:after="0" w:line="276" w:lineRule="auto"/>
        <w:rPr>
          <w:rFonts w:ascii="Verdana" w:hAnsi="Verdana" w:eastAsia="Times New Roman" w:cs="Times New Roman"/>
          <w:sz w:val="18"/>
          <w:szCs w:val="18"/>
        </w:rPr>
      </w:pPr>
    </w:p>
    <w:p w:rsidRPr="00E43A50" w:rsidR="00F56F78" w:rsidP="00643E93" w:rsidRDefault="004F0533" w14:paraId="791BD3D1" w14:textId="3C723817">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De herziene versie van de </w:t>
      </w:r>
      <w:r w:rsidRPr="00E43A50" w:rsidR="001666DC">
        <w:rPr>
          <w:rFonts w:ascii="Verdana" w:hAnsi="Verdana" w:eastAsia="Times New Roman" w:cs="Times New Roman"/>
          <w:sz w:val="18"/>
          <w:szCs w:val="18"/>
        </w:rPr>
        <w:t xml:space="preserve">Europese </w:t>
      </w:r>
      <w:r w:rsidRPr="00E43A50">
        <w:rPr>
          <w:rFonts w:ascii="Verdana" w:hAnsi="Verdana" w:eastAsia="Times New Roman" w:cs="Times New Roman"/>
          <w:sz w:val="18"/>
          <w:szCs w:val="18"/>
        </w:rPr>
        <w:t xml:space="preserve">Bouwproductenverordening, die op 1 januari 2025 is vastgesteld, geeft de Europese Commissie de mogelijkheid om geharmoniseerde </w:t>
      </w:r>
      <w:r w:rsidRPr="00E43A50" w:rsidR="001666DC">
        <w:rPr>
          <w:rFonts w:ascii="Verdana" w:hAnsi="Verdana" w:eastAsia="Times New Roman" w:cs="Times New Roman"/>
          <w:sz w:val="18"/>
          <w:szCs w:val="18"/>
        </w:rPr>
        <w:t xml:space="preserve">regels </w:t>
      </w:r>
      <w:r w:rsidRPr="00E43A50" w:rsidR="001666DC">
        <w:rPr>
          <w:rFonts w:ascii="Verdana" w:hAnsi="Verdana" w:eastAsia="Times New Roman" w:cs="Times New Roman"/>
          <w:sz w:val="18"/>
          <w:szCs w:val="18"/>
        </w:rPr>
        <w:lastRenderedPageBreak/>
        <w:t xml:space="preserve">(geharmoniseerde </w:t>
      </w:r>
      <w:r w:rsidRPr="00E43A50">
        <w:rPr>
          <w:rFonts w:ascii="Verdana" w:hAnsi="Verdana" w:eastAsia="Times New Roman" w:cs="Times New Roman"/>
          <w:sz w:val="18"/>
          <w:szCs w:val="18"/>
        </w:rPr>
        <w:t>technische specificaties</w:t>
      </w:r>
      <w:r w:rsidRPr="00E43A50" w:rsidR="001666DC">
        <w:rPr>
          <w:rFonts w:ascii="Verdana" w:hAnsi="Verdana" w:eastAsia="Times New Roman" w:cs="Times New Roman"/>
          <w:sz w:val="18"/>
          <w:szCs w:val="18"/>
        </w:rPr>
        <w:t xml:space="preserve"> en Europese technische beoordelingen)</w:t>
      </w:r>
      <w:r w:rsidRPr="00E43A50">
        <w:rPr>
          <w:rFonts w:ascii="Verdana" w:hAnsi="Verdana" w:eastAsia="Times New Roman" w:cs="Times New Roman"/>
          <w:sz w:val="18"/>
          <w:szCs w:val="18"/>
        </w:rPr>
        <w:t xml:space="preserve"> te stellen over duurzaamheid van de bouwproducten. Bijvoorbeeld welke </w:t>
      </w:r>
      <w:r w:rsidRPr="00E43A50" w:rsidR="00F56F78">
        <w:rPr>
          <w:rFonts w:ascii="Verdana" w:hAnsi="Verdana" w:eastAsia="Times New Roman" w:cs="Times New Roman"/>
          <w:sz w:val="18"/>
          <w:szCs w:val="18"/>
        </w:rPr>
        <w:t>essentiële</w:t>
      </w:r>
      <w:r w:rsidRPr="00E43A50" w:rsidR="00540F22">
        <w:rPr>
          <w:rFonts w:ascii="Verdana" w:hAnsi="Verdana" w:eastAsia="Times New Roman" w:cs="Times New Roman"/>
          <w:sz w:val="18"/>
          <w:szCs w:val="18"/>
        </w:rPr>
        <w:t xml:space="preserve"> milieukenmerken voor productfamilies of </w:t>
      </w:r>
      <w:r w:rsidRPr="00E43A50" w:rsidR="00B06EBB">
        <w:rPr>
          <w:rFonts w:ascii="Verdana" w:hAnsi="Verdana" w:eastAsia="Times New Roman" w:cs="Times New Roman"/>
          <w:sz w:val="18"/>
          <w:szCs w:val="18"/>
        </w:rPr>
        <w:t>productcategorieën</w:t>
      </w:r>
      <w:r w:rsidRPr="00E43A50" w:rsidR="00540F22">
        <w:rPr>
          <w:rFonts w:ascii="Verdana" w:hAnsi="Verdana" w:eastAsia="Times New Roman" w:cs="Times New Roman"/>
          <w:sz w:val="18"/>
          <w:szCs w:val="18"/>
        </w:rPr>
        <w:t xml:space="preserve"> verstrekt moeten worden en op welke </w:t>
      </w:r>
      <w:r w:rsidRPr="00E43A50">
        <w:rPr>
          <w:rFonts w:ascii="Verdana" w:hAnsi="Verdana" w:eastAsia="Times New Roman" w:cs="Times New Roman"/>
          <w:sz w:val="18"/>
          <w:szCs w:val="18"/>
        </w:rPr>
        <w:t>manier de milieu-impact van bouwproducten</w:t>
      </w:r>
      <w:r w:rsidRPr="00E43A50" w:rsidR="00540F22">
        <w:rPr>
          <w:rFonts w:ascii="Verdana" w:hAnsi="Verdana" w:eastAsia="Times New Roman" w:cs="Times New Roman"/>
          <w:sz w:val="18"/>
          <w:szCs w:val="18"/>
        </w:rPr>
        <w:t xml:space="preserve"> bepaald en geverifieerd</w:t>
      </w:r>
      <w:r w:rsidRPr="00E43A50">
        <w:rPr>
          <w:rFonts w:ascii="Verdana" w:hAnsi="Verdana" w:eastAsia="Times New Roman" w:cs="Times New Roman"/>
          <w:sz w:val="18"/>
          <w:szCs w:val="18"/>
        </w:rPr>
        <w:t xml:space="preserve"> moet worden. Als deze regels zijn ingevoerd, moeten fabrikanten kunnen aantonen dat </w:t>
      </w:r>
      <w:r w:rsidRPr="00E43A50" w:rsidR="00540F22">
        <w:rPr>
          <w:rFonts w:ascii="Verdana" w:hAnsi="Verdana" w:eastAsia="Times New Roman" w:cs="Times New Roman"/>
          <w:sz w:val="18"/>
          <w:szCs w:val="18"/>
        </w:rPr>
        <w:t xml:space="preserve">CE-gemarkeerde </w:t>
      </w:r>
      <w:r w:rsidRPr="00E43A50">
        <w:rPr>
          <w:rFonts w:ascii="Verdana" w:hAnsi="Verdana" w:eastAsia="Times New Roman" w:cs="Times New Roman"/>
          <w:sz w:val="18"/>
          <w:szCs w:val="18"/>
        </w:rPr>
        <w:t>bouwproducten aan de Europese eisen voldoen door middel van een</w:t>
      </w:r>
      <w:r w:rsidRPr="00E43A50" w:rsidR="00540F22">
        <w:rPr>
          <w:rFonts w:ascii="Verdana" w:hAnsi="Verdana" w:eastAsia="Times New Roman" w:cs="Times New Roman"/>
          <w:sz w:val="18"/>
          <w:szCs w:val="18"/>
        </w:rPr>
        <w:t xml:space="preserve"> gecombineerde </w:t>
      </w:r>
      <w:r w:rsidRPr="00E43A50">
        <w:rPr>
          <w:rFonts w:ascii="Verdana" w:hAnsi="Verdana" w:eastAsia="Times New Roman" w:cs="Times New Roman"/>
          <w:sz w:val="18"/>
          <w:szCs w:val="18"/>
        </w:rPr>
        <w:t>prestatie</w:t>
      </w:r>
      <w:r w:rsidRPr="00E43A50" w:rsidR="00540F22">
        <w:rPr>
          <w:rFonts w:ascii="Verdana" w:hAnsi="Verdana" w:eastAsia="Times New Roman" w:cs="Times New Roman"/>
          <w:sz w:val="18"/>
          <w:szCs w:val="18"/>
        </w:rPr>
        <w:t>- en conformiteits</w:t>
      </w:r>
      <w:r w:rsidRPr="00E43A50">
        <w:rPr>
          <w:rFonts w:ascii="Verdana" w:hAnsi="Verdana" w:eastAsia="Times New Roman" w:cs="Times New Roman"/>
          <w:sz w:val="18"/>
          <w:szCs w:val="18"/>
        </w:rPr>
        <w:t>verklaring</w:t>
      </w:r>
      <w:r w:rsidRPr="00E43A50" w:rsidR="00540F22">
        <w:rPr>
          <w:rFonts w:ascii="Verdana" w:hAnsi="Verdana" w:eastAsia="Times New Roman" w:cs="Times New Roman"/>
          <w:sz w:val="18"/>
          <w:szCs w:val="18"/>
        </w:rPr>
        <w:t xml:space="preserve">. </w:t>
      </w:r>
      <w:r w:rsidRPr="00E43A50" w:rsidR="002B2986">
        <w:rPr>
          <w:rFonts w:ascii="Verdana" w:hAnsi="Verdana" w:eastAsia="Times New Roman" w:cs="Times New Roman"/>
          <w:sz w:val="18"/>
          <w:szCs w:val="18"/>
        </w:rPr>
        <w:t xml:space="preserve">De Commissie </w:t>
      </w:r>
      <w:r w:rsidRPr="00FD4C4B" w:rsidR="002B2986">
        <w:rPr>
          <w:rFonts w:ascii="Verdana" w:hAnsi="Verdana" w:eastAsia="Times New Roman" w:cs="Times New Roman"/>
          <w:sz w:val="18"/>
          <w:szCs w:val="18"/>
        </w:rPr>
        <w:t>kan</w:t>
      </w:r>
      <w:r w:rsidRPr="00E43A50" w:rsidR="002B2986">
        <w:rPr>
          <w:rFonts w:ascii="Verdana" w:hAnsi="Verdana" w:eastAsia="Times New Roman" w:cs="Times New Roman"/>
          <w:sz w:val="18"/>
          <w:szCs w:val="18"/>
        </w:rPr>
        <w:t xml:space="preserve"> volgens art</w:t>
      </w:r>
      <w:r w:rsidR="006A5613">
        <w:rPr>
          <w:rFonts w:ascii="Verdana" w:hAnsi="Verdana" w:eastAsia="Times New Roman" w:cs="Times New Roman"/>
          <w:sz w:val="18"/>
          <w:szCs w:val="18"/>
        </w:rPr>
        <w:t>ikel</w:t>
      </w:r>
      <w:r w:rsidRPr="00E43A50" w:rsidR="002B2986">
        <w:rPr>
          <w:rFonts w:ascii="Verdana" w:hAnsi="Verdana" w:eastAsia="Times New Roman" w:cs="Times New Roman"/>
          <w:sz w:val="18"/>
          <w:szCs w:val="18"/>
        </w:rPr>
        <w:t xml:space="preserve"> 5</w:t>
      </w:r>
      <w:r w:rsidR="006A5613">
        <w:rPr>
          <w:rFonts w:ascii="Verdana" w:hAnsi="Verdana" w:eastAsia="Times New Roman" w:cs="Times New Roman"/>
          <w:sz w:val="18"/>
          <w:szCs w:val="18"/>
        </w:rPr>
        <w:t xml:space="preserve">, vijfde lid, </w:t>
      </w:r>
      <w:r w:rsidRPr="00E43A50" w:rsidR="002B2986">
        <w:rPr>
          <w:rFonts w:ascii="Verdana" w:hAnsi="Verdana" w:eastAsia="Times New Roman" w:cs="Times New Roman"/>
          <w:sz w:val="18"/>
          <w:szCs w:val="18"/>
        </w:rPr>
        <w:t>van de Verordening bouwproducten gedelegeerde handelingen vaststellen inzake drempelniveaus, prestatieklassen of verplichte essentiële kenmerken voor productfamilies of productcategorieën die onder geharmoniseerde normen vallen.</w:t>
      </w:r>
      <w:r w:rsidR="00EA6183">
        <w:rPr>
          <w:rFonts w:ascii="Verdana" w:hAnsi="Verdana" w:eastAsia="Times New Roman" w:cs="Times New Roman"/>
          <w:sz w:val="18"/>
          <w:szCs w:val="18"/>
        </w:rPr>
        <w:t xml:space="preserve"> In</w:t>
      </w:r>
      <w:r w:rsidRPr="00F5605C" w:rsidR="00EA6183">
        <w:rPr>
          <w:rFonts w:ascii="Verdana" w:hAnsi="Verdana" w:eastAsia="Times New Roman" w:cs="Times New Roman"/>
          <w:sz w:val="18"/>
          <w:szCs w:val="18"/>
        </w:rPr>
        <w:t xml:space="preserve"> het kader van de Green Deal voor groene aanbestedingen </w:t>
      </w:r>
      <w:r w:rsidR="00EA6183">
        <w:rPr>
          <w:rFonts w:ascii="Verdana" w:hAnsi="Verdana" w:eastAsia="Times New Roman" w:cs="Times New Roman"/>
          <w:sz w:val="18"/>
          <w:szCs w:val="18"/>
        </w:rPr>
        <w:t xml:space="preserve">maakt </w:t>
      </w:r>
      <w:r w:rsidRPr="00F5605C" w:rsidR="00EA6183">
        <w:rPr>
          <w:rFonts w:ascii="Verdana" w:hAnsi="Verdana" w:eastAsia="Times New Roman" w:cs="Times New Roman"/>
          <w:sz w:val="18"/>
          <w:szCs w:val="18"/>
        </w:rPr>
        <w:t>de Europese Commissie een uitzondering voor aanbestedingen</w:t>
      </w:r>
      <w:r w:rsidR="00EA6183">
        <w:rPr>
          <w:rFonts w:ascii="Verdana" w:hAnsi="Verdana" w:eastAsia="Times New Roman" w:cs="Times New Roman"/>
          <w:sz w:val="18"/>
          <w:szCs w:val="18"/>
        </w:rPr>
        <w:t>. V</w:t>
      </w:r>
      <w:r w:rsidRPr="00F5605C" w:rsidR="00EA6183">
        <w:rPr>
          <w:rFonts w:ascii="Verdana" w:hAnsi="Verdana" w:eastAsia="Times New Roman" w:cs="Times New Roman"/>
          <w:sz w:val="18"/>
          <w:szCs w:val="18"/>
        </w:rPr>
        <w:t>olgens artikel 83</w:t>
      </w:r>
      <w:r w:rsidR="006A5613">
        <w:rPr>
          <w:rFonts w:ascii="Verdana" w:hAnsi="Verdana" w:eastAsia="Times New Roman" w:cs="Times New Roman"/>
          <w:sz w:val="18"/>
          <w:szCs w:val="18"/>
        </w:rPr>
        <w:t>, tweede lid,</w:t>
      </w:r>
      <w:r w:rsidRPr="00F5605C" w:rsidR="00EA6183">
        <w:rPr>
          <w:rFonts w:ascii="Verdana" w:hAnsi="Verdana" w:eastAsia="Times New Roman" w:cs="Times New Roman"/>
          <w:sz w:val="18"/>
          <w:szCs w:val="18"/>
        </w:rPr>
        <w:t xml:space="preserve"> van de</w:t>
      </w:r>
      <w:r w:rsidR="006A5613">
        <w:rPr>
          <w:rFonts w:ascii="Verdana" w:hAnsi="Verdana" w:eastAsia="Times New Roman" w:cs="Times New Roman"/>
          <w:sz w:val="18"/>
          <w:szCs w:val="18"/>
        </w:rPr>
        <w:t>ze</w:t>
      </w:r>
      <w:r w:rsidRPr="00F5605C" w:rsidR="00EA6183">
        <w:rPr>
          <w:rFonts w:ascii="Verdana" w:hAnsi="Verdana" w:eastAsia="Times New Roman" w:cs="Times New Roman"/>
          <w:sz w:val="18"/>
          <w:szCs w:val="18"/>
        </w:rPr>
        <w:t xml:space="preserve"> verordening </w:t>
      </w:r>
      <w:r w:rsidR="00EA6183">
        <w:rPr>
          <w:rFonts w:ascii="Verdana" w:hAnsi="Verdana" w:eastAsia="Times New Roman" w:cs="Times New Roman"/>
          <w:sz w:val="18"/>
          <w:szCs w:val="18"/>
        </w:rPr>
        <w:t xml:space="preserve">kunnen </w:t>
      </w:r>
      <w:r w:rsidRPr="00F5605C" w:rsidR="00EA6183">
        <w:rPr>
          <w:rFonts w:ascii="Verdana" w:hAnsi="Verdana" w:eastAsia="Times New Roman" w:cs="Times New Roman"/>
          <w:sz w:val="18"/>
          <w:szCs w:val="18"/>
        </w:rPr>
        <w:t>ambitieuzere en aanvullende eisen</w:t>
      </w:r>
      <w:r w:rsidR="00EA6183">
        <w:rPr>
          <w:rFonts w:ascii="Verdana" w:hAnsi="Verdana" w:eastAsia="Times New Roman" w:cs="Times New Roman"/>
          <w:sz w:val="18"/>
          <w:szCs w:val="18"/>
        </w:rPr>
        <w:t xml:space="preserve"> worden gesteld</w:t>
      </w:r>
      <w:r w:rsidRPr="00F5605C" w:rsidR="00EA6183">
        <w:rPr>
          <w:rFonts w:ascii="Verdana" w:hAnsi="Verdana" w:eastAsia="Times New Roman" w:cs="Times New Roman"/>
          <w:sz w:val="18"/>
          <w:szCs w:val="18"/>
        </w:rPr>
        <w:t xml:space="preserve"> met betrekking tot de essentiële milieukenmerken.</w:t>
      </w:r>
    </w:p>
    <w:p w:rsidRPr="00E43A50" w:rsidR="004F0533" w:rsidP="00643E93" w:rsidRDefault="004F0533" w14:paraId="7512319E" w14:textId="77777777">
      <w:pPr>
        <w:spacing w:after="0" w:line="276" w:lineRule="auto"/>
        <w:rPr>
          <w:rFonts w:ascii="Verdana" w:hAnsi="Verdana" w:eastAsia="Times New Roman" w:cs="Times New Roman"/>
          <w:sz w:val="18"/>
          <w:szCs w:val="18"/>
        </w:rPr>
      </w:pPr>
    </w:p>
    <w:p w:rsidRPr="00E43A50" w:rsidR="004C6A05" w:rsidP="00643E93" w:rsidRDefault="004F0533" w14:paraId="3987F5A6" w14:textId="7DF180C8">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Of lidstaten </w:t>
      </w:r>
      <w:r w:rsidR="006A5613">
        <w:rPr>
          <w:rFonts w:ascii="Verdana" w:hAnsi="Verdana" w:eastAsia="Times New Roman" w:cs="Times New Roman"/>
          <w:sz w:val="18"/>
          <w:szCs w:val="18"/>
        </w:rPr>
        <w:t xml:space="preserve">een </w:t>
      </w:r>
      <w:r w:rsidR="00AC1FDD">
        <w:rPr>
          <w:rFonts w:ascii="Verdana" w:hAnsi="Verdana" w:eastAsia="Times New Roman" w:cs="Times New Roman"/>
          <w:sz w:val="18"/>
          <w:szCs w:val="18"/>
        </w:rPr>
        <w:t xml:space="preserve">drempelniveau </w:t>
      </w:r>
      <w:r w:rsidR="00ED0260">
        <w:rPr>
          <w:rFonts w:ascii="Verdana" w:hAnsi="Verdana" w:eastAsia="Times New Roman" w:cs="Times New Roman"/>
          <w:sz w:val="18"/>
          <w:szCs w:val="18"/>
        </w:rPr>
        <w:t>of prestatieklasse</w:t>
      </w:r>
      <w:r w:rsidRPr="00E43A50">
        <w:rPr>
          <w:rFonts w:ascii="Verdana" w:hAnsi="Verdana" w:eastAsia="Times New Roman" w:cs="Times New Roman"/>
          <w:sz w:val="18"/>
          <w:szCs w:val="18"/>
        </w:rPr>
        <w:t xml:space="preserve"> stellen</w:t>
      </w:r>
      <w:r w:rsidR="00ED0260">
        <w:rPr>
          <w:rFonts w:ascii="Verdana" w:hAnsi="Verdana" w:eastAsia="Times New Roman" w:cs="Times New Roman"/>
          <w:sz w:val="18"/>
          <w:szCs w:val="18"/>
        </w:rPr>
        <w:t xml:space="preserve"> aan </w:t>
      </w:r>
      <w:r w:rsidRPr="00E43A50" w:rsidR="00ED0260">
        <w:rPr>
          <w:rFonts w:ascii="Verdana" w:hAnsi="Verdana" w:eastAsia="Times New Roman" w:cs="Times New Roman"/>
          <w:sz w:val="18"/>
          <w:szCs w:val="18"/>
        </w:rPr>
        <w:t>milieuprestatie-eisen</w:t>
      </w:r>
      <w:r w:rsidRPr="00E43A50">
        <w:rPr>
          <w:rFonts w:ascii="Verdana" w:hAnsi="Verdana" w:eastAsia="Times New Roman" w:cs="Times New Roman"/>
          <w:sz w:val="18"/>
          <w:szCs w:val="18"/>
        </w:rPr>
        <w:t>,</w:t>
      </w:r>
      <w:r w:rsidR="00ED0260">
        <w:rPr>
          <w:rFonts w:ascii="Verdana" w:hAnsi="Verdana" w:eastAsia="Times New Roman" w:cs="Times New Roman"/>
          <w:sz w:val="18"/>
          <w:szCs w:val="18"/>
        </w:rPr>
        <w:t xml:space="preserve"> zoals de bedoeling is van </w:t>
      </w:r>
      <w:r w:rsidR="000D33D1">
        <w:rPr>
          <w:rFonts w:ascii="Verdana" w:hAnsi="Verdana" w:eastAsia="Times New Roman" w:cs="Times New Roman"/>
          <w:sz w:val="18"/>
          <w:szCs w:val="18"/>
        </w:rPr>
        <w:t xml:space="preserve">de eerste maatregel in </w:t>
      </w:r>
      <w:r w:rsidR="006A5613">
        <w:rPr>
          <w:rFonts w:ascii="Verdana" w:hAnsi="Verdana" w:eastAsia="Times New Roman" w:cs="Times New Roman"/>
          <w:sz w:val="18"/>
          <w:szCs w:val="18"/>
        </w:rPr>
        <w:t>dit wetsvoorstel</w:t>
      </w:r>
      <w:r w:rsidR="000D33D1">
        <w:rPr>
          <w:rFonts w:ascii="Verdana" w:hAnsi="Verdana" w:eastAsia="Times New Roman" w:cs="Times New Roman"/>
          <w:sz w:val="18"/>
          <w:szCs w:val="18"/>
        </w:rPr>
        <w:t xml:space="preserve"> (op product- of materiaalniveau)</w:t>
      </w:r>
      <w:r w:rsidR="00F50212">
        <w:rPr>
          <w:rStyle w:val="Voetnootmarkering"/>
          <w:rFonts w:ascii="Verdana" w:hAnsi="Verdana" w:eastAsia="Times New Roman" w:cs="Times New Roman"/>
          <w:sz w:val="18"/>
          <w:szCs w:val="18"/>
        </w:rPr>
        <w:footnoteReference w:id="29"/>
      </w:r>
      <w:r w:rsidR="006A5613">
        <w:rPr>
          <w:rFonts w:ascii="Verdana" w:hAnsi="Verdana" w:eastAsia="Times New Roman" w:cs="Times New Roman"/>
          <w:sz w:val="18"/>
          <w:szCs w:val="18"/>
        </w:rPr>
        <w:t>,</w:t>
      </w:r>
      <w:r w:rsidRPr="00E43A50">
        <w:rPr>
          <w:rFonts w:ascii="Verdana" w:hAnsi="Verdana" w:eastAsia="Times New Roman" w:cs="Times New Roman"/>
          <w:sz w:val="18"/>
          <w:szCs w:val="18"/>
        </w:rPr>
        <w:t xml:space="preserve"> is </w:t>
      </w:r>
      <w:r w:rsidRPr="00E43A50" w:rsidR="001C6FF9">
        <w:rPr>
          <w:rFonts w:ascii="Verdana" w:hAnsi="Verdana" w:eastAsia="Times New Roman" w:cs="Times New Roman"/>
          <w:sz w:val="18"/>
          <w:szCs w:val="18"/>
        </w:rPr>
        <w:t xml:space="preserve">vooralsnog </w:t>
      </w:r>
      <w:r w:rsidRPr="00E43A50">
        <w:rPr>
          <w:rFonts w:ascii="Verdana" w:hAnsi="Verdana" w:eastAsia="Times New Roman" w:cs="Times New Roman"/>
          <w:sz w:val="18"/>
          <w:szCs w:val="18"/>
        </w:rPr>
        <w:t>de keuze aan de lidstaten zelf, evenals de wijze waar</w:t>
      </w:r>
      <w:r w:rsidR="00737B4F">
        <w:rPr>
          <w:rFonts w:ascii="Verdana" w:hAnsi="Verdana" w:eastAsia="Times New Roman" w:cs="Times New Roman"/>
          <w:sz w:val="18"/>
          <w:szCs w:val="18"/>
        </w:rPr>
        <w:t xml:space="preserve"> de essentiële milieukenmerken gewogen worden tot een éénpuntscore </w:t>
      </w:r>
      <w:r w:rsidRPr="00E43A50">
        <w:rPr>
          <w:rFonts w:ascii="Verdana" w:hAnsi="Verdana" w:eastAsia="Times New Roman" w:cs="Times New Roman"/>
          <w:sz w:val="18"/>
          <w:szCs w:val="18"/>
        </w:rPr>
        <w:t>(in Nederland met een monetaire weegset</w:t>
      </w:r>
      <w:r w:rsidR="00737B4F">
        <w:rPr>
          <w:rFonts w:ascii="Verdana" w:hAnsi="Verdana" w:eastAsia="Times New Roman" w:cs="Times New Roman"/>
          <w:sz w:val="18"/>
          <w:szCs w:val="18"/>
        </w:rPr>
        <w:t xml:space="preserve">, die </w:t>
      </w:r>
      <w:r w:rsidRPr="00737B4F" w:rsidR="00737B4F">
        <w:rPr>
          <w:rFonts w:ascii="Verdana" w:hAnsi="Verdana" w:eastAsia="Times New Roman" w:cs="Times New Roman"/>
          <w:sz w:val="18"/>
          <w:szCs w:val="18"/>
        </w:rPr>
        <w:t>de totale milieu-impact van een product of project uitdrukt in een geldwaarde</w:t>
      </w:r>
      <w:r w:rsidR="00737B4F">
        <w:rPr>
          <w:rFonts w:ascii="Verdana" w:hAnsi="Verdana" w:eastAsia="Times New Roman" w:cs="Times New Roman"/>
          <w:sz w:val="18"/>
          <w:szCs w:val="18"/>
        </w:rPr>
        <w:t xml:space="preserve">: </w:t>
      </w:r>
      <w:r w:rsidRPr="00737B4F" w:rsidR="00737B4F">
        <w:rPr>
          <w:rFonts w:ascii="Verdana" w:hAnsi="Verdana" w:eastAsia="Times New Roman" w:cs="Times New Roman"/>
          <w:sz w:val="18"/>
          <w:szCs w:val="18"/>
        </w:rPr>
        <w:t>de milieukosten, of "schaduwkosten</w:t>
      </w:r>
      <w:r w:rsidR="00737B4F">
        <w:rPr>
          <w:rFonts w:ascii="Verdana" w:hAnsi="Verdana" w:eastAsia="Times New Roman" w:cs="Times New Roman"/>
          <w:sz w:val="18"/>
          <w:szCs w:val="18"/>
        </w:rPr>
        <w:t>”</w:t>
      </w:r>
      <w:r w:rsidRPr="00E43A50">
        <w:rPr>
          <w:rFonts w:ascii="Verdana" w:hAnsi="Verdana" w:eastAsia="Times New Roman" w:cs="Times New Roman"/>
          <w:sz w:val="18"/>
          <w:szCs w:val="18"/>
        </w:rPr>
        <w:t xml:space="preserve">). </w:t>
      </w:r>
      <w:r w:rsidRPr="00E43A50" w:rsidR="001C6FF9">
        <w:rPr>
          <w:rFonts w:ascii="Verdana" w:hAnsi="Verdana" w:eastAsia="Times New Roman" w:cs="Times New Roman"/>
          <w:sz w:val="18"/>
          <w:szCs w:val="18"/>
        </w:rPr>
        <w:t xml:space="preserve">Het is niet bekend of de Europese Commissie </w:t>
      </w:r>
      <w:r w:rsidRPr="00E43A50" w:rsidR="004C6A05">
        <w:rPr>
          <w:rFonts w:ascii="Verdana" w:hAnsi="Verdana" w:eastAsia="Times New Roman" w:cs="Times New Roman"/>
          <w:sz w:val="18"/>
          <w:szCs w:val="18"/>
        </w:rPr>
        <w:t xml:space="preserve">de </w:t>
      </w:r>
      <w:r w:rsidRPr="00E43A50" w:rsidR="001C6FF9">
        <w:rPr>
          <w:rFonts w:ascii="Verdana" w:hAnsi="Verdana" w:eastAsia="Times New Roman" w:cs="Times New Roman"/>
          <w:sz w:val="18"/>
          <w:szCs w:val="18"/>
        </w:rPr>
        <w:t xml:space="preserve">gedelegeerde handelingen wil stellen </w:t>
      </w:r>
      <w:r w:rsidRPr="00E43A50" w:rsidR="004C6A05">
        <w:rPr>
          <w:rFonts w:ascii="Verdana" w:hAnsi="Verdana" w:eastAsia="Times New Roman" w:cs="Times New Roman"/>
          <w:sz w:val="18"/>
          <w:szCs w:val="18"/>
        </w:rPr>
        <w:t>aan milieuprestatie als het gaa</w:t>
      </w:r>
      <w:r w:rsidR="006A5613">
        <w:rPr>
          <w:rFonts w:ascii="Verdana" w:hAnsi="Verdana" w:eastAsia="Times New Roman" w:cs="Times New Roman"/>
          <w:sz w:val="18"/>
          <w:szCs w:val="18"/>
        </w:rPr>
        <w:t>t</w:t>
      </w:r>
      <w:r w:rsidRPr="00E43A50" w:rsidR="004C6A05">
        <w:rPr>
          <w:rFonts w:ascii="Verdana" w:hAnsi="Verdana" w:eastAsia="Times New Roman" w:cs="Times New Roman"/>
          <w:sz w:val="18"/>
          <w:szCs w:val="18"/>
        </w:rPr>
        <w:t xml:space="preserve"> om </w:t>
      </w:r>
      <w:r w:rsidRPr="00E43A50" w:rsidR="001C6FF9">
        <w:rPr>
          <w:rFonts w:ascii="Verdana" w:hAnsi="Verdana" w:eastAsia="Times New Roman" w:cs="Times New Roman"/>
          <w:sz w:val="18"/>
          <w:szCs w:val="18"/>
        </w:rPr>
        <w:t>drempelniveau of prestatieklassen</w:t>
      </w:r>
      <w:r w:rsidRPr="00E43A50" w:rsidR="00836A31">
        <w:rPr>
          <w:rFonts w:ascii="Verdana" w:hAnsi="Verdana" w:eastAsia="Times New Roman" w:cs="Times New Roman"/>
          <w:sz w:val="18"/>
          <w:szCs w:val="18"/>
        </w:rPr>
        <w:t xml:space="preserve">; dit staat </w:t>
      </w:r>
      <w:r w:rsidRPr="00E43A50" w:rsidR="004C6A05">
        <w:rPr>
          <w:rFonts w:ascii="Verdana" w:hAnsi="Verdana" w:eastAsia="Times New Roman" w:cs="Times New Roman"/>
          <w:sz w:val="18"/>
          <w:szCs w:val="18"/>
        </w:rPr>
        <w:t>momenteel niet op de agenda van de Europese Commissie</w:t>
      </w:r>
      <w:r w:rsidRPr="00E43A50" w:rsidR="001C6FF9">
        <w:rPr>
          <w:rFonts w:ascii="Verdana" w:hAnsi="Verdana" w:eastAsia="Times New Roman" w:cs="Times New Roman"/>
          <w:sz w:val="18"/>
          <w:szCs w:val="18"/>
        </w:rPr>
        <w:t xml:space="preserve">. </w:t>
      </w:r>
      <w:r w:rsidRPr="00E43A50" w:rsidR="004C6A05">
        <w:rPr>
          <w:rFonts w:ascii="Verdana" w:hAnsi="Verdana" w:eastAsia="Times New Roman" w:cs="Times New Roman"/>
          <w:sz w:val="18"/>
          <w:szCs w:val="18"/>
        </w:rPr>
        <w:t xml:space="preserve">Vooralsnog is het onwaarschijnlijk, gezien lidstaten afhankelijk van hun nationale situatie </w:t>
      </w:r>
      <w:r w:rsidRPr="00E43A50" w:rsidR="00D63CC6">
        <w:rPr>
          <w:rFonts w:ascii="Verdana" w:hAnsi="Verdana" w:eastAsia="Times New Roman" w:cs="Times New Roman"/>
          <w:sz w:val="18"/>
          <w:szCs w:val="18"/>
        </w:rPr>
        <w:t xml:space="preserve">en prioriteiten </w:t>
      </w:r>
      <w:r w:rsidRPr="00E43A50" w:rsidR="004C6A05">
        <w:rPr>
          <w:rFonts w:ascii="Verdana" w:hAnsi="Verdana" w:eastAsia="Times New Roman" w:cs="Times New Roman"/>
          <w:sz w:val="18"/>
          <w:szCs w:val="18"/>
        </w:rPr>
        <w:t xml:space="preserve">verschillend </w:t>
      </w:r>
      <w:r w:rsidRPr="00E43A50" w:rsidR="00D63CC6">
        <w:rPr>
          <w:rFonts w:ascii="Verdana" w:hAnsi="Verdana" w:eastAsia="Times New Roman" w:cs="Times New Roman"/>
          <w:sz w:val="18"/>
          <w:szCs w:val="18"/>
        </w:rPr>
        <w:t xml:space="preserve">willen </w:t>
      </w:r>
      <w:r w:rsidRPr="00E43A50" w:rsidR="004C6A05">
        <w:rPr>
          <w:rFonts w:ascii="Verdana" w:hAnsi="Verdana" w:eastAsia="Times New Roman" w:cs="Times New Roman"/>
          <w:sz w:val="18"/>
          <w:szCs w:val="18"/>
        </w:rPr>
        <w:t xml:space="preserve">sturen op </w:t>
      </w:r>
      <w:r w:rsidRPr="00E43A50" w:rsidR="00D63CC6">
        <w:rPr>
          <w:rFonts w:ascii="Verdana" w:hAnsi="Verdana" w:eastAsia="Times New Roman" w:cs="Times New Roman"/>
          <w:sz w:val="18"/>
          <w:szCs w:val="18"/>
        </w:rPr>
        <w:t>de uitvoering en beoordeling van milieuprestaties</w:t>
      </w:r>
      <w:r w:rsidRPr="00E43A50" w:rsidR="004C6A05">
        <w:rPr>
          <w:rFonts w:ascii="Verdana" w:hAnsi="Verdana" w:eastAsia="Times New Roman" w:cs="Times New Roman"/>
          <w:sz w:val="18"/>
          <w:szCs w:val="18"/>
        </w:rPr>
        <w:t>.</w:t>
      </w:r>
      <w:r w:rsidR="00BA76AE">
        <w:rPr>
          <w:rFonts w:ascii="Verdana" w:hAnsi="Verdana" w:eastAsia="Times New Roman" w:cs="Times New Roman"/>
          <w:sz w:val="18"/>
          <w:szCs w:val="18"/>
        </w:rPr>
        <w:t xml:space="preserve"> </w:t>
      </w:r>
    </w:p>
    <w:p w:rsidRPr="00E43A50" w:rsidR="00D63CC6" w:rsidP="00643E93" w:rsidRDefault="00D63CC6" w14:paraId="59CDE42C" w14:textId="77777777">
      <w:pPr>
        <w:spacing w:after="0" w:line="276" w:lineRule="auto"/>
        <w:rPr>
          <w:rFonts w:ascii="Verdana" w:hAnsi="Verdana" w:eastAsia="Times New Roman" w:cs="Times New Roman"/>
          <w:sz w:val="18"/>
          <w:szCs w:val="18"/>
        </w:rPr>
      </w:pPr>
    </w:p>
    <w:p w:rsidRPr="00E43A50" w:rsidR="004F0533" w:rsidP="00643E93" w:rsidRDefault="004F0533" w14:paraId="5606755B" w14:textId="5D51187C">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O</w:t>
      </w:r>
      <w:r w:rsidR="00ED0260">
        <w:rPr>
          <w:rFonts w:ascii="Verdana" w:hAnsi="Verdana" w:eastAsia="Times New Roman" w:cs="Times New Roman"/>
          <w:sz w:val="18"/>
          <w:szCs w:val="18"/>
        </w:rPr>
        <w:t>ok zijn</w:t>
      </w:r>
      <w:r w:rsidR="00666BA0">
        <w:rPr>
          <w:rFonts w:ascii="Verdana" w:hAnsi="Verdana" w:eastAsia="Times New Roman" w:cs="Times New Roman"/>
          <w:sz w:val="18"/>
          <w:szCs w:val="18"/>
        </w:rPr>
        <w:t xml:space="preserve"> er</w:t>
      </w:r>
      <w:r w:rsidR="00163F28">
        <w:rPr>
          <w:rFonts w:ascii="Verdana" w:hAnsi="Verdana" w:eastAsia="Times New Roman" w:cs="Times New Roman"/>
          <w:sz w:val="18"/>
          <w:szCs w:val="18"/>
        </w:rPr>
        <w:t>,</w:t>
      </w:r>
      <w:r w:rsidR="00ED0260">
        <w:rPr>
          <w:rFonts w:ascii="Verdana" w:hAnsi="Verdana" w:eastAsia="Times New Roman" w:cs="Times New Roman"/>
          <w:sz w:val="18"/>
          <w:szCs w:val="18"/>
        </w:rPr>
        <w:t xml:space="preserve"> o</w:t>
      </w:r>
      <w:r w:rsidRPr="00E43A50">
        <w:rPr>
          <w:rFonts w:ascii="Verdana" w:hAnsi="Verdana" w:eastAsia="Times New Roman" w:cs="Times New Roman"/>
          <w:sz w:val="18"/>
          <w:szCs w:val="18"/>
        </w:rPr>
        <w:t xml:space="preserve">p </w:t>
      </w:r>
      <w:r w:rsidRPr="004527B2">
        <w:rPr>
          <w:rFonts w:ascii="Verdana" w:hAnsi="Verdana" w:eastAsia="Times New Roman" w:cs="Times New Roman"/>
          <w:sz w:val="18"/>
          <w:szCs w:val="18"/>
        </w:rPr>
        <w:t xml:space="preserve">het moment dat dit </w:t>
      </w:r>
      <w:r w:rsidRPr="004527B2" w:rsidR="00EA6183">
        <w:rPr>
          <w:rFonts w:ascii="Verdana" w:hAnsi="Verdana" w:eastAsia="Times New Roman" w:cs="Times New Roman"/>
          <w:sz w:val="18"/>
          <w:szCs w:val="18"/>
        </w:rPr>
        <w:t xml:space="preserve">wetsvoorstel </w:t>
      </w:r>
      <w:r w:rsidRPr="004527B2" w:rsidR="00666BA0">
        <w:rPr>
          <w:rFonts w:ascii="Verdana" w:hAnsi="Verdana" w:eastAsia="Times New Roman" w:cs="Times New Roman"/>
          <w:sz w:val="18"/>
          <w:szCs w:val="18"/>
        </w:rPr>
        <w:t>aan de Raad van State</w:t>
      </w:r>
      <w:r w:rsidRPr="004527B2">
        <w:rPr>
          <w:rFonts w:ascii="Verdana" w:hAnsi="Verdana" w:eastAsia="Times New Roman" w:cs="Times New Roman"/>
          <w:sz w:val="18"/>
          <w:szCs w:val="18"/>
        </w:rPr>
        <w:t xml:space="preserve"> </w:t>
      </w:r>
      <w:r w:rsidRPr="004527B2" w:rsidR="00666BA0">
        <w:rPr>
          <w:rFonts w:ascii="Verdana" w:hAnsi="Verdana" w:eastAsia="Times New Roman" w:cs="Times New Roman"/>
          <w:sz w:val="18"/>
          <w:szCs w:val="18"/>
        </w:rPr>
        <w:t>wordt voorgelegd voor advies</w:t>
      </w:r>
      <w:r w:rsidRPr="004527B2" w:rsidR="00163F28">
        <w:rPr>
          <w:rFonts w:ascii="Verdana" w:hAnsi="Verdana" w:eastAsia="Times New Roman" w:cs="Times New Roman"/>
          <w:sz w:val="18"/>
          <w:szCs w:val="18"/>
        </w:rPr>
        <w:t>,</w:t>
      </w:r>
      <w:r w:rsidRPr="004527B2">
        <w:rPr>
          <w:rFonts w:ascii="Verdana" w:hAnsi="Verdana" w:eastAsia="Times New Roman" w:cs="Times New Roman"/>
          <w:sz w:val="18"/>
          <w:szCs w:val="18"/>
        </w:rPr>
        <w:t xml:space="preserve"> </w:t>
      </w:r>
      <w:r w:rsidRPr="004527B2" w:rsidR="00163F28">
        <w:rPr>
          <w:rFonts w:ascii="Verdana" w:hAnsi="Verdana" w:eastAsia="Times New Roman" w:cs="Times New Roman"/>
          <w:sz w:val="18"/>
          <w:szCs w:val="18"/>
        </w:rPr>
        <w:t>nog</w:t>
      </w:r>
      <w:r w:rsidR="00163F28">
        <w:rPr>
          <w:rFonts w:ascii="Verdana" w:hAnsi="Verdana" w:eastAsia="Times New Roman" w:cs="Times New Roman"/>
          <w:sz w:val="18"/>
          <w:szCs w:val="18"/>
        </w:rPr>
        <w:t xml:space="preserve"> geen </w:t>
      </w:r>
      <w:r w:rsidRPr="00E43A50" w:rsidR="00163F28">
        <w:rPr>
          <w:rFonts w:ascii="Verdana" w:hAnsi="Verdana" w:eastAsia="Times New Roman" w:cs="Times New Roman"/>
          <w:sz w:val="18"/>
          <w:szCs w:val="18"/>
        </w:rPr>
        <w:t xml:space="preserve">geharmoniseerde technische specificaties vastgesteld </w:t>
      </w:r>
      <w:r w:rsidRPr="00E43A50">
        <w:rPr>
          <w:rFonts w:ascii="Verdana" w:hAnsi="Verdana" w:eastAsia="Times New Roman" w:cs="Times New Roman"/>
          <w:sz w:val="18"/>
          <w:szCs w:val="18"/>
        </w:rPr>
        <w:t xml:space="preserve">voor inzage in de milieuprestatie van bouwproducten onder de Herziene Bouwproductenverordening. </w:t>
      </w:r>
      <w:r w:rsidR="00EA6183">
        <w:rPr>
          <w:rFonts w:ascii="Verdana" w:hAnsi="Verdana" w:eastAsia="Times New Roman" w:cs="Times New Roman"/>
          <w:sz w:val="18"/>
          <w:szCs w:val="18"/>
        </w:rPr>
        <w:t>Indien</w:t>
      </w:r>
      <w:r w:rsidRPr="00E43A50" w:rsidR="00836A31">
        <w:rPr>
          <w:rFonts w:ascii="Verdana" w:hAnsi="Verdana" w:eastAsia="Times New Roman" w:cs="Times New Roman"/>
          <w:sz w:val="18"/>
          <w:szCs w:val="18"/>
        </w:rPr>
        <w:t xml:space="preserve"> op termijn geharmoniseerde technische specificaties worden vastgesteld</w:t>
      </w:r>
      <w:r w:rsidR="00ED0260">
        <w:rPr>
          <w:rFonts w:ascii="Verdana" w:hAnsi="Verdana" w:eastAsia="Times New Roman" w:cs="Times New Roman"/>
          <w:sz w:val="18"/>
          <w:szCs w:val="18"/>
        </w:rPr>
        <w:t xml:space="preserve"> voor bouwproducten </w:t>
      </w:r>
      <w:r w:rsidR="008C248B">
        <w:rPr>
          <w:rFonts w:ascii="Verdana" w:hAnsi="Verdana" w:eastAsia="Times New Roman" w:cs="Times New Roman"/>
          <w:sz w:val="18"/>
          <w:szCs w:val="18"/>
        </w:rPr>
        <w:t>die onder de reikwijdte van dit wetsvoorstel vallen</w:t>
      </w:r>
      <w:r w:rsidRPr="00E43A50">
        <w:rPr>
          <w:rFonts w:ascii="Verdana" w:hAnsi="Verdana" w:eastAsia="Times New Roman" w:cs="Times New Roman"/>
          <w:sz w:val="18"/>
          <w:szCs w:val="18"/>
        </w:rPr>
        <w:t xml:space="preserve">, zal Nederland </w:t>
      </w:r>
      <w:r w:rsidR="00ED0260">
        <w:rPr>
          <w:rFonts w:ascii="Verdana" w:hAnsi="Verdana" w:eastAsia="Times New Roman" w:cs="Times New Roman"/>
          <w:sz w:val="18"/>
          <w:szCs w:val="18"/>
        </w:rPr>
        <w:t xml:space="preserve">indien nodig </w:t>
      </w:r>
      <w:r w:rsidR="008C248B">
        <w:rPr>
          <w:rFonts w:ascii="Verdana" w:hAnsi="Verdana" w:eastAsia="Times New Roman" w:cs="Times New Roman"/>
          <w:sz w:val="18"/>
          <w:szCs w:val="18"/>
        </w:rPr>
        <w:t>de</w:t>
      </w:r>
      <w:r w:rsidRPr="00E43A50" w:rsidR="004C6A05">
        <w:rPr>
          <w:rFonts w:ascii="Verdana" w:hAnsi="Verdana" w:eastAsia="Times New Roman" w:cs="Times New Roman"/>
          <w:sz w:val="18"/>
          <w:szCs w:val="18"/>
        </w:rPr>
        <w:t xml:space="preserve"> verplichte</w:t>
      </w:r>
      <w:r w:rsidRPr="00E43A50">
        <w:rPr>
          <w:rFonts w:ascii="Verdana" w:hAnsi="Verdana" w:eastAsia="Times New Roman" w:cs="Times New Roman"/>
          <w:sz w:val="18"/>
          <w:szCs w:val="18"/>
        </w:rPr>
        <w:t xml:space="preserve"> </w:t>
      </w:r>
      <w:r w:rsidRPr="00E43A50" w:rsidR="00E90140">
        <w:rPr>
          <w:rFonts w:ascii="Verdana" w:hAnsi="Verdana" w:eastAsia="Times New Roman" w:cs="Times New Roman"/>
          <w:sz w:val="18"/>
          <w:szCs w:val="18"/>
          <w:lang w:eastAsia="nl-NL"/>
        </w:rPr>
        <w:t>milieu</w:t>
      </w:r>
      <w:r w:rsidRPr="00E43A50">
        <w:rPr>
          <w:rFonts w:ascii="Verdana" w:hAnsi="Verdana" w:eastAsia="Times New Roman" w:cs="Times New Roman"/>
          <w:sz w:val="18"/>
          <w:szCs w:val="18"/>
        </w:rPr>
        <w:t>prestatie-eis</w:t>
      </w:r>
      <w:r w:rsidR="00ED0260">
        <w:rPr>
          <w:rFonts w:ascii="Verdana" w:hAnsi="Verdana" w:eastAsia="Times New Roman" w:cs="Times New Roman"/>
          <w:sz w:val="18"/>
          <w:szCs w:val="18"/>
        </w:rPr>
        <w:t xml:space="preserve">en </w:t>
      </w:r>
      <w:r w:rsidRPr="00E43A50">
        <w:rPr>
          <w:rFonts w:ascii="Verdana" w:hAnsi="Verdana" w:eastAsia="Times New Roman" w:cs="Times New Roman"/>
          <w:sz w:val="18"/>
          <w:szCs w:val="18"/>
        </w:rPr>
        <w:t xml:space="preserve">hierop aanpassen. </w:t>
      </w:r>
      <w:r w:rsidR="008140AE">
        <w:rPr>
          <w:rFonts w:ascii="Verdana" w:hAnsi="Verdana" w:eastAsia="Times New Roman" w:cs="Times New Roman"/>
          <w:sz w:val="18"/>
          <w:szCs w:val="18"/>
        </w:rPr>
        <w:t>Wanneer hier meer informatie over beschikbaar is, zal d</w:t>
      </w:r>
      <w:r w:rsidR="00A17DF9">
        <w:rPr>
          <w:rFonts w:ascii="Verdana" w:hAnsi="Verdana" w:eastAsia="Times New Roman" w:cs="Times New Roman"/>
          <w:sz w:val="18"/>
          <w:szCs w:val="18"/>
        </w:rPr>
        <w:t>eze beschikbaar</w:t>
      </w:r>
      <w:r w:rsidR="008140AE">
        <w:rPr>
          <w:rFonts w:ascii="Verdana" w:hAnsi="Verdana" w:eastAsia="Times New Roman" w:cs="Times New Roman"/>
          <w:sz w:val="18"/>
          <w:szCs w:val="18"/>
        </w:rPr>
        <w:t xml:space="preserve"> worden </w:t>
      </w:r>
      <w:r w:rsidR="00A17DF9">
        <w:rPr>
          <w:rFonts w:ascii="Verdana" w:hAnsi="Verdana" w:eastAsia="Times New Roman" w:cs="Times New Roman"/>
          <w:sz w:val="18"/>
          <w:szCs w:val="18"/>
        </w:rPr>
        <w:t>gesteld via de website van de Rijksoverheid</w:t>
      </w:r>
      <w:r w:rsidR="008140AE">
        <w:rPr>
          <w:rFonts w:ascii="Verdana" w:hAnsi="Verdana" w:eastAsia="Times New Roman" w:cs="Times New Roman"/>
          <w:sz w:val="18"/>
          <w:szCs w:val="18"/>
        </w:rPr>
        <w:t xml:space="preserve">. </w:t>
      </w:r>
    </w:p>
    <w:p w:rsidRPr="00E43A50" w:rsidR="00D63CC6" w:rsidP="00643E93" w:rsidRDefault="00D63CC6" w14:paraId="7C101EB2" w14:textId="77777777">
      <w:pPr>
        <w:spacing w:after="0" w:line="276" w:lineRule="auto"/>
        <w:rPr>
          <w:rFonts w:ascii="Verdana" w:hAnsi="Verdana" w:eastAsia="Times New Roman" w:cs="Times New Roman"/>
          <w:sz w:val="18"/>
          <w:szCs w:val="18"/>
        </w:rPr>
      </w:pPr>
    </w:p>
    <w:p w:rsidRPr="00E43A50" w:rsidR="00836A31" w:rsidP="00643E93" w:rsidRDefault="008C248B" w14:paraId="6BF50E97" w14:textId="2D546B6D">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 xml:space="preserve">Tot slot past </w:t>
      </w:r>
      <w:r w:rsidDel="008C248B" w:rsidR="00ED0260">
        <w:rPr>
          <w:rFonts w:ascii="Verdana" w:hAnsi="Verdana" w:eastAsia="Times New Roman" w:cs="Times New Roman"/>
          <w:sz w:val="18"/>
          <w:szCs w:val="18"/>
        </w:rPr>
        <w:t>d</w:t>
      </w:r>
      <w:r w:rsidR="00ED0260">
        <w:rPr>
          <w:rFonts w:ascii="Verdana" w:hAnsi="Verdana" w:eastAsia="Times New Roman" w:cs="Times New Roman"/>
          <w:sz w:val="18"/>
          <w:szCs w:val="18"/>
        </w:rPr>
        <w:t>it</w:t>
      </w:r>
      <w:r w:rsidRPr="00E43A50" w:rsidR="00D63CC6">
        <w:rPr>
          <w:rFonts w:ascii="Verdana" w:hAnsi="Verdana" w:eastAsia="Times New Roman" w:cs="Times New Roman"/>
          <w:sz w:val="18"/>
          <w:szCs w:val="18"/>
        </w:rPr>
        <w:t xml:space="preserve"> wetsvoorstel binnen de beweging die op Europees niveau plaatsvindt, maar is </w:t>
      </w:r>
      <w:r w:rsidRPr="00E43A50">
        <w:rPr>
          <w:rFonts w:ascii="Verdana" w:hAnsi="Verdana" w:eastAsia="Times New Roman" w:cs="Times New Roman"/>
          <w:sz w:val="18"/>
          <w:szCs w:val="18"/>
        </w:rPr>
        <w:t xml:space="preserve">er </w:t>
      </w:r>
      <w:r w:rsidRPr="00E43A50" w:rsidR="00D63CC6">
        <w:rPr>
          <w:rFonts w:ascii="Verdana" w:hAnsi="Verdana" w:eastAsia="Times New Roman" w:cs="Times New Roman"/>
          <w:sz w:val="18"/>
          <w:szCs w:val="18"/>
        </w:rPr>
        <w:t xml:space="preserve">geen sprake van een nationale kop. </w:t>
      </w:r>
      <w:r w:rsidRPr="00E43A50" w:rsidR="00836A31">
        <w:rPr>
          <w:rFonts w:ascii="Verdana" w:hAnsi="Verdana" w:eastAsia="Times New Roman" w:cs="Times New Roman"/>
          <w:sz w:val="18"/>
          <w:szCs w:val="18"/>
        </w:rPr>
        <w:t xml:space="preserve">Om van een nationale kop </w:t>
      </w:r>
      <w:r w:rsidR="00ED0260">
        <w:rPr>
          <w:rFonts w:ascii="Verdana" w:hAnsi="Verdana" w:eastAsia="Times New Roman" w:cs="Times New Roman"/>
          <w:sz w:val="18"/>
          <w:szCs w:val="18"/>
        </w:rPr>
        <w:t xml:space="preserve">in technische zin </w:t>
      </w:r>
      <w:r w:rsidRPr="00E43A50" w:rsidR="00836A31">
        <w:rPr>
          <w:rFonts w:ascii="Verdana" w:hAnsi="Verdana" w:eastAsia="Times New Roman" w:cs="Times New Roman"/>
          <w:sz w:val="18"/>
          <w:szCs w:val="18"/>
        </w:rPr>
        <w:t xml:space="preserve">te kunnen spreken, moet aan twee voorwaarden zijn voldaan. Er moet sprake zijn van een concurrentienadeel voor het NL-bedrijfsleven, en het moet gaan om NL-regelgeving die verder gaat dan waartoe een </w:t>
      </w:r>
      <w:r w:rsidRPr="005B4CB1" w:rsidR="00836A31">
        <w:rPr>
          <w:rFonts w:ascii="Verdana" w:hAnsi="Verdana" w:eastAsia="Times New Roman" w:cs="Times New Roman"/>
          <w:sz w:val="18"/>
          <w:szCs w:val="18"/>
        </w:rPr>
        <w:t>EU-richtlijn</w:t>
      </w:r>
      <w:r w:rsidRPr="00E43A50" w:rsidR="00836A31">
        <w:rPr>
          <w:rFonts w:ascii="Verdana" w:hAnsi="Verdana" w:eastAsia="Times New Roman" w:cs="Times New Roman"/>
          <w:sz w:val="18"/>
          <w:szCs w:val="18"/>
        </w:rPr>
        <w:t xml:space="preserve"> verplicht, </w:t>
      </w:r>
      <w:r w:rsidRPr="005B4CB1" w:rsidR="00836A31">
        <w:rPr>
          <w:rFonts w:ascii="Verdana" w:hAnsi="Verdana" w:eastAsia="Times New Roman" w:cs="Times New Roman"/>
          <w:sz w:val="18"/>
          <w:szCs w:val="18"/>
        </w:rPr>
        <w:t>die precies dezelfde materie regelt</w:t>
      </w:r>
      <w:r w:rsidRPr="00E43A50" w:rsidR="00836A31">
        <w:rPr>
          <w:rFonts w:ascii="Verdana" w:hAnsi="Verdana" w:eastAsia="Times New Roman" w:cs="Times New Roman"/>
          <w:sz w:val="18"/>
          <w:szCs w:val="18"/>
        </w:rPr>
        <w:t xml:space="preserve"> én nadelige gevolgen heeft voor het rechtstreeks door de richtlijn geadresseerde NL bedrijfsleven.</w:t>
      </w:r>
      <w:r w:rsidR="00D60C76">
        <w:rPr>
          <w:rFonts w:ascii="Verdana" w:hAnsi="Verdana" w:eastAsia="Times New Roman" w:cs="Times New Roman"/>
          <w:sz w:val="18"/>
          <w:szCs w:val="18"/>
        </w:rPr>
        <w:t xml:space="preserve"> </w:t>
      </w:r>
      <w:r w:rsidRPr="00E43A50" w:rsidR="00836A31">
        <w:rPr>
          <w:rFonts w:ascii="Verdana" w:hAnsi="Verdana" w:eastAsia="Times New Roman" w:cs="Times New Roman"/>
          <w:sz w:val="18"/>
          <w:szCs w:val="18"/>
        </w:rPr>
        <w:t xml:space="preserve">Omdat het wetsvoorstel gaat om aanbestedingscriteria en iedere marktpartij onder dezelfde voorwaarden kan meedoen, zoals nader toegelicht in paragraaf 4.2. van dit wetsvoorstel, </w:t>
      </w:r>
      <w:r w:rsidR="00ED0260">
        <w:rPr>
          <w:rFonts w:ascii="Verdana" w:hAnsi="Verdana" w:eastAsia="Times New Roman" w:cs="Times New Roman"/>
          <w:sz w:val="18"/>
          <w:szCs w:val="18"/>
        </w:rPr>
        <w:t>wordt niet aan de eerste voorwaarde voldaan</w:t>
      </w:r>
      <w:r w:rsidRPr="00E43A50" w:rsidR="00836A31">
        <w:rPr>
          <w:rFonts w:ascii="Verdana" w:hAnsi="Verdana" w:eastAsia="Times New Roman" w:cs="Times New Roman"/>
          <w:sz w:val="18"/>
          <w:szCs w:val="18"/>
        </w:rPr>
        <w:t>. Daarbij zijn uniforme aanbestedingsvoorwaarden de wens van geconsulteerde marktpartijen, aanbestedende diensten en speciale</w:t>
      </w:r>
      <w:r w:rsidR="005B5C55">
        <w:rPr>
          <w:rFonts w:ascii="Verdana" w:hAnsi="Verdana" w:eastAsia="Times New Roman" w:cs="Times New Roman"/>
          <w:sz w:val="18"/>
          <w:szCs w:val="18"/>
        </w:rPr>
        <w:t>-</w:t>
      </w:r>
      <w:r w:rsidRPr="00E43A50" w:rsidR="00836A31">
        <w:rPr>
          <w:rFonts w:ascii="Verdana" w:hAnsi="Verdana" w:eastAsia="Times New Roman" w:cs="Times New Roman"/>
          <w:sz w:val="18"/>
          <w:szCs w:val="18"/>
        </w:rPr>
        <w:t xml:space="preserve">sectorbedrijven, omdat zij momenteel met verschillende aanbestedingsvoorwaarden geconfronteerd worden. </w:t>
      </w:r>
      <w:r w:rsidRPr="00E43A50" w:rsidR="00836A31">
        <w:rPr>
          <w:rFonts w:ascii="Verdana" w:hAnsi="Verdana" w:eastAsia="Times New Roman" w:cs="Times New Roman"/>
          <w:sz w:val="18"/>
          <w:szCs w:val="18"/>
        </w:rPr>
        <w:lastRenderedPageBreak/>
        <w:t>Daarmee wordt ook niet aan de tweede voorwaarde voldaan. Omdat er met voorliggend wetsvoorstel</w:t>
      </w:r>
      <w:r>
        <w:rPr>
          <w:rFonts w:ascii="Verdana" w:hAnsi="Verdana" w:eastAsia="Times New Roman" w:cs="Times New Roman"/>
          <w:sz w:val="18"/>
          <w:szCs w:val="18"/>
        </w:rPr>
        <w:t xml:space="preserve"> voor alsnog</w:t>
      </w:r>
      <w:r w:rsidRPr="00E43A50" w:rsidR="00836A31">
        <w:rPr>
          <w:rFonts w:ascii="Verdana" w:hAnsi="Verdana" w:eastAsia="Times New Roman" w:cs="Times New Roman"/>
          <w:sz w:val="18"/>
          <w:szCs w:val="18"/>
        </w:rPr>
        <w:t xml:space="preserve"> geen strengere eisen worden gesteld aan alle bouwproducten in Nederlandse regelgeving, maar enkel aanbestedende diensten verplicht</w:t>
      </w:r>
      <w:r w:rsidRPr="00E43A50" w:rsidR="00D63CC6">
        <w:rPr>
          <w:rFonts w:ascii="Verdana" w:hAnsi="Verdana" w:eastAsia="Times New Roman" w:cs="Times New Roman"/>
          <w:sz w:val="18"/>
          <w:szCs w:val="18"/>
        </w:rPr>
        <w:t xml:space="preserve"> </w:t>
      </w:r>
      <w:r w:rsidRPr="00E43A50" w:rsidR="00836A31">
        <w:rPr>
          <w:rFonts w:ascii="Verdana" w:hAnsi="Verdana" w:eastAsia="Times New Roman" w:cs="Times New Roman"/>
          <w:sz w:val="18"/>
          <w:szCs w:val="18"/>
        </w:rPr>
        <w:t xml:space="preserve">milieuprestatie-eisen te stellen </w:t>
      </w:r>
      <w:r w:rsidR="000D33D1">
        <w:rPr>
          <w:rFonts w:ascii="Verdana" w:hAnsi="Verdana" w:eastAsia="Times New Roman" w:cs="Times New Roman"/>
          <w:sz w:val="18"/>
          <w:szCs w:val="18"/>
        </w:rPr>
        <w:t xml:space="preserve">aan de meest impactvolle materialen in de GWW </w:t>
      </w:r>
      <w:r w:rsidRPr="00E43A50" w:rsidR="00836A31">
        <w:rPr>
          <w:rFonts w:ascii="Verdana" w:hAnsi="Verdana" w:eastAsia="Times New Roman" w:cs="Times New Roman"/>
          <w:sz w:val="18"/>
          <w:szCs w:val="18"/>
        </w:rPr>
        <w:t xml:space="preserve">bij de aanbesteding van GWW-werken, doet de Europese Bouwproductenverordening hier niets aan af. </w:t>
      </w:r>
    </w:p>
    <w:p w:rsidRPr="005B4CB1" w:rsidR="004F0533" w:rsidP="00643E93" w:rsidRDefault="004F0533" w14:paraId="606C6C4E" w14:textId="77777777">
      <w:pPr>
        <w:spacing w:after="0" w:line="276" w:lineRule="auto"/>
        <w:rPr>
          <w:rFonts w:ascii="Verdana" w:hAnsi="Verdana" w:eastAsia="Times New Roman" w:cs="Times New Roman"/>
          <w:sz w:val="21"/>
          <w:szCs w:val="21"/>
        </w:rPr>
      </w:pPr>
    </w:p>
    <w:p w:rsidRPr="00E43A50" w:rsidR="004F0533" w:rsidP="00643E93" w:rsidRDefault="004F0533" w14:paraId="3A83C8DF" w14:textId="0ABF263B">
      <w:pPr>
        <w:pStyle w:val="Kop4"/>
        <w:numPr>
          <w:ilvl w:val="1"/>
          <w:numId w:val="24"/>
        </w:numPr>
        <w:spacing w:line="276" w:lineRule="auto"/>
      </w:pPr>
      <w:bookmarkStart w:name="_Toc195040756" w:id="29"/>
      <w:r w:rsidRPr="00E43A50">
        <w:t>Waarborging vrij verkeer van goederen</w:t>
      </w:r>
      <w:bookmarkEnd w:id="29"/>
      <w:r w:rsidR="0048787E">
        <w:t xml:space="preserve"> en diensten</w:t>
      </w:r>
    </w:p>
    <w:p w:rsidR="008B4F71" w:rsidP="00643E93" w:rsidRDefault="004F0533" w14:paraId="48AF610F" w14:textId="78E8BD75">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Dit </w:t>
      </w:r>
      <w:r w:rsidRPr="00E43A50" w:rsidR="000A0B71">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is zorgvuldig opgesteld met het oog op het waarborgen van het vrije verkeer van goederen </w:t>
      </w:r>
      <w:r w:rsidR="0048787E">
        <w:rPr>
          <w:rFonts w:ascii="Verdana" w:hAnsi="Verdana" w:eastAsia="Times New Roman" w:cs="Times New Roman"/>
          <w:sz w:val="18"/>
          <w:szCs w:val="18"/>
        </w:rPr>
        <w:t xml:space="preserve">en diensten </w:t>
      </w:r>
      <w:r w:rsidRPr="00E43A50">
        <w:rPr>
          <w:rFonts w:ascii="Verdana" w:hAnsi="Verdana" w:eastAsia="Times New Roman" w:cs="Times New Roman"/>
          <w:sz w:val="18"/>
          <w:szCs w:val="18"/>
        </w:rPr>
        <w:t>binnen de Europese Unie</w:t>
      </w:r>
      <w:r w:rsidR="00314F5C">
        <w:rPr>
          <w:rFonts w:ascii="Verdana" w:hAnsi="Verdana" w:eastAsia="Times New Roman" w:cs="Times New Roman"/>
          <w:sz w:val="18"/>
          <w:szCs w:val="18"/>
        </w:rPr>
        <w:t xml:space="preserve">. </w:t>
      </w:r>
      <w:r w:rsidRPr="00E43A50" w:rsidR="00804DF7">
        <w:rPr>
          <w:rFonts w:ascii="Verdana" w:hAnsi="Verdana" w:eastAsia="Times New Roman" w:cs="Times New Roman"/>
          <w:sz w:val="18"/>
          <w:szCs w:val="18"/>
        </w:rPr>
        <w:t>De verplichtingen in dit wetsvoorstel gelden als objectieve, niet-discriminerende voorwaarde</w:t>
      </w:r>
      <w:r w:rsidR="00BA32F6">
        <w:rPr>
          <w:rFonts w:ascii="Verdana" w:hAnsi="Verdana" w:eastAsia="Times New Roman" w:cs="Times New Roman"/>
          <w:sz w:val="18"/>
          <w:szCs w:val="18"/>
        </w:rPr>
        <w:t>n</w:t>
      </w:r>
      <w:r w:rsidRPr="00E43A50" w:rsidR="00804DF7">
        <w:rPr>
          <w:rFonts w:ascii="Verdana" w:hAnsi="Verdana" w:eastAsia="Times New Roman" w:cs="Times New Roman"/>
          <w:sz w:val="18"/>
          <w:szCs w:val="18"/>
        </w:rPr>
        <w:t xml:space="preserve"> die geld</w:t>
      </w:r>
      <w:r w:rsidR="00AC5FE5">
        <w:rPr>
          <w:rFonts w:ascii="Verdana" w:hAnsi="Verdana" w:eastAsia="Times New Roman" w:cs="Times New Roman"/>
          <w:sz w:val="18"/>
          <w:szCs w:val="18"/>
        </w:rPr>
        <w:t>en</w:t>
      </w:r>
      <w:r w:rsidRPr="00E43A50" w:rsidR="00804DF7">
        <w:rPr>
          <w:rFonts w:ascii="Verdana" w:hAnsi="Verdana" w:eastAsia="Times New Roman" w:cs="Times New Roman"/>
          <w:sz w:val="18"/>
          <w:szCs w:val="18"/>
        </w:rPr>
        <w:t xml:space="preserve"> binnen het kader van aanbestedingsopdrachten. </w:t>
      </w:r>
    </w:p>
    <w:p w:rsidRPr="00314F5C" w:rsidR="00314F5C" w:rsidP="00CC39C4" w:rsidRDefault="00314F5C" w14:paraId="2C0DEC16" w14:textId="13B92220">
      <w:pPr>
        <w:rPr>
          <w:rFonts w:ascii="Verdana" w:hAnsi="Verdana" w:eastAsia="Times New Roman" w:cs="Times New Roman"/>
          <w:sz w:val="18"/>
          <w:szCs w:val="18"/>
        </w:rPr>
      </w:pPr>
      <w:r w:rsidRPr="00314F5C">
        <w:rPr>
          <w:rFonts w:ascii="Verdana" w:hAnsi="Verdana" w:eastAsia="Times New Roman" w:cs="Times New Roman"/>
          <w:sz w:val="18"/>
          <w:szCs w:val="18"/>
        </w:rPr>
        <w:t>Dit wetsvoorstel vormt geen belemmering voor dienstverleners uit andere lidstaten om in Nederland diensten te verrichten of om zich hier te vestigen. Bovendien is in de Aanbestedingswet 2012 het gelijkheidsbeginsel gewaarborgd</w:t>
      </w:r>
      <w:r w:rsidR="004527B2">
        <w:rPr>
          <w:rFonts w:ascii="Verdana" w:hAnsi="Verdana" w:eastAsia="Times New Roman" w:cs="Times New Roman"/>
          <w:sz w:val="18"/>
          <w:szCs w:val="18"/>
        </w:rPr>
        <w:t xml:space="preserve"> en dat beginsel</w:t>
      </w:r>
      <w:r w:rsidRPr="00314F5C">
        <w:rPr>
          <w:rFonts w:ascii="Verdana" w:hAnsi="Verdana" w:eastAsia="Times New Roman" w:cs="Times New Roman"/>
          <w:sz w:val="18"/>
          <w:szCs w:val="18"/>
        </w:rPr>
        <w:t xml:space="preserve"> is onverkort van toepassing op de aanbesteding van GWW-werken. Daarnaast wordt geborgd dat de milieuprestatie-eisen die met dit wetsvoorstel en in lagere regelgeving worden geïntroduceerd in aanbestedingen van GWW-werken, goed kenbaar zijn voor dienstverleners uit andere lidstaten die op de aanbesteding willen inschrijven. De milieuprestatie-eisen en het MKI-criterium moeten door</w:t>
      </w:r>
      <w:r>
        <w:rPr>
          <w:rFonts w:ascii="Verdana" w:hAnsi="Verdana" w:eastAsia="Times New Roman" w:cs="Times New Roman"/>
          <w:sz w:val="18"/>
          <w:szCs w:val="18"/>
        </w:rPr>
        <w:t xml:space="preserve"> opdrachtgevers</w:t>
      </w:r>
      <w:r w:rsidRPr="00314F5C">
        <w:rPr>
          <w:rFonts w:ascii="Verdana" w:hAnsi="Verdana" w:eastAsia="Times New Roman" w:cs="Times New Roman"/>
          <w:sz w:val="18"/>
          <w:szCs w:val="18"/>
        </w:rPr>
        <w:t xml:space="preserve"> als technische specificatie en / of nader criterium worden opgenomen in de aanbestedingstukken waarmee een aanbesteding wordt uitgezet. In deze aanbestedingstukken beschrijft de </w:t>
      </w:r>
      <w:r>
        <w:rPr>
          <w:rFonts w:ascii="Verdana" w:hAnsi="Verdana" w:eastAsia="Times New Roman" w:cs="Times New Roman"/>
          <w:sz w:val="18"/>
          <w:szCs w:val="18"/>
        </w:rPr>
        <w:t>opdrachtgever</w:t>
      </w:r>
      <w:r w:rsidRPr="00314F5C">
        <w:rPr>
          <w:rFonts w:ascii="Verdana" w:hAnsi="Verdana" w:eastAsia="Times New Roman" w:cs="Times New Roman"/>
          <w:sz w:val="18"/>
          <w:szCs w:val="18"/>
        </w:rPr>
        <w:t xml:space="preserve"> wat de nadere criteria zijn en aan welke technische specificaties de inschrijving moet voldoen. De aanbestedingstukken bevatten dus een uitleg over de manier waarop inschrijvers de milieuprestatienormen moeten meenemen in hun inschrijving. </w:t>
      </w:r>
      <w:r w:rsidRPr="006130E0" w:rsidR="00854B18">
        <w:rPr>
          <w:rFonts w:ascii="Verdana" w:hAnsi="Verdana" w:eastAsia="Times New Roman" w:cs="Times New Roman"/>
          <w:sz w:val="18"/>
          <w:szCs w:val="18"/>
        </w:rPr>
        <w:t>Het</w:t>
      </w:r>
      <w:r w:rsidR="00854B18">
        <w:rPr>
          <w:rFonts w:ascii="Verdana" w:hAnsi="Verdana" w:eastAsia="Times New Roman" w:cs="Times New Roman"/>
          <w:sz w:val="18"/>
          <w:szCs w:val="18"/>
        </w:rPr>
        <w:t xml:space="preserve"> beginsel van het</w:t>
      </w:r>
      <w:r w:rsidRPr="006130E0" w:rsidR="00854B18">
        <w:rPr>
          <w:rFonts w:ascii="Verdana" w:hAnsi="Verdana" w:eastAsia="Times New Roman" w:cs="Times New Roman"/>
          <w:sz w:val="18"/>
          <w:szCs w:val="18"/>
        </w:rPr>
        <w:t xml:space="preserve"> vrij verkeer van diensten is nader uitgewerkt in de Dienstenrichtlijn. De voorgestelde maatregelen in dit wetsvoorstel vallen niet onder de reikwijdte van de Dienstenrichtlijn omdat dit wetsvoorstel geen eisen stelt aan de toegang tot of de uitoefening van die diensten. </w:t>
      </w:r>
    </w:p>
    <w:p w:rsidR="00A669B0" w:rsidP="00643E93" w:rsidRDefault="00804DF7" w14:paraId="33AC0FE8" w14:textId="405ED967">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De voorgeschreven milieuprestatie-eisen zijn </w:t>
      </w:r>
      <w:r w:rsidRPr="005B4CB1">
        <w:rPr>
          <w:rFonts w:ascii="Verdana" w:hAnsi="Verdana" w:eastAsia="Times New Roman" w:cs="Times New Roman"/>
          <w:sz w:val="18"/>
          <w:szCs w:val="18"/>
        </w:rPr>
        <w:t>toegankelijk voor alle marktdeelnemers</w:t>
      </w:r>
      <w:r w:rsidRPr="00E43A50">
        <w:rPr>
          <w:rFonts w:ascii="Verdana" w:hAnsi="Verdana" w:eastAsia="Times New Roman" w:cs="Times New Roman"/>
          <w:sz w:val="18"/>
          <w:szCs w:val="18"/>
        </w:rPr>
        <w:t>, ongeacht hun lidstaat van vestiging.</w:t>
      </w:r>
      <w:r w:rsidRPr="00E43A50" w:rsidR="00A669B0">
        <w:rPr>
          <w:rFonts w:ascii="Verdana" w:hAnsi="Verdana" w:eastAsia="Times New Roman" w:cs="Times New Roman"/>
          <w:sz w:val="18"/>
          <w:szCs w:val="18"/>
        </w:rPr>
        <w:t xml:space="preserve"> </w:t>
      </w:r>
      <w:r w:rsidRPr="00A669B0" w:rsidR="00A669B0">
        <w:rPr>
          <w:rFonts w:ascii="Verdana" w:hAnsi="Verdana" w:eastAsia="Times New Roman" w:cs="Times New Roman"/>
          <w:sz w:val="18"/>
          <w:szCs w:val="18"/>
        </w:rPr>
        <w:t>Bij Europese aanbestedingen worden de aanbestedingstukken gepubliceerd in het Publicatieblad van de Europese Unie (Tenders Electronic Daily) in alle 24 officiële talen van de Europese Unie. Op deze manier is voor alle potentiële inschrijvers (binnenlands en buitenlands) duidelijk welke milieuprestatienormen in de aanbesteding worden gehanteerd. Tijdens de beoordeling van de inschrijvingen, worden in het buitenland gevestigde inschrijvers gelijk behandeld als binnenlandse inschrijvers. Dit wordt gewaarborgd door het gelijkheidsbeginsel dat onder andere is vastgelegd in de Aanbestedingswet 2012 en dat onverkort van toepassing is op de aanbesteding van GWW-werken.</w:t>
      </w:r>
    </w:p>
    <w:p w:rsidR="00A669B0" w:rsidP="00643E93" w:rsidRDefault="00804DF7" w14:paraId="792E6C9A" w14:textId="74505C66">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De </w:t>
      </w:r>
      <w:r w:rsidR="00A669B0">
        <w:rPr>
          <w:rFonts w:ascii="Verdana" w:hAnsi="Verdana" w:eastAsia="Times New Roman" w:cs="Times New Roman"/>
          <w:sz w:val="18"/>
          <w:szCs w:val="18"/>
        </w:rPr>
        <w:t>maatregelen uit dit wetsvoorstel zijn</w:t>
      </w:r>
      <w:r w:rsidRPr="00E43A50">
        <w:rPr>
          <w:rFonts w:ascii="Verdana" w:hAnsi="Verdana" w:eastAsia="Times New Roman" w:cs="Times New Roman"/>
          <w:sz w:val="18"/>
          <w:szCs w:val="18"/>
        </w:rPr>
        <w:t xml:space="preserve"> bovendien gericht op het behalen van legitieme doelstellingen van algemeen belang, met name het bevorderen van duurzaamheid en het reduceren van de milieubelasting in de bouwsector, in overeenstemming met het Klimaatakkoord en Europese Green Deal-doelstellingen.</w:t>
      </w:r>
      <w:r w:rsidR="00A669B0">
        <w:rPr>
          <w:rFonts w:ascii="Verdana" w:hAnsi="Verdana" w:eastAsia="Times New Roman" w:cs="Times New Roman"/>
          <w:sz w:val="18"/>
          <w:szCs w:val="18"/>
        </w:rPr>
        <w:t xml:space="preserve"> </w:t>
      </w:r>
      <w:r w:rsidR="00314F5C">
        <w:rPr>
          <w:rFonts w:ascii="Verdana" w:hAnsi="Verdana" w:eastAsia="Times New Roman" w:cs="Times New Roman"/>
          <w:sz w:val="18"/>
          <w:szCs w:val="18"/>
        </w:rPr>
        <w:t>D</w:t>
      </w:r>
      <w:r w:rsidRPr="00E43A50">
        <w:rPr>
          <w:rFonts w:ascii="Verdana" w:hAnsi="Verdana" w:eastAsia="Times New Roman" w:cs="Times New Roman"/>
          <w:sz w:val="18"/>
          <w:szCs w:val="18"/>
        </w:rPr>
        <w:t xml:space="preserve">aarbij wordt </w:t>
      </w:r>
      <w:r w:rsidR="008B4F71">
        <w:rPr>
          <w:rFonts w:ascii="Verdana" w:hAnsi="Verdana" w:eastAsia="Times New Roman" w:cs="Times New Roman"/>
          <w:sz w:val="18"/>
          <w:szCs w:val="18"/>
        </w:rPr>
        <w:t>bij de uitwerking in de lagere regelgeving</w:t>
      </w:r>
      <w:r w:rsidRPr="00E43A50" w:rsidR="00D63CC6">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gewaarborgd dat de eisen op objectieve en proportionele wijze worden vastgesteld, </w:t>
      </w:r>
      <w:r w:rsidRPr="00E43A50" w:rsidR="00D63CC6">
        <w:rPr>
          <w:rFonts w:ascii="Verdana" w:hAnsi="Verdana" w:eastAsia="Times New Roman" w:cs="Times New Roman"/>
          <w:sz w:val="18"/>
          <w:szCs w:val="18"/>
        </w:rPr>
        <w:t>bijvoorbeeld</w:t>
      </w:r>
      <w:r w:rsidRPr="00E43A50">
        <w:rPr>
          <w:rFonts w:ascii="Verdana" w:hAnsi="Verdana" w:eastAsia="Times New Roman" w:cs="Times New Roman"/>
          <w:sz w:val="18"/>
          <w:szCs w:val="18"/>
        </w:rPr>
        <w:t xml:space="preserve"> door het gebruik van Europees erkende bepalingsmethoden en normen, zoals de methode voor het bepalen van de milieuprestatie van bouwwerken en GWW-werken, gebaseerd op </w:t>
      </w:r>
      <w:r w:rsidRPr="00E43A50" w:rsidR="00D63CC6">
        <w:rPr>
          <w:rFonts w:ascii="Verdana" w:hAnsi="Verdana" w:eastAsia="Times New Roman" w:cs="Times New Roman"/>
          <w:sz w:val="18"/>
          <w:szCs w:val="18"/>
        </w:rPr>
        <w:t xml:space="preserve">een </w:t>
      </w:r>
      <w:r w:rsidRPr="00E43A50">
        <w:rPr>
          <w:rFonts w:ascii="Verdana" w:hAnsi="Verdana" w:eastAsia="Times New Roman" w:cs="Times New Roman"/>
          <w:sz w:val="18"/>
          <w:szCs w:val="18"/>
        </w:rPr>
        <w:t xml:space="preserve">levenscyclusanalyse (LCA). </w:t>
      </w:r>
    </w:p>
    <w:p w:rsidRPr="00E43A50" w:rsidR="005B38F9" w:rsidP="00643E93" w:rsidRDefault="00804DF7" w14:paraId="47B29128" w14:textId="5012B81F">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lastRenderedPageBreak/>
        <w:t>Er is aldus geen sprake van een vorm van indirecte discriminatie of een onevenredige beperking van het vrije verkeer, maar van een beleidsmaatregel die binnen het aanbestedingsrechtelijk kader past en verenigbaar is met het Unierecht. De verplichtingen zorgen ervoor dat marktpartijen met meer uniforme aanbestedingsvoorwaarden te maken krijgen</w:t>
      </w:r>
      <w:r w:rsidRPr="00E43A50" w:rsidR="007B1DC3">
        <w:rPr>
          <w:rFonts w:ascii="Verdana" w:hAnsi="Verdana" w:eastAsia="Times New Roman" w:cs="Times New Roman"/>
          <w:sz w:val="18"/>
          <w:szCs w:val="18"/>
        </w:rPr>
        <w:t>, i</w:t>
      </w:r>
      <w:r w:rsidRPr="00E43A50">
        <w:rPr>
          <w:rFonts w:ascii="Verdana" w:hAnsi="Verdana" w:eastAsia="Times New Roman" w:cs="Times New Roman"/>
          <w:sz w:val="18"/>
          <w:szCs w:val="18"/>
        </w:rPr>
        <w:t xml:space="preserve">n plaats </w:t>
      </w:r>
      <w:r w:rsidRPr="00E43A50" w:rsidR="007B1DC3">
        <w:rPr>
          <w:rFonts w:ascii="Verdana" w:hAnsi="Verdana" w:eastAsia="Times New Roman" w:cs="Times New Roman"/>
          <w:sz w:val="18"/>
          <w:szCs w:val="18"/>
        </w:rPr>
        <w:t>v</w:t>
      </w:r>
      <w:r w:rsidRPr="00E43A50">
        <w:rPr>
          <w:rFonts w:ascii="Verdana" w:hAnsi="Verdana" w:eastAsia="Times New Roman" w:cs="Times New Roman"/>
          <w:sz w:val="18"/>
          <w:szCs w:val="18"/>
        </w:rPr>
        <w:t>an</w:t>
      </w:r>
      <w:r w:rsidRPr="00E43A50" w:rsidR="007B1DC3">
        <w:rPr>
          <w:rFonts w:ascii="Verdana" w:hAnsi="Verdana" w:eastAsia="Times New Roman" w:cs="Times New Roman"/>
          <w:sz w:val="18"/>
          <w:szCs w:val="18"/>
        </w:rPr>
        <w:t xml:space="preserve"> steeds met verschillende aanbestedingsvoorwaarden geconfronteerd te worden.</w:t>
      </w:r>
    </w:p>
    <w:p w:rsidRPr="00E43A50" w:rsidR="004F0533" w:rsidP="00643E93" w:rsidRDefault="00A9280D" w14:paraId="4F144345" w14:textId="725CD4F7">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Ter verdere waarborging dat het wetsvoorstel geen ongerechtvaardigde belemmeringen voor het vrije verkeer binnen de interne markt oplevert en niet in strijd komt met bestaande EU-regelgeving, </w:t>
      </w:r>
      <w:r w:rsidR="00314F5C">
        <w:rPr>
          <w:rFonts w:ascii="Verdana" w:hAnsi="Verdana" w:eastAsia="Times New Roman" w:cs="Times New Roman"/>
          <w:sz w:val="18"/>
          <w:szCs w:val="18"/>
        </w:rPr>
        <w:t xml:space="preserve">is </w:t>
      </w:r>
      <w:r w:rsidRPr="00E43A50">
        <w:rPr>
          <w:rFonts w:ascii="Verdana" w:hAnsi="Verdana" w:eastAsia="Times New Roman" w:cs="Times New Roman"/>
          <w:sz w:val="18"/>
          <w:szCs w:val="18"/>
        </w:rPr>
        <w:t xml:space="preserve">het wetsvoorstel technisch genotificeerd </w:t>
      </w:r>
      <w:r w:rsidR="005F65B0">
        <w:rPr>
          <w:rFonts w:ascii="Verdana" w:hAnsi="Verdana" w:eastAsia="Times New Roman" w:cs="Times New Roman"/>
          <w:sz w:val="18"/>
          <w:szCs w:val="18"/>
        </w:rPr>
        <w:t xml:space="preserve">bij de </w:t>
      </w:r>
      <w:r w:rsidRPr="00E43A50">
        <w:rPr>
          <w:rFonts w:ascii="Verdana" w:hAnsi="Verdana" w:eastAsia="Times New Roman" w:cs="Times New Roman"/>
          <w:sz w:val="18"/>
          <w:szCs w:val="18"/>
        </w:rPr>
        <w:t xml:space="preserve">Europese Commissie. </w:t>
      </w:r>
      <w:r w:rsidRPr="00E43A50" w:rsidR="004F0533">
        <w:rPr>
          <w:rFonts w:ascii="Verdana" w:hAnsi="Verdana" w:eastAsia="Times New Roman" w:cs="Times New Roman"/>
          <w:sz w:val="18"/>
          <w:szCs w:val="18"/>
        </w:rPr>
        <w:t>Deze notificatie biedt de Europese Commissie de gelegenheid om te controleren of de voorgestelde wetgeving in overeenstemming is met de EU-richtlijnen en geen belemmeringen oplevert voor het vrije verkeer van goederen, diensten, kapitaal of personen. Het notificatieproces, zoals bedoeld in de Richtlijn 2015/1535/EU</w:t>
      </w:r>
      <w:r w:rsidR="00BB402F">
        <w:rPr>
          <w:rFonts w:ascii="Verdana" w:hAnsi="Verdana" w:eastAsia="Times New Roman" w:cs="Times New Roman"/>
          <w:sz w:val="18"/>
          <w:szCs w:val="18"/>
        </w:rPr>
        <w:t xml:space="preserve"> en de R</w:t>
      </w:r>
      <w:r w:rsidRPr="00BB402F" w:rsidR="00BB402F">
        <w:rPr>
          <w:rFonts w:ascii="Verdana" w:hAnsi="Verdana" w:eastAsia="Times New Roman" w:cs="Times New Roman"/>
          <w:sz w:val="18"/>
          <w:szCs w:val="18"/>
        </w:rPr>
        <w:t>ichtlijn 2006/123/EG</w:t>
      </w:r>
      <w:r w:rsidRPr="00E43A50" w:rsidR="004F0533">
        <w:rPr>
          <w:rFonts w:ascii="Verdana" w:hAnsi="Verdana" w:eastAsia="Times New Roman" w:cs="Times New Roman"/>
          <w:sz w:val="18"/>
          <w:szCs w:val="18"/>
        </w:rPr>
        <w:t>, stelt</w:t>
      </w:r>
      <w:r w:rsidRPr="00E43A50" w:rsidR="00804DF7">
        <w:rPr>
          <w:rFonts w:ascii="Verdana" w:hAnsi="Verdana" w:eastAsia="Times New Roman" w:cs="Times New Roman"/>
          <w:sz w:val="18"/>
          <w:szCs w:val="18"/>
        </w:rPr>
        <w:t xml:space="preserve"> tevens</w:t>
      </w:r>
      <w:r w:rsidRPr="00E43A50" w:rsidR="004F0533">
        <w:rPr>
          <w:rFonts w:ascii="Verdana" w:hAnsi="Verdana" w:eastAsia="Times New Roman" w:cs="Times New Roman"/>
          <w:sz w:val="18"/>
          <w:szCs w:val="18"/>
        </w:rPr>
        <w:t xml:space="preserve"> andere lidstaten en de Commissie in staat om opmerkingen te maken of bezwaar aan te tekenen indien de voorgestelde wetgeving in strijd is met de Europese regelgeving. </w:t>
      </w:r>
    </w:p>
    <w:p w:rsidRPr="005B4CB1" w:rsidR="004F0533" w:rsidP="00643E93" w:rsidRDefault="004F0533" w14:paraId="576589DA" w14:textId="77777777">
      <w:pPr>
        <w:spacing w:after="0" w:line="276" w:lineRule="auto"/>
        <w:rPr>
          <w:rFonts w:ascii="Verdana" w:hAnsi="Verdana" w:eastAsia="Times New Roman" w:cs="Times New Roman"/>
          <w:sz w:val="21"/>
          <w:szCs w:val="21"/>
        </w:rPr>
      </w:pPr>
    </w:p>
    <w:p w:rsidRPr="00E43A50" w:rsidR="004F0533" w:rsidP="00643E93" w:rsidRDefault="004F0533" w14:paraId="6D665D97" w14:textId="44093793">
      <w:pPr>
        <w:pStyle w:val="Kop4"/>
        <w:numPr>
          <w:ilvl w:val="1"/>
          <w:numId w:val="24"/>
        </w:numPr>
        <w:spacing w:line="276" w:lineRule="auto"/>
      </w:pPr>
      <w:bookmarkStart w:name="_Hlk195125914" w:id="30"/>
      <w:bookmarkStart w:name="_Toc195040757" w:id="31"/>
      <w:r w:rsidRPr="00E43A50">
        <w:t xml:space="preserve">Verhouding Algemene Verordening </w:t>
      </w:r>
      <w:bookmarkEnd w:id="30"/>
      <w:r w:rsidRPr="00E43A50">
        <w:t>Gegevensbescherming (AVG)</w:t>
      </w:r>
      <w:bookmarkEnd w:id="31"/>
    </w:p>
    <w:p w:rsidR="004F0533" w:rsidP="00643E93" w:rsidRDefault="004F0533" w14:paraId="174E487B" w14:textId="0B9805B4">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Op basis van het model DPIA en de Pre-scan DPIA is geconcludeerd dat er geen verwerking van persoonsgegevens voortvloeit uit dit </w:t>
      </w:r>
      <w:r w:rsidRPr="00E43A50" w:rsidR="000E650E">
        <w:rPr>
          <w:rFonts w:ascii="Verdana" w:hAnsi="Verdana" w:eastAsia="Times New Roman" w:cs="Times New Roman"/>
          <w:sz w:val="18"/>
          <w:szCs w:val="18"/>
        </w:rPr>
        <w:t>wetsvoorstel</w:t>
      </w:r>
      <w:r w:rsidRPr="00E43A50">
        <w:rPr>
          <w:rFonts w:ascii="Verdana" w:hAnsi="Verdana" w:eastAsia="Times New Roman" w:cs="Times New Roman"/>
          <w:sz w:val="18"/>
          <w:szCs w:val="18"/>
        </w:rPr>
        <w:t xml:space="preserve">. Het </w:t>
      </w:r>
      <w:r w:rsidRPr="00E43A50" w:rsidR="000E650E">
        <w:rPr>
          <w:rFonts w:ascii="Verdana" w:hAnsi="Verdana" w:eastAsia="Times New Roman" w:cs="Times New Roman"/>
          <w:sz w:val="18"/>
          <w:szCs w:val="18"/>
        </w:rPr>
        <w:t>wetsvoorstel</w:t>
      </w:r>
      <w:r w:rsidRPr="00E43A50" w:rsidDel="00EC3A2D"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zorgt voor een toevoeging op bestaande aanbestedingsprocedures van infrastructurele werken. De focus hierbij ligt hierbij op het inkoopproces van producten en werken en niet op de verwerking van persoonlijke gegevens. De uitvoering van een Data Protection Impact Assessment is, net als een toets van de Autoriteit Persoonsgegevens</w:t>
      </w:r>
      <w:r w:rsidRPr="00E43A50">
        <w:rPr>
          <w:rFonts w:ascii="Verdana" w:hAnsi="Verdana" w:eastAsia="Times New Roman" w:cs="Times New Roman"/>
          <w:sz w:val="18"/>
          <w:szCs w:val="18"/>
          <w:vertAlign w:val="superscript"/>
        </w:rPr>
        <w:footnoteReference w:id="30"/>
      </w:r>
      <w:r w:rsidRPr="00E43A50">
        <w:rPr>
          <w:rFonts w:ascii="Verdana" w:hAnsi="Verdana" w:eastAsia="Times New Roman" w:cs="Times New Roman"/>
          <w:sz w:val="18"/>
          <w:szCs w:val="18"/>
        </w:rPr>
        <w:t xml:space="preserve">, in dit geval dan ook niet nodig. Het </w:t>
      </w:r>
      <w:r w:rsidRPr="00E43A50" w:rsidR="00454B02">
        <w:rPr>
          <w:rFonts w:ascii="Verdana" w:hAnsi="Verdana" w:eastAsia="Times New Roman" w:cs="Times New Roman"/>
          <w:sz w:val="18"/>
          <w:szCs w:val="18"/>
        </w:rPr>
        <w:t>Model DPIA</w:t>
      </w:r>
      <w:r w:rsidRPr="00E43A50" w:rsidR="00454B02">
        <w:rPr>
          <w:rStyle w:val="Voetnootmarkering"/>
          <w:rFonts w:ascii="Verdana" w:hAnsi="Verdana" w:eastAsia="Times New Roman" w:cs="Times New Roman"/>
          <w:sz w:val="18"/>
          <w:szCs w:val="18"/>
        </w:rPr>
        <w:footnoteReference w:id="31"/>
      </w:r>
      <w:r w:rsidRPr="00E43A50">
        <w:rPr>
          <w:rFonts w:ascii="Verdana" w:hAnsi="Verdana" w:eastAsia="Times New Roman" w:cs="Times New Roman"/>
          <w:sz w:val="18"/>
          <w:szCs w:val="18"/>
        </w:rPr>
        <w:t xml:space="preserve"> is gebaseerd op de Algemene verordening gegevensbescherming (AVG), de Richtlijn gegevensbescherming opsporing en vervolging en de mede daarop gebaseerde nationale regelgeving, zoals de Uitvoeringswet Algemene verordening gegevensbescherming (UAVG). In dit model zijn ook de richtsnoeren van Europees Comité voor gegevensbescherming (EDPB) meegenomen.</w:t>
      </w:r>
    </w:p>
    <w:p w:rsidRPr="00E43A50" w:rsidR="004F0533" w:rsidP="00643E93" w:rsidRDefault="004F0533" w14:paraId="313F5A92" w14:textId="58628531">
      <w:pPr>
        <w:pStyle w:val="Kop3"/>
        <w:spacing w:line="276" w:lineRule="auto"/>
      </w:pPr>
      <w:bookmarkStart w:name="_Toc195040758" w:id="32"/>
      <w:r w:rsidRPr="00E43A50">
        <w:t>Verhouding tot nationale wetgeving</w:t>
      </w:r>
      <w:bookmarkEnd w:id="32"/>
    </w:p>
    <w:p w:rsidR="00F04C64" w:rsidP="00643E93" w:rsidRDefault="004F0533" w14:paraId="59B17C7F" w14:textId="158E8154">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In de beleidsvoorbereiding is breed onderzoek uitgevoerd naar in welke wet- of regelgeving de maatregelen uit 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het beste kan worden opgenomen.</w:t>
      </w:r>
      <w:r w:rsidR="00F04C64">
        <w:rPr>
          <w:rFonts w:ascii="Verdana" w:hAnsi="Verdana" w:eastAsia="Times New Roman" w:cs="Times New Roman"/>
          <w:sz w:val="18"/>
          <w:szCs w:val="18"/>
        </w:rPr>
        <w:t xml:space="preserve"> De maatregelen uit dit wetsvoorstel sluiten niet goed aan bij de Aanbestedingswet 2012 (Aw) omdat dit wetsvoorstel inhoudelijke verplichtingen bevat die van toepassing zijn op een specifieke sector. De Aw bevat alleen procedurele verplichtingen en daarin wordt geen onderscheid gemaakt naar verschillende sectoren. In plaats daarvan is dit wetsvoorstel opgenomen in </w:t>
      </w:r>
      <w:r w:rsidR="004527B2">
        <w:rPr>
          <w:rFonts w:ascii="Verdana" w:hAnsi="Verdana" w:eastAsia="Times New Roman" w:cs="Times New Roman"/>
          <w:sz w:val="18"/>
          <w:szCs w:val="18"/>
        </w:rPr>
        <w:t xml:space="preserve">de </w:t>
      </w:r>
      <w:r w:rsidR="00F04C64">
        <w:rPr>
          <w:rFonts w:ascii="Verdana" w:hAnsi="Verdana" w:eastAsia="Times New Roman" w:cs="Times New Roman"/>
          <w:sz w:val="18"/>
          <w:szCs w:val="18"/>
        </w:rPr>
        <w:t xml:space="preserve">Wet milieubeheer omdat deze wet verplichtingen </w:t>
      </w:r>
      <w:r w:rsidR="004527B2">
        <w:rPr>
          <w:rFonts w:ascii="Verdana" w:hAnsi="Verdana" w:eastAsia="Times New Roman" w:cs="Times New Roman"/>
          <w:sz w:val="18"/>
          <w:szCs w:val="18"/>
        </w:rPr>
        <w:t>ter bescherming van het milieu bevat</w:t>
      </w:r>
      <w:r w:rsidR="00F04C64">
        <w:rPr>
          <w:rFonts w:ascii="Verdana" w:hAnsi="Verdana" w:eastAsia="Times New Roman" w:cs="Times New Roman"/>
          <w:sz w:val="18"/>
          <w:szCs w:val="18"/>
        </w:rPr>
        <w:t>. Daarnaast is in titel 9.6 van</w:t>
      </w:r>
      <w:r w:rsidR="004527B2">
        <w:rPr>
          <w:rFonts w:ascii="Verdana" w:hAnsi="Verdana" w:eastAsia="Times New Roman" w:cs="Times New Roman"/>
          <w:sz w:val="18"/>
          <w:szCs w:val="18"/>
        </w:rPr>
        <w:t xml:space="preserve"> de</w:t>
      </w:r>
      <w:r w:rsidR="00F04C64">
        <w:rPr>
          <w:rFonts w:ascii="Verdana" w:hAnsi="Verdana" w:eastAsia="Times New Roman" w:cs="Times New Roman"/>
          <w:sz w:val="18"/>
          <w:szCs w:val="18"/>
        </w:rPr>
        <w:t xml:space="preserve"> Wet milieubeheer al een bepaling</w:t>
      </w:r>
      <w:r w:rsidR="004527B2">
        <w:rPr>
          <w:rFonts w:ascii="Verdana" w:hAnsi="Verdana" w:eastAsia="Times New Roman" w:cs="Times New Roman"/>
          <w:sz w:val="18"/>
          <w:szCs w:val="18"/>
        </w:rPr>
        <w:t xml:space="preserve"> opgenomen</w:t>
      </w:r>
      <w:r w:rsidR="00F04C64">
        <w:rPr>
          <w:rFonts w:ascii="Verdana" w:hAnsi="Verdana" w:eastAsia="Times New Roman" w:cs="Times New Roman"/>
          <w:sz w:val="18"/>
          <w:szCs w:val="18"/>
        </w:rPr>
        <w:t xml:space="preserve"> waar</w:t>
      </w:r>
      <w:r w:rsidR="004527B2">
        <w:rPr>
          <w:rFonts w:ascii="Verdana" w:hAnsi="Verdana" w:eastAsia="Times New Roman" w:cs="Times New Roman"/>
          <w:sz w:val="18"/>
          <w:szCs w:val="18"/>
        </w:rPr>
        <w:t>in</w:t>
      </w:r>
      <w:r w:rsidR="00F04C64">
        <w:rPr>
          <w:rFonts w:ascii="Verdana" w:hAnsi="Verdana" w:eastAsia="Times New Roman" w:cs="Times New Roman"/>
          <w:sz w:val="18"/>
          <w:szCs w:val="18"/>
        </w:rPr>
        <w:t xml:space="preserve"> aanbestedende diensten worden gestimuleerd om schone voertuigen in te kopen. Dit wetsvoorstel sluit dus goed aan bij titel 9.6 van Wet milieubeheer. </w:t>
      </w:r>
    </w:p>
    <w:p w:rsidR="00F04C64" w:rsidP="00643E93" w:rsidRDefault="00F04C64" w14:paraId="4414DB83" w14:textId="17043DEC">
      <w:pPr>
        <w:spacing w:after="0" w:line="276" w:lineRule="auto"/>
        <w:rPr>
          <w:rFonts w:ascii="Verdana" w:hAnsi="Verdana" w:eastAsia="Times New Roman" w:cs="Times New Roman"/>
          <w:sz w:val="18"/>
          <w:szCs w:val="18"/>
        </w:rPr>
      </w:pPr>
    </w:p>
    <w:p w:rsidRPr="00E43A50" w:rsidR="00293AB6" w:rsidP="00643E93" w:rsidRDefault="00F04C64" w14:paraId="5F1ACB7A" w14:textId="57E6484D">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 xml:space="preserve">De voorgestelde maatregelen sluiten aan </w:t>
      </w:r>
      <w:r w:rsidRPr="00E43A50" w:rsidR="00293AB6">
        <w:rPr>
          <w:rFonts w:ascii="Verdana" w:hAnsi="Verdana" w:eastAsia="Times New Roman" w:cs="Times New Roman"/>
          <w:sz w:val="18"/>
          <w:szCs w:val="18"/>
        </w:rPr>
        <w:t>bij de procedures en de definities uit de Aanbestedingswet 2012 zoals deze al door aanbestedende diensten worden toegepast in de praktijk.</w:t>
      </w:r>
      <w:r w:rsidRPr="00293AB6" w:rsidR="00293AB6">
        <w:rPr>
          <w:rFonts w:ascii="Verdana" w:hAnsi="Verdana" w:eastAsia="Times New Roman" w:cs="Times New Roman"/>
          <w:sz w:val="18"/>
          <w:szCs w:val="18"/>
        </w:rPr>
        <w:t xml:space="preserve"> </w:t>
      </w:r>
      <w:r w:rsidRPr="00F04C64">
        <w:rPr>
          <w:rFonts w:ascii="Verdana" w:hAnsi="Verdana" w:eastAsia="Times New Roman" w:cs="Times New Roman"/>
          <w:sz w:val="18"/>
          <w:szCs w:val="18"/>
        </w:rPr>
        <w:t xml:space="preserve">Om het wetsvoorstel in lijn te brengen met de huidige aanbestedingspraktijk, heeft tevens uitvoerig overleg plaatsgevonden met aanbestedende diensten en speciale-sectorbedrijven. Zij hebben onder andere tijdens stakeholderconsultaties input op het wetsvoorstel geleverd. Ook is gedurende de ontwikkeling van dit wetsvoorstel in het kader van de Uitvoerbaarheidstoets Decentrale Overheden (UDO) meermaals input opgehaald met koepelorganisaties VNG, IPO en UvW. Rijkswaterstaat en ProRail hebben daarnaast een uitvoerbaarheidstoets uitgevoerd. </w:t>
      </w:r>
    </w:p>
    <w:p w:rsidR="00293AB6" w:rsidP="00643E93" w:rsidRDefault="00293AB6" w14:paraId="6F1A7BCC" w14:textId="21FCED13">
      <w:pPr>
        <w:spacing w:after="0" w:line="276" w:lineRule="auto"/>
        <w:rPr>
          <w:rFonts w:ascii="Verdana" w:hAnsi="Verdana" w:eastAsia="Times New Roman" w:cs="Times New Roman"/>
          <w:sz w:val="18"/>
          <w:szCs w:val="18"/>
        </w:rPr>
      </w:pPr>
    </w:p>
    <w:p w:rsidR="00293AB6" w:rsidP="00643E93" w:rsidRDefault="00293AB6" w14:paraId="1374B9DC" w14:textId="38709840">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Voor de verhouding met andere regelgeving voor GWW-werken is het relevant om te benoemen dat h</w:t>
      </w:r>
      <w:r w:rsidRPr="00293AB6">
        <w:rPr>
          <w:rFonts w:ascii="Verdana" w:hAnsi="Verdana" w:eastAsia="Times New Roman" w:cs="Times New Roman"/>
          <w:sz w:val="18"/>
          <w:szCs w:val="18"/>
        </w:rPr>
        <w:t xml:space="preserve">et </w:t>
      </w:r>
      <w:r w:rsidR="00A669B0">
        <w:rPr>
          <w:rFonts w:ascii="Verdana" w:hAnsi="Verdana" w:eastAsia="Times New Roman" w:cs="Times New Roman"/>
          <w:sz w:val="18"/>
          <w:szCs w:val="18"/>
        </w:rPr>
        <w:t>a</w:t>
      </w:r>
      <w:r w:rsidRPr="00293AB6">
        <w:rPr>
          <w:rFonts w:ascii="Verdana" w:hAnsi="Verdana" w:eastAsia="Times New Roman" w:cs="Times New Roman"/>
          <w:sz w:val="18"/>
          <w:szCs w:val="18"/>
        </w:rPr>
        <w:t xml:space="preserve">anbestedingsrecht </w:t>
      </w:r>
      <w:r>
        <w:rPr>
          <w:rFonts w:ascii="Verdana" w:hAnsi="Verdana" w:eastAsia="Times New Roman" w:cs="Times New Roman"/>
          <w:sz w:val="18"/>
          <w:szCs w:val="18"/>
        </w:rPr>
        <w:t>gaat over overheidsopdrachten en daardoor ingrijpt op de contractvrijheid in het privaatrecht.</w:t>
      </w:r>
      <w:r w:rsidRPr="00293AB6">
        <w:rPr>
          <w:rFonts w:ascii="Verdana" w:hAnsi="Verdana" w:eastAsia="Times New Roman" w:cs="Times New Roman"/>
          <w:sz w:val="18"/>
          <w:szCs w:val="18"/>
        </w:rPr>
        <w:t xml:space="preserve"> </w:t>
      </w:r>
      <w:r>
        <w:rPr>
          <w:rFonts w:ascii="Verdana" w:hAnsi="Verdana" w:eastAsia="Times New Roman" w:cs="Times New Roman"/>
          <w:sz w:val="18"/>
          <w:szCs w:val="18"/>
        </w:rPr>
        <w:t xml:space="preserve">Het wetsvoorstel doet </w:t>
      </w:r>
      <w:r w:rsidR="00227599">
        <w:rPr>
          <w:rFonts w:ascii="Verdana" w:hAnsi="Verdana" w:eastAsia="Times New Roman" w:cs="Times New Roman"/>
          <w:sz w:val="18"/>
          <w:szCs w:val="18"/>
        </w:rPr>
        <w:t>verder</w:t>
      </w:r>
      <w:r>
        <w:rPr>
          <w:rFonts w:ascii="Verdana" w:hAnsi="Verdana" w:eastAsia="Times New Roman" w:cs="Times New Roman"/>
          <w:sz w:val="18"/>
          <w:szCs w:val="18"/>
        </w:rPr>
        <w:t xml:space="preserve"> niet af aan</w:t>
      </w:r>
      <w:r w:rsidR="00BE47D9">
        <w:rPr>
          <w:rFonts w:ascii="Verdana" w:hAnsi="Verdana" w:eastAsia="Times New Roman" w:cs="Times New Roman"/>
          <w:sz w:val="18"/>
          <w:szCs w:val="18"/>
        </w:rPr>
        <w:t xml:space="preserve"> publiekrechtelijke</w:t>
      </w:r>
      <w:r>
        <w:rPr>
          <w:rFonts w:ascii="Verdana" w:hAnsi="Verdana" w:eastAsia="Times New Roman" w:cs="Times New Roman"/>
          <w:sz w:val="18"/>
          <w:szCs w:val="18"/>
        </w:rPr>
        <w:t xml:space="preserve"> regelgeving die op GWW-werken van toepassing is.</w:t>
      </w:r>
      <w:r w:rsidR="00BE47D9">
        <w:rPr>
          <w:rFonts w:ascii="Verdana" w:hAnsi="Verdana" w:eastAsia="Times New Roman" w:cs="Times New Roman"/>
          <w:sz w:val="18"/>
          <w:szCs w:val="18"/>
        </w:rPr>
        <w:t xml:space="preserve"> Zo is voor de kwaliteitsborging in het bodembeheer (kwalibo) regelgeving in het Besluit bodemkwaliteit opgenomen voor </w:t>
      </w:r>
      <w:r w:rsidRPr="00BE47D9" w:rsidR="00BE47D9">
        <w:rPr>
          <w:rFonts w:ascii="Verdana" w:hAnsi="Verdana" w:eastAsia="Times New Roman" w:cs="Times New Roman"/>
          <w:sz w:val="18"/>
          <w:szCs w:val="18"/>
        </w:rPr>
        <w:t>kwaliteits- en integriteitseisen aan werkzaamheden in het bodembeheer</w:t>
      </w:r>
      <w:r w:rsidR="00BE47D9">
        <w:rPr>
          <w:rFonts w:ascii="Verdana" w:hAnsi="Verdana" w:eastAsia="Times New Roman" w:cs="Times New Roman"/>
          <w:sz w:val="18"/>
          <w:szCs w:val="18"/>
        </w:rPr>
        <w:t>. Ook zijn in het Besluit bouwwerken leefomgeving bepalingen voor de milieuprestatie van bouwwerken opgenomen. Deze regelgeving is op GWW-werken van toepassing</w:t>
      </w:r>
      <w:r w:rsidR="00A73212">
        <w:rPr>
          <w:rFonts w:ascii="Verdana" w:hAnsi="Verdana" w:eastAsia="Times New Roman" w:cs="Times New Roman"/>
          <w:sz w:val="18"/>
          <w:szCs w:val="18"/>
        </w:rPr>
        <w:t xml:space="preserve"> voor zover er sprake is van een bouwwerk</w:t>
      </w:r>
      <w:r w:rsidR="00BE47D9">
        <w:rPr>
          <w:rFonts w:ascii="Verdana" w:hAnsi="Verdana" w:eastAsia="Times New Roman" w:cs="Times New Roman"/>
          <w:sz w:val="18"/>
          <w:szCs w:val="18"/>
        </w:rPr>
        <w:t>.</w:t>
      </w:r>
      <w:r>
        <w:rPr>
          <w:rFonts w:ascii="Verdana" w:hAnsi="Verdana" w:eastAsia="Times New Roman" w:cs="Times New Roman"/>
          <w:sz w:val="18"/>
          <w:szCs w:val="18"/>
        </w:rPr>
        <w:t xml:space="preserve"> </w:t>
      </w:r>
      <w:r w:rsidRPr="00293AB6">
        <w:rPr>
          <w:rFonts w:ascii="Verdana" w:hAnsi="Verdana" w:eastAsia="Times New Roman" w:cs="Times New Roman"/>
          <w:sz w:val="18"/>
          <w:szCs w:val="18"/>
        </w:rPr>
        <w:t xml:space="preserve">De verplichtingen die </w:t>
      </w:r>
      <w:r w:rsidR="00BE47D9">
        <w:rPr>
          <w:rFonts w:ascii="Verdana" w:hAnsi="Verdana" w:eastAsia="Times New Roman" w:cs="Times New Roman"/>
          <w:sz w:val="18"/>
          <w:szCs w:val="18"/>
        </w:rPr>
        <w:t xml:space="preserve">in deze regelgeving </w:t>
      </w:r>
      <w:r w:rsidR="00A73212">
        <w:rPr>
          <w:rFonts w:ascii="Verdana" w:hAnsi="Verdana" w:eastAsia="Times New Roman" w:cs="Times New Roman"/>
          <w:sz w:val="18"/>
          <w:szCs w:val="18"/>
        </w:rPr>
        <w:t>zijn</w:t>
      </w:r>
      <w:r w:rsidR="00BE47D9">
        <w:rPr>
          <w:rFonts w:ascii="Verdana" w:hAnsi="Verdana" w:eastAsia="Times New Roman" w:cs="Times New Roman"/>
          <w:sz w:val="18"/>
          <w:szCs w:val="18"/>
        </w:rPr>
        <w:t xml:space="preserve"> opgenomen</w:t>
      </w:r>
      <w:r w:rsidRPr="00293AB6">
        <w:rPr>
          <w:rFonts w:ascii="Verdana" w:hAnsi="Verdana" w:eastAsia="Times New Roman" w:cs="Times New Roman"/>
          <w:sz w:val="18"/>
          <w:szCs w:val="18"/>
        </w:rPr>
        <w:t xml:space="preserve"> zijn de randvoorwaarden </w:t>
      </w:r>
      <w:r w:rsidR="00BE47D9">
        <w:rPr>
          <w:rFonts w:ascii="Verdana" w:hAnsi="Verdana" w:eastAsia="Times New Roman" w:cs="Times New Roman"/>
          <w:sz w:val="18"/>
          <w:szCs w:val="18"/>
        </w:rPr>
        <w:t>waaraan bij de uitvoering van</w:t>
      </w:r>
      <w:r w:rsidRPr="00293AB6">
        <w:rPr>
          <w:rFonts w:ascii="Verdana" w:hAnsi="Verdana" w:eastAsia="Times New Roman" w:cs="Times New Roman"/>
          <w:sz w:val="18"/>
          <w:szCs w:val="18"/>
        </w:rPr>
        <w:t xml:space="preserve"> opdrachten </w:t>
      </w:r>
      <w:r w:rsidR="00BE47D9">
        <w:rPr>
          <w:rFonts w:ascii="Verdana" w:hAnsi="Verdana" w:eastAsia="Times New Roman" w:cs="Times New Roman"/>
          <w:sz w:val="18"/>
          <w:szCs w:val="18"/>
        </w:rPr>
        <w:t xml:space="preserve">moet worden voldaan. </w:t>
      </w:r>
      <w:r w:rsidR="00A73212">
        <w:rPr>
          <w:rFonts w:ascii="Verdana" w:hAnsi="Verdana" w:eastAsia="Times New Roman" w:cs="Times New Roman"/>
          <w:sz w:val="18"/>
          <w:szCs w:val="18"/>
        </w:rPr>
        <w:t>Bij</w:t>
      </w:r>
      <w:r w:rsidR="00BE47D9">
        <w:rPr>
          <w:rFonts w:ascii="Verdana" w:hAnsi="Verdana" w:eastAsia="Times New Roman" w:cs="Times New Roman"/>
          <w:sz w:val="18"/>
          <w:szCs w:val="18"/>
        </w:rPr>
        <w:t xml:space="preserve"> het opstellen van milieuprestatie-eisen en het formuleren van </w:t>
      </w:r>
      <w:r w:rsidR="00720626">
        <w:rPr>
          <w:rFonts w:ascii="Verdana" w:hAnsi="Verdana" w:eastAsia="Times New Roman" w:cs="Times New Roman"/>
          <w:sz w:val="18"/>
          <w:szCs w:val="18"/>
        </w:rPr>
        <w:t>milieuprestatie als</w:t>
      </w:r>
      <w:r w:rsidR="00173DC2">
        <w:rPr>
          <w:rFonts w:ascii="Verdana" w:hAnsi="Verdana" w:eastAsia="Times New Roman" w:cs="Times New Roman"/>
          <w:sz w:val="18"/>
          <w:szCs w:val="18"/>
        </w:rPr>
        <w:t xml:space="preserve"> nader criterium</w:t>
      </w:r>
      <w:r w:rsidDel="00173DC2" w:rsidR="00BE47D9">
        <w:rPr>
          <w:rFonts w:ascii="Verdana" w:hAnsi="Verdana" w:eastAsia="Times New Roman" w:cs="Times New Roman"/>
          <w:sz w:val="18"/>
          <w:szCs w:val="18"/>
        </w:rPr>
        <w:t xml:space="preserve"> </w:t>
      </w:r>
      <w:r w:rsidR="00BE47D9">
        <w:rPr>
          <w:rFonts w:ascii="Verdana" w:hAnsi="Verdana" w:eastAsia="Times New Roman" w:cs="Times New Roman"/>
          <w:sz w:val="18"/>
          <w:szCs w:val="18"/>
        </w:rPr>
        <w:t xml:space="preserve">moeten </w:t>
      </w:r>
      <w:r w:rsidR="00A73212">
        <w:rPr>
          <w:rFonts w:ascii="Verdana" w:hAnsi="Verdana" w:eastAsia="Times New Roman" w:cs="Times New Roman"/>
          <w:sz w:val="18"/>
          <w:szCs w:val="18"/>
        </w:rPr>
        <w:t>deze</w:t>
      </w:r>
      <w:r w:rsidR="00BE47D9">
        <w:rPr>
          <w:rFonts w:ascii="Verdana" w:hAnsi="Verdana" w:eastAsia="Times New Roman" w:cs="Times New Roman"/>
          <w:sz w:val="18"/>
          <w:szCs w:val="18"/>
        </w:rPr>
        <w:t xml:space="preserve"> verplichtingen</w:t>
      </w:r>
      <w:r w:rsidR="00A73212">
        <w:rPr>
          <w:rFonts w:ascii="Verdana" w:hAnsi="Verdana" w:eastAsia="Times New Roman" w:cs="Times New Roman"/>
          <w:sz w:val="18"/>
          <w:szCs w:val="18"/>
        </w:rPr>
        <w:t xml:space="preserve"> in acht worden genomen</w:t>
      </w:r>
      <w:r w:rsidRPr="00293AB6">
        <w:rPr>
          <w:rFonts w:ascii="Verdana" w:hAnsi="Verdana" w:eastAsia="Times New Roman" w:cs="Times New Roman"/>
          <w:sz w:val="18"/>
          <w:szCs w:val="18"/>
        </w:rPr>
        <w:t xml:space="preserve">. </w:t>
      </w:r>
    </w:p>
    <w:p w:rsidRPr="00E43A50" w:rsidR="004F0533" w:rsidP="00643E93" w:rsidRDefault="004F0533" w14:paraId="2FC2F579" w14:textId="77777777">
      <w:pPr>
        <w:pStyle w:val="Kop3"/>
        <w:spacing w:line="276" w:lineRule="auto"/>
      </w:pPr>
      <w:bookmarkStart w:name="_Toc195040759" w:id="33"/>
      <w:r w:rsidRPr="00E43A50">
        <w:t>Gevolgen (m.u.v. financiële gevolgen)</w:t>
      </w:r>
      <w:bookmarkEnd w:id="33"/>
    </w:p>
    <w:p w:rsidRPr="00E43A50" w:rsidR="004F0533" w:rsidP="00643E93" w:rsidRDefault="004F0533" w14:paraId="654FF813" w14:textId="10A60DA8">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Zoals eerder beschreven hebben verschillende bureaus onderzoek uitgevoerd naar de maatregelen en diens effecten. Ook de sector (inclusief medeoverheden) is intensief betrokken geweest bij deze onderzoeken, zowel in de beginfase van de beleidsvorming als bij de validatie van de onderzoeksresultaten en de uitwerking van dit wetsvoorstel. Met het breed toepassen van eisen vergroot 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de markt(vraag) voor circulaire producten in de GWW. Met eenduidige zorgt het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voor een gelijk speelveld voor bedrijven. Ook draagt het sturen op milieu-impact bij aan investeringszekerheid voor duurzame innovaties bij het bedrijfsleven.</w:t>
      </w:r>
      <w:r w:rsidRPr="00E43A50">
        <w:rPr>
          <w:rFonts w:ascii="Verdana" w:hAnsi="Verdana" w:eastAsia="Times New Roman" w:cs="Times New Roman"/>
          <w:sz w:val="18"/>
          <w:szCs w:val="18"/>
          <w:vertAlign w:val="superscript"/>
        </w:rPr>
        <w:footnoteReference w:id="32"/>
      </w:r>
      <w:r w:rsidRPr="00E43A50">
        <w:rPr>
          <w:rFonts w:ascii="Verdana" w:hAnsi="Verdana" w:eastAsia="Times New Roman" w:cs="Times New Roman"/>
          <w:sz w:val="18"/>
          <w:szCs w:val="18"/>
        </w:rPr>
        <w:t xml:space="preserve"> </w:t>
      </w:r>
    </w:p>
    <w:p w:rsidRPr="00E43A50" w:rsidR="004F0533" w:rsidP="00643E93" w:rsidRDefault="004F0533" w14:paraId="47ECD7EE" w14:textId="77777777">
      <w:pPr>
        <w:spacing w:after="0" w:line="276" w:lineRule="auto"/>
        <w:rPr>
          <w:rFonts w:ascii="Verdana" w:hAnsi="Verdana" w:eastAsia="Times New Roman" w:cs="Times New Roman"/>
          <w:sz w:val="18"/>
          <w:szCs w:val="18"/>
        </w:rPr>
      </w:pPr>
    </w:p>
    <w:p w:rsidRPr="00E43A50" w:rsidR="004F0533" w:rsidP="00643E93" w:rsidRDefault="004F0533" w14:paraId="0342C501" w14:textId="596AC512">
      <w:pPr>
        <w:spacing w:after="0" w:line="276" w:lineRule="auto"/>
        <w:rPr>
          <w:rFonts w:ascii="Verdana" w:hAnsi="Verdana" w:eastAsia="Times New Roman" w:cs="Times New Roman"/>
          <w:sz w:val="18"/>
          <w:szCs w:val="18"/>
          <w:vertAlign w:val="superscript"/>
        </w:rPr>
      </w:pPr>
      <w:r w:rsidRPr="00E43A50">
        <w:rPr>
          <w:rFonts w:ascii="Verdana" w:hAnsi="Verdana" w:eastAsia="Times New Roman" w:cs="Times New Roman"/>
          <w:sz w:val="18"/>
          <w:szCs w:val="18"/>
        </w:rPr>
        <w:t>Op het gebied van klimaat en grondstoffenverbruik worden aanzienlijke positieve effecten voorzien. Onderzoek van CE Delft laat zien dat de GWW in 2019 voor 4 megaton CO</w:t>
      </w:r>
      <w:r w:rsidRPr="00C8572C">
        <w:rPr>
          <w:rFonts w:ascii="Verdana" w:hAnsi="Verdana"/>
          <w:sz w:val="18"/>
          <w:szCs w:val="18"/>
          <w:vertAlign w:val="subscript"/>
        </w:rPr>
        <w:t>2</w:t>
      </w:r>
      <w:r w:rsidRPr="00E43A50">
        <w:rPr>
          <w:rFonts w:ascii="Verdana" w:hAnsi="Verdana" w:eastAsia="Times New Roman" w:cs="Times New Roman"/>
          <w:sz w:val="18"/>
          <w:szCs w:val="18"/>
        </w:rPr>
        <w:t>-eq zorgde, ongeveer 3</w:t>
      </w:r>
      <w:r w:rsidRPr="00E43A50" w:rsidR="00961BF9">
        <w:rPr>
          <w:rFonts w:ascii="Verdana" w:hAnsi="Verdana" w:eastAsia="Times New Roman" w:cs="Times New Roman"/>
          <w:sz w:val="18"/>
          <w:szCs w:val="18"/>
        </w:rPr>
        <w:t xml:space="preserve"> procent</w:t>
      </w:r>
      <w:r w:rsidRPr="00E43A50">
        <w:rPr>
          <w:rFonts w:ascii="Verdana" w:hAnsi="Verdana" w:eastAsia="Times New Roman" w:cs="Times New Roman"/>
          <w:sz w:val="18"/>
          <w:szCs w:val="18"/>
        </w:rPr>
        <w:t xml:space="preserve"> van de totale CO</w:t>
      </w:r>
      <w:r w:rsidRPr="00C8572C">
        <w:rPr>
          <w:rFonts w:ascii="Verdana" w:hAnsi="Verdana"/>
          <w:sz w:val="18"/>
          <w:szCs w:val="18"/>
          <w:vertAlign w:val="subscript"/>
        </w:rPr>
        <w:t>2</w:t>
      </w:r>
      <w:r w:rsidRPr="00E43A50">
        <w:rPr>
          <w:rFonts w:ascii="Verdana" w:hAnsi="Verdana" w:eastAsia="Times New Roman" w:cs="Times New Roman"/>
          <w:sz w:val="18"/>
          <w:szCs w:val="18"/>
        </w:rPr>
        <w:t>-eq.-uitstoot in Nederland.</w:t>
      </w:r>
      <w:r w:rsidRPr="00E43A50">
        <w:rPr>
          <w:rFonts w:ascii="Verdana" w:hAnsi="Verdana" w:eastAsia="Times New Roman" w:cs="Times New Roman"/>
          <w:sz w:val="18"/>
          <w:szCs w:val="18"/>
          <w:vertAlign w:val="superscript"/>
        </w:rPr>
        <w:footnoteReference w:id="33"/>
      </w:r>
      <w:r w:rsidRPr="00E43A50">
        <w:rPr>
          <w:rFonts w:ascii="Verdana" w:hAnsi="Verdana" w:eastAsia="Times New Roman" w:cs="Times New Roman"/>
          <w:sz w:val="18"/>
          <w:szCs w:val="18"/>
          <w:vertAlign w:val="superscript"/>
        </w:rPr>
        <w:t xml:space="preserve"> </w:t>
      </w:r>
      <w:r w:rsidRPr="00E43A50">
        <w:rPr>
          <w:rFonts w:ascii="Verdana" w:hAnsi="Verdana" w:eastAsia="Times New Roman" w:cs="Times New Roman"/>
          <w:sz w:val="18"/>
          <w:szCs w:val="18"/>
        </w:rPr>
        <w:t xml:space="preserve">Volgens </w:t>
      </w:r>
      <w:r w:rsidRPr="00E43A50" w:rsidR="00CE03C7">
        <w:rPr>
          <w:rFonts w:ascii="Verdana" w:hAnsi="Verdana" w:eastAsia="Times New Roman" w:cs="Times New Roman"/>
          <w:sz w:val="18"/>
          <w:szCs w:val="18"/>
        </w:rPr>
        <w:t>CE Delft</w:t>
      </w:r>
      <w:r w:rsidRPr="00E43A50">
        <w:rPr>
          <w:rFonts w:ascii="Verdana" w:hAnsi="Verdana" w:eastAsia="Times New Roman" w:cs="Times New Roman"/>
          <w:sz w:val="18"/>
          <w:szCs w:val="18"/>
        </w:rPr>
        <w:t xml:space="preserve"> </w:t>
      </w:r>
      <w:r w:rsidR="00806361">
        <w:rPr>
          <w:rFonts w:ascii="Verdana" w:hAnsi="Verdana" w:eastAsia="Times New Roman" w:cs="Times New Roman"/>
          <w:sz w:val="18"/>
          <w:szCs w:val="18"/>
        </w:rPr>
        <w:t>kunnen</w:t>
      </w:r>
      <w:r w:rsidRPr="00E43A50" w:rsidR="00806361">
        <w:rPr>
          <w:rFonts w:ascii="Verdana" w:hAnsi="Verdana" w:eastAsia="Times New Roman" w:cs="Times New Roman"/>
          <w:sz w:val="18"/>
          <w:szCs w:val="18"/>
        </w:rPr>
        <w:t xml:space="preserve"> </w:t>
      </w:r>
      <w:r w:rsidRPr="00E43A50" w:rsidR="00CE03C7">
        <w:rPr>
          <w:rFonts w:ascii="Verdana" w:hAnsi="Verdana" w:eastAsia="Times New Roman" w:cs="Times New Roman"/>
          <w:sz w:val="18"/>
          <w:szCs w:val="18"/>
        </w:rPr>
        <w:t>de verplichting</w:t>
      </w:r>
      <w:r w:rsidR="00806361">
        <w:rPr>
          <w:rFonts w:ascii="Verdana" w:hAnsi="Verdana" w:eastAsia="Times New Roman" w:cs="Times New Roman"/>
          <w:sz w:val="18"/>
          <w:szCs w:val="18"/>
        </w:rPr>
        <w:t>en</w:t>
      </w:r>
      <w:r w:rsidRPr="00E43A50">
        <w:rPr>
          <w:rFonts w:ascii="Verdana" w:hAnsi="Verdana" w:eastAsia="Times New Roman" w:cs="Times New Roman"/>
          <w:sz w:val="18"/>
          <w:szCs w:val="18"/>
        </w:rPr>
        <w:t xml:space="preserve"> leiden tot een vermindering van </w:t>
      </w:r>
      <w:r w:rsidR="00806361">
        <w:rPr>
          <w:rFonts w:ascii="Verdana" w:hAnsi="Verdana" w:eastAsia="Times New Roman" w:cs="Times New Roman"/>
          <w:sz w:val="18"/>
          <w:szCs w:val="18"/>
        </w:rPr>
        <w:t>1</w:t>
      </w:r>
      <w:r w:rsidRPr="00E43A50">
        <w:rPr>
          <w:rFonts w:ascii="Verdana" w:hAnsi="Verdana" w:eastAsia="Times New Roman" w:cs="Times New Roman"/>
          <w:sz w:val="18"/>
          <w:szCs w:val="18"/>
        </w:rPr>
        <w:t xml:space="preserve"> megaton broeikasgasemissies in 2030.</w:t>
      </w:r>
      <w:r w:rsidRPr="00E43A50" w:rsidR="00CE03C7">
        <w:rPr>
          <w:rStyle w:val="Voetnootmarkering"/>
          <w:rFonts w:ascii="Verdana" w:hAnsi="Verdana" w:eastAsia="Times New Roman" w:cs="Times New Roman"/>
          <w:sz w:val="18"/>
          <w:szCs w:val="18"/>
        </w:rPr>
        <w:footnoteReference w:id="34"/>
      </w:r>
      <w:r w:rsidRPr="00E43A50">
        <w:rPr>
          <w:rFonts w:ascii="Verdana" w:hAnsi="Verdana" w:eastAsia="Times New Roman" w:cs="Times New Roman"/>
          <w:sz w:val="18"/>
          <w:szCs w:val="18"/>
        </w:rPr>
        <w:t xml:space="preserve"> </w:t>
      </w:r>
      <w:r w:rsidR="005343C9">
        <w:rPr>
          <w:rFonts w:ascii="Verdana" w:hAnsi="Verdana"/>
          <w:sz w:val="18"/>
          <w:szCs w:val="18"/>
        </w:rPr>
        <w:t xml:space="preserve">Hiervan is 600 kiloton toe te </w:t>
      </w:r>
      <w:r w:rsidR="00476A0E">
        <w:rPr>
          <w:rFonts w:ascii="Verdana" w:hAnsi="Verdana"/>
          <w:sz w:val="18"/>
          <w:szCs w:val="18"/>
        </w:rPr>
        <w:t>be</w:t>
      </w:r>
      <w:r w:rsidR="005343C9">
        <w:rPr>
          <w:rFonts w:ascii="Verdana" w:hAnsi="Verdana"/>
          <w:sz w:val="18"/>
          <w:szCs w:val="18"/>
        </w:rPr>
        <w:t xml:space="preserve">delen aan de </w:t>
      </w:r>
      <w:r w:rsidR="005343C9">
        <w:rPr>
          <w:rFonts w:ascii="Verdana" w:hAnsi="Verdana"/>
          <w:sz w:val="18"/>
          <w:szCs w:val="18"/>
        </w:rPr>
        <w:lastRenderedPageBreak/>
        <w:t xml:space="preserve">verplichting </w:t>
      </w:r>
      <w:r w:rsidR="00476A0E">
        <w:rPr>
          <w:rFonts w:ascii="Verdana" w:hAnsi="Verdana"/>
          <w:sz w:val="18"/>
          <w:szCs w:val="18"/>
        </w:rPr>
        <w:t>van</w:t>
      </w:r>
      <w:r w:rsidR="005343C9">
        <w:rPr>
          <w:rFonts w:ascii="Verdana" w:hAnsi="Verdana"/>
          <w:sz w:val="18"/>
          <w:szCs w:val="18"/>
        </w:rPr>
        <w:t xml:space="preserve"> milieuprestatie-eisen op materiaalniveau, en 400 kiloton aan het nader criterium op milieuprestatie. </w:t>
      </w:r>
      <w:r>
        <w:rPr>
          <w:rFonts w:ascii="Verdana" w:hAnsi="Verdana"/>
          <w:sz w:val="18"/>
          <w:szCs w:val="18"/>
        </w:rPr>
        <w:t xml:space="preserve">Dit </w:t>
      </w:r>
      <w:r w:rsidR="005343C9">
        <w:rPr>
          <w:rFonts w:ascii="Verdana" w:hAnsi="Verdana"/>
          <w:sz w:val="18"/>
          <w:szCs w:val="18"/>
        </w:rPr>
        <w:t>is exclusief de impact die behaald kan worden bij GWW-werken van Rijkswaterstaat en ProRail. Worden ook de aanbestedingen van deze partijen betrokken, leidt dat additioneel tot respectievelijk 65 kiloton en 160 kiloton CO</w:t>
      </w:r>
      <w:r w:rsidRPr="00773EC1" w:rsidR="005343C9">
        <w:rPr>
          <w:rFonts w:ascii="Verdana" w:hAnsi="Verdana"/>
          <w:sz w:val="18"/>
          <w:szCs w:val="18"/>
          <w:vertAlign w:val="subscript"/>
        </w:rPr>
        <w:t>2</w:t>
      </w:r>
      <w:r w:rsidR="005343C9">
        <w:rPr>
          <w:rFonts w:ascii="Verdana" w:hAnsi="Verdana"/>
          <w:sz w:val="18"/>
          <w:szCs w:val="18"/>
        </w:rPr>
        <w:t xml:space="preserve"> reductie. </w:t>
      </w:r>
      <w:r w:rsidRPr="00E45D6A" w:rsidR="00806361">
        <w:rPr>
          <w:rFonts w:ascii="Verdana" w:hAnsi="Verdana"/>
          <w:sz w:val="18"/>
          <w:szCs w:val="18"/>
        </w:rPr>
        <w:t xml:space="preserve">In het algemeen geldt dat naarmate de eisen strenger </w:t>
      </w:r>
      <w:r w:rsidR="005343C9">
        <w:rPr>
          <w:rFonts w:ascii="Verdana" w:hAnsi="Verdana"/>
          <w:sz w:val="18"/>
          <w:szCs w:val="18"/>
        </w:rPr>
        <w:t>worden,</w:t>
      </w:r>
      <w:r w:rsidRPr="00E45D6A" w:rsidR="00806361">
        <w:rPr>
          <w:rFonts w:ascii="Verdana" w:hAnsi="Verdana"/>
          <w:sz w:val="18"/>
          <w:szCs w:val="18"/>
        </w:rPr>
        <w:t xml:space="preserve"> dit leidt tot (extra) milieuwinst</w:t>
      </w:r>
      <w:r w:rsidR="00806361">
        <w:rPr>
          <w:rFonts w:ascii="Verdana" w:hAnsi="Verdana"/>
          <w:sz w:val="18"/>
          <w:szCs w:val="18"/>
        </w:rPr>
        <w:t>.</w:t>
      </w:r>
      <w:r w:rsidR="00806361">
        <w:rPr>
          <w:rStyle w:val="Voetnootmarkering"/>
          <w:rFonts w:ascii="Verdana" w:hAnsi="Verdana"/>
          <w:sz w:val="18"/>
          <w:szCs w:val="18"/>
        </w:rPr>
        <w:footnoteReference w:id="35"/>
      </w:r>
      <w:r w:rsidR="00806361">
        <w:rPr>
          <w:rFonts w:ascii="Verdana" w:hAnsi="Verdana"/>
          <w:sz w:val="18"/>
          <w:szCs w:val="18"/>
        </w:rPr>
        <w:t xml:space="preserve"> </w:t>
      </w:r>
      <w:r w:rsidR="005343C9">
        <w:rPr>
          <w:rFonts w:ascii="Verdana" w:hAnsi="Verdana" w:eastAsia="Times New Roman" w:cs="Times New Roman"/>
          <w:sz w:val="18"/>
          <w:szCs w:val="18"/>
        </w:rPr>
        <w:t>De verplichtingen in dit wetsvoorstel</w:t>
      </w:r>
      <w:r w:rsidRPr="00E43A50">
        <w:rPr>
          <w:rFonts w:ascii="Verdana" w:hAnsi="Verdana" w:eastAsia="Times New Roman" w:cs="Times New Roman"/>
          <w:sz w:val="18"/>
          <w:szCs w:val="18"/>
        </w:rPr>
        <w:t xml:space="preserve"> word</w:t>
      </w:r>
      <w:r w:rsidR="005343C9">
        <w:rPr>
          <w:rFonts w:ascii="Verdana" w:hAnsi="Verdana" w:eastAsia="Times New Roman" w:cs="Times New Roman"/>
          <w:sz w:val="18"/>
          <w:szCs w:val="18"/>
        </w:rPr>
        <w:t>en</w:t>
      </w:r>
      <w:r w:rsidRPr="00E43A50">
        <w:rPr>
          <w:rFonts w:ascii="Verdana" w:hAnsi="Verdana" w:eastAsia="Times New Roman" w:cs="Times New Roman"/>
          <w:sz w:val="18"/>
          <w:szCs w:val="18"/>
        </w:rPr>
        <w:t xml:space="preserve"> gezien als een van de grootste potentiële klimaateffecten van de 55 maatregelen uit het NPCE, samen met de levensduurverlenging van producten.</w:t>
      </w:r>
      <w:r w:rsidRPr="00E43A50">
        <w:rPr>
          <w:rFonts w:ascii="Verdana" w:hAnsi="Verdana" w:eastAsia="Times New Roman" w:cs="Times New Roman"/>
          <w:sz w:val="18"/>
          <w:szCs w:val="18"/>
          <w:vertAlign w:val="superscript"/>
        </w:rPr>
        <w:footnoteReference w:id="36"/>
      </w:r>
      <w:r w:rsidRPr="00E43A50">
        <w:rPr>
          <w:rFonts w:ascii="Verdana" w:hAnsi="Verdana" w:eastAsia="Times New Roman" w:cs="Times New Roman"/>
          <w:sz w:val="18"/>
          <w:szCs w:val="18"/>
          <w:vertAlign w:val="superscript"/>
        </w:rPr>
        <w:t xml:space="preserve"> </w:t>
      </w:r>
      <w:r w:rsidR="005343C9">
        <w:rPr>
          <w:rFonts w:ascii="Verdana" w:hAnsi="Verdana"/>
          <w:sz w:val="18"/>
          <w:szCs w:val="18"/>
        </w:rPr>
        <w:t xml:space="preserve">Met bovenstaande gegevens </w:t>
      </w:r>
      <w:r w:rsidRPr="00E45D6A" w:rsidR="005343C9">
        <w:rPr>
          <w:rFonts w:ascii="Verdana" w:hAnsi="Verdana"/>
          <w:sz w:val="18"/>
          <w:szCs w:val="18"/>
        </w:rPr>
        <w:t xml:space="preserve">is </w:t>
      </w:r>
      <w:r w:rsidR="005343C9">
        <w:rPr>
          <w:rFonts w:ascii="Verdana" w:hAnsi="Verdana"/>
          <w:sz w:val="18"/>
          <w:szCs w:val="18"/>
        </w:rPr>
        <w:t xml:space="preserve">voor beide verplichtingen </w:t>
      </w:r>
      <w:r w:rsidRPr="00E45D6A" w:rsidR="005343C9">
        <w:rPr>
          <w:rFonts w:ascii="Verdana" w:hAnsi="Verdana"/>
          <w:sz w:val="18"/>
          <w:szCs w:val="18"/>
        </w:rPr>
        <w:t xml:space="preserve">de basis gelegd voor </w:t>
      </w:r>
      <w:r w:rsidR="005343C9">
        <w:rPr>
          <w:rFonts w:ascii="Verdana" w:hAnsi="Verdana"/>
          <w:sz w:val="18"/>
          <w:szCs w:val="18"/>
        </w:rPr>
        <w:t xml:space="preserve">een </w:t>
      </w:r>
      <w:r w:rsidRPr="00E45D6A" w:rsidR="005343C9">
        <w:rPr>
          <w:rFonts w:ascii="Verdana" w:hAnsi="Verdana"/>
          <w:sz w:val="18"/>
          <w:szCs w:val="18"/>
        </w:rPr>
        <w:t>evalueerbare doel</w:t>
      </w:r>
      <w:r w:rsidR="005343C9">
        <w:rPr>
          <w:rFonts w:ascii="Verdana" w:hAnsi="Verdana"/>
          <w:sz w:val="18"/>
          <w:szCs w:val="18"/>
        </w:rPr>
        <w:t xml:space="preserve">stelling. Deze wordt vastgesteld wanneer de hoogte van de milieuprestatie-eisen en de minimum geraamde opdrachtwaarde bij of krachtens amvb wordt vastgesteld. </w:t>
      </w:r>
      <w:r w:rsidRPr="00E43A50">
        <w:rPr>
          <w:rFonts w:ascii="Verdana" w:hAnsi="Verdana" w:eastAsia="Times New Roman" w:cs="Times New Roman"/>
          <w:sz w:val="18"/>
          <w:szCs w:val="18"/>
        </w:rPr>
        <w:t xml:space="preserve">Het stellen van </w:t>
      </w:r>
      <w:r w:rsidRPr="00E43A50" w:rsidR="00E90140">
        <w:rPr>
          <w:rFonts w:ascii="Verdana" w:hAnsi="Verdana" w:eastAsia="Times New Roman" w:cs="Times New Roman"/>
          <w:sz w:val="18"/>
          <w:szCs w:val="18"/>
        </w:rPr>
        <w:t>milieu</w:t>
      </w:r>
      <w:r w:rsidRPr="00E43A50">
        <w:rPr>
          <w:rFonts w:ascii="Verdana" w:hAnsi="Verdana" w:eastAsia="Times New Roman" w:cs="Times New Roman"/>
          <w:sz w:val="18"/>
          <w:szCs w:val="18"/>
        </w:rPr>
        <w:t xml:space="preserve">prestatie-eisen aan de meest impactvolle </w:t>
      </w:r>
      <w:r w:rsidRPr="00E43A50" w:rsidR="005A0525">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 xml:space="preserve">in de GWW draagt ook positief bij aan leveringszekerheid van grondstoffen, doordat het gebruik van niet-schaarse grondstoffen, de toepassing van secundaire en/of biotische grondstoffen en in de toekomst goed te recyclen </w:t>
      </w:r>
      <w:r w:rsidRPr="00E43A50" w:rsidR="005A0525">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bijdragen aan een lagere milieubelasting.</w:t>
      </w:r>
      <w:r w:rsidRPr="00E43A50">
        <w:rPr>
          <w:rFonts w:ascii="Verdana" w:hAnsi="Verdana" w:eastAsia="Times New Roman" w:cs="Times New Roman"/>
          <w:sz w:val="18"/>
          <w:szCs w:val="18"/>
          <w:vertAlign w:val="superscript"/>
        </w:rPr>
        <w:footnoteReference w:id="37"/>
      </w:r>
      <w:r w:rsidRPr="00E43A50">
        <w:rPr>
          <w:rFonts w:ascii="Verdana" w:hAnsi="Verdana" w:eastAsia="Times New Roman" w:cs="Times New Roman"/>
          <w:sz w:val="18"/>
          <w:szCs w:val="18"/>
        </w:rPr>
        <w:t xml:space="preserve"> Het stellen van minimumeisen aan milieu-impact kan indirect leiden tot meer hergebruik en een hoger aandeel recyclaat in GWW</w:t>
      </w:r>
      <w:r w:rsidRPr="00E43A50" w:rsidR="00C56F4C">
        <w:rPr>
          <w:rFonts w:ascii="Verdana" w:hAnsi="Verdana" w:eastAsia="Times New Roman" w:cs="Times New Roman"/>
          <w:sz w:val="18"/>
          <w:szCs w:val="18"/>
        </w:rPr>
        <w:t>-werken</w:t>
      </w:r>
      <w:r w:rsidRPr="00E43A50">
        <w:rPr>
          <w:rFonts w:ascii="Verdana" w:hAnsi="Verdana" w:eastAsia="Times New Roman" w:cs="Times New Roman"/>
          <w:sz w:val="18"/>
          <w:szCs w:val="18"/>
        </w:rPr>
        <w:t>,</w:t>
      </w:r>
      <w:r w:rsidRPr="00E43A50" w:rsidDel="00B006DF">
        <w:rPr>
          <w:rFonts w:ascii="Verdana" w:hAnsi="Verdana" w:eastAsia="Times New Roman" w:cs="Times New Roman"/>
          <w:sz w:val="18"/>
          <w:szCs w:val="18"/>
        </w:rPr>
        <w:t xml:space="preserve"> </w:t>
      </w:r>
      <w:r w:rsidRPr="00E43A50">
        <w:rPr>
          <w:rFonts w:ascii="Verdana" w:hAnsi="Verdana" w:eastAsia="Times New Roman" w:cs="Times New Roman"/>
          <w:sz w:val="18"/>
          <w:szCs w:val="18"/>
        </w:rPr>
        <w:t>wat op hun beurt primair grondstoffengebruik verminder</w:t>
      </w:r>
      <w:r w:rsidRPr="00E43A50" w:rsidR="00961BF9">
        <w:rPr>
          <w:rFonts w:ascii="Verdana" w:hAnsi="Verdana" w:eastAsia="Times New Roman" w:cs="Times New Roman"/>
          <w:sz w:val="18"/>
          <w:szCs w:val="18"/>
        </w:rPr>
        <w:t>t</w:t>
      </w:r>
      <w:r w:rsidRPr="00E43A50">
        <w:rPr>
          <w:rFonts w:ascii="Verdana" w:hAnsi="Verdana" w:eastAsia="Times New Roman" w:cs="Times New Roman"/>
          <w:sz w:val="18"/>
          <w:szCs w:val="18"/>
        </w:rPr>
        <w:t xml:space="preserve"> en een positief effect heeft op leveringszekerheid van grondstoffen.</w:t>
      </w:r>
      <w:r w:rsidRPr="00E43A50">
        <w:rPr>
          <w:rFonts w:ascii="Verdana" w:hAnsi="Verdana" w:eastAsia="Times New Roman" w:cs="Times New Roman"/>
          <w:sz w:val="18"/>
          <w:szCs w:val="18"/>
          <w:vertAlign w:val="superscript"/>
        </w:rPr>
        <w:footnoteReference w:id="38"/>
      </w:r>
      <w:r w:rsidRPr="00E43A50">
        <w:rPr>
          <w:rFonts w:ascii="Verdana" w:hAnsi="Verdana" w:eastAsia="Times New Roman" w:cs="Times New Roman"/>
          <w:sz w:val="18"/>
          <w:szCs w:val="18"/>
          <w:vertAlign w:val="superscript"/>
        </w:rPr>
        <w:t xml:space="preserve"> </w:t>
      </w:r>
    </w:p>
    <w:p w:rsidRPr="00E43A50" w:rsidR="004F0533" w:rsidP="00643E93" w:rsidRDefault="004F0533" w14:paraId="338C56C2" w14:textId="77777777">
      <w:pPr>
        <w:spacing w:after="0" w:line="276" w:lineRule="auto"/>
        <w:rPr>
          <w:rFonts w:ascii="Verdana" w:hAnsi="Verdana" w:eastAsia="Times New Roman" w:cs="Times New Roman"/>
          <w:sz w:val="18"/>
          <w:szCs w:val="18"/>
        </w:rPr>
      </w:pPr>
    </w:p>
    <w:p w:rsidRPr="000D33D1" w:rsidR="000D33D1" w:rsidP="00643E93" w:rsidRDefault="0011677F" w14:paraId="6CAC3291" w14:textId="551E7B27">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De</w:t>
      </w:r>
      <w:r w:rsidRPr="00E43A50" w:rsidR="004F0533">
        <w:rPr>
          <w:rFonts w:ascii="Verdana" w:hAnsi="Verdana" w:eastAsia="Times New Roman" w:cs="Times New Roman"/>
          <w:sz w:val="18"/>
          <w:szCs w:val="18"/>
        </w:rPr>
        <w:t xml:space="preserve"> bindende landelijke maatregel</w:t>
      </w:r>
      <w:r>
        <w:rPr>
          <w:rFonts w:ascii="Verdana" w:hAnsi="Verdana" w:eastAsia="Times New Roman" w:cs="Times New Roman"/>
          <w:sz w:val="18"/>
          <w:szCs w:val="18"/>
        </w:rPr>
        <w:t xml:space="preserve"> leidt ook</w:t>
      </w:r>
      <w:r w:rsidRPr="00E43A50" w:rsidR="004F0533">
        <w:rPr>
          <w:rFonts w:ascii="Verdana" w:hAnsi="Verdana" w:eastAsia="Times New Roman" w:cs="Times New Roman"/>
          <w:sz w:val="18"/>
          <w:szCs w:val="18"/>
        </w:rPr>
        <w:t xml:space="preserve"> tot andere positieve milieueffecten</w:t>
      </w:r>
      <w:r>
        <w:rPr>
          <w:rFonts w:ascii="Verdana" w:hAnsi="Verdana" w:eastAsia="Times New Roman" w:cs="Times New Roman"/>
          <w:sz w:val="18"/>
          <w:szCs w:val="18"/>
        </w:rPr>
        <w:t xml:space="preserve">, </w:t>
      </w:r>
      <w:bookmarkStart w:name="_Hlk201641282" w:id="38"/>
      <w:r>
        <w:rPr>
          <w:rFonts w:ascii="Verdana" w:hAnsi="Verdana" w:eastAsia="Times New Roman" w:cs="Times New Roman"/>
          <w:sz w:val="18"/>
          <w:szCs w:val="18"/>
        </w:rPr>
        <w:t>zo blijkt uit onderzoek</w:t>
      </w:r>
      <w:r w:rsidR="00112122">
        <w:rPr>
          <w:rFonts w:ascii="Verdana" w:hAnsi="Verdana" w:eastAsia="Times New Roman" w:cs="Times New Roman"/>
          <w:sz w:val="18"/>
          <w:szCs w:val="18"/>
        </w:rPr>
        <w:t>.</w:t>
      </w:r>
      <w:r>
        <w:rPr>
          <w:rStyle w:val="Voetnootmarkering"/>
          <w:rFonts w:ascii="Verdana" w:hAnsi="Verdana" w:eastAsia="Times New Roman" w:cs="Times New Roman"/>
          <w:sz w:val="18"/>
          <w:szCs w:val="18"/>
        </w:rPr>
        <w:footnoteReference w:id="39"/>
      </w:r>
      <w:r w:rsidRPr="00E43A50" w:rsidR="004F0533">
        <w:rPr>
          <w:rFonts w:ascii="Verdana" w:hAnsi="Verdana" w:eastAsia="Times New Roman" w:cs="Times New Roman"/>
          <w:sz w:val="18"/>
          <w:szCs w:val="18"/>
        </w:rPr>
        <w:t xml:space="preserve"> </w:t>
      </w:r>
      <w:bookmarkEnd w:id="38"/>
      <w:r w:rsidR="000D33D1">
        <w:rPr>
          <w:rFonts w:ascii="Verdana" w:hAnsi="Verdana" w:eastAsia="Times New Roman" w:cs="Times New Roman"/>
          <w:sz w:val="18"/>
          <w:szCs w:val="18"/>
        </w:rPr>
        <w:t>E</w:t>
      </w:r>
      <w:r w:rsidRPr="00E43A50" w:rsidR="00C56F4C">
        <w:rPr>
          <w:rFonts w:ascii="Verdana" w:hAnsi="Verdana" w:eastAsia="Times New Roman" w:cs="Times New Roman"/>
          <w:sz w:val="18"/>
          <w:szCs w:val="18"/>
        </w:rPr>
        <w:t xml:space="preserve">isen </w:t>
      </w:r>
      <w:r w:rsidRPr="000D33D1" w:rsidR="000D33D1">
        <w:rPr>
          <w:rFonts w:ascii="Verdana" w:hAnsi="Verdana" w:eastAsia="Times New Roman" w:cs="Times New Roman"/>
          <w:sz w:val="18"/>
          <w:szCs w:val="18"/>
        </w:rPr>
        <w:t>die de milieubelasting van GWW-werken beperken</w:t>
      </w:r>
    </w:p>
    <w:p w:rsidR="0011677F" w:rsidP="00643E93" w:rsidRDefault="00C56F4C" w14:paraId="6840A6FD" w14:textId="0D675C24">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kunnen bijdragen </w:t>
      </w:r>
      <w:r w:rsidRPr="00E43A50" w:rsidR="004F0533">
        <w:rPr>
          <w:rFonts w:ascii="Verdana" w:hAnsi="Verdana" w:eastAsia="Times New Roman" w:cs="Times New Roman"/>
          <w:sz w:val="18"/>
          <w:szCs w:val="18"/>
        </w:rPr>
        <w:t xml:space="preserve">aan het minimaliseren van schadelijke effecten op biodiversiteit, bodemkwaliteit en (drink)waterkwaliteit, waaronder stikstof. Dit leidt ook tot een betere en schonere leefomgeving voor de inwoners van Nederland. </w:t>
      </w:r>
    </w:p>
    <w:p w:rsidR="0046734D" w:rsidP="00643E93" w:rsidRDefault="0046734D" w14:paraId="1065DF24" w14:textId="77777777">
      <w:pPr>
        <w:spacing w:after="0" w:line="276" w:lineRule="auto"/>
        <w:rPr>
          <w:rFonts w:ascii="Verdana" w:hAnsi="Verdana" w:eastAsia="Times New Roman" w:cs="Times New Roman"/>
          <w:sz w:val="18"/>
          <w:szCs w:val="18"/>
        </w:rPr>
      </w:pPr>
    </w:p>
    <w:p w:rsidR="0046734D" w:rsidP="00643E93" w:rsidRDefault="000D33D1" w14:paraId="1822F9E8" w14:textId="193B4E8E">
      <w:pPr>
        <w:spacing w:after="0" w:line="276" w:lineRule="auto"/>
        <w:rPr>
          <w:rFonts w:ascii="Verdana" w:hAnsi="Verdana" w:eastAsia="Times New Roman" w:cs="Times New Roman"/>
          <w:sz w:val="18"/>
          <w:szCs w:val="18"/>
        </w:rPr>
      </w:pPr>
      <w:r w:rsidRPr="00773EC1">
        <w:rPr>
          <w:rFonts w:ascii="Verdana" w:hAnsi="Verdana"/>
          <w:sz w:val="18"/>
          <w:szCs w:val="18"/>
        </w:rPr>
        <w:t>E</w:t>
      </w:r>
      <w:r w:rsidRPr="000D33D1">
        <w:rPr>
          <w:rFonts w:ascii="Verdana" w:hAnsi="Verdana" w:eastAsia="Times New Roman" w:cs="Times New Roman"/>
          <w:sz w:val="18"/>
          <w:szCs w:val="18"/>
        </w:rPr>
        <w:t>isen die de milieubelasting van GWW-werken beperken</w:t>
      </w:r>
      <w:r w:rsidR="0046734D">
        <w:rPr>
          <w:rFonts w:ascii="Verdana" w:hAnsi="Verdana" w:eastAsia="Times New Roman" w:cs="Times New Roman"/>
          <w:sz w:val="18"/>
          <w:szCs w:val="18"/>
        </w:rPr>
        <w:t xml:space="preserve"> kunnen leiden tot het toepass</w:t>
      </w:r>
      <w:r w:rsidR="00BB402F">
        <w:rPr>
          <w:rFonts w:ascii="Verdana" w:hAnsi="Verdana" w:eastAsia="Times New Roman" w:cs="Times New Roman"/>
          <w:sz w:val="18"/>
          <w:szCs w:val="18"/>
        </w:rPr>
        <w:t>en</w:t>
      </w:r>
      <w:r w:rsidR="0046734D">
        <w:rPr>
          <w:rFonts w:ascii="Verdana" w:hAnsi="Verdana" w:eastAsia="Times New Roman" w:cs="Times New Roman"/>
          <w:sz w:val="18"/>
          <w:szCs w:val="18"/>
        </w:rPr>
        <w:t xml:space="preserve"> van andere bouwmaterialen, zoals biobased producten. De Nationale Aanpak Biobased Bouwen (NABB) is opgezet om ketens op te bouwen die zorgen voor een volwassen markt van teelt, verwerking en toepassing van biobased materialen en producten in de bouw.</w:t>
      </w:r>
      <w:r w:rsidR="0046734D">
        <w:rPr>
          <w:rStyle w:val="Voetnootmarkering"/>
          <w:rFonts w:ascii="Verdana" w:hAnsi="Verdana" w:eastAsia="Times New Roman" w:cs="Times New Roman"/>
          <w:sz w:val="18"/>
          <w:szCs w:val="18"/>
        </w:rPr>
        <w:footnoteReference w:id="40"/>
      </w:r>
    </w:p>
    <w:p w:rsidR="0011677F" w:rsidP="00643E93" w:rsidRDefault="0011677F" w14:paraId="5B12D418" w14:textId="77777777">
      <w:pPr>
        <w:spacing w:after="0" w:line="276" w:lineRule="auto"/>
        <w:rPr>
          <w:rFonts w:ascii="Verdana" w:hAnsi="Verdana" w:eastAsia="Times New Roman" w:cs="Times New Roman"/>
          <w:sz w:val="18"/>
          <w:szCs w:val="18"/>
        </w:rPr>
      </w:pPr>
    </w:p>
    <w:p w:rsidRPr="0011677F" w:rsidR="00112122" w:rsidP="00643E93" w:rsidRDefault="004F0533" w14:paraId="5BBC5310" w14:textId="1E5FD892">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lastRenderedPageBreak/>
        <w:t xml:space="preserve">Het is denkbaar dat de beoogde </w:t>
      </w:r>
      <w:r w:rsidR="000D33D1">
        <w:rPr>
          <w:rFonts w:ascii="Verdana" w:hAnsi="Verdana" w:eastAsia="Times New Roman" w:cs="Times New Roman"/>
          <w:sz w:val="18"/>
          <w:szCs w:val="18"/>
        </w:rPr>
        <w:t>verplichtingen</w:t>
      </w:r>
      <w:r w:rsidRPr="00E43A50">
        <w:rPr>
          <w:rFonts w:ascii="Verdana" w:hAnsi="Verdana" w:eastAsia="Times New Roman" w:cs="Times New Roman"/>
          <w:sz w:val="18"/>
          <w:szCs w:val="18"/>
        </w:rPr>
        <w:t xml:space="preserve"> met onbedoelde, negatieve neveneffecten gepaard gaan. </w:t>
      </w:r>
      <w:r w:rsidRPr="00E43A50" w:rsidR="00C56F4C">
        <w:rPr>
          <w:rFonts w:ascii="Verdana" w:hAnsi="Verdana" w:eastAsia="Times New Roman" w:cs="Calibri"/>
          <w:sz w:val="18"/>
          <w:szCs w:val="18"/>
        </w:rPr>
        <w:t>In paragraaf 6.3 wordt hier verder op ingegaan.</w:t>
      </w:r>
      <w:r w:rsidR="00961846">
        <w:rPr>
          <w:rFonts w:ascii="Verdana" w:hAnsi="Verdana" w:eastAsia="Times New Roman" w:cs="Calibri"/>
          <w:sz w:val="18"/>
          <w:szCs w:val="18"/>
        </w:rPr>
        <w:t xml:space="preserve"> </w:t>
      </w:r>
      <w:r w:rsidRPr="00E43A50" w:rsidR="00FD46D5">
        <w:rPr>
          <w:rFonts w:ascii="Verdana" w:hAnsi="Verdana" w:eastAsia="Times New Roman" w:cs="Calibri"/>
          <w:sz w:val="18"/>
          <w:szCs w:val="18"/>
        </w:rPr>
        <w:t xml:space="preserve">Het gaat dan om milieueffecten in brede zin, inclusief effecten als broeikasgasemissies, grondstoffengebruik en ruimtegebruik. Het verplicht aanbesteden met </w:t>
      </w:r>
      <w:r w:rsidRPr="000D33D1" w:rsidR="000D33D1">
        <w:rPr>
          <w:rFonts w:ascii="Verdana" w:hAnsi="Verdana" w:eastAsia="Times New Roman" w:cs="Calibri"/>
          <w:sz w:val="18"/>
          <w:szCs w:val="18"/>
        </w:rPr>
        <w:t>eisen die de milieubelasting van GWW-werken beperken</w:t>
      </w:r>
      <w:r w:rsidRPr="00E43A50" w:rsidR="000D33D1">
        <w:rPr>
          <w:rFonts w:ascii="Verdana" w:hAnsi="Verdana" w:eastAsia="Times New Roman" w:cs="Calibri"/>
          <w:sz w:val="18"/>
          <w:szCs w:val="18"/>
        </w:rPr>
        <w:t xml:space="preserve"> </w:t>
      </w:r>
      <w:r w:rsidRPr="00E43A50" w:rsidR="00FD46D5">
        <w:rPr>
          <w:rFonts w:ascii="Verdana" w:hAnsi="Verdana" w:eastAsia="Times New Roman" w:cs="Calibri"/>
          <w:sz w:val="18"/>
          <w:szCs w:val="18"/>
        </w:rPr>
        <w:t xml:space="preserve">leidt echter primair tot positieve maatschappelijke milieueffecten; te weten het verlagen van de milieu-impact van GWW-werken. </w:t>
      </w:r>
    </w:p>
    <w:p w:rsidRPr="005B4CB1" w:rsidR="004F0533" w:rsidP="00643E93" w:rsidRDefault="004F0533" w14:paraId="71638ED7" w14:textId="77777777">
      <w:pPr>
        <w:spacing w:after="0" w:line="276" w:lineRule="auto"/>
        <w:rPr>
          <w:rFonts w:ascii="Verdana" w:hAnsi="Verdana" w:eastAsia="Times New Roman" w:cs="Times New Roman"/>
          <w:sz w:val="21"/>
          <w:szCs w:val="21"/>
        </w:rPr>
      </w:pPr>
    </w:p>
    <w:p w:rsidRPr="00E43A50" w:rsidR="004F0533" w:rsidP="00643E93" w:rsidRDefault="004F0533" w14:paraId="136BC53F" w14:textId="1395A5BF">
      <w:pPr>
        <w:pStyle w:val="Kop4"/>
        <w:numPr>
          <w:ilvl w:val="1"/>
          <w:numId w:val="24"/>
        </w:numPr>
        <w:spacing w:line="276" w:lineRule="auto"/>
      </w:pPr>
      <w:bookmarkStart w:name="_Toc195040760" w:id="39"/>
      <w:r w:rsidRPr="00E43A50">
        <w:t>Afstemming met belangengroepen</w:t>
      </w:r>
      <w:bookmarkEnd w:id="39"/>
    </w:p>
    <w:p w:rsidRPr="00E43A50" w:rsidR="004F0533" w:rsidP="00643E93" w:rsidRDefault="004F0533" w14:paraId="287AAE2C" w14:textId="57DE99C6">
      <w:pPr>
        <w:spacing w:after="0" w:line="276" w:lineRule="auto"/>
        <w:rPr>
          <w:rFonts w:ascii="Verdana" w:hAnsi="Verdana" w:eastAsia="Times New Roman" w:cs="Times New Roman"/>
          <w:sz w:val="18"/>
          <w:szCs w:val="18"/>
        </w:rPr>
      </w:pPr>
      <w:bookmarkStart w:name="_Toc195040761" w:id="40"/>
      <w:r w:rsidRPr="00E43A50">
        <w:rPr>
          <w:rFonts w:ascii="Verdana" w:hAnsi="Verdana" w:eastAsia="Times New Roman" w:cs="Times New Roman"/>
          <w:sz w:val="18"/>
          <w:szCs w:val="18"/>
        </w:rPr>
        <w:t xml:space="preserve">Tijdens het schrijven van 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en preciseren van de verplichtingen is actief gezocht naar afstemming en overleg met relevante belangengroepen. Het doel is om de verschillende perspectieven en belangen te begrijpen, zodat het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goed aansluit bij de wensen en zorgen van de betrokkenen. Voor de totstandkoming van dit voorstel is uitgebreid overlegd met de Vereniging van Nederlandse Gemeenten (VNG), het Interprovinciaal overleg (IPO) en de Unie van Waterschappen (UvW)</w:t>
      </w:r>
      <w:r w:rsidRPr="00E43A50" w:rsidR="00CC408C">
        <w:rPr>
          <w:rFonts w:ascii="Verdana" w:hAnsi="Verdana" w:eastAsia="Times New Roman" w:cs="Times New Roman"/>
          <w:sz w:val="18"/>
          <w:szCs w:val="18"/>
        </w:rPr>
        <w:t xml:space="preserve"> – onder andere via het proces van de Uitvoeringstoets Decentrale Overheden dat nader toegelicht wordt in hoofdstuk 7.3</w:t>
      </w:r>
      <w:r w:rsidRPr="00E43A50">
        <w:rPr>
          <w:rFonts w:ascii="Verdana" w:hAnsi="Verdana" w:eastAsia="Times New Roman" w:cs="Times New Roman"/>
          <w:sz w:val="18"/>
          <w:szCs w:val="18"/>
        </w:rPr>
        <w:t xml:space="preserve"> </w:t>
      </w:r>
      <w:r w:rsidR="00AC5FE5">
        <w:rPr>
          <w:rFonts w:ascii="Verdana" w:hAnsi="Verdana" w:eastAsia="Times New Roman" w:cs="Times New Roman"/>
          <w:sz w:val="18"/>
          <w:szCs w:val="18"/>
        </w:rPr>
        <w:t xml:space="preserve">- </w:t>
      </w:r>
      <w:r w:rsidRPr="00E43A50">
        <w:rPr>
          <w:rFonts w:ascii="Verdana" w:hAnsi="Verdana" w:eastAsia="Times New Roman" w:cs="Times New Roman"/>
          <w:sz w:val="18"/>
          <w:szCs w:val="18"/>
        </w:rPr>
        <w:t>marktpartijen, ingenieursbureaus en diverse aanbestedende diensten en speciale</w:t>
      </w:r>
      <w:r w:rsidRPr="00E43A50" w:rsidR="00E90140">
        <w:rPr>
          <w:rFonts w:ascii="Verdana" w:hAnsi="Verdana" w:eastAsia="Times New Roman" w:cs="Times New Roman"/>
          <w:sz w:val="18"/>
          <w:szCs w:val="18"/>
        </w:rPr>
        <w:t>-</w:t>
      </w:r>
      <w:r w:rsidRPr="00E43A50">
        <w:rPr>
          <w:rFonts w:ascii="Verdana" w:hAnsi="Verdana" w:eastAsia="Times New Roman" w:cs="Times New Roman"/>
          <w:sz w:val="18"/>
          <w:szCs w:val="18"/>
        </w:rPr>
        <w:t xml:space="preserve">sectorbedrijven. Ook zijn gesprekken gevoerd met medewerkers van </w:t>
      </w:r>
      <w:r w:rsidR="0043376A">
        <w:rPr>
          <w:rFonts w:ascii="Verdana" w:hAnsi="Verdana" w:eastAsia="Times New Roman" w:cs="Times New Roman"/>
          <w:sz w:val="18"/>
          <w:szCs w:val="18"/>
          <w:lang w:eastAsia="nl-NL"/>
        </w:rPr>
        <w:t>aanbestedende diensten en speciale-sectorbedrijven</w:t>
      </w:r>
      <w:r w:rsidRPr="00F5605C" w:rsidR="0043376A">
        <w:rPr>
          <w:rFonts w:ascii="Verdana" w:hAnsi="Verdana" w:eastAsia="Times New Roman" w:cs="Times New Roman"/>
          <w:sz w:val="18"/>
          <w:szCs w:val="18"/>
          <w:lang w:eastAsia="nl-NL"/>
        </w:rPr>
        <w:t xml:space="preserve"> </w:t>
      </w:r>
      <w:r w:rsidRPr="00E43A50">
        <w:rPr>
          <w:rFonts w:ascii="Verdana" w:hAnsi="Verdana" w:eastAsia="Times New Roman" w:cs="Times New Roman"/>
          <w:sz w:val="18"/>
          <w:szCs w:val="18"/>
        </w:rPr>
        <w:t xml:space="preserve">van verschillende omvang en vanuit verschillende gebieden en regio's. Daarnaast zijn gesprekken gevoerd met producenten, aannemers, afvalverwerkers en leveranciers. Ook is gesproken met </w:t>
      </w:r>
      <w:r w:rsidRPr="00E43A50" w:rsidR="00C85C7F">
        <w:rPr>
          <w:rFonts w:ascii="Verdana" w:hAnsi="Verdana" w:eastAsia="Times New Roman" w:cs="Times New Roman"/>
          <w:sz w:val="18"/>
          <w:szCs w:val="18"/>
        </w:rPr>
        <w:t xml:space="preserve">brancheverenigingen </w:t>
      </w:r>
      <w:r w:rsidRPr="00E43A50" w:rsidR="00290C16">
        <w:rPr>
          <w:rFonts w:ascii="Verdana" w:hAnsi="Verdana" w:eastAsia="Times New Roman" w:cs="Times New Roman"/>
          <w:sz w:val="18"/>
          <w:szCs w:val="18"/>
        </w:rPr>
        <w:t>die toeleveranciers van bouwproducten vertegenwoordigen</w:t>
      </w:r>
      <w:r w:rsidRPr="00E43A50">
        <w:rPr>
          <w:rFonts w:ascii="Verdana" w:hAnsi="Verdana" w:eastAsia="Times New Roman" w:cs="Times New Roman"/>
          <w:sz w:val="18"/>
          <w:szCs w:val="18"/>
        </w:rPr>
        <w:t>, MKB infra</w:t>
      </w:r>
      <w:r w:rsidRPr="00E43A50" w:rsidR="00C85C7F">
        <w:rPr>
          <w:rFonts w:ascii="Verdana" w:hAnsi="Verdana" w:eastAsia="Times New Roman" w:cs="Times New Roman"/>
          <w:sz w:val="18"/>
          <w:szCs w:val="18"/>
        </w:rPr>
        <w:t xml:space="preserve"> en</w:t>
      </w:r>
      <w:r w:rsidRPr="00E43A50">
        <w:rPr>
          <w:rFonts w:ascii="Verdana" w:hAnsi="Verdana" w:eastAsia="Times New Roman" w:cs="Times New Roman"/>
          <w:sz w:val="18"/>
          <w:szCs w:val="18"/>
        </w:rPr>
        <w:t xml:space="preserve"> Bouwend Nederland</w:t>
      </w:r>
      <w:r w:rsidRPr="00E43A50" w:rsidR="00C85C7F">
        <w:rPr>
          <w:rFonts w:ascii="Verdana" w:hAnsi="Verdana" w:eastAsia="Times New Roman" w:cs="Times New Roman"/>
          <w:sz w:val="18"/>
          <w:szCs w:val="18"/>
        </w:rPr>
        <w:t xml:space="preserve"> en onafhankelijke organisaties binnen het Nederlandse aanbestedings- en </w:t>
      </w:r>
      <w:r w:rsidRPr="00E43A50" w:rsidR="00317962">
        <w:rPr>
          <w:rFonts w:ascii="Verdana" w:hAnsi="Verdana" w:eastAsia="Times New Roman" w:cs="Times New Roman"/>
          <w:sz w:val="18"/>
          <w:szCs w:val="18"/>
        </w:rPr>
        <w:t>GWW-</w:t>
      </w:r>
      <w:r w:rsidRPr="00E43A50" w:rsidR="00C85C7F">
        <w:rPr>
          <w:rFonts w:ascii="Verdana" w:hAnsi="Verdana" w:eastAsia="Times New Roman" w:cs="Times New Roman"/>
          <w:sz w:val="18"/>
          <w:szCs w:val="18"/>
        </w:rPr>
        <w:t>domein</w:t>
      </w:r>
      <w:r w:rsidRPr="00E43A50">
        <w:rPr>
          <w:rFonts w:ascii="Verdana" w:hAnsi="Verdana" w:eastAsia="Times New Roman" w:cs="Times New Roman"/>
          <w:sz w:val="18"/>
          <w:szCs w:val="18"/>
        </w:rPr>
        <w:t xml:space="preserve">, </w:t>
      </w:r>
      <w:r w:rsidRPr="00E43A50" w:rsidR="00C85C7F">
        <w:rPr>
          <w:rFonts w:ascii="Verdana" w:hAnsi="Verdana" w:eastAsia="Times New Roman" w:cs="Times New Roman"/>
          <w:sz w:val="18"/>
          <w:szCs w:val="18"/>
        </w:rPr>
        <w:t xml:space="preserve">zoals </w:t>
      </w:r>
      <w:r w:rsidRPr="00E43A50">
        <w:rPr>
          <w:rFonts w:ascii="Verdana" w:hAnsi="Verdana" w:eastAsia="Times New Roman" w:cs="Times New Roman"/>
          <w:sz w:val="18"/>
          <w:szCs w:val="18"/>
        </w:rPr>
        <w:t>CROW</w:t>
      </w:r>
      <w:r w:rsidRPr="00E43A50" w:rsidR="00C85C7F">
        <w:rPr>
          <w:rFonts w:ascii="Verdana" w:hAnsi="Verdana" w:eastAsia="Times New Roman" w:cs="Times New Roman"/>
          <w:sz w:val="18"/>
          <w:szCs w:val="18"/>
        </w:rPr>
        <w:t xml:space="preserve"> en</w:t>
      </w:r>
      <w:r w:rsidRPr="00E43A50">
        <w:rPr>
          <w:rFonts w:ascii="Verdana" w:hAnsi="Verdana" w:eastAsia="Times New Roman" w:cs="Times New Roman"/>
          <w:sz w:val="18"/>
          <w:szCs w:val="18"/>
        </w:rPr>
        <w:t xml:space="preserve"> PIANOo. Verder is contact geweest met organisaties</w:t>
      </w:r>
      <w:r w:rsidRPr="00E43A50" w:rsidR="00C56F4C">
        <w:rPr>
          <w:rFonts w:ascii="Verdana" w:hAnsi="Verdana" w:eastAsia="Times New Roman" w:cs="Times New Roman"/>
          <w:sz w:val="18"/>
          <w:szCs w:val="18"/>
        </w:rPr>
        <w:t xml:space="preserve"> als</w:t>
      </w:r>
      <w:r w:rsidRPr="00E43A50">
        <w:rPr>
          <w:rFonts w:ascii="Verdana" w:hAnsi="Verdana" w:eastAsia="Times New Roman" w:cs="Times New Roman"/>
          <w:sz w:val="18"/>
          <w:szCs w:val="18"/>
        </w:rPr>
        <w:t xml:space="preserve"> Natuur &amp; Milieu en het Klimaatverbond. Hiermee is beoogd om binnen de aangekondigde beleidsvoornemens te komen tot een in de praktijk zo goed werkbaar mogelijk voorstel.</w:t>
      </w:r>
    </w:p>
    <w:p w:rsidRPr="005B4CB1" w:rsidR="004F0533" w:rsidP="00643E93" w:rsidRDefault="004F0533" w14:paraId="05788EE0" w14:textId="77777777">
      <w:pPr>
        <w:spacing w:after="0" w:line="276" w:lineRule="auto"/>
        <w:rPr>
          <w:rFonts w:ascii="Verdana" w:hAnsi="Verdana" w:eastAsia="Times New Roman" w:cs="Times New Roman"/>
          <w:sz w:val="21"/>
          <w:szCs w:val="21"/>
        </w:rPr>
      </w:pPr>
    </w:p>
    <w:p w:rsidRPr="00E43A50" w:rsidR="004F0533" w:rsidP="00643E93" w:rsidRDefault="004F0533" w14:paraId="7D0DE663" w14:textId="21B6CE3C">
      <w:pPr>
        <w:pStyle w:val="Kop4"/>
        <w:numPr>
          <w:ilvl w:val="1"/>
          <w:numId w:val="24"/>
        </w:numPr>
        <w:spacing w:line="276" w:lineRule="auto"/>
      </w:pPr>
      <w:r w:rsidRPr="00E43A50">
        <w:t>MKB-toets</w:t>
      </w:r>
      <w:bookmarkEnd w:id="40"/>
    </w:p>
    <w:p w:rsidRPr="0011677F" w:rsidR="0011677F" w:rsidP="00643E93" w:rsidRDefault="0011677F" w14:paraId="0278DA86" w14:textId="337BD1A2">
      <w:pPr>
        <w:spacing w:after="200" w:line="276" w:lineRule="auto"/>
        <w:rPr>
          <w:rFonts w:ascii="Verdana" w:hAnsi="Verdana" w:eastAsia="Times New Roman" w:cs="Times New Roman"/>
          <w:sz w:val="18"/>
          <w:szCs w:val="18"/>
        </w:rPr>
      </w:pPr>
      <w:bookmarkStart w:name="_Hlk201641494" w:id="41"/>
      <w:r w:rsidRPr="0011677F">
        <w:rPr>
          <w:rFonts w:ascii="Verdana" w:hAnsi="Verdana" w:eastAsia="Times New Roman" w:cs="Times New Roman"/>
          <w:sz w:val="18"/>
          <w:szCs w:val="18"/>
        </w:rPr>
        <w:t>Op 16 juni heeft er een panelgesprek in het kader van de MKB</w:t>
      </w:r>
      <w:r>
        <w:rPr>
          <w:rFonts w:ascii="Verdana" w:hAnsi="Verdana" w:eastAsia="Times New Roman" w:cs="Times New Roman"/>
          <w:sz w:val="18"/>
          <w:szCs w:val="18"/>
        </w:rPr>
        <w:t>-</w:t>
      </w:r>
      <w:r w:rsidRPr="0011677F">
        <w:rPr>
          <w:rFonts w:ascii="Verdana" w:hAnsi="Verdana" w:eastAsia="Times New Roman" w:cs="Times New Roman"/>
          <w:sz w:val="18"/>
          <w:szCs w:val="18"/>
        </w:rPr>
        <w:t xml:space="preserve">toets plaatsgevonden conform de hiervoor gestelde handreiking. De koepels MKB infra en Bouwend Nederland hebben naast hun eigen inbreng twee individuele MKB-ondernemers </w:t>
      </w:r>
      <w:r>
        <w:rPr>
          <w:rFonts w:ascii="Verdana" w:hAnsi="Verdana" w:eastAsia="Times New Roman" w:cs="Times New Roman"/>
          <w:sz w:val="18"/>
          <w:szCs w:val="18"/>
        </w:rPr>
        <w:t xml:space="preserve">bereid </w:t>
      </w:r>
      <w:r w:rsidRPr="0011677F">
        <w:rPr>
          <w:rFonts w:ascii="Verdana" w:hAnsi="Verdana" w:eastAsia="Times New Roman" w:cs="Times New Roman"/>
          <w:sz w:val="18"/>
          <w:szCs w:val="18"/>
        </w:rPr>
        <w:t xml:space="preserve">gevonden om deel te nemen. In het panelgesprek onderschreven de aanwezigen dat eenduidigheid en continuïteit van belang is. Door milieuprestatie-eisen stapsgewijs te verscherpen, krijgt het MKB de kans om mee te groeien. Het creëren van een gelijk speelveld is cruciaal voor het MKB. Vanuit </w:t>
      </w:r>
      <w:r>
        <w:rPr>
          <w:rFonts w:ascii="Verdana" w:hAnsi="Verdana" w:eastAsia="Times New Roman" w:cs="Times New Roman"/>
          <w:sz w:val="18"/>
          <w:szCs w:val="18"/>
        </w:rPr>
        <w:t>het ministerie van Infrastructuur en Waterstaat</w:t>
      </w:r>
      <w:r w:rsidRPr="0011677F">
        <w:rPr>
          <w:rFonts w:ascii="Verdana" w:hAnsi="Verdana" w:eastAsia="Times New Roman" w:cs="Times New Roman"/>
          <w:sz w:val="18"/>
          <w:szCs w:val="18"/>
        </w:rPr>
        <w:t xml:space="preserve"> is aangegeven om in dit kader rekening te houden met de proportionaliteit van de maatregelen voor het MKB</w:t>
      </w:r>
      <w:r>
        <w:rPr>
          <w:rFonts w:ascii="Verdana" w:hAnsi="Verdana" w:eastAsia="Times New Roman" w:cs="Times New Roman"/>
          <w:sz w:val="18"/>
          <w:szCs w:val="18"/>
        </w:rPr>
        <w:t xml:space="preserve">, onder andere door het stellen van een </w:t>
      </w:r>
      <w:r w:rsidR="00CB716E">
        <w:rPr>
          <w:rFonts w:ascii="Verdana" w:hAnsi="Verdana" w:eastAsia="Times New Roman" w:cs="Times New Roman"/>
          <w:sz w:val="18"/>
          <w:szCs w:val="18"/>
        </w:rPr>
        <w:t>drempelwaarde</w:t>
      </w:r>
      <w:r>
        <w:rPr>
          <w:rFonts w:ascii="Verdana" w:hAnsi="Verdana" w:eastAsia="Times New Roman" w:cs="Times New Roman"/>
          <w:sz w:val="18"/>
          <w:szCs w:val="18"/>
        </w:rPr>
        <w:t xml:space="preserve"> voor het </w:t>
      </w:r>
      <w:r w:rsidR="00173DC2">
        <w:rPr>
          <w:rFonts w:ascii="Verdana" w:hAnsi="Verdana" w:eastAsia="Times New Roman" w:cs="Times New Roman"/>
          <w:sz w:val="18"/>
          <w:szCs w:val="18"/>
        </w:rPr>
        <w:t>nader c</w:t>
      </w:r>
      <w:r>
        <w:rPr>
          <w:rFonts w:ascii="Verdana" w:hAnsi="Verdana" w:eastAsia="Times New Roman" w:cs="Times New Roman"/>
          <w:sz w:val="18"/>
          <w:szCs w:val="18"/>
        </w:rPr>
        <w:t>riterium</w:t>
      </w:r>
      <w:r w:rsidDel="00173DC2" w:rsidR="00CB716E">
        <w:rPr>
          <w:rFonts w:ascii="Verdana" w:hAnsi="Verdana" w:eastAsia="Times New Roman" w:cs="Times New Roman"/>
          <w:sz w:val="18"/>
          <w:szCs w:val="18"/>
        </w:rPr>
        <w:t xml:space="preserve"> </w:t>
      </w:r>
      <w:r w:rsidR="00390BFA">
        <w:rPr>
          <w:rFonts w:ascii="Verdana" w:hAnsi="Verdana" w:eastAsia="Times New Roman" w:cs="Times New Roman"/>
          <w:sz w:val="18"/>
          <w:szCs w:val="18"/>
        </w:rPr>
        <w:t>met betrekking tot de</w:t>
      </w:r>
      <w:r w:rsidR="00CB716E">
        <w:rPr>
          <w:rFonts w:ascii="Verdana" w:hAnsi="Verdana" w:eastAsia="Times New Roman" w:cs="Times New Roman"/>
          <w:sz w:val="18"/>
          <w:szCs w:val="18"/>
        </w:rPr>
        <w:t xml:space="preserve"> milieuprestatie</w:t>
      </w:r>
      <w:r w:rsidR="00390BFA">
        <w:rPr>
          <w:rFonts w:ascii="Verdana" w:hAnsi="Verdana" w:eastAsia="Times New Roman" w:cs="Times New Roman"/>
          <w:sz w:val="18"/>
          <w:szCs w:val="18"/>
        </w:rPr>
        <w:t xml:space="preserve"> van GWW-werken</w:t>
      </w:r>
      <w:r>
        <w:rPr>
          <w:rFonts w:ascii="Verdana" w:hAnsi="Verdana" w:eastAsia="Times New Roman" w:cs="Times New Roman"/>
          <w:sz w:val="18"/>
          <w:szCs w:val="18"/>
        </w:rPr>
        <w:t>.</w:t>
      </w:r>
    </w:p>
    <w:p w:rsidRPr="0011677F" w:rsidR="0011677F" w:rsidP="00643E93" w:rsidRDefault="0011677F" w14:paraId="675D7E0C" w14:textId="6A03B1C2">
      <w:pPr>
        <w:spacing w:after="200" w:line="276" w:lineRule="auto"/>
        <w:rPr>
          <w:rFonts w:ascii="Verdana" w:hAnsi="Verdana" w:eastAsia="Times New Roman" w:cs="Times New Roman"/>
          <w:sz w:val="18"/>
          <w:szCs w:val="18"/>
        </w:rPr>
      </w:pPr>
      <w:r w:rsidRPr="0011677F">
        <w:rPr>
          <w:rFonts w:ascii="Verdana" w:hAnsi="Verdana" w:eastAsia="Times New Roman" w:cs="Times New Roman"/>
          <w:sz w:val="18"/>
          <w:szCs w:val="18"/>
        </w:rPr>
        <w:t>Overige zaken die besproken zijn o</w:t>
      </w:r>
      <w:r w:rsidR="00AC5FE5">
        <w:rPr>
          <w:rFonts w:ascii="Verdana" w:hAnsi="Verdana" w:eastAsia="Times New Roman" w:cs="Times New Roman"/>
          <w:sz w:val="18"/>
          <w:szCs w:val="18"/>
        </w:rPr>
        <w:t xml:space="preserve">nder </w:t>
      </w:r>
      <w:r w:rsidRPr="0011677F">
        <w:rPr>
          <w:rFonts w:ascii="Verdana" w:hAnsi="Verdana" w:eastAsia="Times New Roman" w:cs="Times New Roman"/>
          <w:sz w:val="18"/>
          <w:szCs w:val="18"/>
        </w:rPr>
        <w:t>a</w:t>
      </w:r>
      <w:r w:rsidR="00AC5FE5">
        <w:rPr>
          <w:rFonts w:ascii="Verdana" w:hAnsi="Verdana" w:eastAsia="Times New Roman" w:cs="Times New Roman"/>
          <w:sz w:val="18"/>
          <w:szCs w:val="18"/>
        </w:rPr>
        <w:t>ndere</w:t>
      </w:r>
      <w:r w:rsidRPr="0011677F">
        <w:rPr>
          <w:rFonts w:ascii="Verdana" w:hAnsi="Verdana" w:eastAsia="Times New Roman" w:cs="Times New Roman"/>
          <w:sz w:val="18"/>
          <w:szCs w:val="18"/>
        </w:rPr>
        <w:t xml:space="preserve"> de eenduidigheid met betrekking tot verschillende lopende initiatieven, samenhang met Europees beleid en het belang van monitoring en evaluatie.</w:t>
      </w:r>
      <w:r>
        <w:rPr>
          <w:rFonts w:ascii="Verdana" w:hAnsi="Verdana" w:eastAsia="Times New Roman" w:cs="Times New Roman"/>
          <w:sz w:val="18"/>
          <w:szCs w:val="18"/>
        </w:rPr>
        <w:t xml:space="preserve"> </w:t>
      </w:r>
      <w:r w:rsidRPr="0011677F">
        <w:rPr>
          <w:rFonts w:ascii="Verdana" w:hAnsi="Verdana" w:eastAsia="Times New Roman" w:cs="Times New Roman"/>
          <w:sz w:val="18"/>
          <w:szCs w:val="18"/>
        </w:rPr>
        <w:t xml:space="preserve">Daarnaast is stilgestaan bij </w:t>
      </w:r>
      <w:r>
        <w:rPr>
          <w:rFonts w:ascii="Verdana" w:hAnsi="Verdana" w:eastAsia="Times New Roman" w:cs="Times New Roman"/>
          <w:sz w:val="18"/>
          <w:szCs w:val="18"/>
        </w:rPr>
        <w:t>het</w:t>
      </w:r>
      <w:r w:rsidRPr="0011677F">
        <w:rPr>
          <w:rFonts w:ascii="Verdana" w:hAnsi="Verdana" w:eastAsia="Times New Roman" w:cs="Times New Roman"/>
          <w:sz w:val="18"/>
          <w:szCs w:val="18"/>
        </w:rPr>
        <w:t xml:space="preserve"> betrekking van het MKB in </w:t>
      </w:r>
      <w:r w:rsidR="00E52235">
        <w:rPr>
          <w:rFonts w:ascii="Verdana" w:hAnsi="Verdana" w:eastAsia="Times New Roman" w:cs="Times New Roman"/>
          <w:sz w:val="18"/>
          <w:szCs w:val="18"/>
        </w:rPr>
        <w:t>de uitwerking van de amvb</w:t>
      </w:r>
      <w:r w:rsidRPr="0011677F">
        <w:rPr>
          <w:rFonts w:ascii="Verdana" w:hAnsi="Verdana" w:eastAsia="Times New Roman" w:cs="Times New Roman"/>
          <w:sz w:val="18"/>
          <w:szCs w:val="18"/>
        </w:rPr>
        <w:t xml:space="preserve">. Het panel </w:t>
      </w:r>
      <w:r w:rsidR="00E52235">
        <w:rPr>
          <w:rFonts w:ascii="Verdana" w:hAnsi="Verdana" w:eastAsia="Times New Roman" w:cs="Times New Roman"/>
          <w:sz w:val="18"/>
          <w:szCs w:val="18"/>
        </w:rPr>
        <w:t>heeft het</w:t>
      </w:r>
      <w:r w:rsidRPr="0011677F">
        <w:rPr>
          <w:rFonts w:ascii="Verdana" w:hAnsi="Verdana" w:eastAsia="Times New Roman" w:cs="Times New Roman"/>
          <w:sz w:val="18"/>
          <w:szCs w:val="18"/>
        </w:rPr>
        <w:t xml:space="preserve"> op prijs </w:t>
      </w:r>
      <w:r w:rsidR="00E52235">
        <w:rPr>
          <w:rFonts w:ascii="Verdana" w:hAnsi="Verdana" w:eastAsia="Times New Roman" w:cs="Times New Roman"/>
          <w:sz w:val="18"/>
          <w:szCs w:val="18"/>
        </w:rPr>
        <w:t xml:space="preserve">gesteld </w:t>
      </w:r>
      <w:r w:rsidRPr="0011677F">
        <w:rPr>
          <w:rFonts w:ascii="Verdana" w:hAnsi="Verdana" w:eastAsia="Times New Roman" w:cs="Times New Roman"/>
          <w:sz w:val="18"/>
          <w:szCs w:val="18"/>
        </w:rPr>
        <w:t xml:space="preserve">dat dit panelgesprek is georganiseerd. Er is afgesproken om </w:t>
      </w:r>
      <w:r w:rsidR="00E52235">
        <w:rPr>
          <w:rFonts w:ascii="Verdana" w:hAnsi="Verdana" w:eastAsia="Times New Roman" w:cs="Times New Roman"/>
          <w:sz w:val="18"/>
          <w:szCs w:val="18"/>
        </w:rPr>
        <w:t>bij de uitwerking van de amvb</w:t>
      </w:r>
      <w:r w:rsidRPr="0011677F">
        <w:rPr>
          <w:rFonts w:ascii="Verdana" w:hAnsi="Verdana" w:eastAsia="Times New Roman" w:cs="Times New Roman"/>
          <w:sz w:val="18"/>
          <w:szCs w:val="18"/>
        </w:rPr>
        <w:t xml:space="preserve"> contact te houden om te spreken over de maatregelen en wat deze betekenen voor het MKB. </w:t>
      </w:r>
    </w:p>
    <w:p w:rsidRPr="008E3FDC" w:rsidR="00D2432E" w:rsidP="00643E93" w:rsidRDefault="0011677F" w14:paraId="24732616" w14:textId="0A8ED24D">
      <w:pPr>
        <w:spacing w:after="200" w:line="276" w:lineRule="auto"/>
        <w:rPr>
          <w:rFonts w:ascii="Verdana" w:hAnsi="Verdana" w:eastAsia="Times New Roman" w:cs="Times New Roman"/>
          <w:sz w:val="18"/>
          <w:szCs w:val="18"/>
        </w:rPr>
      </w:pPr>
      <w:r w:rsidRPr="0011677F">
        <w:rPr>
          <w:rFonts w:ascii="Verdana" w:hAnsi="Verdana" w:eastAsia="Times New Roman" w:cs="Times New Roman"/>
          <w:sz w:val="18"/>
          <w:szCs w:val="18"/>
        </w:rPr>
        <w:t>Naast dit specifieke MKB panelgesprek waren er tijdens een stakeholderbijeenkomst met marktpartijen op 13 maart 2025 diverse MKB bedrijven aanwezig en is nadrukkelijk de aandacht gevraagd voor de uitvoerbaarheid voor het MKB. Bij de verdere uitwerking van de regelgeving zal gekeken worden naar het handelingsperspectief voor de mkb-bedrijven die te maken gaan krijgen met de uitvoering van de voorgestelde wijzigingen</w:t>
      </w:r>
      <w:r w:rsidR="00E52235">
        <w:rPr>
          <w:rFonts w:ascii="Verdana" w:hAnsi="Verdana" w:eastAsia="Times New Roman" w:cs="Times New Roman"/>
          <w:sz w:val="18"/>
          <w:szCs w:val="18"/>
        </w:rPr>
        <w:t xml:space="preserve">. </w:t>
      </w:r>
      <w:bookmarkEnd w:id="41"/>
    </w:p>
    <w:p w:rsidR="00956B49" w:rsidP="00956B49" w:rsidRDefault="00956B49" w14:paraId="2C4D0063" w14:textId="77777777">
      <w:pPr>
        <w:pStyle w:val="Kop4"/>
        <w:numPr>
          <w:ilvl w:val="1"/>
          <w:numId w:val="68"/>
        </w:numPr>
      </w:pPr>
      <w:bookmarkStart w:name="_Toc195040762" w:id="42"/>
      <w:r>
        <w:lastRenderedPageBreak/>
        <w:t>Gevolgen voor Caribisch Nederland</w:t>
      </w:r>
    </w:p>
    <w:p w:rsidRPr="00531FB3" w:rsidR="00956B49" w:rsidP="00956B49" w:rsidRDefault="006646CF" w14:paraId="3AD58790" w14:textId="30ECE5C3">
      <w:pPr>
        <w:rPr>
          <w:rFonts w:ascii="Verdana" w:hAnsi="Verdana" w:eastAsia="Times New Roman" w:cs="Times New Roman"/>
          <w:sz w:val="18"/>
          <w:szCs w:val="18"/>
        </w:rPr>
      </w:pPr>
      <w:r w:rsidRPr="00531FB3">
        <w:rPr>
          <w:rFonts w:ascii="Verdana" w:hAnsi="Verdana" w:eastAsia="Times New Roman" w:cs="Times New Roman"/>
          <w:sz w:val="18"/>
          <w:szCs w:val="18"/>
        </w:rPr>
        <w:t>De in dit wetsvoorstel opgenomen verplichtingen zijn niet van toepassing op Caribisch Nederland, te weten Bonaire, Sint Eustatius en Saba, noch op de landen Aruba, Curaçao en Sint Maarten. Deze gebieden hebben elk eigen klimaat- en duurzaamheidsplannen en -programma’s die aansluiten bij hun specifieke bestuurlijke en geografische situatie. Daarbij zijn de wet Milieubeheer, de Aanbestedingswet</w:t>
      </w:r>
      <w:r w:rsidR="00155386">
        <w:rPr>
          <w:rFonts w:ascii="Verdana" w:hAnsi="Verdana" w:eastAsia="Times New Roman" w:cs="Times New Roman"/>
          <w:sz w:val="18"/>
          <w:szCs w:val="18"/>
        </w:rPr>
        <w:t xml:space="preserve"> 2012</w:t>
      </w:r>
      <w:r w:rsidRPr="00531FB3">
        <w:rPr>
          <w:rFonts w:ascii="Verdana" w:hAnsi="Verdana" w:eastAsia="Times New Roman" w:cs="Times New Roman"/>
          <w:sz w:val="18"/>
          <w:szCs w:val="18"/>
        </w:rPr>
        <w:t>, het Klimaatakkoord en het Nationaal Programma Circulaire Economie niet van toepassing op deze gebieden. Omdat de uitvoering van klimaat- en circulaire infrastructuurmaatregelen in deze landen en openbare lichamen anders is georganiseerd en in ontwikkeling, is het niet passend om de verplichtingen uit dit wetsvoorstel één-op-één toe te passen.</w:t>
      </w:r>
    </w:p>
    <w:p w:rsidRPr="00E43A50" w:rsidR="004F0533" w:rsidP="00643E93" w:rsidRDefault="004F0533" w14:paraId="214A0734" w14:textId="2C04A4F8">
      <w:pPr>
        <w:pStyle w:val="Kop4"/>
        <w:numPr>
          <w:ilvl w:val="1"/>
          <w:numId w:val="24"/>
        </w:numPr>
        <w:spacing w:line="276" w:lineRule="auto"/>
      </w:pPr>
      <w:r w:rsidRPr="00E43A50">
        <w:t>Milieueffectentoets</w:t>
      </w:r>
      <w:bookmarkEnd w:id="42"/>
    </w:p>
    <w:p w:rsidRPr="00E43A50" w:rsidR="00A34AA7" w:rsidP="00643E93" w:rsidRDefault="00A34AA7" w14:paraId="69F9CBC6" w14:textId="3B2A3233">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Het verplicht aanbesteden met een </w:t>
      </w:r>
      <w:r w:rsidRPr="00E43A50" w:rsidR="00290C16">
        <w:rPr>
          <w:rFonts w:ascii="Verdana" w:hAnsi="Verdana" w:eastAsia="Times New Roman" w:cs="Times New Roman"/>
          <w:sz w:val="18"/>
          <w:szCs w:val="18"/>
        </w:rPr>
        <w:t xml:space="preserve">(minimale) </w:t>
      </w:r>
      <w:r w:rsidRPr="00E43A50">
        <w:rPr>
          <w:rFonts w:ascii="Verdana" w:hAnsi="Verdana" w:eastAsia="Times New Roman" w:cs="Times New Roman"/>
          <w:sz w:val="18"/>
          <w:szCs w:val="18"/>
        </w:rPr>
        <w:t xml:space="preserve">milieuprestatie-eis op </w:t>
      </w:r>
      <w:r w:rsidRPr="00E43A50" w:rsidR="005A0525">
        <w:rPr>
          <w:rFonts w:ascii="Verdana" w:hAnsi="Verdana" w:eastAsia="Times New Roman" w:cs="Times New Roman"/>
          <w:sz w:val="18"/>
          <w:szCs w:val="18"/>
        </w:rPr>
        <w:t>product</w:t>
      </w:r>
      <w:r w:rsidRPr="00E43A50">
        <w:rPr>
          <w:rFonts w:ascii="Verdana" w:hAnsi="Verdana" w:eastAsia="Times New Roman" w:cs="Times New Roman"/>
          <w:sz w:val="18"/>
          <w:szCs w:val="18"/>
        </w:rPr>
        <w:t>- en projectniveau heeft primair tot doel positieve maatschappelijke effecten te genereren.</w:t>
      </w:r>
      <w:r w:rsidR="00BA76AE">
        <w:rPr>
          <w:rFonts w:ascii="Verdana" w:hAnsi="Verdana" w:eastAsia="Times New Roman" w:cs="Times New Roman"/>
          <w:sz w:val="18"/>
          <w:szCs w:val="18"/>
        </w:rPr>
        <w:t xml:space="preserve"> </w:t>
      </w:r>
    </w:p>
    <w:p w:rsidRPr="00E43A50" w:rsidR="00A34AA7" w:rsidP="00643E93" w:rsidRDefault="00A34AA7" w14:paraId="2F0B66DD" w14:textId="77777777">
      <w:pPr>
        <w:spacing w:after="0" w:line="276" w:lineRule="auto"/>
        <w:rPr>
          <w:rFonts w:ascii="Verdana" w:hAnsi="Verdana" w:eastAsia="Times New Roman" w:cs="Calibri"/>
          <w:sz w:val="18"/>
          <w:szCs w:val="18"/>
        </w:rPr>
      </w:pPr>
      <w:r w:rsidRPr="00E43A50">
        <w:rPr>
          <w:rFonts w:ascii="Verdana" w:hAnsi="Verdana" w:eastAsia="Times New Roman" w:cs="Calibri"/>
          <w:sz w:val="18"/>
          <w:szCs w:val="18"/>
        </w:rPr>
        <w:t xml:space="preserve">Substantiële </w:t>
      </w:r>
      <w:r w:rsidRPr="005B4CB1">
        <w:rPr>
          <w:rFonts w:ascii="Verdana" w:hAnsi="Verdana" w:eastAsia="Times New Roman" w:cs="Calibri"/>
          <w:sz w:val="18"/>
          <w:szCs w:val="18"/>
        </w:rPr>
        <w:t>negatieve</w:t>
      </w:r>
      <w:r w:rsidRPr="00E43A50">
        <w:rPr>
          <w:rFonts w:ascii="Verdana" w:hAnsi="Verdana" w:eastAsia="Times New Roman" w:cs="Calibri"/>
          <w:i/>
          <w:iCs/>
          <w:sz w:val="18"/>
          <w:szCs w:val="18"/>
        </w:rPr>
        <w:t xml:space="preserve"> </w:t>
      </w:r>
      <w:r w:rsidRPr="00E43A50">
        <w:rPr>
          <w:rFonts w:ascii="Verdana" w:hAnsi="Verdana" w:eastAsia="Times New Roman" w:cs="Calibri"/>
          <w:sz w:val="18"/>
          <w:szCs w:val="18"/>
        </w:rPr>
        <w:t xml:space="preserve">gevolgen zijn bij dit wetsvoorstel zodoende niet aan de orde. Het verplicht aanbesteden met milieustatie-eisen leidt primair tot positieve maatschappelijke milieueffecten; te weten het verlagen van de milieu-impact van GWW-werken. </w:t>
      </w:r>
      <w:r w:rsidRPr="00E43A50">
        <w:rPr>
          <w:rFonts w:ascii="Verdana" w:hAnsi="Verdana" w:eastAsia="Times New Roman" w:cs="Times New Roman"/>
          <w:sz w:val="18"/>
          <w:szCs w:val="18"/>
        </w:rPr>
        <w:t xml:space="preserve">Omdat milieuprestatie effecten over de levenscyclus en in de keten inzichtelijk maakt, zijn effecten elders en/of later in principe onderdeel van de berekening. Daarom wordt er gestuurd op het verlagen van de milieuprestatie. </w:t>
      </w:r>
      <w:r w:rsidRPr="00E43A50">
        <w:rPr>
          <w:rFonts w:ascii="Verdana" w:hAnsi="Verdana" w:eastAsia="Times New Roman" w:cs="Calibri"/>
          <w:sz w:val="18"/>
          <w:szCs w:val="18"/>
        </w:rPr>
        <w:t xml:space="preserve">De eerder genoemde onderzoeken naar het effect van sturen op milieuprestatie in de GWW onderschrijven dit. </w:t>
      </w:r>
    </w:p>
    <w:p w:rsidRPr="00E43A50" w:rsidR="00A34AA7" w:rsidP="00643E93" w:rsidRDefault="00A34AA7" w14:paraId="1DA4F24B" w14:textId="77777777">
      <w:pPr>
        <w:spacing w:after="0" w:line="276" w:lineRule="auto"/>
        <w:rPr>
          <w:rFonts w:ascii="Verdana" w:hAnsi="Verdana" w:eastAsia="Times New Roman" w:cs="Calibri"/>
          <w:sz w:val="18"/>
          <w:szCs w:val="18"/>
        </w:rPr>
      </w:pPr>
    </w:p>
    <w:p w:rsidRPr="00E43A50" w:rsidR="00FD46D5" w:rsidP="00643E93" w:rsidRDefault="00FD46D5" w14:paraId="4D50BD88" w14:textId="67ED2351">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Enkele voorbeelden</w:t>
      </w:r>
      <w:r w:rsidRPr="00E43A50" w:rsidR="00A34AA7">
        <w:rPr>
          <w:rFonts w:ascii="Verdana" w:hAnsi="Verdana" w:eastAsia="Times New Roman" w:cs="Times New Roman"/>
          <w:sz w:val="18"/>
          <w:szCs w:val="18"/>
        </w:rPr>
        <w:t xml:space="preserve"> van mogelijk negatieve milieueffecten van beperkte omvang</w:t>
      </w:r>
      <w:r w:rsidRPr="00E43A50">
        <w:rPr>
          <w:rFonts w:ascii="Verdana" w:hAnsi="Verdana" w:eastAsia="Times New Roman" w:cs="Times New Roman"/>
          <w:sz w:val="18"/>
          <w:szCs w:val="18"/>
        </w:rPr>
        <w:t>:</w:t>
      </w:r>
    </w:p>
    <w:p w:rsidRPr="00E43A50" w:rsidR="00FD46D5" w:rsidP="00643E93" w:rsidRDefault="00FD46D5" w14:paraId="2D83E24C" w14:textId="666E42C2">
      <w:pPr>
        <w:pStyle w:val="Lijstalinea"/>
        <w:numPr>
          <w:ilvl w:val="0"/>
          <w:numId w:val="27"/>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De mobiliteit voor het transport van duurzame en/of hergebruikte </w:t>
      </w:r>
      <w:r w:rsidRPr="00E43A50" w:rsidR="005A0525">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kan toenemen, wanneer deze van ver moeten komen. Over het algemeen zal dit naar verwachting niet substantieel zijn ten opzichte van de totale positieve milieueffecten van de maatregel, aangezien</w:t>
      </w:r>
      <w:r w:rsidRPr="00E43A50" w:rsidR="00290C16">
        <w:rPr>
          <w:rFonts w:ascii="Verdana" w:hAnsi="Verdana" w:eastAsia="Times New Roman" w:cs="Times New Roman"/>
          <w:sz w:val="18"/>
          <w:szCs w:val="18"/>
        </w:rPr>
        <w:t xml:space="preserve"> bij amvb zeer waarschijnlijk wordt aangesloten bij methoden die de effecten over de levenscyclusanalyse van een bouwproduct berekenen, zoals de Milieukostenindicator.</w:t>
      </w:r>
      <w:r w:rsidR="00BA76AE">
        <w:rPr>
          <w:rFonts w:ascii="Verdana" w:hAnsi="Verdana" w:eastAsia="Times New Roman" w:cs="Times New Roman"/>
          <w:sz w:val="18"/>
          <w:szCs w:val="18"/>
        </w:rPr>
        <w:t xml:space="preserve"> </w:t>
      </w:r>
    </w:p>
    <w:p w:rsidRPr="00E43A50" w:rsidR="00FD46D5" w:rsidP="00643E93" w:rsidRDefault="00FD46D5" w14:paraId="44BF842E" w14:textId="2F03EBA3">
      <w:pPr>
        <w:pStyle w:val="Lijstalinea"/>
        <w:numPr>
          <w:ilvl w:val="0"/>
          <w:numId w:val="27"/>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Het gebruik van biotische </w:t>
      </w:r>
      <w:r w:rsidRPr="00E43A50" w:rsidR="005A0525">
        <w:rPr>
          <w:rFonts w:ascii="Verdana" w:hAnsi="Verdana" w:eastAsia="Times New Roman" w:cs="Times New Roman"/>
          <w:sz w:val="18"/>
          <w:szCs w:val="18"/>
        </w:rPr>
        <w:t>producten</w:t>
      </w:r>
      <w:r w:rsidRPr="00E43A50">
        <w:rPr>
          <w:rFonts w:ascii="Verdana" w:hAnsi="Verdana" w:eastAsia="Times New Roman" w:cs="Times New Roman"/>
          <w:sz w:val="18"/>
          <w:szCs w:val="18"/>
        </w:rPr>
        <w:t>, zoals biobased bindmiddelen in asfalt, kan leiden tot een toenemend gebruik van fysieke ruimte voor gewassen voor productie. Over de omvang van deze toename</w:t>
      </w:r>
      <w:r w:rsidRPr="00E43A50" w:rsidR="004F0533">
        <w:rPr>
          <w:rFonts w:ascii="Verdana" w:hAnsi="Verdana" w:eastAsia="Times New Roman" w:cs="Calibri"/>
          <w:sz w:val="18"/>
          <w:szCs w:val="18"/>
        </w:rPr>
        <w:t xml:space="preserve"> is </w:t>
      </w:r>
      <w:r w:rsidRPr="00E43A50">
        <w:rPr>
          <w:rFonts w:ascii="Verdana" w:hAnsi="Verdana" w:eastAsia="Times New Roman" w:cs="Times New Roman"/>
          <w:sz w:val="18"/>
          <w:szCs w:val="18"/>
        </w:rPr>
        <w:t>vanwege de vele afhankelijkheden, keuzevrijheden en ander beleid ter stimulering van deze maatregel (</w:t>
      </w:r>
      <w:r w:rsidRPr="00E43A50" w:rsidR="00290C16">
        <w:rPr>
          <w:rFonts w:ascii="Verdana" w:hAnsi="Verdana" w:eastAsia="Times New Roman" w:cs="Times New Roman"/>
          <w:sz w:val="18"/>
          <w:szCs w:val="18"/>
        </w:rPr>
        <w:t xml:space="preserve">zoals </w:t>
      </w:r>
      <w:r w:rsidRPr="00E43A50">
        <w:rPr>
          <w:rFonts w:ascii="Verdana" w:hAnsi="Verdana" w:eastAsia="Times New Roman" w:cs="Times New Roman"/>
          <w:sz w:val="18"/>
          <w:szCs w:val="18"/>
        </w:rPr>
        <w:t>de Nationale Aanpak Biobased Bouwen</w:t>
      </w:r>
      <w:r w:rsidRPr="00773EC1">
        <w:rPr>
          <w:rFonts w:ascii="Verdana" w:hAnsi="Verdana"/>
          <w:sz w:val="16"/>
          <w:szCs w:val="16"/>
          <w:vertAlign w:val="superscript"/>
        </w:rPr>
        <w:footnoteReference w:id="41"/>
      </w:r>
      <w:r w:rsidRPr="00E43A50">
        <w:rPr>
          <w:rFonts w:ascii="Verdana" w:hAnsi="Verdana" w:eastAsia="Times New Roman" w:cs="Times New Roman"/>
          <w:sz w:val="18"/>
          <w:szCs w:val="18"/>
        </w:rPr>
        <w:t xml:space="preserve">) geen uitspraak te doen. Substantiële effecten zijn niet aannemelijk, het gebruik van landbouwgrond en ruimte die nu voor veeteelt worden gebruikt, is onderdeel van het beleid (NABB) en is dus niet ongewenst. </w:t>
      </w:r>
    </w:p>
    <w:p w:rsidRPr="00E43A50" w:rsidR="00FD46D5" w:rsidP="00643E93" w:rsidRDefault="00FD46D5" w14:paraId="023EC390" w14:textId="29375E69">
      <w:pPr>
        <w:pStyle w:val="Lijstalinea"/>
        <w:numPr>
          <w:ilvl w:val="0"/>
          <w:numId w:val="27"/>
        </w:num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Het </w:t>
      </w:r>
      <w:r w:rsidRPr="00E43A50" w:rsidR="005A0525">
        <w:rPr>
          <w:rFonts w:ascii="Verdana" w:hAnsi="Verdana" w:eastAsia="Times New Roman" w:cs="Times New Roman"/>
          <w:sz w:val="18"/>
          <w:szCs w:val="18"/>
        </w:rPr>
        <w:t xml:space="preserve">productgebruik </w:t>
      </w:r>
      <w:r w:rsidRPr="00E43A50">
        <w:rPr>
          <w:rFonts w:ascii="Verdana" w:hAnsi="Verdana" w:eastAsia="Times New Roman" w:cs="Times New Roman"/>
          <w:sz w:val="18"/>
          <w:szCs w:val="18"/>
        </w:rPr>
        <w:t>voor het opwekken van duurzame energie kan toenemen. Dit zal niet tot substantiële milieueffecten leiden, omdat de milieu-impact van het betreffende product of werk daarmee omlaag zou gaan en/of omdat dit niet kosteneffectief is.</w:t>
      </w:r>
    </w:p>
    <w:p w:rsidR="00C066A8" w:rsidP="00643E93" w:rsidRDefault="00C066A8" w14:paraId="3FF9C409" w14:textId="77777777">
      <w:pPr>
        <w:spacing w:after="0" w:line="276" w:lineRule="auto"/>
        <w:rPr>
          <w:rFonts w:ascii="Verdana" w:hAnsi="Verdana" w:eastAsia="Times New Roman" w:cs="Times New Roman"/>
          <w:sz w:val="18"/>
          <w:szCs w:val="18"/>
        </w:rPr>
      </w:pPr>
    </w:p>
    <w:p w:rsidRPr="00E43A50" w:rsidR="00C114D0" w:rsidP="00643E93" w:rsidRDefault="00FD46D5" w14:paraId="1218197F" w14:textId="0AC1983B">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Een toename van afvalstromen en emissies is niet aannemelijk, aangezien met de milieuprestatie-verplichting juist gestreefd wordt naar een verlaging van deze effecten. </w:t>
      </w:r>
      <w:r w:rsidRPr="00E43A50" w:rsidR="00290C16">
        <w:rPr>
          <w:rFonts w:ascii="Verdana" w:hAnsi="Verdana" w:eastAsia="Times New Roman" w:cs="Times New Roman"/>
          <w:sz w:val="18"/>
          <w:szCs w:val="18"/>
        </w:rPr>
        <w:t xml:space="preserve">Als </w:t>
      </w:r>
      <w:r w:rsidRPr="00E43A50">
        <w:rPr>
          <w:rFonts w:ascii="Verdana" w:hAnsi="Verdana" w:eastAsia="Times New Roman" w:cs="Times New Roman"/>
          <w:sz w:val="18"/>
          <w:szCs w:val="18"/>
        </w:rPr>
        <w:t>de berekening naar de milieuprestatie alle effecten over de levenscyclus en in de keten betreft, zijn effecten elders en/of later in principe onderdeel van de berekening.</w:t>
      </w:r>
    </w:p>
    <w:p w:rsidRPr="005B4CB1" w:rsidR="004F0533" w:rsidP="00643E93" w:rsidRDefault="004F0533" w14:paraId="00B33F81" w14:textId="77777777">
      <w:pPr>
        <w:spacing w:after="0" w:line="276" w:lineRule="auto"/>
        <w:rPr>
          <w:rFonts w:ascii="Verdana" w:hAnsi="Verdana" w:eastAsia="Times New Roman" w:cs="Times New Roman"/>
          <w:sz w:val="21"/>
          <w:szCs w:val="21"/>
        </w:rPr>
      </w:pPr>
    </w:p>
    <w:p w:rsidRPr="00E43A50" w:rsidR="004F0533" w:rsidP="00643E93" w:rsidRDefault="004F0533" w14:paraId="7797E86A" w14:textId="68A9CB84">
      <w:pPr>
        <w:pStyle w:val="Kop4"/>
        <w:numPr>
          <w:ilvl w:val="1"/>
          <w:numId w:val="24"/>
        </w:numPr>
        <w:spacing w:line="276" w:lineRule="auto"/>
      </w:pPr>
      <w:bookmarkStart w:name="_Toc195040764" w:id="43"/>
      <w:r w:rsidRPr="00E43A50">
        <w:lastRenderedPageBreak/>
        <w:t>Gevolgen voor ICT</w:t>
      </w:r>
      <w:bookmarkEnd w:id="43"/>
    </w:p>
    <w:p w:rsidRPr="00E43A50" w:rsidR="004F0533" w:rsidP="00643E93" w:rsidRDefault="004F0533" w14:paraId="19BC1F53" w14:textId="0D6456F9">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zal beperkte gevolgen hebben voor de ICT-infrastructuur en -systemen die betrokken zijn bij de uitvoering ervan. De benodigde aanpassingen en integraties kunnen binnen de bestaande ICT-structuren worden gerealiseerd zonder dat aanzienlijke investeringen in nieuwe technologieën of systemen vereist zijn. De impact op bestaande ICT-systemen wordt voornamelijk beperkt tot noodzakelijke updates, aanschaf van een licentie voor software waarvan de kosten proportioneel en niet substantieel zijn, of kleine wijzigingen in de processen die verband houden met de administratieve en operationele uitvoering van de wet, te weten:</w:t>
      </w:r>
    </w:p>
    <w:p w:rsidRPr="00E43A50" w:rsidR="004F0533" w:rsidP="00643E93" w:rsidRDefault="004F0533" w14:paraId="610A790F" w14:textId="581D4194">
      <w:pPr>
        <w:numPr>
          <w:ilvl w:val="0"/>
          <w:numId w:val="7"/>
        </w:numPr>
        <w:spacing w:after="200" w:line="276" w:lineRule="auto"/>
        <w:contextualSpacing/>
        <w:rPr>
          <w:rFonts w:ascii="Verdana" w:hAnsi="Verdana" w:eastAsia="Times New Roman" w:cs="Times New Roman"/>
          <w:sz w:val="18"/>
          <w:szCs w:val="18"/>
        </w:rPr>
      </w:pPr>
      <w:r w:rsidRPr="00E43A50">
        <w:rPr>
          <w:rFonts w:ascii="Verdana" w:hAnsi="Verdana" w:eastAsia="Times New Roman" w:cs="Times New Roman"/>
          <w:sz w:val="18"/>
          <w:szCs w:val="18"/>
        </w:rPr>
        <w:t xml:space="preserve">De milieuprestatie van </w:t>
      </w:r>
      <w:r w:rsidRPr="00E43A50" w:rsidR="005A0525">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 xml:space="preserve">kunnen aannemers inzichtelijk maken met bestaande instrumenten en het gebruik van een bestaande milieudatabase. </w:t>
      </w:r>
    </w:p>
    <w:p w:rsidRPr="00E43A50" w:rsidR="004F0533" w:rsidP="00643E93" w:rsidRDefault="004F0533" w14:paraId="69D32058" w14:textId="77777777">
      <w:pPr>
        <w:numPr>
          <w:ilvl w:val="0"/>
          <w:numId w:val="7"/>
        </w:numPr>
        <w:spacing w:after="200" w:line="276" w:lineRule="auto"/>
        <w:contextualSpacing/>
        <w:rPr>
          <w:rFonts w:ascii="Verdana" w:hAnsi="Verdana" w:eastAsia="Times New Roman" w:cs="Times New Roman"/>
          <w:sz w:val="18"/>
          <w:szCs w:val="18"/>
        </w:rPr>
      </w:pPr>
      <w:r w:rsidRPr="00E43A50">
        <w:rPr>
          <w:rFonts w:ascii="Verdana" w:hAnsi="Verdana" w:eastAsia="Times New Roman" w:cs="Times New Roman"/>
          <w:sz w:val="18"/>
          <w:szCs w:val="18"/>
        </w:rPr>
        <w:t>De gevolgen voor aanbestedende diensten zijn beperkt: ze moeten een licentie voor de software of tools aanschaffen om milieuprestatie op projectniveau te toetsen of berekeningen uitbesteden aan adviesbureau.</w:t>
      </w:r>
    </w:p>
    <w:p w:rsidR="00961BF9" w:rsidP="00643E93" w:rsidRDefault="004F0533" w14:paraId="1F6DB46E" w14:textId="5EE79D14">
      <w:pPr>
        <w:numPr>
          <w:ilvl w:val="0"/>
          <w:numId w:val="7"/>
        </w:numPr>
        <w:spacing w:after="200" w:line="276" w:lineRule="auto"/>
        <w:contextualSpacing/>
        <w:rPr>
          <w:rFonts w:ascii="Verdana" w:hAnsi="Verdana" w:eastAsia="Times New Roman" w:cs="Times New Roman"/>
          <w:sz w:val="18"/>
          <w:szCs w:val="18"/>
        </w:rPr>
      </w:pPr>
      <w:r w:rsidRPr="00E43A50">
        <w:rPr>
          <w:rFonts w:ascii="Verdana" w:hAnsi="Verdana" w:eastAsia="Times New Roman" w:cs="Times New Roman"/>
          <w:sz w:val="18"/>
          <w:szCs w:val="18"/>
        </w:rPr>
        <w:t xml:space="preserve">Voor het toezicht op de naleving van het contract van aannemers inclusief milieuprestatie-eisen door de aanbestedende dienst is geen licentie nodig; de aannemer dient de benodigde de gegevens aan te leveren. </w:t>
      </w:r>
    </w:p>
    <w:p w:rsidR="00D2432E" w:rsidP="00D2432E" w:rsidRDefault="00D2432E" w14:paraId="4E2AA4A4" w14:textId="77777777">
      <w:pPr>
        <w:spacing w:after="200" w:line="276" w:lineRule="auto"/>
        <w:contextualSpacing/>
        <w:rPr>
          <w:rFonts w:ascii="Verdana" w:hAnsi="Verdana" w:eastAsia="Times New Roman" w:cs="Times New Roman"/>
          <w:sz w:val="18"/>
          <w:szCs w:val="18"/>
        </w:rPr>
      </w:pPr>
    </w:p>
    <w:p w:rsidRPr="00E43A50" w:rsidR="00D2432E" w:rsidP="00D2432E" w:rsidRDefault="00D2432E" w14:paraId="3DCD6FDD" w14:textId="77777777">
      <w:pPr>
        <w:spacing w:after="200" w:line="276" w:lineRule="auto"/>
        <w:contextualSpacing/>
        <w:rPr>
          <w:rFonts w:ascii="Verdana" w:hAnsi="Verdana" w:eastAsia="Times New Roman" w:cs="Times New Roman"/>
          <w:sz w:val="18"/>
          <w:szCs w:val="18"/>
        </w:rPr>
      </w:pPr>
    </w:p>
    <w:p w:rsidRPr="00E43A50" w:rsidR="004F0533" w:rsidP="00643E93" w:rsidRDefault="004F0533" w14:paraId="244BD3EA" w14:textId="77777777">
      <w:pPr>
        <w:pStyle w:val="Kop3"/>
        <w:spacing w:line="276" w:lineRule="auto"/>
      </w:pPr>
      <w:bookmarkStart w:name="_Toc195040765" w:id="44"/>
      <w:r w:rsidRPr="00E43A50">
        <w:t>Uitvoering</w:t>
      </w:r>
      <w:bookmarkEnd w:id="44"/>
    </w:p>
    <w:p w:rsidRPr="00E43A50" w:rsidR="004F0533" w:rsidP="00643E93" w:rsidRDefault="004F0533" w14:paraId="0C0D7F0B" w14:textId="7AA51C31">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verplicht aanbestedende diensten en bij </w:t>
      </w:r>
      <w:r w:rsidR="00DB71A0">
        <w:rPr>
          <w:rFonts w:ascii="Verdana" w:hAnsi="Verdana" w:eastAsia="Times New Roman" w:cs="Times New Roman"/>
          <w:sz w:val="18"/>
          <w:szCs w:val="18"/>
        </w:rPr>
        <w:t>amvb</w:t>
      </w:r>
      <w:r w:rsidRPr="00E43A50">
        <w:rPr>
          <w:rFonts w:ascii="Verdana" w:hAnsi="Verdana" w:eastAsia="Times New Roman" w:cs="Times New Roman"/>
          <w:sz w:val="18"/>
          <w:szCs w:val="18"/>
        </w:rPr>
        <w:t xml:space="preserve"> aangewezen speciale</w:t>
      </w:r>
      <w:r w:rsidRPr="00E43A50" w:rsidR="00E90140">
        <w:rPr>
          <w:rFonts w:ascii="Verdana" w:hAnsi="Verdana" w:eastAsia="Times New Roman" w:cs="Times New Roman"/>
          <w:sz w:val="18"/>
          <w:szCs w:val="18"/>
        </w:rPr>
        <w:t>-</w:t>
      </w:r>
      <w:r w:rsidRPr="00E43A50">
        <w:rPr>
          <w:rFonts w:ascii="Verdana" w:hAnsi="Verdana" w:eastAsia="Times New Roman" w:cs="Times New Roman"/>
          <w:sz w:val="18"/>
          <w:szCs w:val="18"/>
        </w:rPr>
        <w:t xml:space="preserve">sectorbedrijven dat milieuprestatie-eisen in bestaande aanbestedingen van GWW-werken worden betrokken. Daarbij is het doel om eenduidigheid te bieden in inkoop, zodat er duidelijkheid ontstaat voor marktpartijen om te investeren in minder vervuilende </w:t>
      </w:r>
      <w:r w:rsidRPr="00E43A50" w:rsidR="00492F08">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 xml:space="preserve">en voor aanbestedende diensten de zekerheid biedt dat de </w:t>
      </w:r>
      <w:r w:rsidRPr="00E43A50" w:rsidR="00492F08">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 xml:space="preserve">die zij inkopen bijdragen aan de door hen gestelde doelstellingen op het gebied van klimaat en circulariteit. Dit hoofdstuk zet uiteen welke aanbestedende diensten met de uitvoering </w:t>
      </w:r>
      <w:r w:rsidR="00700ACE">
        <w:rPr>
          <w:rFonts w:ascii="Verdana" w:hAnsi="Verdana" w:eastAsia="Times New Roman" w:cs="Times New Roman"/>
          <w:sz w:val="18"/>
          <w:szCs w:val="18"/>
        </w:rPr>
        <w:t xml:space="preserve">van de </w:t>
      </w:r>
      <w:r w:rsidRPr="00E43A50">
        <w:rPr>
          <w:rFonts w:ascii="Verdana" w:hAnsi="Verdana" w:eastAsia="Times New Roman" w:cs="Times New Roman"/>
          <w:sz w:val="18"/>
          <w:szCs w:val="18"/>
        </w:rPr>
        <w:t>artikel</w:t>
      </w:r>
      <w:r w:rsidR="00700ACE">
        <w:rPr>
          <w:rFonts w:ascii="Verdana" w:hAnsi="Verdana" w:eastAsia="Times New Roman" w:cs="Times New Roman"/>
          <w:sz w:val="18"/>
          <w:szCs w:val="18"/>
        </w:rPr>
        <w:t>en</w:t>
      </w:r>
      <w:r w:rsidRPr="00E43A50">
        <w:rPr>
          <w:rFonts w:ascii="Verdana" w:hAnsi="Verdana" w:eastAsia="Times New Roman" w:cs="Times New Roman"/>
          <w:sz w:val="18"/>
          <w:szCs w:val="18"/>
        </w:rPr>
        <w:t xml:space="preserve"> 9.6.2</w:t>
      </w:r>
      <w:r w:rsidR="00700ACE">
        <w:rPr>
          <w:rFonts w:ascii="Verdana" w:hAnsi="Verdana" w:eastAsia="Times New Roman" w:cs="Times New Roman"/>
          <w:sz w:val="18"/>
          <w:szCs w:val="18"/>
        </w:rPr>
        <w:t xml:space="preserve"> en 9.6.3</w:t>
      </w:r>
      <w:r w:rsidRPr="00E43A50">
        <w:rPr>
          <w:rFonts w:ascii="Verdana" w:hAnsi="Verdana" w:eastAsia="Times New Roman" w:cs="Times New Roman"/>
          <w:sz w:val="18"/>
          <w:szCs w:val="18"/>
        </w:rPr>
        <w:t xml:space="preserve"> worden belast en op welke wijze daarover met hen afstemming is geweest. </w:t>
      </w:r>
    </w:p>
    <w:p w:rsidRPr="00E43A50" w:rsidR="004F0533" w:rsidP="00643E93" w:rsidRDefault="004F0533" w14:paraId="7CCF83F6" w14:textId="3AF03674">
      <w:pPr>
        <w:pStyle w:val="Kop4"/>
        <w:numPr>
          <w:ilvl w:val="1"/>
          <w:numId w:val="24"/>
        </w:numPr>
        <w:spacing w:line="276" w:lineRule="auto"/>
      </w:pPr>
      <w:bookmarkStart w:name="_Toc195040766" w:id="45"/>
      <w:r w:rsidRPr="00E43A50">
        <w:t>Uitvoering door aanbestedende diensten</w:t>
      </w:r>
      <w:bookmarkEnd w:id="45"/>
      <w:r w:rsidR="00095617">
        <w:t xml:space="preserve"> en speciale</w:t>
      </w:r>
      <w:r w:rsidR="005B5C55">
        <w:t>-</w:t>
      </w:r>
      <w:r w:rsidR="00095617">
        <w:t>sectorbedrijven</w:t>
      </w:r>
    </w:p>
    <w:p w:rsidRPr="00E43A50" w:rsidR="004F0533" w:rsidP="00643E93" w:rsidRDefault="004F0533" w14:paraId="400672B2" w14:textId="7BEB9799">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draagt er aan bij dat de uitvoerbaarheid voor aanbestedende diensten </w:t>
      </w:r>
      <w:r w:rsidR="00691E8D">
        <w:rPr>
          <w:rFonts w:ascii="Verdana" w:hAnsi="Verdana" w:eastAsia="Times New Roman" w:cs="Times New Roman"/>
          <w:sz w:val="18"/>
          <w:szCs w:val="18"/>
        </w:rPr>
        <w:t xml:space="preserve">en speciale-sectorbedrijven </w:t>
      </w:r>
      <w:r w:rsidRPr="00E43A50">
        <w:rPr>
          <w:rFonts w:ascii="Verdana" w:hAnsi="Verdana" w:eastAsia="Times New Roman" w:cs="Times New Roman"/>
          <w:sz w:val="18"/>
          <w:szCs w:val="18"/>
        </w:rPr>
        <w:t xml:space="preserve">om milieuprestaties bij hun aanbestedingen te betrekken effectief worden gerealiseerd. Om uitvoerbaarheid van het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te borgen, zijn meer dan honderd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betrokken. Zij hebben </w:t>
      </w:r>
      <w:r w:rsidRPr="00E43A50" w:rsidR="00290C16">
        <w:rPr>
          <w:rFonts w:ascii="Verdana" w:hAnsi="Verdana" w:eastAsia="Times New Roman" w:cs="Times New Roman"/>
          <w:sz w:val="18"/>
          <w:szCs w:val="18"/>
        </w:rPr>
        <w:t xml:space="preserve">onder andere </w:t>
      </w:r>
      <w:r w:rsidRPr="00E43A50">
        <w:rPr>
          <w:rFonts w:ascii="Verdana" w:hAnsi="Verdana" w:eastAsia="Times New Roman" w:cs="Times New Roman"/>
          <w:sz w:val="18"/>
          <w:szCs w:val="18"/>
        </w:rPr>
        <w:t xml:space="preserve">tijdens stakeholderconsultaties input op het </w:t>
      </w:r>
      <w:r w:rsidRPr="00E43A50" w:rsidR="000E650E">
        <w:rPr>
          <w:rFonts w:ascii="Verdana" w:hAnsi="Verdana" w:eastAsia="Times New Roman" w:cs="Times New Roman"/>
          <w:sz w:val="18"/>
          <w:szCs w:val="18"/>
        </w:rPr>
        <w:t>wetsvoorstel</w:t>
      </w:r>
      <w:r w:rsidRPr="00E43A50" w:rsidDel="00EC3A2D"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geleverd, die ofwel verwerkt zijn in voorliggend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ofwel betrokken worden bij de </w:t>
      </w:r>
      <w:r w:rsidRPr="00E43A50" w:rsidR="00F60F68">
        <w:rPr>
          <w:rFonts w:ascii="Verdana" w:hAnsi="Verdana" w:eastAsia="Times New Roman" w:cs="Times New Roman"/>
          <w:sz w:val="18"/>
          <w:szCs w:val="18"/>
        </w:rPr>
        <w:t>a</w:t>
      </w:r>
      <w:r w:rsidRPr="00E43A50">
        <w:rPr>
          <w:rFonts w:ascii="Verdana" w:hAnsi="Verdana" w:eastAsia="Times New Roman" w:cs="Times New Roman"/>
          <w:sz w:val="18"/>
          <w:szCs w:val="18"/>
        </w:rPr>
        <w:t xml:space="preserve">lgemene </w:t>
      </w:r>
      <w:r w:rsidRPr="00E43A50" w:rsidR="00F60F68">
        <w:rPr>
          <w:rFonts w:ascii="Verdana" w:hAnsi="Verdana" w:eastAsia="Times New Roman" w:cs="Times New Roman"/>
          <w:sz w:val="18"/>
          <w:szCs w:val="18"/>
        </w:rPr>
        <w:t>m</w:t>
      </w:r>
      <w:r w:rsidRPr="00E43A50">
        <w:rPr>
          <w:rFonts w:ascii="Verdana" w:hAnsi="Verdana" w:eastAsia="Times New Roman" w:cs="Times New Roman"/>
          <w:sz w:val="18"/>
          <w:szCs w:val="18"/>
        </w:rPr>
        <w:t xml:space="preserve">aatregel van </w:t>
      </w:r>
      <w:r w:rsidRPr="00E43A50" w:rsidR="00F60F68">
        <w:rPr>
          <w:rFonts w:ascii="Verdana" w:hAnsi="Verdana" w:eastAsia="Times New Roman" w:cs="Times New Roman"/>
          <w:sz w:val="18"/>
          <w:szCs w:val="18"/>
        </w:rPr>
        <w:t>b</w:t>
      </w:r>
      <w:r w:rsidRPr="00E43A50">
        <w:rPr>
          <w:rFonts w:ascii="Verdana" w:hAnsi="Verdana" w:eastAsia="Times New Roman" w:cs="Times New Roman"/>
          <w:sz w:val="18"/>
          <w:szCs w:val="18"/>
        </w:rPr>
        <w:t xml:space="preserve">estuur. Ook is gedurende de ontwikkeling van voorliggend </w:t>
      </w:r>
      <w:r w:rsidRPr="00E43A50" w:rsidR="000E650E">
        <w:rPr>
          <w:rFonts w:ascii="Verdana" w:hAnsi="Verdana" w:eastAsia="Times New Roman" w:cs="Times New Roman"/>
          <w:sz w:val="18"/>
          <w:szCs w:val="18"/>
        </w:rPr>
        <w:t>wetsvoorstel</w:t>
      </w:r>
      <w:r w:rsidRPr="00E43A50" w:rsidDel="00EC3A2D"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in het kader van de Uitvoeringstoets Decentrale Overheden (zie paragraaf </w:t>
      </w:r>
      <w:r w:rsidRPr="00E43A50" w:rsidR="00CC408C">
        <w:rPr>
          <w:rFonts w:ascii="Verdana" w:hAnsi="Verdana" w:eastAsia="Times New Roman" w:cs="Times New Roman"/>
          <w:sz w:val="18"/>
          <w:szCs w:val="18"/>
        </w:rPr>
        <w:t>7</w:t>
      </w:r>
      <w:r w:rsidRPr="00E43A50">
        <w:rPr>
          <w:rFonts w:ascii="Verdana" w:hAnsi="Verdana" w:eastAsia="Times New Roman" w:cs="Times New Roman"/>
          <w:sz w:val="18"/>
          <w:szCs w:val="18"/>
        </w:rPr>
        <w:t>.3.) meermaals input opgehaald met koepelorganisaties VNG, IPO en UvW om de uitvoerbaarheid goed mogelijk te laten verlopen.</w:t>
      </w:r>
    </w:p>
    <w:p w:rsidR="004F0533" w:rsidP="00643E93" w:rsidRDefault="004F0533" w14:paraId="526AFA18" w14:textId="2B1B235C">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Momenteel besteden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GWW-werken aan. De uitvoerbaarheid van het aanbestedingsproces voor GWW-werken hangt af van verschillende factoren:</w:t>
      </w:r>
    </w:p>
    <w:p w:rsidR="00210801" w:rsidP="00643E93" w:rsidRDefault="00210801" w14:paraId="5DD5C1BB" w14:textId="77777777">
      <w:pPr>
        <w:spacing w:after="200" w:line="276" w:lineRule="auto"/>
        <w:rPr>
          <w:rFonts w:ascii="Verdana" w:hAnsi="Verdana" w:eastAsia="Times New Roman" w:cs="Times New Roman"/>
          <w:sz w:val="18"/>
          <w:szCs w:val="18"/>
        </w:rPr>
      </w:pPr>
    </w:p>
    <w:p w:rsidRPr="00E43A50" w:rsidR="00210801" w:rsidP="00643E93" w:rsidRDefault="00210801" w14:paraId="056949DD" w14:textId="77777777">
      <w:pPr>
        <w:spacing w:after="200" w:line="276" w:lineRule="auto"/>
        <w:rPr>
          <w:rFonts w:ascii="Verdana" w:hAnsi="Verdana" w:eastAsia="Times New Roman" w:cs="Times New Roman"/>
          <w:sz w:val="18"/>
          <w:szCs w:val="18"/>
        </w:rPr>
      </w:pPr>
    </w:p>
    <w:p w:rsidRPr="00D944A9" w:rsidR="004F0533" w:rsidP="00643E93" w:rsidRDefault="004F0533" w14:paraId="6D0945FB" w14:textId="77777777">
      <w:pPr>
        <w:spacing w:after="20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lastRenderedPageBreak/>
        <w:t>Complexiteit van projecten</w:t>
      </w:r>
    </w:p>
    <w:p w:rsidRPr="00E43A50" w:rsidR="004F0533" w:rsidP="00643E93" w:rsidRDefault="004F0533" w14:paraId="17CE912B" w14:textId="3E04603D">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GWW-projecten kunnen technisch complex zijn en omvatten een breed scala aan werkzaamheden, zoals wegenbouw en waterbeheer. Er is bij aanbestedingstrajecten specialistische kennis nodig om de technische specificaties correct op te stellen, evenals om offertes op basis van die specificaties te beoordelen. Dit vereist deskundigheid bij de aanbestedende dienst, wat kan leiden tot een </w:t>
      </w:r>
      <w:r w:rsidRPr="00E43A50" w:rsidR="00872EAA">
        <w:rPr>
          <w:rFonts w:ascii="Verdana" w:hAnsi="Verdana" w:eastAsia="Times New Roman" w:cs="Times New Roman"/>
          <w:sz w:val="18"/>
          <w:szCs w:val="18"/>
        </w:rPr>
        <w:t>hog</w:t>
      </w:r>
      <w:r w:rsidRPr="00E43A50">
        <w:rPr>
          <w:rFonts w:ascii="Verdana" w:hAnsi="Verdana" w:eastAsia="Times New Roman" w:cs="Times New Roman"/>
          <w:sz w:val="18"/>
          <w:szCs w:val="18"/>
        </w:rPr>
        <w:t xml:space="preserve">ere werkdruk en de behoefte aan specialistische ondersteuning. </w:t>
      </w:r>
      <w:r w:rsidR="00DE55CB">
        <w:rPr>
          <w:rFonts w:ascii="Verdana" w:hAnsi="Verdana" w:eastAsia="Times New Roman" w:cs="Times New Roman"/>
          <w:sz w:val="18"/>
          <w:szCs w:val="18"/>
        </w:rPr>
        <w:t>Bij</w:t>
      </w:r>
      <w:r w:rsidRPr="00E43A50">
        <w:rPr>
          <w:rFonts w:ascii="Verdana" w:hAnsi="Verdana" w:eastAsia="Times New Roman" w:cs="Times New Roman"/>
          <w:sz w:val="18"/>
          <w:szCs w:val="18"/>
        </w:rPr>
        <w:t xml:space="preserve"> </w:t>
      </w:r>
      <w:r w:rsidR="00DE55CB">
        <w:rPr>
          <w:rFonts w:ascii="Verdana" w:hAnsi="Verdana" w:eastAsia="Times New Roman" w:cs="Times New Roman"/>
          <w:sz w:val="18"/>
          <w:szCs w:val="18"/>
        </w:rPr>
        <w:t xml:space="preserve">de meeste </w:t>
      </w:r>
      <w:r w:rsidRPr="00E43A50">
        <w:rPr>
          <w:rFonts w:ascii="Verdana" w:hAnsi="Verdana" w:eastAsia="Times New Roman" w:cs="Times New Roman"/>
          <w:sz w:val="18"/>
          <w:szCs w:val="18"/>
        </w:rPr>
        <w:t xml:space="preserve">aanbestedingen van </w:t>
      </w:r>
      <w:r w:rsidR="00DE55CB">
        <w:rPr>
          <w:rFonts w:ascii="Verdana" w:hAnsi="Verdana" w:eastAsia="Times New Roman" w:cs="Times New Roman"/>
          <w:sz w:val="18"/>
          <w:szCs w:val="18"/>
        </w:rPr>
        <w:t>werken</w:t>
      </w:r>
      <w:r w:rsidRPr="00E43A50" w:rsidR="00DE55CB">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in de GWW </w:t>
      </w:r>
      <w:r w:rsidR="00DE55CB">
        <w:rPr>
          <w:rFonts w:ascii="Verdana" w:hAnsi="Verdana" w:eastAsia="Times New Roman" w:cs="Times New Roman"/>
          <w:sz w:val="18"/>
          <w:szCs w:val="18"/>
        </w:rPr>
        <w:t>huren</w:t>
      </w:r>
      <w:r w:rsidRPr="00E43A50">
        <w:rPr>
          <w:rFonts w:ascii="Verdana" w:hAnsi="Verdana" w:eastAsia="Times New Roman" w:cs="Times New Roman"/>
          <w:sz w:val="18"/>
          <w:szCs w:val="18"/>
        </w:rPr>
        <w:t xml:space="preserve">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specialistische ondersteuning inhu</w:t>
      </w:r>
      <w:r w:rsidR="00904ED0">
        <w:rPr>
          <w:rFonts w:ascii="Verdana" w:hAnsi="Verdana" w:eastAsia="Times New Roman" w:cs="Times New Roman"/>
          <w:sz w:val="18"/>
          <w:szCs w:val="18"/>
        </w:rPr>
        <w:t>u</w:t>
      </w:r>
      <w:r w:rsidRPr="00E43A50">
        <w:rPr>
          <w:rFonts w:ascii="Verdana" w:hAnsi="Verdana" w:eastAsia="Times New Roman" w:cs="Times New Roman"/>
          <w:sz w:val="18"/>
          <w:szCs w:val="18"/>
        </w:rPr>
        <w:t xml:space="preserve">r van ingenieursbureaus. 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zorgt ervoor dat milieuprestatie in deze bestaande procedures wordt geïmplementeerd. Om dit effectief te doen, moeten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bij de maatregel die verplicht dat milieuprestatie meegenomen wordt in grote aanbestedingsprojecten mogelijk hun aanbestedingsdocumenten aanpassen, zodat ze ruimte bieden voor milieukundige overwegingen en de juiste beoordelingsmethoden. De door 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verplichte milieuprestatie bij de meest gebruikte producten in de GWW wordt geïntegreerd in bestaande bestekken en contracten die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gebruiken bij hun aanbestedingen van infrastructuur. Hier</w:t>
      </w:r>
      <w:r w:rsidRPr="00E43A50"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zijn geen uitvoeringsaspecten voorzien.</w:t>
      </w:r>
      <w:r w:rsidR="00BA76AE">
        <w:rPr>
          <w:rFonts w:ascii="Verdana" w:hAnsi="Verdana" w:eastAsia="Times New Roman" w:cs="Times New Roman"/>
          <w:sz w:val="18"/>
          <w:szCs w:val="18"/>
        </w:rPr>
        <w:t xml:space="preserve"> </w:t>
      </w:r>
    </w:p>
    <w:p w:rsidRPr="00D944A9" w:rsidR="004F0533" w:rsidP="00643E93" w:rsidRDefault="004F0533" w14:paraId="6AA3D025" w14:textId="77777777">
      <w:pPr>
        <w:spacing w:after="20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Gunning op basis van prijs en kwaliteit</w:t>
      </w:r>
    </w:p>
    <w:p w:rsidR="00D46534" w:rsidP="00643E93" w:rsidRDefault="004F0533" w14:paraId="2205977B" w14:textId="0C73BF22">
      <w:pPr>
        <w:spacing w:after="200" w:line="276" w:lineRule="auto"/>
        <w:rPr>
          <w:rFonts w:ascii="Verdana" w:hAnsi="Verdana" w:eastAsia="Times New Roman" w:cs="Times New Roman"/>
          <w:sz w:val="18"/>
          <w:szCs w:val="18"/>
        </w:rPr>
      </w:pPr>
      <w:bookmarkStart w:name="_Hlk201641639" w:id="46"/>
      <w:r w:rsidRPr="00E43A50">
        <w:rPr>
          <w:rFonts w:ascii="Verdana" w:hAnsi="Verdana" w:eastAsia="Times New Roman" w:cs="Times New Roman"/>
          <w:sz w:val="18"/>
          <w:szCs w:val="18"/>
        </w:rPr>
        <w:t xml:space="preserve">Dit </w:t>
      </w:r>
      <w:r w:rsidRPr="00E43A50" w:rsidR="000E650E">
        <w:rPr>
          <w:rFonts w:ascii="Verdana" w:hAnsi="Verdana" w:eastAsia="Times New Roman" w:cs="Times New Roman"/>
          <w:sz w:val="18"/>
          <w:szCs w:val="18"/>
        </w:rPr>
        <w:t xml:space="preserve">wetsvoorstel </w:t>
      </w:r>
      <w:r w:rsidRPr="00E43A50">
        <w:rPr>
          <w:rFonts w:ascii="Verdana" w:hAnsi="Verdana" w:eastAsia="Times New Roman" w:cs="Times New Roman"/>
          <w:sz w:val="18"/>
          <w:szCs w:val="18"/>
        </w:rPr>
        <w:t xml:space="preserve">verplicht om </w:t>
      </w:r>
      <w:r w:rsidRPr="00E43A50" w:rsidR="00290C16">
        <w:rPr>
          <w:rFonts w:ascii="Verdana" w:hAnsi="Verdana" w:eastAsia="Times New Roman" w:cs="Times New Roman"/>
          <w:sz w:val="18"/>
          <w:szCs w:val="18"/>
        </w:rPr>
        <w:t xml:space="preserve">bij GWW-werken boven een </w:t>
      </w:r>
      <w:r w:rsidRPr="00E43A50">
        <w:rPr>
          <w:rFonts w:ascii="Verdana" w:hAnsi="Verdana" w:eastAsia="Times New Roman" w:cs="Times New Roman"/>
          <w:sz w:val="18"/>
          <w:szCs w:val="18"/>
        </w:rPr>
        <w:t xml:space="preserve">bij </w:t>
      </w:r>
      <w:r w:rsidR="00DB71A0">
        <w:rPr>
          <w:rFonts w:ascii="Verdana" w:hAnsi="Verdana" w:eastAsia="Times New Roman" w:cs="Times New Roman"/>
          <w:sz w:val="18"/>
          <w:szCs w:val="18"/>
        </w:rPr>
        <w:t>amvb</w:t>
      </w:r>
      <w:r w:rsidRPr="00E43A50">
        <w:rPr>
          <w:rFonts w:ascii="Verdana" w:hAnsi="Verdana" w:eastAsia="Times New Roman" w:cs="Times New Roman"/>
          <w:sz w:val="18"/>
          <w:szCs w:val="18"/>
        </w:rPr>
        <w:t xml:space="preserve"> aangewezen </w:t>
      </w:r>
      <w:bookmarkStart w:name="_Hlk201641583" w:id="47"/>
      <w:r w:rsidR="009C45FE">
        <w:rPr>
          <w:rFonts w:ascii="Verdana" w:hAnsi="Verdana" w:eastAsia="Times New Roman" w:cs="Times New Roman"/>
          <w:sz w:val="18"/>
          <w:szCs w:val="18"/>
          <w:lang w:eastAsia="nl-NL"/>
        </w:rPr>
        <w:t>minimum geraamde opdrachtwaarde</w:t>
      </w:r>
      <w:r w:rsidRPr="005B4CB1" w:rsidR="009C45FE">
        <w:rPr>
          <w:rFonts w:ascii="Verdana" w:hAnsi="Verdana" w:eastAsia="Times New Roman" w:cs="Times New Roman"/>
          <w:sz w:val="18"/>
          <w:szCs w:val="18"/>
          <w:lang w:eastAsia="nl-NL"/>
        </w:rPr>
        <w:t xml:space="preserve"> </w:t>
      </w:r>
      <w:bookmarkEnd w:id="47"/>
      <w:r w:rsidRPr="00E43A50">
        <w:rPr>
          <w:rFonts w:ascii="Verdana" w:hAnsi="Verdana" w:eastAsia="Times New Roman" w:cs="Times New Roman"/>
          <w:sz w:val="18"/>
          <w:szCs w:val="18"/>
        </w:rPr>
        <w:t>de milieuprestatie te betrekken bij de aanbesteding</w:t>
      </w:r>
      <w:r w:rsidRPr="00E43A50" w:rsidR="00290C16">
        <w:rPr>
          <w:rFonts w:ascii="Verdana" w:hAnsi="Verdana" w:eastAsia="Times New Roman" w:cs="Times New Roman"/>
          <w:sz w:val="18"/>
          <w:szCs w:val="18"/>
        </w:rPr>
        <w:t xml:space="preserve"> in de vorm van een</w:t>
      </w:r>
      <w:r w:rsidR="00173DC2">
        <w:rPr>
          <w:rFonts w:ascii="Verdana" w:hAnsi="Verdana" w:eastAsia="Times New Roman" w:cs="Times New Roman"/>
          <w:sz w:val="18"/>
          <w:szCs w:val="18"/>
        </w:rPr>
        <w:t xml:space="preserve"> nader criterium.</w:t>
      </w:r>
      <w:r w:rsidRPr="00E43A50">
        <w:rPr>
          <w:rFonts w:ascii="Verdana" w:hAnsi="Verdana" w:eastAsia="Times New Roman" w:cs="Times New Roman"/>
          <w:sz w:val="18"/>
          <w:szCs w:val="18"/>
        </w:rPr>
        <w:t xml:space="preserve"> Volgens de Aanbestedingswet </w:t>
      </w:r>
      <w:r w:rsidR="00C066A8">
        <w:rPr>
          <w:rFonts w:ascii="Verdana" w:hAnsi="Verdana" w:eastAsia="Times New Roman" w:cs="Times New Roman"/>
          <w:sz w:val="18"/>
          <w:szCs w:val="18"/>
        </w:rPr>
        <w:t>2012</w:t>
      </w:r>
      <w:r w:rsidRPr="00E43A50">
        <w:rPr>
          <w:rFonts w:ascii="Verdana" w:hAnsi="Verdana" w:eastAsia="Times New Roman" w:cs="Times New Roman"/>
          <w:sz w:val="18"/>
          <w:szCs w:val="18"/>
        </w:rPr>
        <w:t xml:space="preserve"> is het in principe verplicht om de beste prijs-kwaliteitsverhouding (BPKV) als gunningscriterium te gebruiken, tenzij er een goed gemotiveerde reden is om een ander criterium te kiezen, zoals de laagste prijs. Op grond van de Aanbestedingswet </w:t>
      </w:r>
      <w:r w:rsidR="00C066A8">
        <w:rPr>
          <w:rFonts w:ascii="Verdana" w:hAnsi="Verdana" w:eastAsia="Times New Roman" w:cs="Times New Roman"/>
          <w:sz w:val="18"/>
          <w:szCs w:val="18"/>
        </w:rPr>
        <w:t>2012</w:t>
      </w:r>
      <w:r w:rsidRPr="00E43A50">
        <w:rPr>
          <w:rFonts w:ascii="Verdana" w:hAnsi="Verdana" w:eastAsia="Times New Roman" w:cs="Times New Roman"/>
          <w:sz w:val="18"/>
          <w:szCs w:val="18"/>
        </w:rPr>
        <w:t xml:space="preserve"> wordt</w:t>
      </w:r>
      <w:r w:rsidRPr="00E43A50" w:rsidDel="0000633B">
        <w:rPr>
          <w:rFonts w:ascii="Verdana" w:hAnsi="Verdana" w:eastAsia="Times New Roman" w:cs="Times New Roman"/>
          <w:sz w:val="18"/>
          <w:szCs w:val="18"/>
        </w:rPr>
        <w:t xml:space="preserve"> </w:t>
      </w:r>
      <w:r w:rsidRPr="00E43A50">
        <w:rPr>
          <w:rFonts w:ascii="Verdana" w:hAnsi="Verdana" w:eastAsia="Times New Roman" w:cs="Times New Roman"/>
          <w:sz w:val="18"/>
          <w:szCs w:val="18"/>
        </w:rPr>
        <w:t>bij de aanbesteding van GWW-werken momenteel het meest gemaakt van de BPKV als gunningscriterium.</w:t>
      </w:r>
      <w:r w:rsidR="00124ED2">
        <w:rPr>
          <w:rStyle w:val="Voetnootmarkering"/>
          <w:rFonts w:ascii="Verdana" w:hAnsi="Verdana" w:eastAsia="Times New Roman" w:cs="Times New Roman"/>
          <w:sz w:val="18"/>
          <w:szCs w:val="18"/>
        </w:rPr>
        <w:footnoteReference w:id="42"/>
      </w:r>
      <w:r w:rsidRPr="00E43A50">
        <w:rPr>
          <w:rFonts w:ascii="Verdana" w:hAnsi="Verdana" w:eastAsia="Times New Roman" w:cs="Times New Roman"/>
          <w:sz w:val="18"/>
          <w:szCs w:val="18"/>
        </w:rPr>
        <w:t xml:space="preserve"> Dit houdt in dat niet alleen de prijs van belang is, maar ook de kwaliteit van het werk en de </w:t>
      </w:r>
      <w:r w:rsidRPr="00E43A50" w:rsidR="00492F08">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 xml:space="preserve">die daarin gebruikt worden. </w:t>
      </w:r>
      <w:r w:rsidR="00817EC2">
        <w:rPr>
          <w:rFonts w:ascii="Verdana" w:hAnsi="Verdana" w:eastAsia="Times New Roman" w:cs="Times New Roman"/>
          <w:sz w:val="18"/>
          <w:szCs w:val="18"/>
        </w:rPr>
        <w:t>De criteria op basis waarvan de kwaliteit wordt bepaald, mogen</w:t>
      </w:r>
      <w:r w:rsidR="00160A3A">
        <w:rPr>
          <w:rFonts w:ascii="Verdana" w:hAnsi="Verdana" w:eastAsia="Times New Roman" w:cs="Times New Roman"/>
          <w:sz w:val="18"/>
          <w:szCs w:val="18"/>
        </w:rPr>
        <w:t xml:space="preserve"> momenteel</w:t>
      </w:r>
      <w:r w:rsidR="00817EC2">
        <w:rPr>
          <w:rFonts w:ascii="Verdana" w:hAnsi="Verdana" w:eastAsia="Times New Roman" w:cs="Times New Roman"/>
          <w:sz w:val="18"/>
          <w:szCs w:val="18"/>
        </w:rPr>
        <w:t xml:space="preserve"> door de aanbestedende dienst zelf worden bepaald. Met dit wetsvoorstel wordt geregeld dat één van de </w:t>
      </w:r>
      <w:r w:rsidR="00173DC2">
        <w:rPr>
          <w:rFonts w:ascii="Verdana" w:hAnsi="Verdana" w:eastAsia="Times New Roman" w:cs="Times New Roman"/>
          <w:sz w:val="18"/>
          <w:szCs w:val="18"/>
        </w:rPr>
        <w:t xml:space="preserve">nadere </w:t>
      </w:r>
      <w:r w:rsidR="00817EC2">
        <w:rPr>
          <w:rFonts w:ascii="Verdana" w:hAnsi="Verdana" w:eastAsia="Times New Roman" w:cs="Times New Roman"/>
          <w:sz w:val="18"/>
          <w:szCs w:val="18"/>
        </w:rPr>
        <w:t>criteria de milieuprestatie moet zijn. Bij of krachtens amvb wordt de beoordelingsmethode geregeld, zodat in alle van aanbestedingen die binnen de wettelijke verplichting valle</w:t>
      </w:r>
      <w:r w:rsidR="00737B4F">
        <w:rPr>
          <w:rFonts w:ascii="Verdana" w:hAnsi="Verdana" w:eastAsia="Times New Roman" w:cs="Times New Roman"/>
          <w:sz w:val="18"/>
          <w:szCs w:val="18"/>
        </w:rPr>
        <w:t>n</w:t>
      </w:r>
      <w:r w:rsidR="00817EC2">
        <w:rPr>
          <w:rFonts w:ascii="Verdana" w:hAnsi="Verdana" w:eastAsia="Times New Roman" w:cs="Times New Roman"/>
          <w:sz w:val="18"/>
          <w:szCs w:val="18"/>
        </w:rPr>
        <w:t xml:space="preserve"> de milieuprestatie op eenzelfde wijze wordt bepaald en wordt meegenomen in de gunning. </w:t>
      </w:r>
    </w:p>
    <w:p w:rsidRPr="00E43A50" w:rsidR="004F0533" w:rsidP="00643E93" w:rsidRDefault="004F0533" w14:paraId="29751E1E" w14:textId="574AE624">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De huidige manier van aanbesteden vraagt van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om een zorgvuldige afweging van zowel de financiële als de technische aspecten van het project. Aanbestedende diensten</w:t>
      </w:r>
      <w:r w:rsidR="00095617">
        <w:rPr>
          <w:rFonts w:ascii="Verdana" w:hAnsi="Verdana" w:eastAsia="Times New Roman" w:cs="Times New Roman"/>
          <w:sz w:val="18"/>
          <w:szCs w:val="18"/>
        </w:rPr>
        <w:t xml:space="preserve"> en</w:t>
      </w:r>
      <w:r w:rsidRPr="00E43A50">
        <w:rPr>
          <w:rFonts w:ascii="Verdana" w:hAnsi="Verdana" w:eastAsia="Times New Roman" w:cs="Times New Roman"/>
          <w:sz w:val="18"/>
          <w:szCs w:val="18"/>
        </w:rPr>
        <w:t xml:space="preserve">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moeten in staat zijn om objectief en transparant te beoordelen of de ingediende voorstellen voldoen aan de gestelde eisen, waarbij ze de juiste balans vinden tussen </w:t>
      </w:r>
      <w:r w:rsidR="00817EC2">
        <w:rPr>
          <w:rFonts w:ascii="Verdana" w:hAnsi="Verdana" w:eastAsia="Times New Roman" w:cs="Times New Roman"/>
          <w:sz w:val="18"/>
          <w:szCs w:val="18"/>
        </w:rPr>
        <w:t>prijs en</w:t>
      </w:r>
      <w:r w:rsidRPr="00E43A50">
        <w:rPr>
          <w:rFonts w:ascii="Verdana" w:hAnsi="Verdana" w:eastAsia="Times New Roman" w:cs="Times New Roman"/>
          <w:sz w:val="18"/>
          <w:szCs w:val="18"/>
        </w:rPr>
        <w:t xml:space="preserve"> kwaliteit.</w:t>
      </w:r>
      <w:r w:rsidR="00817EC2">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Het berekenen van de milieuprestatie als </w:t>
      </w:r>
      <w:r w:rsidR="00173DC2">
        <w:rPr>
          <w:rFonts w:ascii="Verdana" w:hAnsi="Verdana" w:eastAsia="Times New Roman" w:cs="Times New Roman"/>
          <w:sz w:val="18"/>
          <w:szCs w:val="18"/>
        </w:rPr>
        <w:t>nader criterium</w:t>
      </w:r>
      <w:r w:rsidRPr="00E43A50">
        <w:rPr>
          <w:rFonts w:ascii="Verdana" w:hAnsi="Verdana" w:eastAsia="Times New Roman" w:cs="Times New Roman"/>
          <w:sz w:val="18"/>
          <w:szCs w:val="18"/>
        </w:rPr>
        <w:t xml:space="preserve"> vereist vaak specialistische kennis en data. De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zullen hun bestaande processen en systemen moeten aanpassen om milieuprestaties op een juiste en transparante manier te integreren. Dit zal mogelijk extra middelen en deskundigheid vergen, maar het kan bijdragen aan duurzamere aanbestedingspraktijken </w:t>
      </w:r>
      <w:r w:rsidRPr="00E43A50">
        <w:rPr>
          <w:rFonts w:ascii="Verdana" w:hAnsi="Verdana" w:eastAsia="Times New Roman" w:cs="Times New Roman"/>
          <w:sz w:val="18"/>
          <w:szCs w:val="18"/>
        </w:rPr>
        <w:lastRenderedPageBreak/>
        <w:t xml:space="preserve">en een grotere focus op milieuverantwoordelijkheid in de publieke sector. Efficiëntere en duurzamere bouwprojecten kunnen uiteindelijk leiden tot lagere operationele kosten, minder energieverbruik en een lagere milieu-impact, wat voordelen biedt voor de opdrachtgever en de samenleving als geheel. De specialistische ondersteuning die vaak al betrokken wordt bij grote projecten, kunnen ondersteunen indien de aanbestedende dienst de kennis niet zelf in huis heeft. Ook biedt de Rijksoverheid ondersteuning via het </w:t>
      </w:r>
      <w:r w:rsidRPr="00E43A50" w:rsidR="00E43A50">
        <w:rPr>
          <w:rFonts w:ascii="Verdana" w:hAnsi="Verdana" w:eastAsia="Times New Roman" w:cs="Times New Roman"/>
          <w:sz w:val="18"/>
          <w:szCs w:val="18"/>
        </w:rPr>
        <w:t xml:space="preserve">ondersteuningspunt zoals beschreven in paragraaf 2.3 </w:t>
      </w:r>
      <w:r w:rsidRPr="00E43A50">
        <w:rPr>
          <w:rFonts w:ascii="Verdana" w:hAnsi="Verdana" w:eastAsia="Times New Roman" w:cs="Times New Roman"/>
          <w:sz w:val="18"/>
          <w:szCs w:val="18"/>
        </w:rPr>
        <w:t>om de milieuprestatie als criterium in</w:t>
      </w:r>
      <w:r w:rsidR="00173DC2">
        <w:rPr>
          <w:rFonts w:ascii="Verdana" w:hAnsi="Verdana" w:eastAsia="Times New Roman" w:cs="Times New Roman"/>
          <w:sz w:val="18"/>
          <w:szCs w:val="18"/>
        </w:rPr>
        <w:t xml:space="preserve"> de beoordeling van de kwaliteit van</w:t>
      </w:r>
      <w:r w:rsidRPr="00E43A50">
        <w:rPr>
          <w:rFonts w:ascii="Verdana" w:hAnsi="Verdana" w:eastAsia="Times New Roman" w:cs="Times New Roman"/>
          <w:sz w:val="18"/>
          <w:szCs w:val="18"/>
        </w:rPr>
        <w:t xml:space="preserve"> GWW-werken te betrekken. </w:t>
      </w:r>
    </w:p>
    <w:bookmarkEnd w:id="46"/>
    <w:p w:rsidRPr="00D944A9" w:rsidR="004F0533" w:rsidP="00643E93" w:rsidRDefault="004F0533" w14:paraId="0D113659" w14:textId="77777777">
      <w:pPr>
        <w:spacing w:after="20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Opleiding en deskundigheid</w:t>
      </w:r>
    </w:p>
    <w:p w:rsidRPr="00E43A50" w:rsidR="004F0533" w:rsidP="00643E93" w:rsidRDefault="004F0533" w14:paraId="685EB8D0" w14:textId="7E9C06E1">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Aangezien het betrekken van milieuprestaties nieuwe kennis en vaardigheden vereist, zullen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mogelijk behoefte hebben aan opleiding en training van hun personeel. Dit geldt met name voor de medewerkers die verantwoordelijk zijn voor het opstellen en beoordelen van aanbestedingen, omdat zij de technische en juridische aspecten van milieuprestaties goed moeten begrijpen. Het kan nodig zijn om deskundigen in te schakelen of samen te werken met externe adviseurs om de milieuprestaties correct te evalueren.</w:t>
      </w:r>
    </w:p>
    <w:p w:rsidRPr="00D944A9" w:rsidR="004F0533" w:rsidP="00643E93" w:rsidRDefault="004F0533" w14:paraId="14E50484" w14:textId="77777777">
      <w:pPr>
        <w:spacing w:after="20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 xml:space="preserve">Beoordelingssystematiek en transparantie </w:t>
      </w:r>
    </w:p>
    <w:p w:rsidR="006618C0" w:rsidP="00643E93" w:rsidRDefault="004F0533" w14:paraId="57106CBD" w14:textId="3CA1B408">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moeten duidelijke </w:t>
      </w:r>
      <w:r w:rsidR="00FF7A80">
        <w:rPr>
          <w:rFonts w:ascii="Verdana" w:hAnsi="Verdana" w:eastAsia="Times New Roman" w:cs="Times New Roman"/>
          <w:sz w:val="18"/>
          <w:szCs w:val="18"/>
        </w:rPr>
        <w:t>instructies en handreikingen</w:t>
      </w:r>
      <w:r w:rsidRPr="00E43A50" w:rsidR="00FF7A80">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hebben voor </w:t>
      </w:r>
      <w:r w:rsidR="002613D2">
        <w:rPr>
          <w:rFonts w:ascii="Verdana" w:hAnsi="Verdana" w:eastAsia="Times New Roman" w:cs="Times New Roman"/>
          <w:sz w:val="18"/>
          <w:szCs w:val="18"/>
        </w:rPr>
        <w:t>het wegen van</w:t>
      </w:r>
      <w:r w:rsidRPr="00E43A50" w:rsidR="002613D2">
        <w:rPr>
          <w:rFonts w:ascii="Verdana" w:hAnsi="Verdana" w:eastAsia="Times New Roman" w:cs="Times New Roman"/>
          <w:sz w:val="18"/>
          <w:szCs w:val="18"/>
        </w:rPr>
        <w:t xml:space="preserve"> </w:t>
      </w:r>
      <w:r w:rsidR="00CF3010">
        <w:rPr>
          <w:rFonts w:ascii="Verdana" w:hAnsi="Verdana" w:eastAsia="Times New Roman" w:cs="Times New Roman"/>
          <w:sz w:val="18"/>
          <w:szCs w:val="18"/>
        </w:rPr>
        <w:t xml:space="preserve">het </w:t>
      </w:r>
      <w:r w:rsidR="0046318B">
        <w:rPr>
          <w:rFonts w:ascii="Verdana" w:hAnsi="Verdana" w:eastAsia="Times New Roman" w:cs="Times New Roman"/>
          <w:sz w:val="18"/>
          <w:szCs w:val="18"/>
        </w:rPr>
        <w:t xml:space="preserve">nader criterium </w:t>
      </w:r>
      <w:r w:rsidR="00CB716E">
        <w:rPr>
          <w:rFonts w:ascii="Verdana" w:hAnsi="Verdana" w:eastAsia="Times New Roman" w:cs="Times New Roman"/>
          <w:sz w:val="18"/>
          <w:szCs w:val="18"/>
        </w:rPr>
        <w:t xml:space="preserve">milieuprestatie </w:t>
      </w:r>
      <w:r w:rsidRPr="00E43A50">
        <w:rPr>
          <w:rFonts w:ascii="Verdana" w:hAnsi="Verdana" w:eastAsia="Times New Roman" w:cs="Times New Roman"/>
          <w:sz w:val="18"/>
          <w:szCs w:val="18"/>
        </w:rPr>
        <w:t xml:space="preserve">ten opzichte van andere criteria. Dit vereist zorgvuldige afwegingen en een transparante aanpak, zodat marktpartijen begrijpen hoe hun aanbiedingen worden beoordeeld. Ook moeten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ervoor zorgen dat de beslissingen goed te onderbouwen zijn, zodat ze voldoen aan de vereisten van transparantie en gelijkheid. Deze </w:t>
      </w:r>
      <w:r w:rsidR="00FF7A80">
        <w:rPr>
          <w:rFonts w:ascii="Verdana" w:hAnsi="Verdana" w:eastAsia="Times New Roman" w:cs="Times New Roman"/>
          <w:sz w:val="18"/>
          <w:szCs w:val="18"/>
        </w:rPr>
        <w:t>instructies en handreikingen</w:t>
      </w:r>
      <w:r w:rsidRPr="00E43A50">
        <w:rPr>
          <w:rFonts w:ascii="Verdana" w:hAnsi="Verdana" w:eastAsia="Times New Roman" w:cs="Times New Roman"/>
          <w:sz w:val="18"/>
          <w:szCs w:val="18"/>
        </w:rPr>
        <w:t xml:space="preserve">, evenals ondersteuning hierbij, wordt via het </w:t>
      </w:r>
      <w:r w:rsidRPr="00E43A50" w:rsidR="00E43A50">
        <w:rPr>
          <w:rFonts w:ascii="Verdana" w:hAnsi="Verdana" w:eastAsia="Times New Roman" w:cs="Times New Roman"/>
          <w:sz w:val="18"/>
          <w:szCs w:val="18"/>
        </w:rPr>
        <w:t xml:space="preserve">ondersteuningspunt </w:t>
      </w:r>
      <w:r w:rsidRPr="00E43A50">
        <w:rPr>
          <w:rFonts w:ascii="Verdana" w:hAnsi="Verdana" w:eastAsia="Times New Roman" w:cs="Times New Roman"/>
          <w:sz w:val="18"/>
          <w:szCs w:val="18"/>
        </w:rPr>
        <w:t xml:space="preserve">geboden. </w:t>
      </w:r>
      <w:r w:rsidR="00FF7A80">
        <w:rPr>
          <w:rFonts w:ascii="Verdana" w:hAnsi="Verdana" w:eastAsia="Times New Roman" w:cs="Times New Roman"/>
          <w:sz w:val="18"/>
          <w:szCs w:val="18"/>
        </w:rPr>
        <w:t>Het bij of krachtens amvb voorschrijven van een beoordelingsmethode voor de milieuprestatie draagt bij aan uniformiteit en transparantie in de sector. Ook de oprichting van één centraal ondersteuningspunt voor aanbestedende diensten en speciale-sectorbedrijven draagt hier aan bij.</w:t>
      </w:r>
    </w:p>
    <w:p w:rsidRPr="00D944A9" w:rsidR="004F0533" w:rsidP="00643E93" w:rsidRDefault="004F0533" w14:paraId="436858AC" w14:textId="362F7E63">
      <w:pPr>
        <w:spacing w:after="200" w:line="276" w:lineRule="auto"/>
        <w:rPr>
          <w:rFonts w:ascii="Verdana" w:hAnsi="Verdana" w:eastAsia="Times New Roman" w:cs="Times New Roman"/>
          <w:i/>
          <w:sz w:val="18"/>
          <w:szCs w:val="18"/>
        </w:rPr>
      </w:pPr>
      <w:r w:rsidRPr="00E43A50">
        <w:rPr>
          <w:rFonts w:ascii="Verdana" w:hAnsi="Verdana" w:eastAsia="Times New Roman" w:cs="Times New Roman"/>
          <w:i/>
          <w:iCs/>
          <w:sz w:val="18"/>
          <w:szCs w:val="18"/>
        </w:rPr>
        <w:t xml:space="preserve">Handhaving en controle </w:t>
      </w:r>
    </w:p>
    <w:p w:rsidRPr="00E43A50" w:rsidR="004F0533" w:rsidP="00643E93" w:rsidRDefault="004F0533" w14:paraId="151E9075" w14:textId="080499D6">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Als milieuprestaties als </w:t>
      </w:r>
      <w:r w:rsidR="0046318B">
        <w:rPr>
          <w:rFonts w:ascii="Verdana" w:hAnsi="Verdana" w:eastAsia="Times New Roman" w:cs="Times New Roman"/>
          <w:sz w:val="18"/>
          <w:szCs w:val="18"/>
        </w:rPr>
        <w:t>nadere criteria</w:t>
      </w:r>
      <w:r w:rsidRPr="00E43A50">
        <w:rPr>
          <w:rFonts w:ascii="Verdana" w:hAnsi="Verdana" w:eastAsia="Times New Roman" w:cs="Times New Roman"/>
          <w:sz w:val="18"/>
          <w:szCs w:val="18"/>
        </w:rPr>
        <w:t xml:space="preserve"> worden gebruikt, kan dit leiden tot </w:t>
      </w:r>
      <w:r w:rsidR="001224B1">
        <w:rPr>
          <w:rFonts w:ascii="Verdana" w:hAnsi="Verdana" w:eastAsia="Times New Roman" w:cs="Times New Roman"/>
          <w:sz w:val="18"/>
          <w:szCs w:val="18"/>
        </w:rPr>
        <w:t xml:space="preserve">een extra tijdsinvestering van aanbestedende diensten en speciale-sectorbedrijven om dit te monitoren (meer informatie hierover is te vinden in </w:t>
      </w:r>
      <w:r w:rsidR="00ED54B2">
        <w:rPr>
          <w:rFonts w:ascii="Verdana" w:hAnsi="Verdana" w:eastAsia="Times New Roman" w:cs="Times New Roman"/>
          <w:sz w:val="18"/>
          <w:szCs w:val="18"/>
        </w:rPr>
        <w:t>hoofdstuk 9)</w:t>
      </w:r>
      <w:r w:rsidRPr="00E43A50">
        <w:rPr>
          <w:rFonts w:ascii="Verdana" w:hAnsi="Verdana" w:eastAsia="Times New Roman" w:cs="Times New Roman"/>
          <w:sz w:val="18"/>
          <w:szCs w:val="18"/>
        </w:rPr>
        <w:t xml:space="preserve">. </w:t>
      </w:r>
      <w:r w:rsidRPr="001224B1" w:rsidR="001224B1">
        <w:rPr>
          <w:rFonts w:ascii="Verdana" w:hAnsi="Verdana" w:eastAsia="Times New Roman" w:cs="Times New Roman"/>
          <w:sz w:val="18"/>
          <w:szCs w:val="18"/>
        </w:rPr>
        <w:t>Hierbij wordt specifiek gedoeld op het toezicht op de naleving van de gemaakte beloften door opdrachtnemers.</w:t>
      </w:r>
      <w:r w:rsidRPr="00E43A50">
        <w:rPr>
          <w:rFonts w:ascii="Verdana" w:hAnsi="Verdana" w:eastAsia="Times New Roman" w:cs="Times New Roman"/>
          <w:sz w:val="18"/>
          <w:szCs w:val="18"/>
        </w:rPr>
        <w:t xml:space="preserve">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zullen moeten zorgen voor een effectief mechanisme om te controleren of de beloofde milieuprestaties daadwerkelijk worden nageleefd gedurende de uitvoering van het contract. Dit kan bijvoorbeeld inhouden dat er nazorg, audits of rapportages nodig zijn om de naleving van de milieucriteria te waarborgen. Ondersteuning hierbij wordt via het </w:t>
      </w:r>
      <w:r w:rsidR="0046318B">
        <w:rPr>
          <w:rFonts w:ascii="Verdana" w:hAnsi="Verdana" w:eastAsia="Times New Roman" w:cs="Times New Roman"/>
          <w:sz w:val="18"/>
          <w:szCs w:val="18"/>
        </w:rPr>
        <w:t>o</w:t>
      </w:r>
      <w:r w:rsidR="00EB1CF8">
        <w:rPr>
          <w:rFonts w:ascii="Verdana" w:hAnsi="Verdana" w:eastAsia="Times New Roman" w:cs="Times New Roman"/>
          <w:sz w:val="18"/>
          <w:szCs w:val="18"/>
        </w:rPr>
        <w:t>ndersteuningspunt</w:t>
      </w:r>
      <w:r w:rsidRPr="00E43A50" w:rsidR="00EB1CF8">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geboden. </w:t>
      </w:r>
      <w:r w:rsidR="00BA3F5A">
        <w:rPr>
          <w:rFonts w:ascii="Verdana" w:hAnsi="Verdana" w:eastAsia="Times New Roman" w:cs="Times New Roman"/>
          <w:sz w:val="18"/>
          <w:szCs w:val="18"/>
        </w:rPr>
        <w:t xml:space="preserve">De </w:t>
      </w:r>
      <w:r w:rsidR="00665468">
        <w:rPr>
          <w:rFonts w:ascii="Verdana" w:hAnsi="Verdana" w:eastAsia="Times New Roman" w:cs="Times New Roman"/>
          <w:sz w:val="18"/>
          <w:szCs w:val="18"/>
        </w:rPr>
        <w:t xml:space="preserve">(meerjarige) </w:t>
      </w:r>
      <w:r w:rsidR="00BA3F5A">
        <w:rPr>
          <w:rFonts w:ascii="Verdana" w:hAnsi="Verdana" w:eastAsia="Times New Roman" w:cs="Times New Roman"/>
          <w:sz w:val="18"/>
          <w:szCs w:val="18"/>
        </w:rPr>
        <w:t xml:space="preserve">financiering voor het ondersteuningspunt wordt voorzien via de </w:t>
      </w:r>
      <w:r w:rsidR="00665468">
        <w:rPr>
          <w:rFonts w:ascii="Verdana" w:hAnsi="Verdana" w:eastAsia="Times New Roman" w:cs="Times New Roman"/>
          <w:sz w:val="18"/>
          <w:szCs w:val="18"/>
        </w:rPr>
        <w:t>M</w:t>
      </w:r>
      <w:r w:rsidR="00BA3F5A">
        <w:rPr>
          <w:rFonts w:ascii="Verdana" w:hAnsi="Verdana" w:eastAsia="Times New Roman" w:cs="Times New Roman"/>
          <w:sz w:val="18"/>
          <w:szCs w:val="18"/>
        </w:rPr>
        <w:t xml:space="preserve">eerjaren </w:t>
      </w:r>
      <w:r w:rsidR="00665468">
        <w:rPr>
          <w:rFonts w:ascii="Verdana" w:hAnsi="Verdana" w:eastAsia="Times New Roman" w:cs="Times New Roman"/>
          <w:sz w:val="18"/>
          <w:szCs w:val="18"/>
        </w:rPr>
        <w:t xml:space="preserve">Activiteiten Begroting van het ministerie van Infrastructuur en Waterstaat en heeft derhalve geen </w:t>
      </w:r>
      <w:r w:rsidR="00C066A8">
        <w:rPr>
          <w:rFonts w:ascii="Verdana" w:hAnsi="Verdana" w:eastAsia="Times New Roman" w:cs="Times New Roman"/>
          <w:sz w:val="18"/>
          <w:szCs w:val="18"/>
        </w:rPr>
        <w:t>gevolgen voor</w:t>
      </w:r>
      <w:r w:rsidR="00665468">
        <w:rPr>
          <w:rFonts w:ascii="Verdana" w:hAnsi="Verdana" w:eastAsia="Times New Roman" w:cs="Times New Roman"/>
          <w:sz w:val="18"/>
          <w:szCs w:val="18"/>
        </w:rPr>
        <w:t xml:space="preserve"> de Rijksbegroting.</w:t>
      </w:r>
      <w:r w:rsidR="00ED54B2">
        <w:rPr>
          <w:rFonts w:ascii="Verdana" w:hAnsi="Verdana" w:eastAsia="Times New Roman" w:cs="Times New Roman"/>
          <w:sz w:val="18"/>
          <w:szCs w:val="18"/>
        </w:rPr>
        <w:t xml:space="preserve"> </w:t>
      </w:r>
    </w:p>
    <w:p w:rsidR="002D4706" w:rsidP="00643E93" w:rsidRDefault="004F0533" w14:paraId="62F60E17" w14:textId="395E5530">
      <w:pPr>
        <w:spacing w:after="20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De uitvoerbaarheid voor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om milieuprestaties bij hun aanbestedingen te betrekken kan effectief worden gerealiseerd, maar het vereist wel extra stappen en aandacht voor detail. Om bovenstaande </w:t>
      </w:r>
      <w:r w:rsidRPr="00E43A50">
        <w:rPr>
          <w:rFonts w:ascii="Verdana" w:hAnsi="Verdana" w:eastAsia="Times New Roman" w:cs="Times New Roman"/>
          <w:sz w:val="18"/>
          <w:szCs w:val="18"/>
        </w:rPr>
        <w:lastRenderedPageBreak/>
        <w:t xml:space="preserve">uitvoeringsaspecten te vergemakkelijken wordt bij </w:t>
      </w:r>
      <w:r w:rsidR="00DB71A0">
        <w:rPr>
          <w:rFonts w:ascii="Verdana" w:hAnsi="Verdana" w:eastAsia="Times New Roman" w:cs="Times New Roman"/>
          <w:sz w:val="18"/>
          <w:szCs w:val="18"/>
        </w:rPr>
        <w:t>amvb</w:t>
      </w:r>
      <w:r w:rsidRPr="00E43A50">
        <w:rPr>
          <w:rFonts w:ascii="Verdana" w:hAnsi="Verdana" w:eastAsia="Times New Roman" w:cs="Times New Roman"/>
          <w:sz w:val="18"/>
          <w:szCs w:val="18"/>
        </w:rPr>
        <w:t xml:space="preserve"> gekozen voor milieuprestatie-eisen die zo min mogelijk expertise, middelen en capaciteit van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vergen. Daarbij zal nader ingegaan worden op bovenstaande aspecten. </w:t>
      </w:r>
      <w:r w:rsidRPr="005B4CB1" w:rsidR="00EB5DC8">
        <w:rPr>
          <w:rFonts w:ascii="Verdana" w:hAnsi="Verdana" w:eastAsia="Times New Roman" w:cs="Times New Roman"/>
          <w:sz w:val="18"/>
          <w:szCs w:val="18"/>
        </w:rPr>
        <w:t>In het aanbestedingsrecht wordt het onderscheid gemaakt tussen aanbestedende diensten en speciale</w:t>
      </w:r>
      <w:r w:rsidR="005B5C55">
        <w:rPr>
          <w:rFonts w:ascii="Verdana" w:hAnsi="Verdana" w:eastAsia="Times New Roman" w:cs="Times New Roman"/>
          <w:sz w:val="18"/>
          <w:szCs w:val="18"/>
        </w:rPr>
        <w:t>-</w:t>
      </w:r>
      <w:r w:rsidRPr="005B4CB1" w:rsidR="00EB5DC8">
        <w:rPr>
          <w:rFonts w:ascii="Verdana" w:hAnsi="Verdana" w:eastAsia="Times New Roman" w:cs="Times New Roman"/>
          <w:sz w:val="18"/>
          <w:szCs w:val="18"/>
        </w:rPr>
        <w:t xml:space="preserve">sectorbedrijven. Speciale-sectorbedrijven vallen onder een ander regime in het aanbestedingsrecht; </w:t>
      </w:r>
      <w:r w:rsidR="002613D2">
        <w:rPr>
          <w:rFonts w:ascii="Verdana" w:hAnsi="Verdana" w:eastAsia="Times New Roman" w:cs="Times New Roman"/>
          <w:sz w:val="18"/>
          <w:szCs w:val="18"/>
        </w:rPr>
        <w:t>zij hebben</w:t>
      </w:r>
      <w:r w:rsidRPr="005B4CB1" w:rsidR="00EB5DC8">
        <w:rPr>
          <w:rFonts w:ascii="Verdana" w:hAnsi="Verdana" w:eastAsia="Times New Roman" w:cs="Times New Roman"/>
          <w:sz w:val="18"/>
          <w:szCs w:val="18"/>
        </w:rPr>
        <w:t xml:space="preserve"> onder de aanbestedingswet meer procedurele flexibiliteit.</w:t>
      </w:r>
      <w:r w:rsidRPr="005B4CB1" w:rsidR="002D4706">
        <w:rPr>
          <w:rFonts w:ascii="Verdana" w:hAnsi="Verdana" w:eastAsia="Times New Roman" w:cs="Times New Roman"/>
          <w:sz w:val="18"/>
          <w:szCs w:val="18"/>
        </w:rPr>
        <w:t xml:space="preserve"> De voorgestelde bepalingen uit artikel 9.6.2 en 9.6.3 gelden onverminderd de bepalingen uit de Aanbestedingswet 2012. Op grond van deze bepalingen worden milieuprestatie-eisen voor producten en werken vastgesteld waar de aanbestedende dienst of speciale</w:t>
      </w:r>
      <w:r w:rsidR="005B5C55">
        <w:rPr>
          <w:rFonts w:ascii="Verdana" w:hAnsi="Verdana" w:eastAsia="Times New Roman" w:cs="Times New Roman"/>
          <w:sz w:val="18"/>
          <w:szCs w:val="18"/>
        </w:rPr>
        <w:t>-</w:t>
      </w:r>
      <w:r w:rsidRPr="005B4CB1" w:rsidR="002D4706">
        <w:rPr>
          <w:rFonts w:ascii="Verdana" w:hAnsi="Verdana" w:eastAsia="Times New Roman" w:cs="Times New Roman"/>
          <w:sz w:val="18"/>
          <w:szCs w:val="18"/>
        </w:rPr>
        <w:t xml:space="preserve">sectorbedrijven een aanbesteding voor in GWW-werken uitzetten, rekening mee moeten houden. Deze bepalingen gelden als vooraf gegeven randvoorwaarden voor deze aanbestedingen. </w:t>
      </w:r>
    </w:p>
    <w:p w:rsidRPr="002D4706" w:rsidR="002D4706" w:rsidP="00643E93" w:rsidRDefault="002D4706" w14:paraId="1487711C" w14:textId="76EABA96">
      <w:pPr>
        <w:spacing w:after="200" w:line="276" w:lineRule="auto"/>
        <w:rPr>
          <w:rFonts w:ascii="Verdana" w:hAnsi="Verdana" w:eastAsia="Times New Roman" w:cs="Times New Roman"/>
          <w:sz w:val="18"/>
          <w:szCs w:val="18"/>
          <w:highlight w:val="yellow"/>
        </w:rPr>
      </w:pPr>
      <w:r>
        <w:rPr>
          <w:rFonts w:ascii="Verdana" w:hAnsi="Verdana" w:eastAsia="Times New Roman" w:cs="Times New Roman"/>
          <w:sz w:val="18"/>
          <w:szCs w:val="18"/>
        </w:rPr>
        <w:t xml:space="preserve">Dit wetsvoorstel ziet niet toe op </w:t>
      </w:r>
      <w:r w:rsidRPr="002D4706">
        <w:rPr>
          <w:rFonts w:ascii="Verdana" w:hAnsi="Verdana" w:eastAsia="Times New Roman" w:cs="Times New Roman"/>
          <w:sz w:val="18"/>
          <w:szCs w:val="18"/>
        </w:rPr>
        <w:t>alle speciale-sectoropdrachten, maar o</w:t>
      </w:r>
      <w:r>
        <w:rPr>
          <w:rFonts w:ascii="Verdana" w:hAnsi="Verdana" w:eastAsia="Times New Roman" w:cs="Times New Roman"/>
          <w:sz w:val="18"/>
          <w:szCs w:val="18"/>
        </w:rPr>
        <w:t>p</w:t>
      </w:r>
      <w:r w:rsidRPr="002D4706">
        <w:rPr>
          <w:rFonts w:ascii="Verdana" w:hAnsi="Verdana" w:eastAsia="Times New Roman" w:cs="Times New Roman"/>
          <w:sz w:val="18"/>
          <w:szCs w:val="18"/>
        </w:rPr>
        <w:t xml:space="preserve"> opdrachten voor activiteiten die in de artikelen 3.1 tot en met 3.6 van de Aanbestedingswet 2012 zijn genoemd en bij algemene maatregel van bestuur zijn aangewezen.</w:t>
      </w:r>
      <w:r>
        <w:rPr>
          <w:rFonts w:ascii="Verdana" w:hAnsi="Verdana" w:eastAsia="Times New Roman" w:cs="Times New Roman"/>
          <w:sz w:val="18"/>
          <w:szCs w:val="18"/>
        </w:rPr>
        <w:t xml:space="preserve"> </w:t>
      </w:r>
    </w:p>
    <w:p w:rsidRPr="00E43A50" w:rsidR="004F0533" w:rsidP="00643E93" w:rsidRDefault="004F0533" w14:paraId="717FB9B6" w14:textId="20D3E6D8">
      <w:pPr>
        <w:pStyle w:val="Kop4"/>
        <w:numPr>
          <w:ilvl w:val="1"/>
          <w:numId w:val="24"/>
        </w:numPr>
        <w:spacing w:line="276" w:lineRule="auto"/>
      </w:pPr>
      <w:bookmarkStart w:name="_Toc195040768" w:id="48"/>
      <w:r w:rsidRPr="00E43A50">
        <w:t>Uitvoer</w:t>
      </w:r>
      <w:r w:rsidR="008760AE">
        <w:t>baarheids</w:t>
      </w:r>
      <w:r w:rsidRPr="00E43A50">
        <w:t>toets Decentrale overheden</w:t>
      </w:r>
      <w:bookmarkEnd w:id="48"/>
    </w:p>
    <w:p w:rsidRPr="00E43A50" w:rsidR="004F0533" w:rsidP="00643E93" w:rsidRDefault="004F0533" w14:paraId="4C047CAB" w14:textId="18E617B3">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In het kader van de voorgenomen wetswijziging is een </w:t>
      </w:r>
      <w:r w:rsidR="008760AE">
        <w:rPr>
          <w:rFonts w:ascii="Verdana" w:hAnsi="Verdana" w:eastAsia="Times New Roman" w:cs="Times New Roman"/>
          <w:sz w:val="18"/>
          <w:szCs w:val="18"/>
        </w:rPr>
        <w:t>uitvoerbaarheidstoets</w:t>
      </w:r>
      <w:r w:rsidRPr="00E43A50">
        <w:rPr>
          <w:rFonts w:ascii="Verdana" w:hAnsi="Verdana" w:eastAsia="Times New Roman" w:cs="Times New Roman"/>
          <w:sz w:val="18"/>
          <w:szCs w:val="18"/>
        </w:rPr>
        <w:t xml:space="preserve"> uitgevoerd voor decentrale overheden. De </w:t>
      </w:r>
      <w:r w:rsidR="008760AE">
        <w:rPr>
          <w:rFonts w:ascii="Verdana" w:hAnsi="Verdana" w:eastAsia="Times New Roman" w:cs="Times New Roman"/>
          <w:sz w:val="18"/>
          <w:szCs w:val="18"/>
        </w:rPr>
        <w:t>Uitvoerbaarheidstoets</w:t>
      </w:r>
      <w:r w:rsidRPr="00E43A50">
        <w:rPr>
          <w:rFonts w:ascii="Verdana" w:hAnsi="Verdana" w:eastAsia="Times New Roman" w:cs="Times New Roman"/>
          <w:sz w:val="18"/>
          <w:szCs w:val="18"/>
        </w:rPr>
        <w:t xml:space="preserve"> Decentrale Overheden (UDO) is een proces dat wordt ingezet om in gesprek te gaan met decentrale overheden, zoals gemeenten, provincies en waterschappen, over de uitvoerbaarheid van de wet op lokaal en regionaal niveau. Dit proces biedt de gelegenheid om gezamenlijk te kijken naar de impact van de wet, eventuele praktische knelpunten en de benodigde aanpassingen in werkprocessen binnen deze overheden.</w:t>
      </w:r>
    </w:p>
    <w:p w:rsidRPr="00E43A50" w:rsidR="004F0533" w:rsidP="00643E93" w:rsidRDefault="004F0533" w14:paraId="632F8835" w14:textId="77777777">
      <w:pPr>
        <w:spacing w:after="0" w:line="276" w:lineRule="auto"/>
        <w:rPr>
          <w:rFonts w:ascii="Verdana" w:hAnsi="Verdana" w:eastAsia="Times New Roman" w:cs="Times New Roman"/>
          <w:sz w:val="18"/>
          <w:szCs w:val="18"/>
        </w:rPr>
      </w:pPr>
    </w:p>
    <w:p w:rsidR="004F0533" w:rsidP="00643E93" w:rsidRDefault="004F0533" w14:paraId="621855AF" w14:textId="4EC4349F">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In dit kader zijn er gesprekken gevoerd met de Vereniging van Nederlandse Gemeenten (VNG), het Interprovinciaal Overleg (IPO) en de Unie van Waterschappen (UvW). Over het algemeen hebben deze organisaties positief gereageerd op de voorgenomen wet en onderstreepten zij de noodzaak van een transparanter, efficiënter en eenduidiger aanbestedingsproces waarbij de milieuprestatie van GWW-werken wordt meegenomen. De regelgeving helpt overheden om eenduidig aan te besteden en biedt overheden de zekerheid dat zij minder vervuilende </w:t>
      </w:r>
      <w:r w:rsidRPr="00E43A50" w:rsidR="00492F08">
        <w:rPr>
          <w:rFonts w:ascii="Verdana" w:hAnsi="Verdana" w:eastAsia="Times New Roman" w:cs="Times New Roman"/>
          <w:sz w:val="18"/>
          <w:szCs w:val="18"/>
        </w:rPr>
        <w:t xml:space="preserve">producten </w:t>
      </w:r>
      <w:r w:rsidRPr="00E43A50">
        <w:rPr>
          <w:rFonts w:ascii="Verdana" w:hAnsi="Verdana" w:eastAsia="Times New Roman" w:cs="Times New Roman"/>
          <w:sz w:val="18"/>
          <w:szCs w:val="18"/>
        </w:rPr>
        <w:t>inkopen. De input van VNG, IPO en UvW heeft bijgedragen aan het verder verfijnen van de regelgeving, waarbij de nadruk lag op de haalbaarheid van de uitvoering binnen de bestaande structuren van decentrale overheden. Op basis van deze gesprekken en het proces word</w:t>
      </w:r>
      <w:r w:rsidR="00C96CD1">
        <w:rPr>
          <w:rFonts w:ascii="Verdana" w:hAnsi="Verdana" w:eastAsia="Times New Roman" w:cs="Times New Roman"/>
          <w:sz w:val="18"/>
          <w:szCs w:val="18"/>
        </w:rPr>
        <w:t>t</w:t>
      </w:r>
      <w:r w:rsidRPr="00E43A50">
        <w:rPr>
          <w:rFonts w:ascii="Verdana" w:hAnsi="Verdana" w:eastAsia="Times New Roman" w:cs="Times New Roman"/>
          <w:sz w:val="18"/>
          <w:szCs w:val="18"/>
        </w:rPr>
        <w:t xml:space="preserve"> extra ondersteuning op specifiek ingebrachte onderwerpen geboden in het </w:t>
      </w:r>
      <w:r w:rsidRPr="00E43A50" w:rsidR="00FA5C42">
        <w:rPr>
          <w:rFonts w:ascii="Verdana" w:hAnsi="Verdana" w:eastAsia="Times New Roman" w:cs="Times New Roman"/>
          <w:sz w:val="18"/>
          <w:szCs w:val="18"/>
        </w:rPr>
        <w:t>ondersteuningspunt</w:t>
      </w:r>
      <w:r w:rsidRPr="00E43A50">
        <w:rPr>
          <w:rFonts w:ascii="Verdana" w:hAnsi="Verdana" w:eastAsia="Times New Roman" w:cs="Times New Roman"/>
          <w:sz w:val="18"/>
          <w:szCs w:val="18"/>
        </w:rPr>
        <w:t>. Daarnaast word</w:t>
      </w:r>
      <w:r w:rsidR="00CF3010">
        <w:rPr>
          <w:rFonts w:ascii="Verdana" w:hAnsi="Verdana" w:eastAsia="Times New Roman" w:cs="Times New Roman"/>
          <w:sz w:val="18"/>
          <w:szCs w:val="18"/>
        </w:rPr>
        <w:t xml:space="preserve">t </w:t>
      </w:r>
      <w:r w:rsidRPr="00E43A50">
        <w:rPr>
          <w:rFonts w:ascii="Verdana" w:hAnsi="Verdana" w:eastAsia="Times New Roman" w:cs="Times New Roman"/>
          <w:sz w:val="18"/>
          <w:szCs w:val="18"/>
        </w:rPr>
        <w:t xml:space="preserve">in de </w:t>
      </w:r>
      <w:r w:rsidRPr="00E43A50" w:rsidR="00931236">
        <w:rPr>
          <w:rFonts w:ascii="Verdana" w:hAnsi="Verdana" w:eastAsia="Times New Roman" w:cs="Times New Roman"/>
          <w:sz w:val="18"/>
          <w:szCs w:val="18"/>
        </w:rPr>
        <w:t>amvb</w:t>
      </w:r>
      <w:r w:rsidRPr="00E43A50">
        <w:rPr>
          <w:rFonts w:ascii="Verdana" w:hAnsi="Verdana" w:eastAsia="Times New Roman" w:cs="Times New Roman"/>
          <w:sz w:val="18"/>
          <w:szCs w:val="18"/>
        </w:rPr>
        <w:t xml:space="preserve"> </w:t>
      </w:r>
      <w:r w:rsidR="00CF3010">
        <w:rPr>
          <w:rFonts w:ascii="Verdana" w:hAnsi="Verdana" w:eastAsia="Times New Roman" w:cs="Times New Roman"/>
          <w:sz w:val="18"/>
          <w:szCs w:val="18"/>
        </w:rPr>
        <w:t>specifiek aandacht besteed aan het waarborgen van</w:t>
      </w:r>
      <w:r w:rsidRPr="00E43A50">
        <w:rPr>
          <w:rFonts w:ascii="Verdana" w:hAnsi="Verdana" w:eastAsia="Times New Roman" w:cs="Times New Roman"/>
          <w:sz w:val="18"/>
          <w:szCs w:val="18"/>
        </w:rPr>
        <w:t xml:space="preserve"> een goede en efficiënte uitvoering op lokaal en regionaal niveau. Met VNG, IPO en UvW is afgesproken dat bij de uitwerking van de </w:t>
      </w:r>
      <w:r w:rsidRPr="00E43A50" w:rsidR="00931236">
        <w:rPr>
          <w:rFonts w:ascii="Verdana" w:hAnsi="Verdana" w:eastAsia="Times New Roman" w:cs="Times New Roman"/>
          <w:sz w:val="18"/>
          <w:szCs w:val="18"/>
        </w:rPr>
        <w:t>amvb</w:t>
      </w:r>
      <w:r w:rsidRPr="00E43A50">
        <w:rPr>
          <w:rFonts w:ascii="Verdana" w:hAnsi="Verdana" w:eastAsia="Times New Roman" w:cs="Times New Roman"/>
          <w:sz w:val="18"/>
          <w:szCs w:val="18"/>
        </w:rPr>
        <w:t xml:space="preserve"> wederom een UDO</w:t>
      </w:r>
      <w:r w:rsidR="004D347D">
        <w:rPr>
          <w:rFonts w:ascii="Verdana" w:hAnsi="Verdana" w:eastAsia="Times New Roman" w:cs="Times New Roman"/>
          <w:sz w:val="18"/>
          <w:szCs w:val="18"/>
        </w:rPr>
        <w:t>-</w:t>
      </w:r>
      <w:r w:rsidRPr="00E43A50">
        <w:rPr>
          <w:rFonts w:ascii="Verdana" w:hAnsi="Verdana" w:eastAsia="Times New Roman" w:cs="Times New Roman"/>
          <w:sz w:val="18"/>
          <w:szCs w:val="18"/>
        </w:rPr>
        <w:t xml:space="preserve">proces wordt doorlopen. </w:t>
      </w:r>
    </w:p>
    <w:p w:rsidRPr="005B4CB1" w:rsidR="006928E4" w:rsidP="00643E93" w:rsidRDefault="006928E4" w14:paraId="2C0CE9CF" w14:textId="77777777">
      <w:pPr>
        <w:spacing w:after="0" w:line="276" w:lineRule="auto"/>
        <w:rPr>
          <w:rFonts w:ascii="Verdana" w:hAnsi="Verdana" w:eastAsia="Times New Roman" w:cs="Times New Roman"/>
          <w:sz w:val="21"/>
          <w:szCs w:val="21"/>
        </w:rPr>
      </w:pPr>
    </w:p>
    <w:p w:rsidRPr="00E43A50" w:rsidR="004F0533" w:rsidP="00643E93" w:rsidRDefault="004F0533" w14:paraId="1654CF67" w14:textId="60847D76">
      <w:pPr>
        <w:pStyle w:val="Kop3"/>
        <w:spacing w:line="276" w:lineRule="auto"/>
      </w:pPr>
      <w:r w:rsidRPr="00E43A50">
        <w:t>Toezicht en handhaving</w:t>
      </w:r>
    </w:p>
    <w:p w:rsidR="00817438" w:rsidP="00643E93" w:rsidRDefault="004F0533" w14:paraId="175D2EA8" w14:textId="136E327E">
      <w:pPr>
        <w:spacing w:line="276" w:lineRule="auto"/>
        <w:rPr>
          <w:rFonts w:ascii="Verdana" w:hAnsi="Verdana" w:eastAsia="Times New Roman" w:cs="Times New Roman"/>
          <w:sz w:val="18"/>
          <w:szCs w:val="18"/>
        </w:rPr>
      </w:pPr>
      <w:r w:rsidRPr="00E43A50">
        <w:rPr>
          <w:rFonts w:ascii="Verdana" w:hAnsi="Verdana" w:eastAsia="Times New Roman" w:cs="Times New Roman"/>
          <w:sz w:val="18"/>
          <w:szCs w:val="18"/>
        </w:rPr>
        <w:t>Tot nu toe wordt de naleving van regels door aanbestedende diensten</w:t>
      </w:r>
      <w:r w:rsidR="00095617">
        <w:rPr>
          <w:rFonts w:ascii="Verdana" w:hAnsi="Verdana" w:eastAsia="Times New Roman" w:cs="Times New Roman"/>
          <w:sz w:val="18"/>
          <w:szCs w:val="18"/>
        </w:rPr>
        <w:t xml:space="preserve"> en </w:t>
      </w:r>
      <w:r w:rsidR="00095617">
        <w:rPr>
          <w:rFonts w:ascii="Verdana" w:hAnsi="Verdana" w:eastAsia="Times New Roman" w:cs="Times New Roman"/>
          <w:sz w:val="18"/>
          <w:szCs w:val="18"/>
          <w:lang w:eastAsia="nl-NL"/>
        </w:rPr>
        <w:t>speciale-sectorbedrijven</w:t>
      </w:r>
      <w:r w:rsidRPr="00E43A50">
        <w:rPr>
          <w:rFonts w:ascii="Verdana" w:hAnsi="Verdana" w:eastAsia="Times New Roman" w:cs="Times New Roman"/>
          <w:sz w:val="18"/>
          <w:szCs w:val="18"/>
        </w:rPr>
        <w:t xml:space="preserve"> niet bestuursrechtelijk</w:t>
      </w:r>
      <w:r w:rsidR="000C3FED">
        <w:rPr>
          <w:rFonts w:ascii="Verdana" w:hAnsi="Verdana" w:eastAsia="Times New Roman" w:cs="Times New Roman"/>
          <w:sz w:val="18"/>
          <w:szCs w:val="18"/>
        </w:rPr>
        <w:t xml:space="preserve"> gereguleerd</w:t>
      </w:r>
      <w:r w:rsidR="008C693E">
        <w:rPr>
          <w:rFonts w:ascii="Verdana" w:hAnsi="Verdana" w:eastAsia="Times New Roman" w:cs="Times New Roman"/>
          <w:sz w:val="18"/>
          <w:szCs w:val="18"/>
        </w:rPr>
        <w:t xml:space="preserve">, en regelt ook dit wetsvoorstel geen bestuursrechtelijk toezicht en handhaving op de artikelen uit </w:t>
      </w:r>
      <w:r w:rsidR="004D347D">
        <w:rPr>
          <w:rFonts w:ascii="Verdana" w:hAnsi="Verdana" w:eastAsia="Times New Roman" w:cs="Times New Roman"/>
          <w:sz w:val="18"/>
          <w:szCs w:val="18"/>
        </w:rPr>
        <w:t>t</w:t>
      </w:r>
      <w:r w:rsidR="008C693E">
        <w:rPr>
          <w:rFonts w:ascii="Verdana" w:hAnsi="Verdana" w:eastAsia="Times New Roman" w:cs="Times New Roman"/>
          <w:sz w:val="18"/>
          <w:szCs w:val="18"/>
        </w:rPr>
        <w:t>itel 9.6</w:t>
      </w:r>
      <w:r w:rsidRPr="00E43A50" w:rsidDel="008C693E">
        <w:rPr>
          <w:rFonts w:ascii="Verdana" w:hAnsi="Verdana" w:eastAsia="Times New Roman" w:cs="Times New Roman"/>
          <w:sz w:val="18"/>
          <w:szCs w:val="18"/>
        </w:rPr>
        <w:t>.</w:t>
      </w:r>
      <w:r w:rsidRPr="00E43A50">
        <w:rPr>
          <w:rFonts w:ascii="Verdana" w:hAnsi="Verdana" w:eastAsia="Times New Roman" w:cs="Times New Roman"/>
          <w:sz w:val="18"/>
          <w:szCs w:val="18"/>
        </w:rPr>
        <w:t xml:space="preserve"> </w:t>
      </w:r>
    </w:p>
    <w:p w:rsidRPr="00E43A50" w:rsidR="00A6617D" w:rsidP="00643E93" w:rsidRDefault="00A6617D" w14:paraId="0FE7995F" w14:textId="77777777">
      <w:pPr>
        <w:spacing w:after="0" w:line="276" w:lineRule="auto"/>
        <w:rPr>
          <w:rFonts w:ascii="Verdana" w:hAnsi="Verdana" w:eastAsia="Times New Roman" w:cs="Times New Roman"/>
          <w:sz w:val="18"/>
          <w:szCs w:val="18"/>
        </w:rPr>
      </w:pPr>
    </w:p>
    <w:p w:rsidRPr="00E43A50" w:rsidR="00A6617D" w:rsidP="00643E93" w:rsidRDefault="00A6617D" w14:paraId="018EFB0E" w14:textId="4B86F492">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Controle op de naleving van </w:t>
      </w:r>
      <w:r w:rsidR="00817438">
        <w:rPr>
          <w:rFonts w:ascii="Verdana" w:hAnsi="Verdana" w:eastAsia="Times New Roman" w:cs="Times New Roman"/>
          <w:sz w:val="18"/>
          <w:szCs w:val="18"/>
        </w:rPr>
        <w:t xml:space="preserve">de </w:t>
      </w:r>
      <w:r w:rsidRPr="00E43A50">
        <w:rPr>
          <w:rFonts w:ascii="Verdana" w:hAnsi="Verdana" w:eastAsia="Times New Roman" w:cs="Times New Roman"/>
          <w:sz w:val="18"/>
          <w:szCs w:val="18"/>
        </w:rPr>
        <w:t>artikel</w:t>
      </w:r>
      <w:r w:rsidR="00817438">
        <w:rPr>
          <w:rFonts w:ascii="Verdana" w:hAnsi="Verdana" w:eastAsia="Times New Roman" w:cs="Times New Roman"/>
          <w:sz w:val="18"/>
          <w:szCs w:val="18"/>
        </w:rPr>
        <w:t>en</w:t>
      </w:r>
      <w:r w:rsidRPr="00E43A50">
        <w:rPr>
          <w:rFonts w:ascii="Verdana" w:hAnsi="Verdana" w:eastAsia="Times New Roman" w:cs="Times New Roman"/>
          <w:sz w:val="18"/>
          <w:szCs w:val="18"/>
        </w:rPr>
        <w:t xml:space="preserve"> 9.6.2</w:t>
      </w:r>
      <w:r w:rsidR="00817438">
        <w:rPr>
          <w:rFonts w:ascii="Verdana" w:hAnsi="Verdana" w:eastAsia="Times New Roman" w:cs="Times New Roman"/>
          <w:sz w:val="18"/>
          <w:szCs w:val="18"/>
        </w:rPr>
        <w:t xml:space="preserve"> en 9.6.3</w:t>
      </w:r>
      <w:r w:rsidRPr="00E43A50">
        <w:rPr>
          <w:rFonts w:ascii="Verdana" w:hAnsi="Verdana" w:eastAsia="Times New Roman" w:cs="Times New Roman"/>
          <w:sz w:val="18"/>
          <w:szCs w:val="18"/>
        </w:rPr>
        <w:t xml:space="preserve"> van dit wetsvoorstel vindt plaats binnen het kader van </w:t>
      </w:r>
      <w:r w:rsidR="008335A3">
        <w:rPr>
          <w:rFonts w:ascii="Verdana" w:hAnsi="Verdana" w:eastAsia="Times New Roman" w:cs="Times New Roman"/>
          <w:sz w:val="18"/>
          <w:szCs w:val="18"/>
        </w:rPr>
        <w:t xml:space="preserve">privaatrechtelijke </w:t>
      </w:r>
      <w:r w:rsidRPr="00E43A50">
        <w:rPr>
          <w:rFonts w:ascii="Verdana" w:hAnsi="Verdana" w:eastAsia="Times New Roman" w:cs="Times New Roman"/>
          <w:sz w:val="18"/>
          <w:szCs w:val="18"/>
        </w:rPr>
        <w:t xml:space="preserve">rechtsbescherming. Wanneer een partij van mening is dat de aanbestedende dienst het aanbestedingsrecht op enigerlei wijze </w:t>
      </w:r>
      <w:r w:rsidRPr="00E43A50">
        <w:rPr>
          <w:rFonts w:ascii="Verdana" w:hAnsi="Verdana" w:eastAsia="Times New Roman" w:cs="Times New Roman"/>
          <w:sz w:val="18"/>
          <w:szCs w:val="18"/>
        </w:rPr>
        <w:lastRenderedPageBreak/>
        <w:t xml:space="preserve">schendt, zijn er verschillende mogelijkheden om hiertegen </w:t>
      </w:r>
      <w:r w:rsidR="004D347D">
        <w:rPr>
          <w:rFonts w:ascii="Verdana" w:hAnsi="Verdana" w:eastAsia="Times New Roman" w:cs="Times New Roman"/>
          <w:sz w:val="18"/>
          <w:szCs w:val="18"/>
        </w:rPr>
        <w:t>in het geweer</w:t>
      </w:r>
      <w:r w:rsidRPr="00E43A50">
        <w:rPr>
          <w:rFonts w:ascii="Verdana" w:hAnsi="Verdana" w:eastAsia="Times New Roman" w:cs="Times New Roman"/>
          <w:sz w:val="18"/>
          <w:szCs w:val="18"/>
        </w:rPr>
        <w:t xml:space="preserve"> te komen als belanghebbende – zoals burgers, leveranciers en andere marktpartijen, afhankelijk van de fase van de procedure. Zo is er de mogelijkheid om vragen te stellen of zorgen kenbaar te maken tijdens de vragenronde van de aanbesteding. Wanneer de antwoorden hierop niet toereikend zijn, kan een partij een klacht indienen bij het klachtenloket van de aanbestedende dienst. Wanneer de aanbestedende dienst en de ondernemer van mening blijven verschillen over de klacht, kan de ondernemer nog terecht bij de Commissie van Aanbestedingsexperts. Daarnaast is er altijd de mogelijkheid om naar de burgerlijke rechter te gaan. </w:t>
      </w:r>
      <w:r w:rsidR="00817438">
        <w:rPr>
          <w:rFonts w:ascii="Verdana" w:hAnsi="Verdana" w:eastAsia="DejaVu Sans" w:cs="Lohit Hindi"/>
          <w:color w:val="000000" w:themeColor="text1"/>
          <w:sz w:val="18"/>
          <w:szCs w:val="18"/>
          <w:lang w:eastAsia="nl-NL"/>
        </w:rPr>
        <w:t>B</w:t>
      </w:r>
      <w:r w:rsidRPr="00EA643F" w:rsidR="00817438">
        <w:rPr>
          <w:rFonts w:ascii="Verdana" w:hAnsi="Verdana" w:eastAsia="DejaVu Sans" w:cs="Lohit Hindi"/>
          <w:color w:val="000000" w:themeColor="text1"/>
          <w:sz w:val="18"/>
          <w:szCs w:val="18"/>
          <w:lang w:eastAsia="nl-NL"/>
        </w:rPr>
        <w:t>urgers en bedrijven</w:t>
      </w:r>
      <w:r w:rsidR="00817438">
        <w:rPr>
          <w:rFonts w:ascii="Verdana" w:hAnsi="Verdana" w:eastAsia="DejaVu Sans" w:cs="Lohit Hindi"/>
          <w:color w:val="000000" w:themeColor="text1"/>
          <w:sz w:val="18"/>
          <w:szCs w:val="18"/>
          <w:lang w:eastAsia="nl-NL"/>
        </w:rPr>
        <w:t xml:space="preserve"> kunnen</w:t>
      </w:r>
      <w:r w:rsidRPr="00EA643F" w:rsidR="00817438">
        <w:rPr>
          <w:rFonts w:ascii="Verdana" w:hAnsi="Verdana" w:eastAsia="DejaVu Sans" w:cs="Lohit Hindi"/>
          <w:color w:val="000000" w:themeColor="text1"/>
          <w:sz w:val="18"/>
          <w:szCs w:val="18"/>
          <w:lang w:eastAsia="nl-NL"/>
        </w:rPr>
        <w:t xml:space="preserve"> een beroep doen op artikel 162 van Boek 6 van het Burgerlijk Wetboek, wanneer de op </w:t>
      </w:r>
      <w:r w:rsidR="00817438">
        <w:rPr>
          <w:rFonts w:ascii="Verdana" w:hAnsi="Verdana" w:eastAsia="DejaVu Sans" w:cs="Lohit Hindi"/>
          <w:color w:val="000000" w:themeColor="text1"/>
          <w:sz w:val="18"/>
          <w:szCs w:val="18"/>
          <w:lang w:eastAsia="nl-NL"/>
        </w:rPr>
        <w:t xml:space="preserve">de </w:t>
      </w:r>
      <w:r w:rsidRPr="00EA643F" w:rsidR="00817438">
        <w:rPr>
          <w:rFonts w:ascii="Verdana" w:hAnsi="Verdana" w:eastAsia="DejaVu Sans" w:cs="Lohit Hindi"/>
          <w:color w:val="000000" w:themeColor="text1"/>
          <w:sz w:val="18"/>
          <w:szCs w:val="18"/>
          <w:lang w:eastAsia="nl-NL"/>
        </w:rPr>
        <w:t>artikel</w:t>
      </w:r>
      <w:r w:rsidR="00817438">
        <w:rPr>
          <w:rFonts w:ascii="Verdana" w:hAnsi="Verdana" w:eastAsia="DejaVu Sans" w:cs="Lohit Hindi"/>
          <w:color w:val="000000" w:themeColor="text1"/>
          <w:sz w:val="18"/>
          <w:szCs w:val="18"/>
          <w:lang w:eastAsia="nl-NL"/>
        </w:rPr>
        <w:t>en 9.6.2 en</w:t>
      </w:r>
      <w:r w:rsidRPr="00EA643F" w:rsidR="00817438">
        <w:rPr>
          <w:rFonts w:ascii="Verdana" w:hAnsi="Verdana" w:eastAsia="DejaVu Sans" w:cs="Lohit Hindi"/>
          <w:color w:val="000000" w:themeColor="text1"/>
          <w:sz w:val="18"/>
          <w:szCs w:val="18"/>
          <w:lang w:eastAsia="nl-NL"/>
        </w:rPr>
        <w:t> 9.6.</w:t>
      </w:r>
      <w:r w:rsidR="00817438">
        <w:rPr>
          <w:rFonts w:ascii="Verdana" w:hAnsi="Verdana" w:eastAsia="DejaVu Sans" w:cs="Lohit Hindi"/>
          <w:color w:val="000000" w:themeColor="text1"/>
          <w:sz w:val="18"/>
          <w:szCs w:val="18"/>
          <w:lang w:eastAsia="nl-NL"/>
        </w:rPr>
        <w:t>3</w:t>
      </w:r>
      <w:r w:rsidRPr="00EA643F" w:rsidR="00817438">
        <w:rPr>
          <w:rFonts w:ascii="Verdana" w:hAnsi="Verdana" w:eastAsia="DejaVu Sans" w:cs="Lohit Hindi"/>
          <w:color w:val="000000" w:themeColor="text1"/>
          <w:sz w:val="18"/>
          <w:szCs w:val="18"/>
          <w:lang w:eastAsia="nl-NL"/>
        </w:rPr>
        <w:t xml:space="preserve"> van de Wm gebaseerde regels niet worden nageleefd. Bij aanbestedingen is het gebruikelijk dat de naleving van de toepasselijke regels kan worden afgedwongen door middel van een kort geding bij de civiele rechter.</w:t>
      </w:r>
    </w:p>
    <w:p w:rsidRPr="00E43A50" w:rsidR="004F0533" w:rsidP="00643E93" w:rsidRDefault="004F0533" w14:paraId="6DF4BC53" w14:textId="77777777">
      <w:pPr>
        <w:spacing w:after="0" w:line="276" w:lineRule="auto"/>
        <w:rPr>
          <w:rFonts w:ascii="Verdana" w:hAnsi="Verdana" w:eastAsia="Times New Roman" w:cs="Times New Roman"/>
          <w:sz w:val="18"/>
          <w:szCs w:val="18"/>
        </w:rPr>
      </w:pPr>
    </w:p>
    <w:p w:rsidRPr="00E43A50" w:rsidR="003E2632" w:rsidP="00643E93" w:rsidRDefault="00817438" w14:paraId="2F9FE179" w14:textId="0C23D021">
      <w:pPr>
        <w:spacing w:after="0" w:line="276" w:lineRule="auto"/>
        <w:rPr>
          <w:rFonts w:ascii="Verdana" w:hAnsi="Verdana" w:eastAsia="Times New Roman" w:cs="Times New Roman"/>
          <w:sz w:val="18"/>
          <w:szCs w:val="18"/>
        </w:rPr>
      </w:pPr>
      <w:bookmarkStart w:name="_Hlk201641910" w:id="49"/>
      <w:r>
        <w:rPr>
          <w:rFonts w:ascii="Verdana" w:hAnsi="Verdana" w:eastAsia="Times New Roman" w:cs="Times New Roman"/>
          <w:sz w:val="18"/>
          <w:szCs w:val="18"/>
        </w:rPr>
        <w:t>Daarnaast kan d</w:t>
      </w:r>
      <w:r w:rsidRPr="00E43A50" w:rsidR="003E2632">
        <w:rPr>
          <w:rFonts w:ascii="Verdana" w:hAnsi="Verdana" w:eastAsia="Times New Roman" w:cs="Times New Roman"/>
          <w:sz w:val="18"/>
          <w:szCs w:val="18"/>
        </w:rPr>
        <w:t>e C</w:t>
      </w:r>
      <w:r w:rsidRPr="00E43A50" w:rsidR="004F0533">
        <w:rPr>
          <w:rFonts w:ascii="Verdana" w:hAnsi="Verdana" w:eastAsia="Times New Roman" w:cs="Times New Roman"/>
          <w:sz w:val="18"/>
          <w:szCs w:val="18"/>
        </w:rPr>
        <w:t xml:space="preserve">ommissie van aanbestedingsexperts dienen als een laagdrempelig en specialistisch orgaan </w:t>
      </w:r>
      <w:r w:rsidR="0043376A">
        <w:rPr>
          <w:rFonts w:ascii="Verdana" w:hAnsi="Verdana" w:eastAsia="Times New Roman" w:cs="Times New Roman"/>
          <w:sz w:val="18"/>
          <w:szCs w:val="18"/>
        </w:rPr>
        <w:t>waar</w:t>
      </w:r>
      <w:r w:rsidRPr="00E43A50" w:rsidR="0043376A">
        <w:rPr>
          <w:rFonts w:ascii="Verdana" w:hAnsi="Verdana" w:eastAsia="Times New Roman" w:cs="Times New Roman"/>
          <w:sz w:val="18"/>
          <w:szCs w:val="18"/>
        </w:rPr>
        <w:t xml:space="preserve"> </w:t>
      </w:r>
      <w:r w:rsidRPr="00E43A50" w:rsidR="004F0533">
        <w:rPr>
          <w:rFonts w:ascii="Verdana" w:hAnsi="Verdana" w:eastAsia="Times New Roman" w:cs="Times New Roman"/>
          <w:sz w:val="18"/>
          <w:szCs w:val="18"/>
        </w:rPr>
        <w:t xml:space="preserve">partijen </w:t>
      </w:r>
      <w:r w:rsidRPr="00E43A50" w:rsidR="003E2632">
        <w:rPr>
          <w:rFonts w:ascii="Verdana" w:hAnsi="Verdana" w:eastAsia="Times New Roman" w:cs="Times New Roman"/>
          <w:sz w:val="18"/>
          <w:szCs w:val="18"/>
        </w:rPr>
        <w:t xml:space="preserve">een </w:t>
      </w:r>
      <w:r w:rsidR="0043376A">
        <w:rPr>
          <w:rFonts w:ascii="Verdana" w:hAnsi="Verdana" w:eastAsia="Times New Roman" w:cs="Times New Roman"/>
          <w:sz w:val="18"/>
          <w:szCs w:val="18"/>
        </w:rPr>
        <w:t>klacht kunnen voorleggen</w:t>
      </w:r>
      <w:r w:rsidRPr="00E43A50" w:rsidR="003E2632">
        <w:rPr>
          <w:rFonts w:ascii="Verdana" w:hAnsi="Verdana" w:eastAsia="Times New Roman" w:cs="Times New Roman"/>
          <w:sz w:val="18"/>
          <w:szCs w:val="18"/>
        </w:rPr>
        <w:t xml:space="preserve"> over het handelen of nalaten van een </w:t>
      </w:r>
      <w:r w:rsidRPr="00E43A50" w:rsidR="004F0533">
        <w:rPr>
          <w:rFonts w:ascii="Verdana" w:hAnsi="Verdana" w:eastAsia="Times New Roman" w:cs="Times New Roman"/>
          <w:sz w:val="18"/>
          <w:szCs w:val="18"/>
        </w:rPr>
        <w:t>aanbestedende dienst</w:t>
      </w:r>
      <w:r w:rsidRPr="00E43A50" w:rsidR="003E2632">
        <w:rPr>
          <w:rFonts w:ascii="Verdana" w:hAnsi="Verdana" w:eastAsia="Times New Roman" w:cs="Times New Roman"/>
          <w:sz w:val="18"/>
          <w:szCs w:val="18"/>
        </w:rPr>
        <w:t xml:space="preserve"> voor zover dat handelen of nalaten binnen de werkingssfeer van de Aanbestedingswet 2012 valt</w:t>
      </w:r>
      <w:r w:rsidRPr="00E43A50" w:rsidR="004F0533">
        <w:rPr>
          <w:rFonts w:ascii="Verdana" w:hAnsi="Verdana" w:eastAsia="Times New Roman" w:cs="Times New Roman"/>
          <w:sz w:val="18"/>
          <w:szCs w:val="18"/>
        </w:rPr>
        <w:t xml:space="preserve">. De </w:t>
      </w:r>
      <w:r w:rsidRPr="00E43A50" w:rsidR="008E2C50">
        <w:rPr>
          <w:rFonts w:ascii="Verdana" w:hAnsi="Verdana" w:eastAsia="Times New Roman" w:cs="Times New Roman"/>
          <w:sz w:val="18"/>
          <w:szCs w:val="18"/>
        </w:rPr>
        <w:t xml:space="preserve">Commissie van aanbestedingsexperts </w:t>
      </w:r>
      <w:r w:rsidRPr="00E43A50" w:rsidR="004F0533">
        <w:rPr>
          <w:rFonts w:ascii="Verdana" w:hAnsi="Verdana" w:eastAsia="Times New Roman" w:cs="Times New Roman"/>
          <w:sz w:val="18"/>
          <w:szCs w:val="18"/>
        </w:rPr>
        <w:t xml:space="preserve">bestaat uit onafhankelijke experts met diepgaande kennis van het aanbestedingsrecht en de praktijk, waardoor zij in staat zijn om objectieve en deskundige beoordelingen te maken van de ingediende klachten. Het inzetten van deze commissie zorgt voor een snelle en efficiënte afhandeling van geschillen zonder dat partijen direct naar de rechter hoeven te stappen. Dit draagt bij aan een snelle en kostenefficiënte oplossing van problemen, waardoor het vertrouwen in het aanbestedingsproces wordt vergroot. Het gebruik van de </w:t>
      </w:r>
      <w:r w:rsidRPr="00E43A50" w:rsidR="008E2C50">
        <w:rPr>
          <w:rFonts w:ascii="Verdana" w:hAnsi="Verdana" w:eastAsia="Times New Roman" w:cs="Times New Roman"/>
          <w:sz w:val="18"/>
          <w:szCs w:val="18"/>
        </w:rPr>
        <w:t xml:space="preserve">Commissie van aanbestedingsexperts </w:t>
      </w:r>
      <w:r w:rsidRPr="00E43A50" w:rsidR="004F0533">
        <w:rPr>
          <w:rFonts w:ascii="Verdana" w:hAnsi="Verdana" w:eastAsia="Times New Roman" w:cs="Times New Roman"/>
          <w:sz w:val="18"/>
          <w:szCs w:val="18"/>
        </w:rPr>
        <w:t>kan daarmee bijdragen aan een cultuur van transparantie en verantwoordelijkheid binnen aanbestedende diensten</w:t>
      </w:r>
      <w:r w:rsidR="00095617">
        <w:rPr>
          <w:rFonts w:ascii="Verdana" w:hAnsi="Verdana" w:eastAsia="Times New Roman" w:cs="Times New Roman"/>
          <w:sz w:val="18"/>
          <w:szCs w:val="18"/>
        </w:rPr>
        <w:t xml:space="preserve"> en </w:t>
      </w:r>
      <w:r w:rsidR="00095617">
        <w:rPr>
          <w:rFonts w:ascii="Verdana" w:hAnsi="Verdana" w:eastAsia="Times New Roman" w:cs="Times New Roman"/>
          <w:sz w:val="18"/>
          <w:szCs w:val="18"/>
          <w:lang w:eastAsia="nl-NL"/>
        </w:rPr>
        <w:t>speciale-sectorbedrijven</w:t>
      </w:r>
      <w:r w:rsidRPr="00E43A50" w:rsidR="004F0533">
        <w:rPr>
          <w:rFonts w:ascii="Verdana" w:hAnsi="Verdana" w:eastAsia="Times New Roman" w:cs="Times New Roman"/>
          <w:sz w:val="18"/>
          <w:szCs w:val="18"/>
        </w:rPr>
        <w:t>.</w:t>
      </w:r>
      <w:r w:rsidRPr="00E43A50" w:rsidR="003E2632">
        <w:rPr>
          <w:rFonts w:ascii="Verdana" w:hAnsi="Verdana" w:eastAsia="Times New Roman" w:cs="Times New Roman"/>
          <w:sz w:val="18"/>
          <w:szCs w:val="18"/>
        </w:rPr>
        <w:t xml:space="preserve"> </w:t>
      </w:r>
    </w:p>
    <w:p w:rsidRPr="00E43A50" w:rsidR="003E2632" w:rsidP="00643E93" w:rsidRDefault="003E2632" w14:paraId="4C9C355C" w14:textId="77777777">
      <w:pPr>
        <w:spacing w:after="0" w:line="276" w:lineRule="auto"/>
        <w:rPr>
          <w:rFonts w:ascii="Verdana" w:hAnsi="Verdana" w:eastAsia="Times New Roman" w:cs="Times New Roman"/>
          <w:sz w:val="18"/>
          <w:szCs w:val="18"/>
        </w:rPr>
      </w:pPr>
    </w:p>
    <w:p w:rsidR="004F0533" w:rsidP="00643E93" w:rsidRDefault="008E2C50" w14:paraId="738F5677" w14:textId="774669C4">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Tot slot vindt ook</w:t>
      </w:r>
      <w:r w:rsidRPr="00E43A50" w:rsidR="002E4B50">
        <w:rPr>
          <w:rFonts w:ascii="Verdana" w:hAnsi="Verdana" w:eastAsia="Times New Roman" w:cs="Times New Roman"/>
          <w:sz w:val="18"/>
          <w:szCs w:val="18"/>
        </w:rPr>
        <w:t xml:space="preserve"> buiten het kader van rechtsbescherming toezicht op de naleving van de aanbestedingsregels plaats. Bestuurders die verantwoordelijk zijn voor aanbestedingen kunnen daar op aangesproken worden. Daarnaast zijn aanbestedende diensten en speciale-sectorbedrijven onderworpen aan de jaarlijkse accountantscontrole. Aansluiting op de Aanbestedingswet 2012 biedt een laagdrempelige, bekende en toegankelijke manier voor belanghebbenden om in te grijpen wanneer aanbestedende diensten </w:t>
      </w:r>
      <w:r w:rsidR="00095617">
        <w:rPr>
          <w:rFonts w:ascii="Verdana" w:hAnsi="Verdana" w:eastAsia="Times New Roman" w:cs="Times New Roman"/>
          <w:sz w:val="18"/>
          <w:szCs w:val="18"/>
        </w:rPr>
        <w:t xml:space="preserve">of </w:t>
      </w:r>
      <w:r w:rsidR="00095617">
        <w:rPr>
          <w:rFonts w:ascii="Verdana" w:hAnsi="Verdana" w:eastAsia="Times New Roman" w:cs="Times New Roman"/>
          <w:sz w:val="18"/>
          <w:szCs w:val="18"/>
          <w:lang w:eastAsia="nl-NL"/>
        </w:rPr>
        <w:t xml:space="preserve">speciale-sectorbedrijven </w:t>
      </w:r>
      <w:r w:rsidRPr="00E43A50" w:rsidR="002E4B50">
        <w:rPr>
          <w:rFonts w:ascii="Verdana" w:hAnsi="Verdana" w:eastAsia="Times New Roman" w:cs="Times New Roman"/>
          <w:sz w:val="18"/>
          <w:szCs w:val="18"/>
        </w:rPr>
        <w:t>zich niet houden aan de regels.</w:t>
      </w:r>
      <w:bookmarkStart w:name="_Hlk200223934" w:id="50"/>
      <w:bookmarkEnd w:id="49"/>
    </w:p>
    <w:p w:rsidR="00D2432E" w:rsidP="00643E93" w:rsidRDefault="00D2432E" w14:paraId="788797BB" w14:textId="77777777">
      <w:pPr>
        <w:spacing w:after="0" w:line="276" w:lineRule="auto"/>
        <w:rPr>
          <w:rFonts w:ascii="Verdana" w:hAnsi="Verdana" w:eastAsia="Times New Roman" w:cs="Times New Roman"/>
          <w:sz w:val="18"/>
          <w:szCs w:val="18"/>
        </w:rPr>
      </w:pPr>
    </w:p>
    <w:p w:rsidRPr="00E43A50" w:rsidR="004F0533" w:rsidP="00643E93" w:rsidRDefault="004F0533" w14:paraId="5CF4FC6E" w14:textId="7908BB38">
      <w:pPr>
        <w:pStyle w:val="Kop3"/>
        <w:spacing w:line="276" w:lineRule="auto"/>
      </w:pPr>
      <w:bookmarkStart w:name="_Toc195040770" w:id="51"/>
      <w:bookmarkEnd w:id="50"/>
      <w:r w:rsidRPr="00E43A50">
        <w:t>Financiële gevolgen</w:t>
      </w:r>
      <w:bookmarkEnd w:id="51"/>
    </w:p>
    <w:p w:rsidR="0076183D" w:rsidP="00643E93" w:rsidRDefault="004F0533" w14:paraId="0DED19CB" w14:textId="60CEE2B9">
      <w:pPr>
        <w:spacing w:line="276" w:lineRule="auto"/>
        <w:rPr>
          <w:rFonts w:ascii="Verdana" w:hAnsi="Verdana" w:eastAsia="Times New Roman" w:cs="Times New Roman"/>
          <w:sz w:val="18"/>
          <w:szCs w:val="18"/>
        </w:rPr>
      </w:pPr>
      <w:bookmarkStart w:name="_Hlk201641943" w:id="52"/>
      <w:r w:rsidRPr="00E43A50">
        <w:rPr>
          <w:rFonts w:ascii="Verdana" w:hAnsi="Verdana" w:eastAsia="Times New Roman" w:cs="Times New Roman"/>
          <w:sz w:val="18"/>
          <w:szCs w:val="18"/>
        </w:rPr>
        <w:t xml:space="preserve">Bij de ontwikkeling van dit </w:t>
      </w:r>
      <w:r w:rsidRPr="00E43A50" w:rsidR="000E650E">
        <w:rPr>
          <w:rFonts w:ascii="Verdana" w:hAnsi="Verdana" w:eastAsia="Times New Roman" w:cs="Times New Roman"/>
          <w:sz w:val="18"/>
          <w:szCs w:val="18"/>
        </w:rPr>
        <w:t>wetsvoorstel</w:t>
      </w:r>
      <w:r w:rsidRPr="00E43A50" w:rsidDel="00EC3A2D"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is aandacht besteed aan de financiële gevolgen van de voorgenomen regelgeving, zowel voor de betrokken burgers en bedrijven als voor de bestuurlijke lasten. Om de kwantitatieve regeldrukeffecten voor de verschillende stakeholders goed in kaart te brengen, heeft SIRA Consulting B.V. onderzoek verricht naar de impact van de wet.</w:t>
      </w:r>
      <w:r w:rsidRPr="003D371A" w:rsidR="003D371A">
        <w:rPr>
          <w:rFonts w:ascii="Verdana" w:hAnsi="Verdana" w:eastAsia="Times New Roman" w:cs="Times New Roman"/>
          <w:sz w:val="18"/>
          <w:szCs w:val="18"/>
          <w:vertAlign w:val="superscript"/>
        </w:rPr>
        <w:footnoteReference w:id="43"/>
      </w:r>
      <w:r w:rsidRPr="00E43A50">
        <w:rPr>
          <w:rFonts w:ascii="Verdana" w:hAnsi="Verdana" w:eastAsia="Times New Roman" w:cs="Times New Roman"/>
          <w:sz w:val="18"/>
          <w:szCs w:val="18"/>
        </w:rPr>
        <w:t xml:space="preserve"> Dit onderzoek richt zich enerzijds op de administratieve lasten en regeldruk voor burgers en bedrijven, en anderzijds op de bestuurlijke lasten die op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 xml:space="preserve">rusten. </w:t>
      </w:r>
      <w:r w:rsidRPr="00580C5B" w:rsidR="003D371A">
        <w:rPr>
          <w:rFonts w:ascii="Verdana" w:hAnsi="Verdana" w:eastAsia="Times New Roman" w:cs="Times New Roman"/>
          <w:sz w:val="18"/>
          <w:szCs w:val="18"/>
        </w:rPr>
        <w:t xml:space="preserve">Voor het berekenen </w:t>
      </w:r>
      <w:r w:rsidRPr="00580C5B" w:rsidR="003D371A">
        <w:rPr>
          <w:rFonts w:ascii="Verdana" w:hAnsi="Verdana" w:eastAsia="Times New Roman" w:cs="Times New Roman"/>
          <w:sz w:val="18"/>
          <w:szCs w:val="18"/>
        </w:rPr>
        <w:lastRenderedPageBreak/>
        <w:t xml:space="preserve">van de regeldrukeffecten </w:t>
      </w:r>
      <w:r w:rsidR="003D371A">
        <w:rPr>
          <w:rFonts w:ascii="Verdana" w:hAnsi="Verdana" w:eastAsia="Times New Roman" w:cs="Times New Roman"/>
          <w:sz w:val="18"/>
          <w:szCs w:val="18"/>
        </w:rPr>
        <w:t>gebruikt SIRA</w:t>
      </w:r>
      <w:r w:rsidRPr="00580C5B" w:rsidR="003D371A">
        <w:rPr>
          <w:rFonts w:ascii="Verdana" w:hAnsi="Verdana" w:eastAsia="Times New Roman" w:cs="Times New Roman"/>
          <w:sz w:val="18"/>
          <w:szCs w:val="18"/>
        </w:rPr>
        <w:t xml:space="preserve"> de Rijksbreed gehanteerde methodiek</w:t>
      </w:r>
      <w:r w:rsidR="003D371A">
        <w:rPr>
          <w:rStyle w:val="Voetnootmarkering"/>
          <w:rFonts w:ascii="Verdana" w:hAnsi="Verdana" w:eastAsia="Times New Roman" w:cs="Times New Roman"/>
          <w:sz w:val="18"/>
          <w:szCs w:val="18"/>
        </w:rPr>
        <w:footnoteReference w:id="44"/>
      </w:r>
      <w:r w:rsidR="003D371A">
        <w:rPr>
          <w:rFonts w:ascii="Verdana" w:hAnsi="Verdana" w:eastAsia="Times New Roman" w:cs="Times New Roman"/>
          <w:sz w:val="18"/>
          <w:szCs w:val="18"/>
        </w:rPr>
        <w:t xml:space="preserve"> </w:t>
      </w:r>
      <w:r w:rsidRPr="00580C5B" w:rsidR="003D371A">
        <w:rPr>
          <w:rFonts w:ascii="Verdana" w:hAnsi="Verdana" w:eastAsia="Times New Roman" w:cs="Times New Roman"/>
          <w:sz w:val="18"/>
          <w:szCs w:val="18"/>
        </w:rPr>
        <w:t>voor het kwantificeren van regeldruk.</w:t>
      </w:r>
    </w:p>
    <w:p w:rsidRPr="00ED54B2" w:rsidR="00967BCA" w:rsidP="00643E93" w:rsidRDefault="004F0533" w14:paraId="28016FEA" w14:textId="446C4D79">
      <w:pPr>
        <w:spacing w:line="276" w:lineRule="auto"/>
      </w:pPr>
      <w:r w:rsidRPr="00E43A50">
        <w:rPr>
          <w:rFonts w:ascii="Verdana" w:hAnsi="Verdana" w:eastAsia="Times New Roman" w:cs="Times New Roman"/>
          <w:sz w:val="18"/>
          <w:szCs w:val="18"/>
        </w:rPr>
        <w:t xml:space="preserve">In dit hoofdstuk </w:t>
      </w:r>
      <w:r w:rsidR="0076183D">
        <w:rPr>
          <w:rFonts w:ascii="Verdana" w:hAnsi="Verdana" w:eastAsia="Times New Roman" w:cs="Times New Roman"/>
          <w:sz w:val="18"/>
          <w:szCs w:val="18"/>
        </w:rPr>
        <w:t>wordt voor zover mogelijk</w:t>
      </w:r>
      <w:r w:rsidRPr="00E43A50">
        <w:rPr>
          <w:rFonts w:ascii="Verdana" w:hAnsi="Verdana" w:eastAsia="Times New Roman" w:cs="Times New Roman"/>
          <w:sz w:val="18"/>
          <w:szCs w:val="18"/>
        </w:rPr>
        <w:t xml:space="preserve"> ingegaan op de resultaten van het regeldrukonderzoek voor de voorgenomen wijzigingen in de Wet </w:t>
      </w:r>
      <w:r w:rsidR="00817438">
        <w:rPr>
          <w:rFonts w:ascii="Verdana" w:hAnsi="Verdana" w:eastAsia="Times New Roman" w:cs="Times New Roman"/>
          <w:sz w:val="18"/>
          <w:szCs w:val="18"/>
        </w:rPr>
        <w:t>m</w:t>
      </w:r>
      <w:r w:rsidRPr="00E43A50">
        <w:rPr>
          <w:rFonts w:ascii="Verdana" w:hAnsi="Verdana" w:eastAsia="Times New Roman" w:cs="Times New Roman"/>
          <w:sz w:val="18"/>
          <w:szCs w:val="18"/>
        </w:rPr>
        <w:t xml:space="preserve">ilieubeheer. </w:t>
      </w:r>
      <w:r w:rsidR="0076183D">
        <w:rPr>
          <w:rFonts w:ascii="Verdana" w:hAnsi="Verdana" w:eastAsia="Times New Roman" w:cs="Times New Roman"/>
          <w:sz w:val="18"/>
          <w:szCs w:val="18"/>
        </w:rPr>
        <w:t xml:space="preserve">Het is hierbij belangrijk te vermelden dat deze resultaten in beeld zijn gebracht door een aantal aannames te doen over keuzes die bij amvb of </w:t>
      </w:r>
      <w:r w:rsidR="00D2432E">
        <w:rPr>
          <w:rFonts w:ascii="Verdana" w:hAnsi="Verdana" w:eastAsia="Times New Roman" w:cs="Times New Roman"/>
          <w:sz w:val="18"/>
          <w:szCs w:val="18"/>
        </w:rPr>
        <w:t>ministeriële</w:t>
      </w:r>
      <w:r w:rsidR="0076183D">
        <w:rPr>
          <w:rFonts w:ascii="Verdana" w:hAnsi="Verdana" w:eastAsia="Times New Roman" w:cs="Times New Roman"/>
          <w:sz w:val="18"/>
          <w:szCs w:val="18"/>
        </w:rPr>
        <w:t xml:space="preserve"> regeling gemaakt zullen worden. </w:t>
      </w:r>
      <w:r w:rsidRPr="00E43A50">
        <w:rPr>
          <w:rFonts w:ascii="Verdana" w:hAnsi="Verdana" w:eastAsia="Times New Roman" w:cs="Times New Roman"/>
          <w:sz w:val="18"/>
          <w:szCs w:val="18"/>
        </w:rPr>
        <w:t xml:space="preserve">Op de regeldrukeffecten van de voorgenomen </w:t>
      </w:r>
      <w:r w:rsidRPr="00E43A50" w:rsidR="00931236">
        <w:rPr>
          <w:rFonts w:ascii="Verdana" w:hAnsi="Verdana" w:eastAsia="Times New Roman" w:cs="Times New Roman"/>
          <w:sz w:val="18"/>
          <w:szCs w:val="18"/>
        </w:rPr>
        <w:t>amvb</w:t>
      </w:r>
      <w:r w:rsidRPr="00E43A50">
        <w:rPr>
          <w:rFonts w:ascii="Verdana" w:hAnsi="Verdana" w:eastAsia="Times New Roman" w:cs="Times New Roman"/>
          <w:sz w:val="18"/>
          <w:szCs w:val="18"/>
        </w:rPr>
        <w:t xml:space="preserve"> zal worden ingegaan in het conceptbesluit</w:t>
      </w:r>
      <w:r w:rsidR="00244733">
        <w:rPr>
          <w:rFonts w:ascii="Verdana" w:hAnsi="Verdana" w:eastAsia="Times New Roman" w:cs="Times New Roman"/>
          <w:sz w:val="18"/>
          <w:szCs w:val="18"/>
        </w:rPr>
        <w:t>, omdat daarin immers nog verdere uitwerking plaatsvindt die de regeldrukeffecten bepaalt</w:t>
      </w:r>
      <w:r w:rsidRPr="00E43A50">
        <w:rPr>
          <w:rFonts w:ascii="Verdana" w:hAnsi="Verdana" w:eastAsia="Times New Roman" w:cs="Times New Roman"/>
          <w:sz w:val="18"/>
          <w:szCs w:val="18"/>
        </w:rPr>
        <w:t>.</w:t>
      </w:r>
      <w:r w:rsidR="00967BCA">
        <w:rPr>
          <w:rFonts w:ascii="Verdana" w:hAnsi="Verdana" w:eastAsia="Times New Roman" w:cs="Times New Roman"/>
          <w:sz w:val="18"/>
          <w:szCs w:val="18"/>
        </w:rPr>
        <w:t xml:space="preserve"> </w:t>
      </w:r>
      <w:r w:rsidRPr="00D2432E" w:rsidR="00967BCA">
        <w:rPr>
          <w:rFonts w:ascii="Verdana" w:hAnsi="Verdana" w:eastAsia="Times New Roman" w:cs="Times New Roman"/>
          <w:sz w:val="18"/>
          <w:szCs w:val="18"/>
        </w:rPr>
        <w:t xml:space="preserve">De in dit wetsvoorstel opgenomen verplichtingen brengen geen financiële consequenties met zich mee voor de rijksbegroting. De uitvoering van het </w:t>
      </w:r>
      <w:r w:rsidR="00450797">
        <w:rPr>
          <w:rFonts w:ascii="Verdana" w:hAnsi="Verdana" w:eastAsia="Times New Roman" w:cs="Times New Roman"/>
          <w:sz w:val="18"/>
          <w:szCs w:val="18"/>
        </w:rPr>
        <w:t>o</w:t>
      </w:r>
      <w:r w:rsidRPr="00D2432E" w:rsidR="00967BCA">
        <w:rPr>
          <w:rFonts w:ascii="Verdana" w:hAnsi="Verdana" w:eastAsia="Times New Roman" w:cs="Times New Roman"/>
          <w:sz w:val="18"/>
          <w:szCs w:val="18"/>
        </w:rPr>
        <w:t>ndersteuningspunt kan plaatsvinden binnen de bestaande budgettaire kaders.</w:t>
      </w:r>
      <w:r w:rsidR="00967BCA">
        <w:t xml:space="preserve"> </w:t>
      </w:r>
    </w:p>
    <w:bookmarkEnd w:id="52"/>
    <w:p w:rsidRPr="005B4CB1" w:rsidR="004F0533" w:rsidP="00643E93" w:rsidRDefault="004F0533" w14:paraId="2DF9C598" w14:textId="77777777">
      <w:pPr>
        <w:spacing w:after="0" w:line="276" w:lineRule="auto"/>
        <w:rPr>
          <w:rFonts w:ascii="Verdana" w:hAnsi="Verdana" w:eastAsia="Times New Roman" w:cs="Times New Roman"/>
          <w:i/>
          <w:iCs/>
          <w:sz w:val="21"/>
          <w:szCs w:val="21"/>
        </w:rPr>
      </w:pPr>
    </w:p>
    <w:p w:rsidRPr="00904ED0" w:rsidR="004F0533" w:rsidP="00D944A9" w:rsidRDefault="004F0533" w14:paraId="621E2684" w14:textId="23CC5A86">
      <w:pPr>
        <w:pStyle w:val="Kop4"/>
        <w:numPr>
          <w:ilvl w:val="1"/>
          <w:numId w:val="24"/>
        </w:numPr>
        <w:spacing w:line="276" w:lineRule="auto"/>
        <w:rPr>
          <w:iCs/>
        </w:rPr>
      </w:pPr>
      <w:bookmarkStart w:name="_Toc195040771" w:id="53"/>
      <w:r w:rsidRPr="00904ED0">
        <w:t xml:space="preserve">Gevolgen voor burgers en </w:t>
      </w:r>
      <w:r w:rsidRPr="00904ED0">
        <w:rPr>
          <w:iCs/>
        </w:rPr>
        <w:t>bedrijven</w:t>
      </w:r>
      <w:bookmarkEnd w:id="53"/>
    </w:p>
    <w:p w:rsidR="008B105A" w:rsidP="00643E93" w:rsidRDefault="00487223" w14:paraId="6C36AD22" w14:textId="0CAC2068">
      <w:pPr>
        <w:spacing w:after="0" w:line="276" w:lineRule="auto"/>
        <w:rPr>
          <w:rFonts w:ascii="Verdana" w:hAnsi="Verdana" w:eastAsia="Times New Roman" w:cs="Times New Roman"/>
          <w:sz w:val="18"/>
          <w:szCs w:val="18"/>
        </w:rPr>
      </w:pPr>
      <w:bookmarkStart w:name="_Hlk201641959" w:id="54"/>
      <w:r w:rsidRPr="00487223">
        <w:rPr>
          <w:rFonts w:ascii="Verdana" w:hAnsi="Verdana" w:eastAsia="Times New Roman" w:cs="Times New Roman"/>
          <w:sz w:val="18"/>
          <w:szCs w:val="18"/>
        </w:rPr>
        <w:t xml:space="preserve">De kwantitatieve regeldrukeffecten </w:t>
      </w:r>
      <w:r>
        <w:rPr>
          <w:rFonts w:ascii="Verdana" w:hAnsi="Verdana" w:eastAsia="Times New Roman" w:cs="Times New Roman"/>
          <w:sz w:val="18"/>
          <w:szCs w:val="18"/>
        </w:rPr>
        <w:t>burgers en bedrijve</w:t>
      </w:r>
      <w:r w:rsidRPr="00487223">
        <w:rPr>
          <w:rFonts w:ascii="Verdana" w:hAnsi="Verdana" w:eastAsia="Times New Roman" w:cs="Times New Roman"/>
          <w:sz w:val="18"/>
          <w:szCs w:val="18"/>
        </w:rPr>
        <w:t xml:space="preserve">n van het voorliggende wijzigingsvoorstel zijn in kaart gebracht door SIRA Consulting B.V. Het onderzoek naar de regeldruk betreft de wijzigingen in de </w:t>
      </w:r>
      <w:r>
        <w:rPr>
          <w:rFonts w:ascii="Verdana" w:hAnsi="Verdana" w:eastAsia="Times New Roman" w:cs="Times New Roman"/>
          <w:sz w:val="18"/>
          <w:szCs w:val="18"/>
        </w:rPr>
        <w:t xml:space="preserve">wet Milieubeheer, waarbij met de aanname is gewerkt dat bij amvb gestuurd wordt met de Milieukostenindocator (MKI) als milieuprestatie-eis. </w:t>
      </w:r>
      <w:r w:rsidRPr="00487223">
        <w:rPr>
          <w:rFonts w:ascii="Verdana" w:hAnsi="Verdana" w:eastAsia="Times New Roman" w:cs="Times New Roman"/>
          <w:sz w:val="18"/>
          <w:szCs w:val="18"/>
        </w:rPr>
        <w:t xml:space="preserve">Het onderzoek laat zien dat de </w:t>
      </w:r>
      <w:r>
        <w:rPr>
          <w:rFonts w:ascii="Verdana" w:hAnsi="Verdana" w:eastAsia="Times New Roman" w:cs="Times New Roman"/>
          <w:sz w:val="18"/>
          <w:szCs w:val="18"/>
        </w:rPr>
        <w:t>bedrijven en overheden</w:t>
      </w:r>
      <w:r w:rsidRPr="00487223">
        <w:rPr>
          <w:rFonts w:ascii="Verdana" w:hAnsi="Verdana" w:eastAsia="Times New Roman" w:cs="Times New Roman"/>
          <w:sz w:val="18"/>
          <w:szCs w:val="18"/>
        </w:rPr>
        <w:t xml:space="preserve"> over het algemeen positief zijn over de voorgestelde wijzigingen, omdat de regelgeving aansluit</w:t>
      </w:r>
      <w:r>
        <w:rPr>
          <w:rFonts w:ascii="Verdana" w:hAnsi="Verdana" w:eastAsia="Times New Roman" w:cs="Times New Roman"/>
          <w:sz w:val="18"/>
          <w:szCs w:val="18"/>
        </w:rPr>
        <w:t xml:space="preserve"> op de praktijk</w:t>
      </w:r>
      <w:r w:rsidRPr="00487223">
        <w:rPr>
          <w:rFonts w:ascii="Verdana" w:hAnsi="Verdana" w:eastAsia="Times New Roman" w:cs="Times New Roman"/>
          <w:sz w:val="18"/>
          <w:szCs w:val="18"/>
        </w:rPr>
        <w:t xml:space="preserve"> en</w:t>
      </w:r>
      <w:r>
        <w:rPr>
          <w:rFonts w:ascii="Verdana" w:hAnsi="Verdana" w:eastAsia="Times New Roman" w:cs="Times New Roman"/>
          <w:sz w:val="18"/>
          <w:szCs w:val="18"/>
        </w:rPr>
        <w:t xml:space="preserve"> door eenduidigheid te bieden</w:t>
      </w:r>
      <w:r w:rsidRPr="00487223">
        <w:rPr>
          <w:rFonts w:ascii="Verdana" w:hAnsi="Verdana" w:eastAsia="Times New Roman" w:cs="Times New Roman"/>
          <w:sz w:val="18"/>
          <w:szCs w:val="18"/>
        </w:rPr>
        <w:t xml:space="preserve"> meer </w:t>
      </w:r>
      <w:r>
        <w:rPr>
          <w:rFonts w:ascii="Verdana" w:hAnsi="Verdana" w:eastAsia="Times New Roman" w:cs="Times New Roman"/>
          <w:sz w:val="18"/>
          <w:szCs w:val="18"/>
        </w:rPr>
        <w:t>perspectief biedt voor zowel bedrijven als overheden.</w:t>
      </w:r>
      <w:r w:rsidRPr="00487223">
        <w:rPr>
          <w:rFonts w:ascii="Verdana" w:hAnsi="Verdana" w:eastAsia="Times New Roman" w:cs="Times New Roman"/>
          <w:sz w:val="18"/>
          <w:szCs w:val="18"/>
        </w:rPr>
        <w:t xml:space="preserve"> </w:t>
      </w:r>
      <w:r w:rsidR="008B105A">
        <w:rPr>
          <w:rFonts w:ascii="Verdana" w:hAnsi="Verdana" w:eastAsia="Times New Roman" w:cs="Times New Roman"/>
          <w:sz w:val="18"/>
          <w:szCs w:val="18"/>
        </w:rPr>
        <w:t>Bij de uitwerking van de amvb worden de effecten opnieuw door SIRA in kaart gebracht.</w:t>
      </w:r>
      <w:r w:rsidR="00696ACB">
        <w:rPr>
          <w:rFonts w:ascii="Verdana" w:hAnsi="Verdana" w:eastAsia="Times New Roman" w:cs="Times New Roman"/>
          <w:sz w:val="18"/>
          <w:szCs w:val="18"/>
        </w:rPr>
        <w:t xml:space="preserve"> </w:t>
      </w:r>
    </w:p>
    <w:p w:rsidR="008B105A" w:rsidP="00643E93" w:rsidRDefault="008B105A" w14:paraId="7721686F" w14:textId="77777777">
      <w:pPr>
        <w:spacing w:after="0" w:line="276" w:lineRule="auto"/>
        <w:rPr>
          <w:rFonts w:ascii="Verdana" w:hAnsi="Verdana" w:eastAsia="Times New Roman" w:cs="Times New Roman"/>
          <w:sz w:val="18"/>
          <w:szCs w:val="18"/>
        </w:rPr>
      </w:pPr>
    </w:p>
    <w:p w:rsidRPr="009D109F" w:rsidR="008B105A" w:rsidP="00643E93" w:rsidRDefault="00EF750E" w14:paraId="324CB58A" w14:textId="7452BFC8">
      <w:pPr>
        <w:spacing w:after="0" w:line="276" w:lineRule="auto"/>
        <w:rPr>
          <w:rFonts w:ascii="Verdana" w:hAnsi="Verdana" w:eastAsia="Times New Roman" w:cs="Times New Roman"/>
          <w:b/>
          <w:bCs/>
          <w:i/>
          <w:iCs/>
          <w:sz w:val="18"/>
          <w:szCs w:val="18"/>
        </w:rPr>
      </w:pPr>
      <w:r w:rsidRPr="0086110A">
        <w:rPr>
          <w:rFonts w:ascii="Verdana" w:hAnsi="Verdana" w:eastAsia="Times New Roman" w:cs="Times New Roman"/>
          <w:i/>
          <w:sz w:val="18"/>
          <w:szCs w:val="18"/>
        </w:rPr>
        <w:t>Eenmalige regeldrukeffecten</w:t>
      </w:r>
      <w:r w:rsidRPr="009D109F" w:rsidR="008B105A">
        <w:rPr>
          <w:rFonts w:ascii="Verdana" w:hAnsi="Verdana" w:eastAsia="Times New Roman" w:cs="Times New Roman"/>
          <w:b/>
          <w:bCs/>
          <w:i/>
          <w:iCs/>
          <w:sz w:val="18"/>
          <w:szCs w:val="18"/>
        </w:rPr>
        <w:t xml:space="preserve">: </w:t>
      </w:r>
      <w:r w:rsidRPr="00D661E3" w:rsidR="008B105A">
        <w:rPr>
          <w:rFonts w:ascii="Verdana" w:hAnsi="Verdana" w:eastAsia="Times New Roman" w:cs="Times New Roman"/>
          <w:i/>
          <w:iCs/>
          <w:sz w:val="18"/>
          <w:szCs w:val="18"/>
        </w:rPr>
        <w:t>milieuprestatie-eisen in de vorm van de MKI</w:t>
      </w:r>
    </w:p>
    <w:p w:rsidRPr="009D109F" w:rsidR="00323079" w:rsidP="00323079" w:rsidRDefault="00323079" w14:paraId="76ACA5D5" w14:textId="77777777">
      <w:pPr>
        <w:spacing w:after="0" w:line="276" w:lineRule="auto"/>
        <w:rPr>
          <w:rFonts w:ascii="Verdana" w:hAnsi="Verdana" w:eastAsia="Times New Roman" w:cs="Times New Roman"/>
          <w:i/>
          <w:iCs/>
          <w:sz w:val="18"/>
          <w:szCs w:val="18"/>
          <w:u w:val="single"/>
        </w:rPr>
      </w:pPr>
    </w:p>
    <w:p w:rsidR="009A4437" w:rsidP="00643E93" w:rsidRDefault="009A4437" w14:paraId="4D90BA29" w14:textId="31A090B4">
      <w:pPr>
        <w:spacing w:after="0" w:line="276" w:lineRule="auto"/>
        <w:rPr>
          <w:rFonts w:ascii="Verdana" w:hAnsi="Verdana" w:eastAsia="Times New Roman" w:cs="Times New Roman"/>
          <w:sz w:val="18"/>
          <w:szCs w:val="18"/>
        </w:rPr>
      </w:pPr>
      <w:r w:rsidRPr="009A4437">
        <w:rPr>
          <w:rFonts w:ascii="Verdana" w:hAnsi="Verdana" w:eastAsia="Times New Roman" w:cs="Times New Roman"/>
          <w:sz w:val="18"/>
          <w:szCs w:val="18"/>
        </w:rPr>
        <w:t>De lasten van het hanteren MKI-prestatie-eisen op productniveau zitten met name in het aantoonbaar maken van de prestaties.</w:t>
      </w:r>
      <w:r>
        <w:rPr>
          <w:rFonts w:ascii="Verdana" w:hAnsi="Verdana" w:eastAsia="Times New Roman" w:cs="Times New Roman"/>
          <w:sz w:val="18"/>
          <w:szCs w:val="18"/>
        </w:rPr>
        <w:t xml:space="preserve"> </w:t>
      </w:r>
      <w:r w:rsidRPr="009A4437">
        <w:rPr>
          <w:rFonts w:ascii="Verdana" w:hAnsi="Verdana" w:eastAsia="Times New Roman" w:cs="Times New Roman"/>
          <w:sz w:val="18"/>
          <w:szCs w:val="18"/>
        </w:rPr>
        <w:t xml:space="preserve">Voor veel beton- en asfaltproducten geldt dat varianten beschikbaar zijn met een lagere MKI-score. Vaak zijn ook de onderliggende data die benodigd zijn voor het verrichten van een LCA, en daaropvolgend de MKI-berekening, via de leverancier beschikbaar. </w:t>
      </w:r>
      <w:r w:rsidRPr="00323079" w:rsidR="00323079">
        <w:rPr>
          <w:rFonts w:ascii="Verdana" w:hAnsi="Verdana" w:eastAsia="Times New Roman" w:cs="Times New Roman"/>
          <w:sz w:val="18"/>
          <w:szCs w:val="18"/>
        </w:rPr>
        <w:t>Er zijn geen expliciete kosten meegenomen voor kennisname omdat bedrijven die meedingen in deze aanbestedingen ook nu soms al te maken hebben met MKI-eisen waardoor de werkwijze bekend is.</w:t>
      </w:r>
    </w:p>
    <w:p w:rsidR="009A4437" w:rsidP="00643E93" w:rsidRDefault="009A4437" w14:paraId="035927C5" w14:textId="77777777">
      <w:pPr>
        <w:spacing w:after="0" w:line="276" w:lineRule="auto"/>
        <w:rPr>
          <w:rFonts w:ascii="Verdana" w:hAnsi="Verdana" w:eastAsia="Times New Roman" w:cs="Times New Roman"/>
          <w:sz w:val="18"/>
          <w:szCs w:val="18"/>
        </w:rPr>
      </w:pPr>
    </w:p>
    <w:p w:rsidR="008B105A" w:rsidP="00643E93" w:rsidRDefault="00696ACB" w14:paraId="5D1A9BB2" w14:textId="47D9A343">
      <w:pPr>
        <w:spacing w:after="0" w:line="276" w:lineRule="auto"/>
        <w:rPr>
          <w:rFonts w:ascii="Verdana" w:hAnsi="Verdana" w:eastAsia="Times New Roman" w:cs="Times New Roman"/>
          <w:sz w:val="18"/>
          <w:szCs w:val="18"/>
        </w:rPr>
      </w:pPr>
      <w:r w:rsidRPr="00696ACB">
        <w:rPr>
          <w:rFonts w:ascii="Verdana" w:hAnsi="Verdana" w:eastAsia="Times New Roman" w:cs="Times New Roman"/>
          <w:sz w:val="18"/>
          <w:szCs w:val="18"/>
        </w:rPr>
        <w:t>Bedrijven die meedingen in aanbestedingen voor GWW-werken van de overheid ondervinden eenmalige lasten voor het verzamelen van de bewijslast</w:t>
      </w:r>
      <w:r>
        <w:rPr>
          <w:rFonts w:ascii="Verdana" w:hAnsi="Verdana" w:eastAsia="Times New Roman" w:cs="Times New Roman"/>
          <w:sz w:val="18"/>
          <w:szCs w:val="18"/>
        </w:rPr>
        <w:t xml:space="preserve"> </w:t>
      </w:r>
      <w:r w:rsidRPr="00696ACB">
        <w:rPr>
          <w:rFonts w:ascii="Verdana" w:hAnsi="Verdana" w:eastAsia="Times New Roman" w:cs="Times New Roman"/>
          <w:sz w:val="18"/>
          <w:szCs w:val="18"/>
        </w:rPr>
        <w:t>voor de asfalt- en betonproducten waarvoor de MKI-prestatie</w:t>
      </w:r>
      <w:r>
        <w:rPr>
          <w:rFonts w:ascii="Verdana" w:hAnsi="Verdana" w:eastAsia="Times New Roman" w:cs="Times New Roman"/>
          <w:sz w:val="18"/>
          <w:szCs w:val="18"/>
        </w:rPr>
        <w:t>-</w:t>
      </w:r>
      <w:r w:rsidRPr="00696ACB">
        <w:rPr>
          <w:rFonts w:ascii="Verdana" w:hAnsi="Verdana" w:eastAsia="Times New Roman" w:cs="Times New Roman"/>
          <w:sz w:val="18"/>
          <w:szCs w:val="18"/>
        </w:rPr>
        <w:t xml:space="preserve">eisen gaan gelden. </w:t>
      </w:r>
      <w:r w:rsidRPr="008B105A" w:rsidR="008B105A">
        <w:rPr>
          <w:rFonts w:ascii="Verdana" w:hAnsi="Verdana" w:eastAsia="Times New Roman" w:cs="Times New Roman"/>
          <w:sz w:val="18"/>
          <w:szCs w:val="18"/>
        </w:rPr>
        <w:t xml:space="preserve">Gemiddeld </w:t>
      </w:r>
      <w:r w:rsidR="008B105A">
        <w:rPr>
          <w:rFonts w:ascii="Verdana" w:hAnsi="Verdana" w:eastAsia="Times New Roman" w:cs="Times New Roman"/>
          <w:sz w:val="18"/>
          <w:szCs w:val="18"/>
        </w:rPr>
        <w:t>wordt door SIRA ingeschat - op basis van interviews met partijen uit de sector -</w:t>
      </w:r>
      <w:r w:rsidRPr="008B105A" w:rsidR="008B105A">
        <w:rPr>
          <w:rFonts w:ascii="Verdana" w:hAnsi="Verdana" w:eastAsia="Times New Roman" w:cs="Times New Roman"/>
          <w:sz w:val="18"/>
          <w:szCs w:val="18"/>
        </w:rPr>
        <w:t xml:space="preserve"> dat het berekenen van de MKI-score voor één enkel product circa € 400 kost</w:t>
      </w:r>
      <w:r>
        <w:rPr>
          <w:rFonts w:ascii="Verdana" w:hAnsi="Verdana" w:eastAsia="Times New Roman" w:cs="Times New Roman"/>
          <w:sz w:val="18"/>
          <w:szCs w:val="18"/>
        </w:rPr>
        <w:t xml:space="preserve"> (P)</w:t>
      </w:r>
      <w:r w:rsidRPr="008B105A" w:rsidR="008B105A">
        <w:rPr>
          <w:rFonts w:ascii="Verdana" w:hAnsi="Verdana" w:eastAsia="Times New Roman" w:cs="Times New Roman"/>
          <w:sz w:val="18"/>
          <w:szCs w:val="18"/>
        </w:rPr>
        <w:t>. Deze kosten kunnen bestaan uit tijdbesteding van intern personeel om de berekening te verrichten, of out-of-pocket kosten als voor het verrichten van de berekening een extern bureau wordt ingeschakeld. In de meeste</w:t>
      </w:r>
      <w:r w:rsidR="008B105A">
        <w:rPr>
          <w:rFonts w:ascii="Verdana" w:hAnsi="Verdana" w:eastAsia="Times New Roman" w:cs="Times New Roman"/>
          <w:sz w:val="18"/>
          <w:szCs w:val="18"/>
        </w:rPr>
        <w:t xml:space="preserve"> </w:t>
      </w:r>
      <w:r w:rsidRPr="008B105A" w:rsidR="008B105A">
        <w:rPr>
          <w:rFonts w:ascii="Verdana" w:hAnsi="Verdana" w:eastAsia="Times New Roman" w:cs="Times New Roman"/>
          <w:sz w:val="18"/>
          <w:szCs w:val="18"/>
        </w:rPr>
        <w:t>gevallen verrichten leveranciers de berekening zelf, en brengen zij de kosten in rekening. De verwachting is dat de bulk van deze kosten per product zich zullen</w:t>
      </w:r>
      <w:r w:rsidR="008B105A">
        <w:rPr>
          <w:rFonts w:ascii="Verdana" w:hAnsi="Verdana" w:eastAsia="Times New Roman" w:cs="Times New Roman"/>
          <w:sz w:val="18"/>
          <w:szCs w:val="18"/>
        </w:rPr>
        <w:t xml:space="preserve"> </w:t>
      </w:r>
      <w:r w:rsidRPr="008B105A" w:rsidR="008B105A">
        <w:rPr>
          <w:rFonts w:ascii="Verdana" w:hAnsi="Verdana" w:eastAsia="Times New Roman" w:cs="Times New Roman"/>
          <w:sz w:val="18"/>
          <w:szCs w:val="18"/>
        </w:rPr>
        <w:t xml:space="preserve">voordoen de eerste keer dat dit product wordt gebruikt. Wanneer de samenstelling van het product onveranderd is als het opnieuw gebruikt wordt, hoeft geen nieuwe berekening verricht te worden. Wanneer de samenstelling wel veranderd is, betreft dit in de meeste gevallen een beperkte wijziging waarbij enkel bepaalde </w:t>
      </w:r>
      <w:r w:rsidRPr="008B105A" w:rsidR="008B105A">
        <w:rPr>
          <w:rFonts w:ascii="Verdana" w:hAnsi="Verdana" w:eastAsia="Times New Roman" w:cs="Times New Roman"/>
          <w:sz w:val="18"/>
          <w:szCs w:val="18"/>
        </w:rPr>
        <w:lastRenderedPageBreak/>
        <w:t xml:space="preserve">parameters gewijzigd hoeven te worden. Deze extra handeling resulteert niet in significante regeldrukkosten. </w:t>
      </w:r>
    </w:p>
    <w:p w:rsidR="008B105A" w:rsidP="00643E93" w:rsidRDefault="008B105A" w14:paraId="2203E983" w14:textId="77777777">
      <w:pPr>
        <w:spacing w:after="0" w:line="276" w:lineRule="auto"/>
        <w:rPr>
          <w:rFonts w:ascii="Verdana" w:hAnsi="Verdana" w:eastAsia="Times New Roman" w:cs="Times New Roman"/>
          <w:sz w:val="18"/>
          <w:szCs w:val="18"/>
        </w:rPr>
      </w:pPr>
    </w:p>
    <w:p w:rsidR="008B105A" w:rsidP="00643E93" w:rsidRDefault="008B105A" w14:paraId="6BCE2F39" w14:textId="53D85D91">
      <w:pPr>
        <w:spacing w:after="0" w:line="276" w:lineRule="auto"/>
        <w:rPr>
          <w:rFonts w:ascii="Verdana" w:hAnsi="Verdana" w:eastAsia="Times New Roman" w:cs="Times New Roman"/>
          <w:sz w:val="18"/>
          <w:szCs w:val="18"/>
        </w:rPr>
      </w:pPr>
      <w:r w:rsidRPr="008B105A">
        <w:rPr>
          <w:rFonts w:ascii="Verdana" w:hAnsi="Verdana" w:eastAsia="Times New Roman" w:cs="Times New Roman"/>
          <w:sz w:val="18"/>
          <w:szCs w:val="18"/>
        </w:rPr>
        <w:t xml:space="preserve">Op basis van het bovenstaande blijken de kosten voor het hanteren van MKI-prestatie-eisen samen te hangen met het aantal asfalt- en betonproducten waarvoor uiteindelijk in een onderliggende regeling MKI-waardes voor worden opgenomen. Immers: als voor een product eenmaal de bewijslast is opgesteld dan kan deze ook voor latere offertes worden gebruikt. Voor hoeveel producten dit uiteindelijk moet, is afhankelijk van hoeveel producten uiteindelijk in de regeling worden opgenomen. Dit nu nog niet bekend. Op basis van informatie van het Betonakkoord en Moederbestek.nl </w:t>
      </w:r>
      <w:r w:rsidR="00696ACB">
        <w:rPr>
          <w:rFonts w:ascii="Verdana" w:hAnsi="Verdana" w:eastAsia="Times New Roman" w:cs="Times New Roman"/>
          <w:sz w:val="18"/>
          <w:szCs w:val="18"/>
        </w:rPr>
        <w:t xml:space="preserve">heeft SIRA </w:t>
      </w:r>
      <w:r w:rsidRPr="008B105A">
        <w:rPr>
          <w:rFonts w:ascii="Verdana" w:hAnsi="Verdana" w:eastAsia="Times New Roman" w:cs="Times New Roman"/>
          <w:sz w:val="18"/>
          <w:szCs w:val="18"/>
        </w:rPr>
        <w:t>een inschatting gemaakt. Omdat niet bekend is hoeveel asfalt- en betonproducten</w:t>
      </w:r>
      <w:r w:rsidR="00696ACB">
        <w:rPr>
          <w:rFonts w:ascii="Verdana" w:hAnsi="Verdana" w:eastAsia="Times New Roman" w:cs="Times New Roman"/>
          <w:sz w:val="18"/>
          <w:szCs w:val="18"/>
        </w:rPr>
        <w:t xml:space="preserve"> </w:t>
      </w:r>
      <w:r w:rsidRPr="008B105A">
        <w:rPr>
          <w:rFonts w:ascii="Verdana" w:hAnsi="Verdana" w:eastAsia="Times New Roman" w:cs="Times New Roman"/>
          <w:sz w:val="18"/>
          <w:szCs w:val="18"/>
        </w:rPr>
        <w:t>uiteindelijk in de regeling terecht komen</w:t>
      </w:r>
      <w:r w:rsidR="00696ACB">
        <w:rPr>
          <w:rFonts w:ascii="Verdana" w:hAnsi="Verdana" w:eastAsia="Times New Roman" w:cs="Times New Roman"/>
          <w:sz w:val="18"/>
          <w:szCs w:val="18"/>
        </w:rPr>
        <w:t>, hanteert SIRA</w:t>
      </w:r>
      <w:r w:rsidRPr="008B105A">
        <w:rPr>
          <w:rFonts w:ascii="Verdana" w:hAnsi="Verdana" w:eastAsia="Times New Roman" w:cs="Times New Roman"/>
          <w:sz w:val="18"/>
          <w:szCs w:val="18"/>
        </w:rPr>
        <w:t xml:space="preserve"> een ruime bandbreedte</w:t>
      </w:r>
      <w:r w:rsidR="00696ACB">
        <w:rPr>
          <w:rFonts w:ascii="Verdana" w:hAnsi="Verdana" w:eastAsia="Times New Roman" w:cs="Times New Roman"/>
          <w:sz w:val="18"/>
          <w:szCs w:val="18"/>
        </w:rPr>
        <w:t xml:space="preserve"> </w:t>
      </w:r>
      <w:r w:rsidRPr="008B105A">
        <w:rPr>
          <w:rFonts w:ascii="Verdana" w:hAnsi="Verdana" w:eastAsia="Times New Roman" w:cs="Times New Roman"/>
          <w:sz w:val="18"/>
          <w:szCs w:val="18"/>
        </w:rPr>
        <w:t>van minimaal 50 tot maximaal 200 producten</w:t>
      </w:r>
      <w:r w:rsidR="00696ACB">
        <w:rPr>
          <w:rFonts w:ascii="Verdana" w:hAnsi="Verdana" w:eastAsia="Times New Roman" w:cs="Times New Roman"/>
          <w:sz w:val="18"/>
          <w:szCs w:val="18"/>
        </w:rPr>
        <w:t xml:space="preserve"> (Q)</w:t>
      </w:r>
      <w:r w:rsidRPr="008B105A">
        <w:rPr>
          <w:rFonts w:ascii="Verdana" w:hAnsi="Verdana" w:eastAsia="Times New Roman" w:cs="Times New Roman"/>
          <w:sz w:val="18"/>
          <w:szCs w:val="18"/>
        </w:rPr>
        <w:t xml:space="preserve">. </w:t>
      </w:r>
    </w:p>
    <w:p w:rsidR="008B105A" w:rsidP="00643E93" w:rsidRDefault="008B105A" w14:paraId="428D2B01" w14:textId="77777777">
      <w:pPr>
        <w:spacing w:after="0" w:line="276" w:lineRule="auto"/>
        <w:rPr>
          <w:rFonts w:ascii="Verdana" w:hAnsi="Verdana" w:eastAsia="Times New Roman" w:cs="Times New Roman"/>
          <w:sz w:val="18"/>
          <w:szCs w:val="18"/>
        </w:rPr>
      </w:pPr>
    </w:p>
    <w:p w:rsidRPr="00BF160B" w:rsidR="00BF160B" w:rsidP="00643E93" w:rsidRDefault="00BF160B" w14:paraId="35EF16B7" w14:textId="77777777">
      <w:pPr>
        <w:spacing w:after="0" w:line="276" w:lineRule="auto"/>
        <w:contextualSpacing/>
        <w:jc w:val="both"/>
        <w:rPr>
          <w:rFonts w:ascii="Calibri" w:hAnsi="Calibri" w:eastAsia="Verdana" w:cs="Times New Roman"/>
          <w:spacing w:val="-10"/>
          <w:kern w:val="28"/>
          <w14:ligatures w14:val="standardContextual"/>
        </w:rPr>
      </w:pPr>
    </w:p>
    <w:p w:rsidRPr="00D944A9" w:rsidR="00BF160B" w:rsidP="00D944A9" w:rsidRDefault="00BF160B" w14:paraId="30473C27" w14:textId="77777777">
      <w:pPr>
        <w:spacing w:after="0" w:line="276" w:lineRule="auto"/>
        <w:contextualSpacing/>
        <w:rPr>
          <w:rFonts w:ascii="Calibri" w:hAnsi="Calibri" w:eastAsia="Verdana" w:cs="Times New Roman"/>
          <w:b/>
          <w:color w:val="4BAAE1"/>
          <w:spacing w:val="-10"/>
          <w:kern w:val="28"/>
          <w14:ligatures w14:val="standardContextual"/>
        </w:rPr>
      </w:pPr>
      <w:r w:rsidRPr="00D944A9">
        <w:rPr>
          <w:rFonts w:ascii="Calibri" w:hAnsi="Calibri" w:eastAsia="Verdana" w:cs="Times New Roman"/>
          <w:b/>
          <w:color w:val="4BAAE1"/>
          <w:spacing w:val="-10"/>
          <w:kern w:val="28"/>
          <w14:ligatures w14:val="standardContextual"/>
        </w:rPr>
        <w:t>Eenmalige regeldrukkosten</w:t>
      </w:r>
    </w:p>
    <w:tbl>
      <w:tblPr>
        <w:tblStyle w:val="Tabelraster1"/>
        <w:tblW w:w="5000" w:type="pct"/>
        <w:tblInd w:w="0" w:type="dxa"/>
        <w:tblLook w:val="04A0" w:firstRow="1" w:lastRow="0" w:firstColumn="1" w:lastColumn="0" w:noHBand="0" w:noVBand="1"/>
      </w:tblPr>
      <w:tblGrid>
        <w:gridCol w:w="2024"/>
        <w:gridCol w:w="2024"/>
        <w:gridCol w:w="2025"/>
        <w:gridCol w:w="2025"/>
      </w:tblGrid>
      <w:tr w:rsidRPr="00BF160B" w:rsidR="00BF160B" w:rsidTr="00390BFA" w14:paraId="7A6CA52C" w14:textId="77777777">
        <w:tc>
          <w:tcPr>
            <w:tcW w:w="5000" w:type="pct"/>
            <w:gridSpan w:val="4"/>
            <w:tcBorders>
              <w:top w:val="single" w:color="auto" w:sz="4" w:space="0"/>
              <w:left w:val="single" w:color="auto" w:sz="4" w:space="0"/>
              <w:bottom w:val="single" w:color="auto" w:sz="4" w:space="0"/>
              <w:right w:val="single" w:color="auto" w:sz="4" w:space="0"/>
            </w:tcBorders>
            <w:shd w:val="clear" w:color="auto" w:fill="5CA3D6"/>
            <w:hideMark/>
          </w:tcPr>
          <w:p w:rsidRPr="00BF160B" w:rsidR="00BF160B" w:rsidP="00643E93" w:rsidRDefault="00BF160B" w14:paraId="37DB7D8F" w14:textId="77777777">
            <w:pPr>
              <w:spacing w:line="276" w:lineRule="auto"/>
              <w:contextualSpacing/>
              <w:jc w:val="both"/>
              <w:rPr>
                <w:b/>
                <w:bCs/>
              </w:rPr>
            </w:pPr>
            <w:r w:rsidRPr="00BF160B">
              <w:rPr>
                <w:b/>
                <w:bCs/>
              </w:rPr>
              <w:t>MKI-prestatie-eisen</w:t>
            </w:r>
          </w:p>
        </w:tc>
      </w:tr>
      <w:tr w:rsidRPr="00BF160B" w:rsidR="00BF160B" w:rsidTr="00390BFA" w14:paraId="4216EB67" w14:textId="77777777">
        <w:tc>
          <w:tcPr>
            <w:tcW w:w="1250" w:type="pct"/>
            <w:tcBorders>
              <w:top w:val="single" w:color="auto" w:sz="4" w:space="0"/>
              <w:left w:val="single" w:color="auto" w:sz="4" w:space="0"/>
              <w:bottom w:val="single" w:color="auto" w:sz="4" w:space="0"/>
              <w:right w:val="single" w:color="auto" w:sz="4" w:space="0"/>
            </w:tcBorders>
            <w:shd w:val="clear" w:color="auto" w:fill="DBEDF9"/>
          </w:tcPr>
          <w:p w:rsidRPr="00BF160B" w:rsidR="00BF160B" w:rsidP="00643E93" w:rsidRDefault="00BF160B" w14:paraId="35097B1A" w14:textId="77777777">
            <w:pPr>
              <w:spacing w:line="276" w:lineRule="auto"/>
              <w:contextualSpacing/>
              <w:jc w:val="both"/>
            </w:pPr>
            <w:r w:rsidRPr="00BF160B">
              <w:t>Scenario</w:t>
            </w:r>
          </w:p>
          <w:p w:rsidRPr="00BF160B" w:rsidR="00BF160B" w:rsidP="00643E93" w:rsidRDefault="00BF160B" w14:paraId="47C4607F" w14:textId="77777777">
            <w:pPr>
              <w:spacing w:line="276" w:lineRule="auto"/>
              <w:contextualSpacing/>
              <w:jc w:val="both"/>
            </w:pPr>
          </w:p>
        </w:tc>
        <w:tc>
          <w:tcPr>
            <w:tcW w:w="1250" w:type="pct"/>
            <w:tcBorders>
              <w:top w:val="single" w:color="auto" w:sz="4" w:space="0"/>
              <w:left w:val="single" w:color="auto" w:sz="4" w:space="0"/>
              <w:bottom w:val="single" w:color="auto" w:sz="4" w:space="0"/>
              <w:right w:val="single" w:color="auto" w:sz="4" w:space="0"/>
            </w:tcBorders>
            <w:shd w:val="clear" w:color="auto" w:fill="DBEDF9"/>
            <w:hideMark/>
          </w:tcPr>
          <w:p w:rsidRPr="00BF160B" w:rsidR="00BF160B" w:rsidP="00643E93" w:rsidRDefault="00BF160B" w14:paraId="53B6CFFD" w14:textId="77777777">
            <w:pPr>
              <w:spacing w:line="276" w:lineRule="auto"/>
              <w:contextualSpacing/>
              <w:jc w:val="both"/>
            </w:pPr>
            <w:r w:rsidRPr="00BF160B">
              <w:t>Kosten per product (P)</w:t>
            </w:r>
          </w:p>
        </w:tc>
        <w:tc>
          <w:tcPr>
            <w:tcW w:w="1250" w:type="pct"/>
            <w:tcBorders>
              <w:top w:val="single" w:color="auto" w:sz="4" w:space="0"/>
              <w:left w:val="single" w:color="auto" w:sz="4" w:space="0"/>
              <w:bottom w:val="single" w:color="auto" w:sz="4" w:space="0"/>
              <w:right w:val="single" w:color="auto" w:sz="4" w:space="0"/>
            </w:tcBorders>
            <w:shd w:val="clear" w:color="auto" w:fill="DBEDF9"/>
            <w:hideMark/>
          </w:tcPr>
          <w:p w:rsidRPr="00BF160B" w:rsidR="00BF160B" w:rsidP="00643E93" w:rsidRDefault="00BF160B" w14:paraId="2755ED4F" w14:textId="77777777">
            <w:pPr>
              <w:spacing w:line="276" w:lineRule="auto"/>
              <w:contextualSpacing/>
              <w:jc w:val="both"/>
            </w:pPr>
            <w:r w:rsidRPr="00BF160B">
              <w:t>Aantal producten (Q)</w:t>
            </w:r>
          </w:p>
        </w:tc>
        <w:tc>
          <w:tcPr>
            <w:tcW w:w="1250" w:type="pct"/>
            <w:tcBorders>
              <w:top w:val="single" w:color="auto" w:sz="4" w:space="0"/>
              <w:left w:val="single" w:color="auto" w:sz="4" w:space="0"/>
              <w:bottom w:val="single" w:color="auto" w:sz="4" w:space="0"/>
              <w:right w:val="single" w:color="auto" w:sz="4" w:space="0"/>
            </w:tcBorders>
            <w:shd w:val="clear" w:color="auto" w:fill="DBEDF9"/>
            <w:hideMark/>
          </w:tcPr>
          <w:p w:rsidRPr="00BF160B" w:rsidR="00BF160B" w:rsidP="00643E93" w:rsidRDefault="00BF160B" w14:paraId="267DC5B8" w14:textId="77777777">
            <w:pPr>
              <w:spacing w:line="276" w:lineRule="auto"/>
              <w:contextualSpacing/>
              <w:jc w:val="both"/>
            </w:pPr>
            <w:r w:rsidRPr="00BF160B">
              <w:t>Totale kosten (P*Q)</w:t>
            </w:r>
          </w:p>
        </w:tc>
      </w:tr>
      <w:tr w:rsidRPr="00BF160B" w:rsidR="00BF160B" w:rsidTr="00390BFA" w14:paraId="496B8ED8" w14:textId="77777777">
        <w:trPr>
          <w:trHeight w:val="537"/>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BF160B" w:rsidP="00643E93" w:rsidRDefault="00BF160B" w14:paraId="045193CE" w14:textId="77777777">
            <w:pPr>
              <w:spacing w:line="276" w:lineRule="auto"/>
              <w:contextualSpacing/>
              <w:jc w:val="both"/>
            </w:pPr>
            <w:r w:rsidRPr="00BF160B">
              <w:t>Minimaal</w:t>
            </w:r>
          </w:p>
        </w:tc>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BF160B" w:rsidP="00643E93" w:rsidRDefault="00BF160B" w14:paraId="48A000F4" w14:textId="77777777">
            <w:pPr>
              <w:spacing w:line="276" w:lineRule="auto"/>
              <w:contextualSpacing/>
              <w:jc w:val="right"/>
            </w:pPr>
            <w:r w:rsidRPr="00BF160B">
              <w:t>€ 400</w:t>
            </w:r>
          </w:p>
        </w:tc>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BF160B" w:rsidP="00643E93" w:rsidRDefault="00BF160B" w14:paraId="3D51768B" w14:textId="77777777">
            <w:pPr>
              <w:spacing w:line="276" w:lineRule="auto"/>
              <w:contextualSpacing/>
              <w:jc w:val="right"/>
            </w:pPr>
            <w:r w:rsidRPr="00BF160B">
              <w:t>50</w:t>
            </w:r>
          </w:p>
        </w:tc>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BF160B" w:rsidP="00643E93" w:rsidRDefault="00BF160B" w14:paraId="793D8D88" w14:textId="77777777">
            <w:pPr>
              <w:spacing w:line="276" w:lineRule="auto"/>
              <w:contextualSpacing/>
              <w:jc w:val="right"/>
              <w:rPr>
                <w:b/>
                <w:bCs/>
              </w:rPr>
            </w:pPr>
            <w:r w:rsidRPr="00BF160B">
              <w:rPr>
                <w:b/>
                <w:bCs/>
              </w:rPr>
              <w:t>€ 20.000</w:t>
            </w:r>
          </w:p>
        </w:tc>
      </w:tr>
      <w:tr w:rsidRPr="00BF160B" w:rsidR="00BF160B" w:rsidTr="00390BFA" w14:paraId="34174DDB" w14:textId="77777777">
        <w:trPr>
          <w:trHeight w:val="537"/>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BF160B" w:rsidP="00643E93" w:rsidRDefault="00BF160B" w14:paraId="3E53D8CC" w14:textId="77777777">
            <w:pPr>
              <w:spacing w:line="276" w:lineRule="auto"/>
              <w:contextualSpacing/>
              <w:jc w:val="both"/>
            </w:pPr>
            <w:r w:rsidRPr="00BF160B">
              <w:t>Maximaal</w:t>
            </w:r>
          </w:p>
        </w:tc>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BF160B" w:rsidP="00643E93" w:rsidRDefault="00BF160B" w14:paraId="31B0EC44" w14:textId="77777777">
            <w:pPr>
              <w:spacing w:line="276" w:lineRule="auto"/>
              <w:contextualSpacing/>
              <w:jc w:val="right"/>
            </w:pPr>
            <w:r w:rsidRPr="00BF160B">
              <w:t>€ 400</w:t>
            </w:r>
          </w:p>
        </w:tc>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BF160B" w:rsidP="00643E93" w:rsidRDefault="00BF160B" w14:paraId="6B64C497" w14:textId="77777777">
            <w:pPr>
              <w:spacing w:line="276" w:lineRule="auto"/>
              <w:contextualSpacing/>
              <w:jc w:val="right"/>
            </w:pPr>
            <w:r w:rsidRPr="00BF160B">
              <w:t>200</w:t>
            </w:r>
          </w:p>
        </w:tc>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BF160B" w:rsidP="00643E93" w:rsidRDefault="00BF160B" w14:paraId="13D6D789" w14:textId="1E0383EA">
            <w:pPr>
              <w:spacing w:line="276" w:lineRule="auto"/>
              <w:contextualSpacing/>
              <w:jc w:val="right"/>
              <w:rPr>
                <w:b/>
                <w:bCs/>
              </w:rPr>
            </w:pPr>
            <w:r w:rsidRPr="00BF160B">
              <w:rPr>
                <w:b/>
                <w:bCs/>
              </w:rPr>
              <w:t>€ 80</w:t>
            </w:r>
            <w:r w:rsidR="003D6A99">
              <w:rPr>
                <w:b/>
                <w:bCs/>
              </w:rPr>
              <w:t>.00</w:t>
            </w:r>
            <w:r w:rsidRPr="00BF160B">
              <w:rPr>
                <w:b/>
                <w:bCs/>
              </w:rPr>
              <w:t>0</w:t>
            </w:r>
          </w:p>
        </w:tc>
      </w:tr>
    </w:tbl>
    <w:p w:rsidR="00323079" w:rsidDel="00EF750E" w:rsidP="0086110A" w:rsidRDefault="00323079" w14:paraId="175FD26E" w14:textId="77777777">
      <w:pPr>
        <w:spacing w:line="276" w:lineRule="auto"/>
        <w:rPr>
          <w:rFonts w:ascii="Verdana" w:hAnsi="Verdana" w:eastAsia="Times New Roman" w:cs="Times New Roman"/>
          <w:sz w:val="18"/>
          <w:szCs w:val="18"/>
        </w:rPr>
      </w:pPr>
    </w:p>
    <w:p w:rsidRPr="0086110A" w:rsidR="009A4437" w:rsidP="0086110A" w:rsidRDefault="00696ACB" w14:paraId="12181EF1" w14:textId="0FA0656D">
      <w:pPr>
        <w:spacing w:line="276" w:lineRule="auto"/>
        <w:rPr>
          <w:rFonts w:ascii="Verdana" w:hAnsi="Verdana"/>
          <w:sz w:val="18"/>
          <w:szCs w:val="18"/>
        </w:rPr>
      </w:pPr>
      <w:r w:rsidRPr="00696ACB">
        <w:rPr>
          <w:rFonts w:ascii="Verdana" w:hAnsi="Verdana" w:eastAsia="Times New Roman" w:cs="Times New Roman"/>
          <w:sz w:val="18"/>
          <w:szCs w:val="18"/>
        </w:rPr>
        <w:t xml:space="preserve">Structureel hebben bedrijven </w:t>
      </w:r>
      <w:r w:rsidR="009A4437">
        <w:rPr>
          <w:rFonts w:ascii="Verdana" w:hAnsi="Verdana" w:eastAsia="Times New Roman" w:cs="Times New Roman"/>
          <w:sz w:val="18"/>
          <w:szCs w:val="18"/>
        </w:rPr>
        <w:t>geen kosten voor de aanbestedingen waarin de milieuprestatie-eisen worden meegenomen. Zij hoeven immers enkel het bewijs zoals hierboven beschreven te overhandigen om aan de eisen van de aanbestedende dienst te voldoen</w:t>
      </w:r>
      <w:r w:rsidRPr="003D6A99" w:rsidR="009A4437">
        <w:rPr>
          <w:rFonts w:ascii="Verdana" w:hAnsi="Verdana" w:eastAsia="Times New Roman" w:cs="Times New Roman"/>
          <w:sz w:val="18"/>
          <w:szCs w:val="18"/>
        </w:rPr>
        <w:t>.</w:t>
      </w:r>
      <w:r w:rsidRPr="003D6A99" w:rsidR="003D6A99">
        <w:rPr>
          <w:rFonts w:ascii="Verdana" w:hAnsi="Verdana" w:eastAsia="Times New Roman" w:cs="Times New Roman"/>
          <w:sz w:val="18"/>
          <w:szCs w:val="18"/>
        </w:rPr>
        <w:t xml:space="preserve"> </w:t>
      </w:r>
      <w:r w:rsidRPr="0086110A" w:rsidR="003D6A99">
        <w:rPr>
          <w:rFonts w:ascii="Verdana" w:hAnsi="Verdana"/>
          <w:sz w:val="18"/>
          <w:szCs w:val="18"/>
        </w:rPr>
        <w:t>Uit de interviews die zijn afgenomen door SIRA blijkt verder dat de MKI-prestatie-eisen op peloton-niveau niet tot aanzienlijke meerkosten van het materiaal zullen leiden. Het overgrote merendeel van de leveranciers voldoet al aan deze eisen in de huidige situatie. Het is aannemelijk dat partijen die hier niet aan kunnen voldoen zullen afhaken bij dit type aanbestedingen. Voor het nader criterium geldt dit eveneens, maar speelt ook mee de materiaalkosten in sterke mate afhankelijk zijn van de invulling van de verplichting door de opdrachtgever. Hierdoor zijn de meerkosten vrijwel niet te kwantificeren.</w:t>
      </w:r>
      <w:r w:rsidRPr="00773EC1" w:rsidR="003D6A99">
        <w:rPr>
          <w:rFonts w:ascii="Verdana" w:hAnsi="Verdana"/>
          <w:sz w:val="18"/>
          <w:szCs w:val="18"/>
        </w:rPr>
        <w:t xml:space="preserve"> </w:t>
      </w:r>
    </w:p>
    <w:p w:rsidR="009A4437" w:rsidP="00643E93" w:rsidRDefault="009A4437" w14:paraId="478BA829" w14:textId="77777777">
      <w:pPr>
        <w:spacing w:after="0" w:line="276" w:lineRule="auto"/>
        <w:contextualSpacing/>
        <w:rPr>
          <w:rFonts w:ascii="Verdana" w:hAnsi="Verdana" w:eastAsia="Times New Roman" w:cs="Times New Roman"/>
          <w:sz w:val="18"/>
          <w:szCs w:val="18"/>
        </w:rPr>
      </w:pPr>
    </w:p>
    <w:p w:rsidRPr="0086110A" w:rsidR="00477C8B" w:rsidP="00643E93" w:rsidRDefault="00EF750E" w14:paraId="0045A51C" w14:textId="3EFD04C5">
      <w:pPr>
        <w:spacing w:after="0" w:line="276" w:lineRule="auto"/>
        <w:contextualSpacing/>
        <w:rPr>
          <w:rFonts w:ascii="Verdana" w:hAnsi="Verdana" w:eastAsia="Times New Roman" w:cs="Times New Roman"/>
          <w:i/>
          <w:sz w:val="18"/>
          <w:szCs w:val="18"/>
        </w:rPr>
      </w:pPr>
      <w:r w:rsidRPr="0086110A">
        <w:rPr>
          <w:rFonts w:ascii="Verdana" w:hAnsi="Verdana" w:eastAsia="Times New Roman" w:cs="Times New Roman"/>
          <w:i/>
          <w:sz w:val="18"/>
          <w:szCs w:val="18"/>
        </w:rPr>
        <w:t>Structurele regeldrukkosten</w:t>
      </w:r>
      <w:r w:rsidRPr="0086110A" w:rsidR="00477C8B">
        <w:rPr>
          <w:rFonts w:ascii="Verdana" w:hAnsi="Verdana" w:eastAsia="Times New Roman" w:cs="Times New Roman"/>
          <w:i/>
          <w:sz w:val="18"/>
          <w:szCs w:val="18"/>
        </w:rPr>
        <w:t xml:space="preserve">: </w:t>
      </w:r>
      <w:bookmarkStart w:name="_Hlk214454910" w:id="55"/>
      <w:r w:rsidRPr="0086110A" w:rsidR="00477C8B">
        <w:rPr>
          <w:rFonts w:ascii="Verdana" w:hAnsi="Verdana" w:eastAsia="Times New Roman" w:cs="Times New Roman"/>
          <w:i/>
          <w:sz w:val="18"/>
          <w:szCs w:val="18"/>
        </w:rPr>
        <w:t>verplicht MKI</w:t>
      </w:r>
      <w:r w:rsidR="00F2403A">
        <w:rPr>
          <w:rFonts w:ascii="Verdana" w:hAnsi="Verdana" w:eastAsia="Times New Roman" w:cs="Times New Roman"/>
          <w:i/>
          <w:sz w:val="18"/>
          <w:szCs w:val="18"/>
        </w:rPr>
        <w:t xml:space="preserve"> als nader criterium</w:t>
      </w:r>
      <w:r w:rsidRPr="0086110A" w:rsidR="00477C8B">
        <w:rPr>
          <w:rFonts w:ascii="Verdana" w:hAnsi="Verdana" w:eastAsia="Times New Roman" w:cs="Times New Roman"/>
          <w:i/>
          <w:sz w:val="18"/>
          <w:szCs w:val="18"/>
        </w:rPr>
        <w:t xml:space="preserve"> voor grote projecten </w:t>
      </w:r>
      <w:bookmarkEnd w:id="55"/>
    </w:p>
    <w:p w:rsidR="00E23E1B" w:rsidP="00643E93" w:rsidRDefault="00E23E1B" w14:paraId="7773A72B" w14:textId="77777777">
      <w:pPr>
        <w:spacing w:after="0" w:line="276" w:lineRule="auto"/>
        <w:contextualSpacing/>
        <w:rPr>
          <w:rFonts w:ascii="Verdana" w:hAnsi="Verdana" w:eastAsia="Times New Roman" w:cs="Times New Roman"/>
          <w:b/>
          <w:bCs/>
          <w:i/>
          <w:iCs/>
          <w:sz w:val="18"/>
          <w:szCs w:val="18"/>
        </w:rPr>
      </w:pPr>
    </w:p>
    <w:p w:rsidRPr="0086110A" w:rsidR="000E36B3" w:rsidP="00E23E1B" w:rsidRDefault="00EF750E" w14:paraId="1B1F8B6C" w14:textId="02376A47">
      <w:pPr>
        <w:spacing w:after="0" w:line="276" w:lineRule="auto"/>
        <w:contextualSpacing/>
        <w:rPr>
          <w:rFonts w:ascii="Verdana" w:hAnsi="Verdana" w:eastAsia="Times New Roman" w:cs="Times New Roman"/>
          <w:sz w:val="18"/>
          <w:szCs w:val="18"/>
        </w:rPr>
      </w:pPr>
      <w:r w:rsidRPr="0086110A">
        <w:rPr>
          <w:rFonts w:ascii="Verdana" w:hAnsi="Verdana" w:eastAsia="Times New Roman" w:cs="Times New Roman"/>
          <w:sz w:val="18"/>
          <w:szCs w:val="18"/>
        </w:rPr>
        <w:t xml:space="preserve">Structureel hebben bedrijven met name kosten voor de aanbestedingen waar de MKI-verplichting als nader criterium moet worden meegenomen. Dit vergt voor elke aanbesteding een specifieke berekening en uitwerking die aanvullende kosten met zich meebrengt. </w:t>
      </w:r>
      <w:r w:rsidRPr="0086110A" w:rsidR="00E23E1B">
        <w:rPr>
          <w:rFonts w:ascii="Verdana" w:hAnsi="Verdana" w:eastAsia="Times New Roman" w:cs="Times New Roman"/>
          <w:sz w:val="18"/>
          <w:szCs w:val="18"/>
        </w:rPr>
        <w:t>De proceskosten voor het meenemen van MKI als nader criterium zijn onder te verdelen in de gemaakte kosten vóór</w:t>
      </w:r>
      <w:r w:rsidRPr="0086110A" w:rsidR="000E36B3">
        <w:rPr>
          <w:rFonts w:ascii="Verdana" w:hAnsi="Verdana" w:eastAsia="Times New Roman" w:cs="Times New Roman"/>
          <w:sz w:val="18"/>
          <w:szCs w:val="18"/>
        </w:rPr>
        <w:t xml:space="preserve"> </w:t>
      </w:r>
      <w:r w:rsidRPr="0086110A" w:rsidR="00E23E1B">
        <w:rPr>
          <w:rFonts w:ascii="Verdana" w:hAnsi="Verdana" w:eastAsia="Times New Roman" w:cs="Times New Roman"/>
          <w:sz w:val="18"/>
          <w:szCs w:val="18"/>
        </w:rPr>
        <w:t xml:space="preserve">en na de aanbestedingsbeslissing door de publieke opdrachtgever. </w:t>
      </w:r>
    </w:p>
    <w:p w:rsidR="000E36B3" w:rsidP="00E23E1B" w:rsidRDefault="000E36B3" w14:paraId="101FE070" w14:textId="77777777">
      <w:pPr>
        <w:spacing w:after="0" w:line="276" w:lineRule="auto"/>
        <w:contextualSpacing/>
        <w:rPr>
          <w:rFonts w:ascii="Verdana" w:hAnsi="Verdana" w:eastAsia="Times New Roman" w:cs="Times New Roman"/>
          <w:sz w:val="18"/>
          <w:szCs w:val="18"/>
          <w:u w:val="single"/>
        </w:rPr>
      </w:pPr>
    </w:p>
    <w:p w:rsidR="00E23E1B" w:rsidP="00643E93" w:rsidRDefault="00E23E1B" w14:paraId="4D0F5D39" w14:textId="3FA5E632">
      <w:pPr>
        <w:spacing w:after="0" w:line="276" w:lineRule="auto"/>
        <w:contextualSpacing/>
        <w:rPr>
          <w:rFonts w:ascii="Verdana" w:hAnsi="Verdana" w:eastAsia="Times New Roman" w:cs="Times New Roman"/>
          <w:sz w:val="18"/>
          <w:szCs w:val="18"/>
        </w:rPr>
      </w:pPr>
      <w:r w:rsidRPr="0086110A">
        <w:rPr>
          <w:rFonts w:ascii="Verdana" w:hAnsi="Verdana" w:eastAsia="Times New Roman" w:cs="Times New Roman"/>
          <w:sz w:val="18"/>
          <w:szCs w:val="18"/>
        </w:rPr>
        <w:t xml:space="preserve">De kosten voordat een GWW-werk gegund is aan een opdrachtnemer, zijn de kosten van de inschrijving op de aanbesteding zelf (hierna: inschrijvingskosten). Gemiddeld wordt geschat dat deze kosten 35% van de totale proceskosten van MKI-gunningscriteria voor </w:t>
      </w:r>
      <w:r w:rsidRPr="0086110A">
        <w:rPr>
          <w:rFonts w:ascii="Verdana" w:hAnsi="Verdana" w:eastAsia="Times New Roman" w:cs="Times New Roman"/>
          <w:sz w:val="18"/>
          <w:szCs w:val="18"/>
        </w:rPr>
        <w:lastRenderedPageBreak/>
        <w:t>bedrijven vertegenwoordigen.</w:t>
      </w:r>
      <w:r w:rsidR="000E36B3">
        <w:rPr>
          <w:rFonts w:ascii="Verdana" w:hAnsi="Verdana" w:eastAsia="Times New Roman" w:cs="Times New Roman"/>
          <w:sz w:val="18"/>
          <w:szCs w:val="18"/>
          <w:u w:val="single"/>
        </w:rPr>
        <w:t xml:space="preserve"> </w:t>
      </w:r>
      <w:r w:rsidRPr="0086110A">
        <w:rPr>
          <w:rFonts w:ascii="Verdana" w:hAnsi="Verdana" w:eastAsia="Times New Roman" w:cs="Times New Roman"/>
          <w:sz w:val="18"/>
          <w:szCs w:val="18"/>
        </w:rPr>
        <w:t>De inschrijvingskosten bestaan enerzijds uit het verrichten (of laten verrichten) van LCA</w:t>
      </w:r>
      <w:r>
        <w:rPr>
          <w:rFonts w:ascii="Verdana" w:hAnsi="Verdana" w:eastAsia="Times New Roman" w:cs="Times New Roman"/>
          <w:sz w:val="18"/>
          <w:szCs w:val="18"/>
        </w:rPr>
        <w:t>-</w:t>
      </w:r>
      <w:r w:rsidRPr="0086110A">
        <w:rPr>
          <w:rFonts w:ascii="Verdana" w:hAnsi="Verdana" w:eastAsia="Times New Roman" w:cs="Times New Roman"/>
          <w:sz w:val="18"/>
          <w:szCs w:val="18"/>
        </w:rPr>
        <w:t xml:space="preserve">berekeningen om vervolgens te komen tot MKI-scores voor de gebruikte materialen, en anderzijds worden kosten gemaakt ten gevolge van de tijdbesteding die vereist is om de klantvraag, de wensen en voorwaarden van de opdrachtgever, te specificeren. Hoewel een enkele respondent aangaf voor het verrichten van de LCA-berekening gebruik te maken van de diensten van externe duurzaamheidsadviseurs, </w:t>
      </w:r>
      <w:r>
        <w:rPr>
          <w:rFonts w:ascii="Verdana" w:hAnsi="Verdana" w:eastAsia="Times New Roman" w:cs="Times New Roman"/>
          <w:sz w:val="18"/>
          <w:szCs w:val="18"/>
        </w:rPr>
        <w:t>heeft SIRA</w:t>
      </w:r>
      <w:r w:rsidRPr="0086110A">
        <w:rPr>
          <w:rFonts w:ascii="Verdana" w:hAnsi="Verdana" w:eastAsia="Times New Roman" w:cs="Times New Roman"/>
          <w:sz w:val="18"/>
          <w:szCs w:val="18"/>
        </w:rPr>
        <w:t xml:space="preserve"> voor de berekening van de regeldrukkosten de aanname </w:t>
      </w:r>
      <w:r>
        <w:rPr>
          <w:rFonts w:ascii="Verdana" w:hAnsi="Verdana" w:eastAsia="Times New Roman" w:cs="Times New Roman"/>
          <w:sz w:val="18"/>
          <w:szCs w:val="18"/>
        </w:rPr>
        <w:t xml:space="preserve">gedaan </w:t>
      </w:r>
      <w:r w:rsidRPr="0086110A">
        <w:rPr>
          <w:rFonts w:ascii="Verdana" w:hAnsi="Verdana" w:eastAsia="Times New Roman" w:cs="Times New Roman"/>
          <w:sz w:val="18"/>
          <w:szCs w:val="18"/>
        </w:rPr>
        <w:t>dat deze bestaan uit de tijdbesteding van interne medewerkers. De geschatte out-of-pocket kosten voor de inhuur van deze externe medewerkers zijn omgerekend naar ‘interne’ uren met behulp standaard</w:t>
      </w:r>
      <w:r>
        <w:rPr>
          <w:rFonts w:ascii="Verdana" w:hAnsi="Verdana" w:eastAsia="Times New Roman" w:cs="Times New Roman"/>
          <w:sz w:val="18"/>
          <w:szCs w:val="18"/>
        </w:rPr>
        <w:t xml:space="preserve"> gehanteerde</w:t>
      </w:r>
      <w:r w:rsidRPr="0086110A">
        <w:rPr>
          <w:rFonts w:ascii="Verdana" w:hAnsi="Verdana" w:eastAsia="Times New Roman" w:cs="Times New Roman"/>
          <w:sz w:val="18"/>
          <w:szCs w:val="18"/>
        </w:rPr>
        <w:t xml:space="preserve"> uurtarieven </w:t>
      </w:r>
      <w:r>
        <w:rPr>
          <w:rFonts w:ascii="Verdana" w:hAnsi="Verdana" w:eastAsia="Times New Roman" w:cs="Times New Roman"/>
          <w:sz w:val="18"/>
          <w:szCs w:val="18"/>
        </w:rPr>
        <w:t xml:space="preserve">conform de </w:t>
      </w:r>
      <w:r w:rsidRPr="000E36B3" w:rsidR="000E36B3">
        <w:rPr>
          <w:rFonts w:ascii="Verdana" w:hAnsi="Verdana" w:eastAsia="Times New Roman" w:cs="Times New Roman"/>
          <w:sz w:val="18"/>
          <w:szCs w:val="18"/>
        </w:rPr>
        <w:t>Rijksbreed gehanteerde methodiek</w:t>
      </w:r>
      <w:r>
        <w:rPr>
          <w:rFonts w:ascii="Verdana" w:hAnsi="Verdana" w:eastAsia="Times New Roman" w:cs="Times New Roman"/>
          <w:sz w:val="18"/>
          <w:szCs w:val="18"/>
        </w:rPr>
        <w:t>.</w:t>
      </w:r>
      <w:r w:rsidR="000E36B3">
        <w:rPr>
          <w:rStyle w:val="Voetnootmarkering"/>
          <w:rFonts w:ascii="Verdana" w:hAnsi="Verdana" w:eastAsia="Times New Roman" w:cs="Times New Roman"/>
          <w:sz w:val="18"/>
          <w:szCs w:val="18"/>
        </w:rPr>
        <w:footnoteReference w:id="45"/>
      </w:r>
      <w:r>
        <w:rPr>
          <w:rFonts w:ascii="Verdana" w:hAnsi="Verdana" w:eastAsia="Times New Roman" w:cs="Times New Roman"/>
          <w:sz w:val="18"/>
          <w:szCs w:val="18"/>
        </w:rPr>
        <w:t xml:space="preserve"> </w:t>
      </w:r>
      <w:r w:rsidRPr="0086110A">
        <w:rPr>
          <w:rFonts w:ascii="Verdana" w:hAnsi="Verdana" w:eastAsia="Times New Roman" w:cs="Times New Roman"/>
          <w:sz w:val="18"/>
          <w:szCs w:val="18"/>
        </w:rPr>
        <w:t>In werkelijkheid is de verwachting echter dat een aanzienlijk deel van de (met name kleinere) opdrachtgevers initieel gebruik zal maken van externe adviesbureaus</w:t>
      </w:r>
      <w:r w:rsidR="000E36B3">
        <w:rPr>
          <w:rFonts w:ascii="Verdana" w:hAnsi="Verdana" w:eastAsia="Times New Roman" w:cs="Times New Roman"/>
          <w:sz w:val="18"/>
          <w:szCs w:val="18"/>
        </w:rPr>
        <w:t>.</w:t>
      </w:r>
    </w:p>
    <w:p w:rsidR="000E36B3" w:rsidP="00643E93" w:rsidRDefault="000E36B3" w14:paraId="03A9C56A" w14:textId="77777777">
      <w:pPr>
        <w:spacing w:after="0" w:line="276" w:lineRule="auto"/>
        <w:contextualSpacing/>
        <w:rPr>
          <w:rFonts w:ascii="Verdana" w:hAnsi="Verdana" w:eastAsia="Times New Roman" w:cs="Times New Roman"/>
          <w:sz w:val="18"/>
          <w:szCs w:val="18"/>
        </w:rPr>
      </w:pPr>
    </w:p>
    <w:p w:rsidR="000E36B3" w:rsidP="00643E93" w:rsidRDefault="000E36B3" w14:paraId="12FD2A33" w14:textId="0BDDBFE3">
      <w:pPr>
        <w:spacing w:after="0" w:line="276" w:lineRule="auto"/>
        <w:contextualSpacing/>
        <w:rPr>
          <w:rFonts w:ascii="Verdana" w:hAnsi="Verdana" w:eastAsia="Times New Roman" w:cs="Times New Roman"/>
          <w:sz w:val="18"/>
          <w:szCs w:val="18"/>
        </w:rPr>
      </w:pPr>
      <w:r>
        <w:rPr>
          <w:rFonts w:ascii="Verdana" w:hAnsi="Verdana" w:eastAsia="Times New Roman" w:cs="Times New Roman"/>
          <w:sz w:val="18"/>
          <w:szCs w:val="18"/>
        </w:rPr>
        <w:t>De kosten voor bedrijven nadat de uitvoering van een GWW-werk aan hen gegund is door publieke opdrachtgevers, ontstaat gedurende de volledige doorlooptijd van het project</w:t>
      </w:r>
      <w:r w:rsidR="004F7E08">
        <w:rPr>
          <w:rFonts w:ascii="Verdana" w:hAnsi="Verdana" w:eastAsia="Times New Roman" w:cs="Times New Roman"/>
          <w:sz w:val="18"/>
          <w:szCs w:val="18"/>
        </w:rPr>
        <w:t xml:space="preserve"> (hierna: doorloopkosten)</w:t>
      </w:r>
      <w:r>
        <w:rPr>
          <w:rFonts w:ascii="Verdana" w:hAnsi="Verdana" w:eastAsia="Times New Roman" w:cs="Times New Roman"/>
          <w:sz w:val="18"/>
          <w:szCs w:val="18"/>
        </w:rPr>
        <w:t xml:space="preserve">. </w:t>
      </w:r>
      <w:r w:rsidRPr="000E36B3">
        <w:rPr>
          <w:rFonts w:ascii="Verdana" w:hAnsi="Verdana" w:eastAsia="Times New Roman" w:cs="Times New Roman"/>
          <w:sz w:val="18"/>
          <w:szCs w:val="18"/>
        </w:rPr>
        <w:t xml:space="preserve">Deze doorloopkosten bestaan primair uit de ‘as-built controle’, waarbij de opdrachtnemer aantoont dat de toegezegde MKI daadwerkelijk in de praktijk behaald is middels een MKI-berekening op basis van de werkelijk toegepaste hoeveelheden, en onderbouwd met bewijsstukken. Hoewel de doorloopkosten van </w:t>
      </w:r>
      <w:r>
        <w:rPr>
          <w:rFonts w:ascii="Verdana" w:hAnsi="Verdana" w:eastAsia="Times New Roman" w:cs="Times New Roman"/>
          <w:sz w:val="18"/>
          <w:szCs w:val="18"/>
        </w:rPr>
        <w:t>de</w:t>
      </w:r>
      <w:r w:rsidRPr="000E36B3">
        <w:rPr>
          <w:rFonts w:ascii="Verdana" w:hAnsi="Verdana" w:eastAsia="Times New Roman" w:cs="Times New Roman"/>
          <w:sz w:val="18"/>
          <w:szCs w:val="18"/>
        </w:rPr>
        <w:t xml:space="preserve"> MK</w:t>
      </w:r>
      <w:r>
        <w:rPr>
          <w:rFonts w:ascii="Verdana" w:hAnsi="Verdana" w:eastAsia="Times New Roman" w:cs="Times New Roman"/>
          <w:sz w:val="18"/>
          <w:szCs w:val="18"/>
        </w:rPr>
        <w:t>I als nader criterium</w:t>
      </w:r>
      <w:r w:rsidRPr="000E36B3">
        <w:rPr>
          <w:rFonts w:ascii="Verdana" w:hAnsi="Verdana" w:eastAsia="Times New Roman" w:cs="Times New Roman"/>
          <w:sz w:val="18"/>
          <w:szCs w:val="18"/>
        </w:rPr>
        <w:t xml:space="preserve"> kunnen fluctueren met de doorlooptijd van een project, schatten respondenten deze kosten op gemiddeld 65% van de totale proceskosten.</w:t>
      </w:r>
    </w:p>
    <w:p w:rsidR="000E36B3" w:rsidP="00643E93" w:rsidRDefault="000E36B3" w14:paraId="204EF9DE" w14:textId="77777777">
      <w:pPr>
        <w:spacing w:after="0" w:line="276" w:lineRule="auto"/>
        <w:contextualSpacing/>
        <w:rPr>
          <w:rFonts w:ascii="Verdana" w:hAnsi="Verdana" w:eastAsia="Times New Roman" w:cs="Times New Roman"/>
          <w:sz w:val="18"/>
          <w:szCs w:val="18"/>
        </w:rPr>
      </w:pPr>
    </w:p>
    <w:p w:rsidRPr="0086110A" w:rsidR="000E36B3" w:rsidP="000E36B3" w:rsidRDefault="000E36B3" w14:paraId="15336857" w14:textId="02A76E23">
      <w:pPr>
        <w:spacing w:after="0" w:line="276" w:lineRule="auto"/>
        <w:contextualSpacing/>
        <w:rPr>
          <w:rFonts w:ascii="Verdana" w:hAnsi="Verdana" w:eastAsia="Times New Roman" w:cs="Times New Roman"/>
          <w:sz w:val="18"/>
          <w:szCs w:val="18"/>
        </w:rPr>
      </w:pPr>
      <w:r w:rsidRPr="000E36B3">
        <w:rPr>
          <w:rFonts w:ascii="Verdana" w:hAnsi="Verdana" w:eastAsia="Times New Roman" w:cs="Times New Roman"/>
          <w:sz w:val="18"/>
          <w:szCs w:val="18"/>
        </w:rPr>
        <w:t>Hoewel bedrijven tot vergelijkbare kwalitatieve inschattingen komen van de uitvoerbaarheid en de effectiviteit van het MKI-gunningscriterium, lopen hun kwantitatieve schattingen van de regeldrukkosten sterk uiteen. Geheel verbazend is dit niet, gegeven de diversiteit aan infrastructurele projecten binnen de GWW, en het feit dat bepaalde opdrachtnemers zich specialiseren binnen bepaalde niches van de sector die in potentie weinig overlap kennen met elkaar. Gelijktijdig kan ook de ervaring van opdrachtnemers met het werken met MKI</w:t>
      </w:r>
      <w:r>
        <w:rPr>
          <w:rFonts w:ascii="Verdana" w:hAnsi="Verdana" w:eastAsia="Times New Roman" w:cs="Times New Roman"/>
          <w:sz w:val="18"/>
          <w:szCs w:val="18"/>
        </w:rPr>
        <w:t xml:space="preserve"> als nader criterium</w:t>
      </w:r>
      <w:r w:rsidRPr="000E36B3">
        <w:rPr>
          <w:rFonts w:ascii="Verdana" w:hAnsi="Verdana" w:eastAsia="Times New Roman" w:cs="Times New Roman"/>
          <w:sz w:val="18"/>
          <w:szCs w:val="18"/>
        </w:rPr>
        <w:t xml:space="preserve"> een rol spelen, waarbij bedrijven naarmate zij meer ervaring en kennis opdoen de meerkosten zien dalen. Op basis van de interviews kan deze laatste verklaring echter niet eenduidig gestaafd worden.</w:t>
      </w:r>
      <w:r w:rsidR="00A05997">
        <w:rPr>
          <w:rFonts w:ascii="Verdana" w:hAnsi="Verdana" w:eastAsia="Times New Roman" w:cs="Times New Roman"/>
          <w:sz w:val="18"/>
          <w:szCs w:val="18"/>
        </w:rPr>
        <w:t xml:space="preserve"> </w:t>
      </w:r>
      <w:r w:rsidRPr="000E36B3">
        <w:rPr>
          <w:rFonts w:ascii="Verdana" w:hAnsi="Verdana" w:eastAsia="Times New Roman" w:cs="Times New Roman"/>
          <w:sz w:val="18"/>
          <w:szCs w:val="18"/>
        </w:rPr>
        <w:t xml:space="preserve">Om de variatie te reflecteren tussen opdrachtnemers op het gebied van hun inschatting van de proceskosten van </w:t>
      </w:r>
      <w:r>
        <w:rPr>
          <w:rFonts w:ascii="Verdana" w:hAnsi="Verdana" w:eastAsia="Times New Roman" w:cs="Times New Roman"/>
          <w:sz w:val="18"/>
          <w:szCs w:val="18"/>
        </w:rPr>
        <w:t>de</w:t>
      </w:r>
      <w:r w:rsidRPr="000E36B3">
        <w:rPr>
          <w:rFonts w:ascii="Verdana" w:hAnsi="Verdana" w:eastAsia="Times New Roman" w:cs="Times New Roman"/>
          <w:sz w:val="18"/>
          <w:szCs w:val="18"/>
        </w:rPr>
        <w:t xml:space="preserve"> MKI</w:t>
      </w:r>
      <w:r>
        <w:rPr>
          <w:rFonts w:ascii="Verdana" w:hAnsi="Verdana" w:eastAsia="Times New Roman" w:cs="Times New Roman"/>
          <w:sz w:val="18"/>
          <w:szCs w:val="18"/>
        </w:rPr>
        <w:t xml:space="preserve"> als nader criterium</w:t>
      </w:r>
      <w:r w:rsidRPr="000E36B3">
        <w:rPr>
          <w:rFonts w:ascii="Verdana" w:hAnsi="Verdana" w:eastAsia="Times New Roman" w:cs="Times New Roman"/>
          <w:sz w:val="18"/>
          <w:szCs w:val="18"/>
        </w:rPr>
        <w:t xml:space="preserve">, </w:t>
      </w:r>
      <w:r w:rsidR="00A05997">
        <w:rPr>
          <w:rFonts w:ascii="Verdana" w:hAnsi="Verdana" w:eastAsia="Times New Roman" w:cs="Times New Roman"/>
          <w:sz w:val="18"/>
          <w:szCs w:val="18"/>
        </w:rPr>
        <w:t>zijn</w:t>
      </w:r>
      <w:r w:rsidRPr="000E36B3">
        <w:rPr>
          <w:rFonts w:ascii="Verdana" w:hAnsi="Verdana" w:eastAsia="Times New Roman" w:cs="Times New Roman"/>
          <w:sz w:val="18"/>
          <w:szCs w:val="18"/>
        </w:rPr>
        <w:t xml:space="preserve"> de regeldrukkosten</w:t>
      </w:r>
      <w:r w:rsidR="00A05997">
        <w:rPr>
          <w:rFonts w:ascii="Verdana" w:hAnsi="Verdana" w:eastAsia="Times New Roman" w:cs="Times New Roman"/>
          <w:sz w:val="18"/>
          <w:szCs w:val="18"/>
        </w:rPr>
        <w:t xml:space="preserve"> door SIRA</w:t>
      </w:r>
      <w:r w:rsidRPr="000E36B3">
        <w:rPr>
          <w:rFonts w:ascii="Verdana" w:hAnsi="Verdana" w:eastAsia="Times New Roman" w:cs="Times New Roman"/>
          <w:sz w:val="18"/>
          <w:szCs w:val="18"/>
        </w:rPr>
        <w:t xml:space="preserve"> berekend met behulp van drie scenario’s: een scenario gebaseerd op de minimale kosten die bedrijven verwachten te moeten maken, een scenario gebaseerd op de maximale kosten, en een gemiddeld scenario. De kosten bestaan uit de verwachte tijdbesteding voor elk scenario, vermenigvuldigd met het standaard uurtarief van een hoogopgeleide medewerker (€54,-). De geschatte tijdbestedingen</w:t>
      </w:r>
      <w:r w:rsidR="00181BFF">
        <w:rPr>
          <w:rStyle w:val="Voetnootmarkering"/>
          <w:rFonts w:ascii="Verdana" w:hAnsi="Verdana" w:eastAsia="Times New Roman" w:cs="Times New Roman"/>
          <w:sz w:val="18"/>
          <w:szCs w:val="18"/>
        </w:rPr>
        <w:footnoteReference w:id="46"/>
      </w:r>
      <w:r w:rsidRPr="000E36B3">
        <w:rPr>
          <w:rFonts w:ascii="Verdana" w:hAnsi="Verdana" w:eastAsia="Times New Roman" w:cs="Times New Roman"/>
          <w:sz w:val="18"/>
          <w:szCs w:val="18"/>
        </w:rPr>
        <w:t xml:space="preserve"> voor een groot project</w:t>
      </w:r>
      <w:r w:rsidR="00D46BCF">
        <w:rPr>
          <w:rFonts w:ascii="Verdana" w:hAnsi="Verdana" w:eastAsia="Times New Roman" w:cs="Times New Roman"/>
          <w:sz w:val="18"/>
          <w:szCs w:val="18"/>
        </w:rPr>
        <w:t xml:space="preserve"> </w:t>
      </w:r>
      <w:r w:rsidRPr="000E36B3">
        <w:rPr>
          <w:rFonts w:ascii="Verdana" w:hAnsi="Verdana" w:eastAsia="Times New Roman" w:cs="Times New Roman"/>
          <w:sz w:val="18"/>
          <w:szCs w:val="18"/>
        </w:rPr>
        <w:t>zijn als volgt voor de drie scenario’s:</w:t>
      </w:r>
    </w:p>
    <w:p w:rsidR="004F7E08" w:rsidP="004F7E08" w:rsidRDefault="000E36B3" w14:paraId="50375032" w14:textId="77777777">
      <w:pPr>
        <w:pStyle w:val="Lijstalinea"/>
        <w:numPr>
          <w:ilvl w:val="0"/>
          <w:numId w:val="78"/>
        </w:numPr>
        <w:spacing w:after="0" w:line="276" w:lineRule="auto"/>
        <w:rPr>
          <w:rFonts w:ascii="Verdana" w:hAnsi="Verdana" w:eastAsia="Times New Roman" w:cs="Times New Roman"/>
          <w:sz w:val="18"/>
          <w:szCs w:val="18"/>
        </w:rPr>
      </w:pPr>
      <w:r w:rsidRPr="0086110A">
        <w:rPr>
          <w:rFonts w:ascii="Verdana" w:hAnsi="Verdana" w:eastAsia="Times New Roman" w:cs="Times New Roman"/>
          <w:sz w:val="18"/>
          <w:szCs w:val="18"/>
        </w:rPr>
        <w:t>Minimaal: 29,2 uur (aanbestedingsfase) + 54,2 uur (doorloopfase) = 83,4 uur</w:t>
      </w:r>
    </w:p>
    <w:p w:rsidR="004F7E08" w:rsidP="004F7E08" w:rsidRDefault="000E36B3" w14:paraId="4E072451" w14:textId="77777777">
      <w:pPr>
        <w:pStyle w:val="Lijstalinea"/>
        <w:numPr>
          <w:ilvl w:val="0"/>
          <w:numId w:val="78"/>
        </w:numPr>
        <w:spacing w:after="0" w:line="276" w:lineRule="auto"/>
        <w:rPr>
          <w:rFonts w:ascii="Verdana" w:hAnsi="Verdana" w:eastAsia="Times New Roman" w:cs="Times New Roman"/>
          <w:sz w:val="18"/>
          <w:szCs w:val="18"/>
        </w:rPr>
      </w:pPr>
      <w:r w:rsidRPr="0086110A">
        <w:rPr>
          <w:rFonts w:ascii="Verdana" w:hAnsi="Verdana" w:eastAsia="Times New Roman" w:cs="Times New Roman"/>
          <w:sz w:val="18"/>
          <w:szCs w:val="18"/>
        </w:rPr>
        <w:t xml:space="preserve">Gemiddeld: 43,5 uur (aanbestedingsfase) + 80,7 uur (doorloopfase) = 124,3 uur </w:t>
      </w:r>
    </w:p>
    <w:p w:rsidRPr="0086110A" w:rsidR="000E36B3" w:rsidP="0086110A" w:rsidRDefault="000E36B3" w14:paraId="109E9828" w14:textId="1719A622">
      <w:pPr>
        <w:pStyle w:val="Lijstalinea"/>
        <w:numPr>
          <w:ilvl w:val="0"/>
          <w:numId w:val="78"/>
        </w:numPr>
        <w:spacing w:after="0" w:line="276" w:lineRule="auto"/>
        <w:rPr>
          <w:rFonts w:ascii="Verdana" w:hAnsi="Verdana" w:eastAsia="Times New Roman" w:cs="Times New Roman"/>
          <w:sz w:val="18"/>
          <w:szCs w:val="18"/>
        </w:rPr>
      </w:pPr>
      <w:r w:rsidRPr="0086110A">
        <w:rPr>
          <w:rFonts w:ascii="Verdana" w:hAnsi="Verdana" w:eastAsia="Times New Roman" w:cs="Times New Roman"/>
          <w:sz w:val="18"/>
          <w:szCs w:val="18"/>
        </w:rPr>
        <w:lastRenderedPageBreak/>
        <w:t xml:space="preserve">Maximaal: 57,7 (aanbestedingsfase) + 107,2 (doorloopfase) = 164,9 uur </w:t>
      </w:r>
    </w:p>
    <w:p w:rsidR="004F7E08" w:rsidP="004F7E08" w:rsidRDefault="004F7E08" w14:paraId="15CC50E7" w14:textId="77777777">
      <w:pPr>
        <w:spacing w:after="0" w:line="276" w:lineRule="auto"/>
        <w:rPr>
          <w:rFonts w:ascii="Verdana" w:hAnsi="Verdana" w:eastAsia="Times New Roman" w:cs="Times New Roman"/>
          <w:sz w:val="18"/>
          <w:szCs w:val="18"/>
        </w:rPr>
      </w:pPr>
    </w:p>
    <w:p w:rsidR="004F7E08" w:rsidP="004F7E08" w:rsidRDefault="004F7E08" w14:paraId="3C7F6A37" w14:textId="60BBDEE8">
      <w:pPr>
        <w:spacing w:after="0" w:line="276" w:lineRule="auto"/>
        <w:rPr>
          <w:rFonts w:ascii="Verdana" w:hAnsi="Verdana" w:eastAsia="Times New Roman" w:cs="Times New Roman"/>
          <w:sz w:val="18"/>
          <w:szCs w:val="18"/>
        </w:rPr>
      </w:pPr>
      <w:r>
        <w:rPr>
          <w:rFonts w:ascii="Verdana" w:hAnsi="Verdana" w:eastAsia="Times New Roman" w:cs="Times New Roman"/>
          <w:sz w:val="18"/>
          <w:szCs w:val="18"/>
        </w:rPr>
        <w:t>Omgerekend komt dit dus neer op de volgende regeldrukkosten per project:</w:t>
      </w:r>
      <w:r w:rsidR="00071942">
        <w:rPr>
          <w:rFonts w:ascii="Verdana" w:hAnsi="Verdana" w:eastAsia="Times New Roman" w:cs="Times New Roman"/>
          <w:sz w:val="18"/>
          <w:szCs w:val="18"/>
        </w:rPr>
        <w:t xml:space="preserve"> </w:t>
      </w:r>
    </w:p>
    <w:p w:rsidR="004F7E08" w:rsidP="004F7E08" w:rsidRDefault="004F7E08" w14:paraId="09530453" w14:textId="05A9E7BC">
      <w:pPr>
        <w:pStyle w:val="Lijstalinea"/>
        <w:numPr>
          <w:ilvl w:val="0"/>
          <w:numId w:val="77"/>
        </w:numPr>
        <w:spacing w:after="0" w:line="276" w:lineRule="auto"/>
        <w:rPr>
          <w:rFonts w:ascii="Verdana" w:hAnsi="Verdana" w:eastAsia="Times New Roman" w:cs="Times New Roman"/>
          <w:sz w:val="18"/>
          <w:szCs w:val="18"/>
        </w:rPr>
      </w:pPr>
      <w:r w:rsidRPr="0086110A">
        <w:rPr>
          <w:rFonts w:ascii="Verdana" w:hAnsi="Verdana" w:eastAsia="Times New Roman" w:cs="Times New Roman"/>
          <w:sz w:val="18"/>
          <w:szCs w:val="18"/>
        </w:rPr>
        <w:t xml:space="preserve">Minimaal: </w:t>
      </w:r>
      <w:r w:rsidR="00B062D1">
        <w:rPr>
          <w:rFonts w:ascii="Verdana" w:hAnsi="Verdana" w:eastAsia="Times New Roman" w:cs="Times New Roman"/>
          <w:sz w:val="18"/>
          <w:szCs w:val="18"/>
        </w:rPr>
        <w:t>€ 1.577</w:t>
      </w:r>
      <w:r w:rsidRPr="0086110A">
        <w:rPr>
          <w:rFonts w:ascii="Verdana" w:hAnsi="Verdana" w:eastAsia="Times New Roman" w:cs="Times New Roman"/>
          <w:sz w:val="18"/>
          <w:szCs w:val="18"/>
        </w:rPr>
        <w:t xml:space="preserve"> (</w:t>
      </w:r>
      <w:r>
        <w:rPr>
          <w:rFonts w:ascii="Verdana" w:hAnsi="Verdana" w:eastAsia="Times New Roman" w:cs="Times New Roman"/>
          <w:sz w:val="18"/>
          <w:szCs w:val="18"/>
        </w:rPr>
        <w:t>inschrijvingskosten</w:t>
      </w:r>
      <w:r w:rsidRPr="0086110A">
        <w:rPr>
          <w:rFonts w:ascii="Verdana" w:hAnsi="Verdana" w:eastAsia="Times New Roman" w:cs="Times New Roman"/>
          <w:sz w:val="18"/>
          <w:szCs w:val="18"/>
        </w:rPr>
        <w:t xml:space="preserve">) + </w:t>
      </w:r>
      <w:r w:rsidR="00B062D1">
        <w:rPr>
          <w:rFonts w:ascii="Verdana" w:hAnsi="Verdana" w:eastAsia="Times New Roman" w:cs="Times New Roman"/>
          <w:sz w:val="18"/>
          <w:szCs w:val="18"/>
        </w:rPr>
        <w:t>€ 2.927</w:t>
      </w:r>
      <w:r w:rsidRPr="0086110A">
        <w:rPr>
          <w:rFonts w:ascii="Verdana" w:hAnsi="Verdana" w:eastAsia="Times New Roman" w:cs="Times New Roman"/>
          <w:sz w:val="18"/>
          <w:szCs w:val="18"/>
        </w:rPr>
        <w:t xml:space="preserve"> (doorloop</w:t>
      </w:r>
      <w:r>
        <w:rPr>
          <w:rFonts w:ascii="Verdana" w:hAnsi="Verdana" w:eastAsia="Times New Roman" w:cs="Times New Roman"/>
          <w:sz w:val="18"/>
          <w:szCs w:val="18"/>
        </w:rPr>
        <w:t>kosten</w:t>
      </w:r>
      <w:r w:rsidRPr="0086110A">
        <w:rPr>
          <w:rFonts w:ascii="Verdana" w:hAnsi="Verdana" w:eastAsia="Times New Roman" w:cs="Times New Roman"/>
          <w:sz w:val="18"/>
          <w:szCs w:val="18"/>
        </w:rPr>
        <w:t xml:space="preserve">) </w:t>
      </w:r>
    </w:p>
    <w:p w:rsidR="004F7E08" w:rsidP="004F7E08" w:rsidRDefault="004F7E08" w14:paraId="2128AD3C" w14:textId="7AF8E0F5">
      <w:pPr>
        <w:pStyle w:val="Lijstalinea"/>
        <w:numPr>
          <w:ilvl w:val="0"/>
          <w:numId w:val="77"/>
        </w:numPr>
        <w:spacing w:after="0" w:line="276" w:lineRule="auto"/>
        <w:rPr>
          <w:rFonts w:ascii="Verdana" w:hAnsi="Verdana" w:eastAsia="Times New Roman" w:cs="Times New Roman"/>
          <w:sz w:val="18"/>
          <w:szCs w:val="18"/>
        </w:rPr>
      </w:pPr>
      <w:r w:rsidRPr="0086110A">
        <w:rPr>
          <w:rFonts w:ascii="Verdana" w:hAnsi="Verdana" w:eastAsia="Times New Roman" w:cs="Times New Roman"/>
          <w:sz w:val="18"/>
          <w:szCs w:val="18"/>
        </w:rPr>
        <w:t xml:space="preserve">Gemiddeld: </w:t>
      </w:r>
      <w:r w:rsidR="004873F8">
        <w:rPr>
          <w:rFonts w:ascii="Verdana" w:hAnsi="Verdana" w:eastAsia="Times New Roman" w:cs="Times New Roman"/>
          <w:sz w:val="18"/>
          <w:szCs w:val="18"/>
        </w:rPr>
        <w:t xml:space="preserve">€ </w:t>
      </w:r>
      <w:r w:rsidR="004873F8">
        <w:t>2</w:t>
      </w:r>
      <w:r w:rsidRPr="006A30F9" w:rsidR="004873F8">
        <w:t>.</w:t>
      </w:r>
      <w:r w:rsidR="004873F8">
        <w:t>3</w:t>
      </w:r>
      <w:r w:rsidRPr="006A30F9" w:rsidR="004873F8">
        <w:t>49</w:t>
      </w:r>
      <w:r w:rsidRPr="0086110A">
        <w:rPr>
          <w:rFonts w:ascii="Verdana" w:hAnsi="Verdana" w:eastAsia="Times New Roman" w:cs="Times New Roman"/>
          <w:sz w:val="18"/>
          <w:szCs w:val="18"/>
        </w:rPr>
        <w:t xml:space="preserve"> (</w:t>
      </w:r>
      <w:r>
        <w:rPr>
          <w:rFonts w:ascii="Verdana" w:hAnsi="Verdana" w:eastAsia="Times New Roman" w:cs="Times New Roman"/>
          <w:sz w:val="18"/>
          <w:szCs w:val="18"/>
        </w:rPr>
        <w:t>inschrijvingskosten</w:t>
      </w:r>
      <w:r w:rsidRPr="0086110A">
        <w:rPr>
          <w:rFonts w:ascii="Verdana" w:hAnsi="Verdana" w:eastAsia="Times New Roman" w:cs="Times New Roman"/>
          <w:sz w:val="18"/>
          <w:szCs w:val="18"/>
        </w:rPr>
        <w:t xml:space="preserve">) + </w:t>
      </w:r>
      <w:r w:rsidRPr="006A30F9" w:rsidR="004873F8">
        <w:t>€ 4.358</w:t>
      </w:r>
      <w:r w:rsidRPr="004873F8" w:rsidR="004873F8">
        <w:rPr>
          <w:rFonts w:ascii="Verdana" w:hAnsi="Verdana" w:eastAsia="Times New Roman" w:cs="Times New Roman"/>
          <w:sz w:val="18"/>
          <w:szCs w:val="18"/>
        </w:rPr>
        <w:t xml:space="preserve"> </w:t>
      </w:r>
      <w:r w:rsidRPr="0086110A">
        <w:rPr>
          <w:rFonts w:ascii="Verdana" w:hAnsi="Verdana" w:eastAsia="Times New Roman" w:cs="Times New Roman"/>
          <w:sz w:val="18"/>
          <w:szCs w:val="18"/>
        </w:rPr>
        <w:t>(</w:t>
      </w:r>
      <w:r w:rsidRPr="00656177">
        <w:rPr>
          <w:rFonts w:ascii="Verdana" w:hAnsi="Verdana" w:eastAsia="Times New Roman" w:cs="Times New Roman"/>
          <w:sz w:val="18"/>
          <w:szCs w:val="18"/>
        </w:rPr>
        <w:t>doorloop</w:t>
      </w:r>
      <w:r>
        <w:rPr>
          <w:rFonts w:ascii="Verdana" w:hAnsi="Verdana" w:eastAsia="Times New Roman" w:cs="Times New Roman"/>
          <w:sz w:val="18"/>
          <w:szCs w:val="18"/>
        </w:rPr>
        <w:t>kosten</w:t>
      </w:r>
      <w:r w:rsidRPr="0086110A">
        <w:rPr>
          <w:rFonts w:ascii="Verdana" w:hAnsi="Verdana" w:eastAsia="Times New Roman" w:cs="Times New Roman"/>
          <w:sz w:val="18"/>
          <w:szCs w:val="18"/>
        </w:rPr>
        <w:t xml:space="preserve">) </w:t>
      </w:r>
    </w:p>
    <w:p w:rsidRPr="0086110A" w:rsidR="004F7E08" w:rsidP="0086110A" w:rsidRDefault="004F7E08" w14:paraId="7FEEE845" w14:textId="476E4B1D">
      <w:pPr>
        <w:pStyle w:val="Lijstalinea"/>
        <w:numPr>
          <w:ilvl w:val="0"/>
          <w:numId w:val="77"/>
        </w:numPr>
        <w:spacing w:after="0" w:line="276" w:lineRule="auto"/>
        <w:rPr>
          <w:rFonts w:ascii="Verdana" w:hAnsi="Verdana" w:eastAsia="Times New Roman" w:cs="Times New Roman"/>
          <w:sz w:val="18"/>
          <w:szCs w:val="18"/>
        </w:rPr>
      </w:pPr>
      <w:r w:rsidRPr="0086110A">
        <w:rPr>
          <w:rFonts w:ascii="Verdana" w:hAnsi="Verdana" w:eastAsia="Times New Roman" w:cs="Times New Roman"/>
          <w:sz w:val="18"/>
          <w:szCs w:val="18"/>
        </w:rPr>
        <w:t xml:space="preserve">Maximaal: </w:t>
      </w:r>
      <w:r w:rsidRPr="006A30F9" w:rsidR="004873F8">
        <w:t xml:space="preserve">€ </w:t>
      </w:r>
      <w:r w:rsidR="004873F8">
        <w:t>3.116</w:t>
      </w:r>
      <w:r w:rsidRPr="004873F8" w:rsidR="004873F8">
        <w:rPr>
          <w:rFonts w:ascii="Verdana" w:hAnsi="Verdana" w:eastAsia="Times New Roman" w:cs="Times New Roman"/>
          <w:sz w:val="18"/>
          <w:szCs w:val="18"/>
        </w:rPr>
        <w:t xml:space="preserve"> </w:t>
      </w:r>
      <w:r w:rsidRPr="0086110A">
        <w:rPr>
          <w:rFonts w:ascii="Verdana" w:hAnsi="Verdana" w:eastAsia="Times New Roman" w:cs="Times New Roman"/>
          <w:sz w:val="18"/>
          <w:szCs w:val="18"/>
        </w:rPr>
        <w:t>(</w:t>
      </w:r>
      <w:r>
        <w:rPr>
          <w:rFonts w:ascii="Verdana" w:hAnsi="Verdana" w:eastAsia="Times New Roman" w:cs="Times New Roman"/>
          <w:sz w:val="18"/>
          <w:szCs w:val="18"/>
        </w:rPr>
        <w:t>inschrijvingskosten</w:t>
      </w:r>
      <w:r w:rsidRPr="0086110A">
        <w:rPr>
          <w:rFonts w:ascii="Verdana" w:hAnsi="Verdana" w:eastAsia="Times New Roman" w:cs="Times New Roman"/>
          <w:sz w:val="18"/>
          <w:szCs w:val="18"/>
        </w:rPr>
        <w:t xml:space="preserve">) + </w:t>
      </w:r>
      <w:r w:rsidRPr="006A30F9" w:rsidR="004873F8">
        <w:t>€ 5.789</w:t>
      </w:r>
      <w:r w:rsidRPr="004873F8" w:rsidR="004873F8">
        <w:rPr>
          <w:rFonts w:ascii="Verdana" w:hAnsi="Verdana" w:eastAsia="Times New Roman" w:cs="Times New Roman"/>
          <w:sz w:val="18"/>
          <w:szCs w:val="18"/>
        </w:rPr>
        <w:t xml:space="preserve"> </w:t>
      </w:r>
      <w:r w:rsidRPr="0086110A">
        <w:rPr>
          <w:rFonts w:ascii="Verdana" w:hAnsi="Verdana" w:eastAsia="Times New Roman" w:cs="Times New Roman"/>
          <w:sz w:val="18"/>
          <w:szCs w:val="18"/>
        </w:rPr>
        <w:t>(</w:t>
      </w:r>
      <w:r w:rsidRPr="00656177">
        <w:rPr>
          <w:rFonts w:ascii="Verdana" w:hAnsi="Verdana" w:eastAsia="Times New Roman" w:cs="Times New Roman"/>
          <w:sz w:val="18"/>
          <w:szCs w:val="18"/>
        </w:rPr>
        <w:t>doorloop</w:t>
      </w:r>
      <w:r>
        <w:rPr>
          <w:rFonts w:ascii="Verdana" w:hAnsi="Verdana" w:eastAsia="Times New Roman" w:cs="Times New Roman"/>
          <w:sz w:val="18"/>
          <w:szCs w:val="18"/>
        </w:rPr>
        <w:t>kosten</w:t>
      </w:r>
      <w:r w:rsidRPr="0086110A">
        <w:rPr>
          <w:rFonts w:ascii="Verdana" w:hAnsi="Verdana" w:eastAsia="Times New Roman" w:cs="Times New Roman"/>
          <w:sz w:val="18"/>
          <w:szCs w:val="18"/>
        </w:rPr>
        <w:t xml:space="preserve">) </w:t>
      </w:r>
    </w:p>
    <w:p w:rsidR="000E36B3" w:rsidP="000E36B3" w:rsidRDefault="000E36B3" w14:paraId="446027CE" w14:textId="77777777">
      <w:pPr>
        <w:spacing w:after="0" w:line="276" w:lineRule="auto"/>
        <w:rPr>
          <w:rFonts w:ascii="Verdana" w:hAnsi="Verdana" w:eastAsia="Times New Roman" w:cs="Times New Roman"/>
          <w:sz w:val="18"/>
          <w:szCs w:val="18"/>
        </w:rPr>
      </w:pPr>
    </w:p>
    <w:p w:rsidRPr="0086110A" w:rsidR="000E36B3" w:rsidP="0086110A" w:rsidRDefault="000E36B3" w14:paraId="1FEB4091" w14:textId="14A62182">
      <w:pPr>
        <w:spacing w:after="0" w:line="276" w:lineRule="auto"/>
        <w:rPr>
          <w:rFonts w:ascii="Verdana" w:hAnsi="Verdana" w:eastAsia="Times New Roman" w:cs="Times New Roman"/>
          <w:sz w:val="18"/>
          <w:szCs w:val="18"/>
        </w:rPr>
      </w:pPr>
      <w:r w:rsidRPr="0086110A">
        <w:rPr>
          <w:rFonts w:ascii="Verdana" w:hAnsi="Verdana" w:eastAsia="Times New Roman" w:cs="Times New Roman"/>
          <w:sz w:val="18"/>
          <w:szCs w:val="18"/>
        </w:rPr>
        <w:t>Van de kosten in de aanbestedingsfase, de inschrijvingskosten, moeten de kosten voor het verrichten van de LCA- en MKI-berekeningen op productniveau (à €1200,-) worden afgetrokken. Deze regeldrukkosten dienen immers al gemaakt te worden als gevolg van de milieuprestatie-eisen in de vorm van de MKI.</w:t>
      </w:r>
    </w:p>
    <w:p w:rsidR="00477C8B" w:rsidP="00643E93" w:rsidRDefault="00477C8B" w14:paraId="6131169B" w14:textId="77777777">
      <w:pPr>
        <w:spacing w:after="0" w:line="276" w:lineRule="auto"/>
        <w:contextualSpacing/>
        <w:rPr>
          <w:rFonts w:ascii="Verdana" w:hAnsi="Verdana" w:eastAsia="Times New Roman" w:cs="Times New Roman"/>
          <w:sz w:val="18"/>
          <w:szCs w:val="18"/>
        </w:rPr>
      </w:pPr>
    </w:p>
    <w:p w:rsidRPr="00F2248B" w:rsidR="00323079" w:rsidP="00643E93" w:rsidRDefault="00816D59" w14:paraId="217F437B" w14:textId="3F5F63D5">
      <w:pPr>
        <w:spacing w:after="0" w:line="276" w:lineRule="auto"/>
        <w:contextualSpacing/>
        <w:rPr>
          <w:rFonts w:ascii="Verdana" w:hAnsi="Verdana" w:eastAsia="Times New Roman" w:cs="Times New Roman"/>
          <w:sz w:val="18"/>
          <w:szCs w:val="18"/>
        </w:rPr>
      </w:pPr>
      <w:r w:rsidRPr="00816D59">
        <w:rPr>
          <w:rFonts w:ascii="Verdana" w:hAnsi="Verdana" w:eastAsia="Times New Roman" w:cs="Times New Roman"/>
          <w:sz w:val="18"/>
          <w:szCs w:val="18"/>
        </w:rPr>
        <w:t xml:space="preserve">In onderstaande tabel zijn de regeldrukkosten van </w:t>
      </w:r>
      <w:r>
        <w:rPr>
          <w:rFonts w:ascii="Verdana" w:hAnsi="Verdana" w:eastAsia="Times New Roman" w:cs="Times New Roman"/>
          <w:sz w:val="18"/>
          <w:szCs w:val="18"/>
        </w:rPr>
        <w:t>de</w:t>
      </w:r>
      <w:r w:rsidRPr="00816D59">
        <w:rPr>
          <w:rFonts w:ascii="Verdana" w:hAnsi="Verdana" w:eastAsia="Times New Roman" w:cs="Times New Roman"/>
          <w:sz w:val="18"/>
          <w:szCs w:val="18"/>
        </w:rPr>
        <w:t xml:space="preserve"> MKI</w:t>
      </w:r>
      <w:r>
        <w:rPr>
          <w:rFonts w:ascii="Verdana" w:hAnsi="Verdana" w:eastAsia="Times New Roman" w:cs="Times New Roman"/>
          <w:sz w:val="18"/>
          <w:szCs w:val="18"/>
        </w:rPr>
        <w:t xml:space="preserve"> als nader criterium</w:t>
      </w:r>
      <w:r w:rsidRPr="00816D59">
        <w:rPr>
          <w:rFonts w:ascii="Verdana" w:hAnsi="Verdana" w:eastAsia="Times New Roman" w:cs="Times New Roman"/>
          <w:sz w:val="18"/>
          <w:szCs w:val="18"/>
        </w:rPr>
        <w:t xml:space="preserve"> voor bedrijven per project</w:t>
      </w:r>
      <w:r w:rsidR="004873F8">
        <w:rPr>
          <w:rFonts w:ascii="Verdana" w:hAnsi="Verdana" w:eastAsia="Times New Roman" w:cs="Times New Roman"/>
          <w:sz w:val="18"/>
          <w:szCs w:val="18"/>
        </w:rPr>
        <w:t xml:space="preserve"> minus inschrijvingskosten</w:t>
      </w:r>
      <w:r w:rsidRPr="00816D59">
        <w:rPr>
          <w:rFonts w:ascii="Verdana" w:hAnsi="Verdana" w:eastAsia="Times New Roman" w:cs="Times New Roman"/>
          <w:sz w:val="18"/>
          <w:szCs w:val="18"/>
        </w:rPr>
        <w:t xml:space="preserve"> (P), en in totaal (P*Q) berekend </w:t>
      </w:r>
      <w:r w:rsidR="004F7E08">
        <w:rPr>
          <w:rFonts w:ascii="Verdana" w:hAnsi="Verdana" w:eastAsia="Times New Roman" w:cs="Times New Roman"/>
          <w:sz w:val="18"/>
          <w:szCs w:val="18"/>
        </w:rPr>
        <w:t xml:space="preserve">en overzichtelijk weergegeven </w:t>
      </w:r>
      <w:r w:rsidRPr="00816D59">
        <w:rPr>
          <w:rFonts w:ascii="Verdana" w:hAnsi="Verdana" w:eastAsia="Times New Roman" w:cs="Times New Roman"/>
          <w:sz w:val="18"/>
          <w:szCs w:val="18"/>
        </w:rPr>
        <w:t xml:space="preserve">voor alle drie de scenario’s. </w:t>
      </w:r>
      <w:r w:rsidR="00416DC9">
        <w:rPr>
          <w:rFonts w:ascii="Verdana" w:hAnsi="Verdana" w:eastAsia="Times New Roman" w:cs="Times New Roman"/>
          <w:sz w:val="18"/>
          <w:szCs w:val="18"/>
        </w:rPr>
        <w:t>Het</w:t>
      </w:r>
      <w:r w:rsidRPr="00816D59">
        <w:rPr>
          <w:rFonts w:ascii="Verdana" w:hAnsi="Verdana" w:eastAsia="Times New Roman" w:cs="Times New Roman"/>
          <w:sz w:val="18"/>
          <w:szCs w:val="18"/>
        </w:rPr>
        <w:t xml:space="preserve"> aantal projecten </w:t>
      </w:r>
      <w:r w:rsidRPr="00816D59" w:rsidR="00F81581">
        <w:rPr>
          <w:rFonts w:ascii="Verdana" w:hAnsi="Verdana" w:eastAsia="Times New Roman" w:cs="Times New Roman"/>
          <w:sz w:val="18"/>
          <w:szCs w:val="18"/>
        </w:rPr>
        <w:t xml:space="preserve">(Q) </w:t>
      </w:r>
      <w:r w:rsidRPr="00816D59">
        <w:rPr>
          <w:rFonts w:ascii="Verdana" w:hAnsi="Verdana" w:eastAsia="Times New Roman" w:cs="Times New Roman"/>
          <w:sz w:val="18"/>
          <w:szCs w:val="18"/>
        </w:rPr>
        <w:t xml:space="preserve">is </w:t>
      </w:r>
      <w:r w:rsidR="004F7E08">
        <w:rPr>
          <w:rFonts w:ascii="Verdana" w:hAnsi="Verdana" w:eastAsia="Times New Roman" w:cs="Times New Roman"/>
          <w:sz w:val="18"/>
          <w:szCs w:val="18"/>
        </w:rPr>
        <w:t xml:space="preserve">geschat </w:t>
      </w:r>
      <w:r w:rsidR="00416DC9">
        <w:rPr>
          <w:rFonts w:ascii="Verdana" w:hAnsi="Verdana" w:eastAsia="Times New Roman" w:cs="Times New Roman"/>
          <w:sz w:val="18"/>
          <w:szCs w:val="18"/>
        </w:rPr>
        <w:t>op</w:t>
      </w:r>
      <w:r w:rsidR="001C1165">
        <w:rPr>
          <w:rFonts w:ascii="Verdana" w:hAnsi="Verdana" w:eastAsia="Times New Roman" w:cs="Times New Roman"/>
          <w:sz w:val="18"/>
          <w:szCs w:val="18"/>
        </w:rPr>
        <w:t xml:space="preserve"> basis van een analyse van aanbestedingen</w:t>
      </w:r>
      <w:r w:rsidR="00416DC9">
        <w:rPr>
          <w:rFonts w:ascii="Verdana" w:hAnsi="Verdana" w:eastAsia="Times New Roman" w:cs="Times New Roman"/>
          <w:sz w:val="18"/>
          <w:szCs w:val="18"/>
        </w:rPr>
        <w:t xml:space="preserve"> van GWW-werken die worden aanbesteed vanaf de Europese aanbestedingsgrens</w:t>
      </w:r>
      <w:r w:rsidR="00416DC9">
        <w:rPr>
          <w:rStyle w:val="Voetnootmarkering"/>
          <w:rFonts w:ascii="Verdana" w:hAnsi="Verdana" w:eastAsia="Times New Roman" w:cs="Times New Roman"/>
          <w:sz w:val="18"/>
          <w:szCs w:val="18"/>
        </w:rPr>
        <w:footnoteReference w:id="47"/>
      </w:r>
      <w:r w:rsidR="00416DC9">
        <w:rPr>
          <w:rFonts w:ascii="Verdana" w:hAnsi="Verdana" w:eastAsia="Times New Roman" w:cs="Times New Roman"/>
          <w:sz w:val="18"/>
          <w:szCs w:val="18"/>
        </w:rPr>
        <w:t xml:space="preserve"> en gepubliceerd zijn</w:t>
      </w:r>
      <w:r w:rsidR="001C1165">
        <w:rPr>
          <w:rFonts w:ascii="Verdana" w:hAnsi="Verdana" w:eastAsia="Times New Roman" w:cs="Times New Roman"/>
          <w:sz w:val="18"/>
          <w:szCs w:val="18"/>
        </w:rPr>
        <w:t xml:space="preserve"> op TenderNed </w:t>
      </w:r>
      <w:r w:rsidRPr="001C1165" w:rsidR="001C1165">
        <w:rPr>
          <w:rFonts w:ascii="Verdana" w:hAnsi="Verdana" w:eastAsia="Times New Roman" w:cs="Times New Roman"/>
          <w:sz w:val="18"/>
          <w:szCs w:val="18"/>
        </w:rPr>
        <w:t>over de periode 1 januari 2016 tot en met 31 juni 2024</w:t>
      </w:r>
      <w:r w:rsidR="00416DC9">
        <w:rPr>
          <w:rFonts w:ascii="Verdana" w:hAnsi="Verdana" w:eastAsia="Times New Roman" w:cs="Times New Roman"/>
          <w:sz w:val="18"/>
          <w:szCs w:val="18"/>
        </w:rPr>
        <w:t>.</w:t>
      </w:r>
      <w:r w:rsidRPr="00816D59">
        <w:rPr>
          <w:rFonts w:ascii="Verdana" w:hAnsi="Verdana" w:eastAsia="Times New Roman" w:cs="Times New Roman"/>
          <w:sz w:val="18"/>
          <w:szCs w:val="18"/>
        </w:rPr>
        <w:t xml:space="preserve"> </w:t>
      </w:r>
      <w:r w:rsidR="00F81581">
        <w:rPr>
          <w:rFonts w:ascii="Verdana" w:hAnsi="Verdana" w:eastAsia="Times New Roman" w:cs="Times New Roman"/>
          <w:sz w:val="18"/>
          <w:szCs w:val="18"/>
        </w:rPr>
        <w:t xml:space="preserve">Van deze 240 projecten stelt SIRA dat bij </w:t>
      </w:r>
      <w:r w:rsidRPr="00F81581" w:rsidR="00F81581">
        <w:rPr>
          <w:rFonts w:ascii="Verdana" w:hAnsi="Verdana" w:eastAsia="Times New Roman" w:cs="Times New Roman"/>
          <w:sz w:val="18"/>
          <w:szCs w:val="18"/>
        </w:rPr>
        <w:t>85%, of 204 projecten, sprake</w:t>
      </w:r>
      <w:r w:rsidR="00181BFF">
        <w:rPr>
          <w:rFonts w:ascii="Verdana" w:hAnsi="Verdana" w:eastAsia="Times New Roman" w:cs="Times New Roman"/>
          <w:sz w:val="18"/>
          <w:szCs w:val="18"/>
        </w:rPr>
        <w:t xml:space="preserve"> is</w:t>
      </w:r>
      <w:r w:rsidRPr="00F81581" w:rsidR="00F81581">
        <w:rPr>
          <w:rFonts w:ascii="Verdana" w:hAnsi="Verdana" w:eastAsia="Times New Roman" w:cs="Times New Roman"/>
          <w:sz w:val="18"/>
          <w:szCs w:val="18"/>
        </w:rPr>
        <w:t xml:space="preserve"> van regeldrukkosten door deze verplichting.</w:t>
      </w:r>
      <w:r w:rsidRPr="00181BFF" w:rsidR="00181BFF">
        <w:t xml:space="preserve"> </w:t>
      </w:r>
      <w:r w:rsidR="00181BFF">
        <w:t>I</w:t>
      </w:r>
      <w:r w:rsidRPr="00181BFF" w:rsidR="00181BFF">
        <w:rPr>
          <w:rFonts w:ascii="Verdana" w:hAnsi="Verdana" w:eastAsia="Times New Roman" w:cs="Times New Roman"/>
          <w:sz w:val="18"/>
          <w:szCs w:val="18"/>
        </w:rPr>
        <w:t>n</w:t>
      </w:r>
      <w:r w:rsidR="00181BFF">
        <w:rPr>
          <w:rFonts w:ascii="Verdana" w:hAnsi="Verdana" w:eastAsia="Times New Roman" w:cs="Times New Roman"/>
          <w:sz w:val="18"/>
          <w:szCs w:val="18"/>
        </w:rPr>
        <w:t xml:space="preserve"> de andere gevallen</w:t>
      </w:r>
      <w:r w:rsidRPr="00181BFF" w:rsidR="00181BFF">
        <w:rPr>
          <w:rFonts w:ascii="Verdana" w:hAnsi="Verdana" w:eastAsia="Times New Roman" w:cs="Times New Roman"/>
          <w:sz w:val="18"/>
          <w:szCs w:val="18"/>
        </w:rPr>
        <w:t xml:space="preserve"> </w:t>
      </w:r>
      <w:r w:rsidR="00181BFF">
        <w:rPr>
          <w:rFonts w:ascii="Verdana" w:hAnsi="Verdana" w:eastAsia="Times New Roman" w:cs="Times New Roman"/>
          <w:sz w:val="18"/>
          <w:szCs w:val="18"/>
        </w:rPr>
        <w:t>worden</w:t>
      </w:r>
      <w:r w:rsidRPr="00181BFF" w:rsidR="00181BFF">
        <w:rPr>
          <w:rFonts w:ascii="Verdana" w:hAnsi="Verdana" w:eastAsia="Times New Roman" w:cs="Times New Roman"/>
          <w:sz w:val="18"/>
          <w:szCs w:val="18"/>
        </w:rPr>
        <w:t xml:space="preserve"> in de huidige situatie al gunningscriteria gehanteerd </w:t>
      </w:r>
      <w:r w:rsidR="00181BFF">
        <w:rPr>
          <w:rFonts w:ascii="Verdana" w:hAnsi="Verdana" w:eastAsia="Times New Roman" w:cs="Times New Roman"/>
          <w:sz w:val="18"/>
          <w:szCs w:val="18"/>
        </w:rPr>
        <w:t xml:space="preserve">en </w:t>
      </w:r>
      <w:r w:rsidRPr="00181BFF" w:rsidR="00181BFF">
        <w:rPr>
          <w:rFonts w:ascii="Verdana" w:hAnsi="Verdana" w:eastAsia="Times New Roman" w:cs="Times New Roman"/>
          <w:sz w:val="18"/>
          <w:szCs w:val="18"/>
        </w:rPr>
        <w:t>leidt deze nieuwe verplichting niet tot extra kosten.</w:t>
      </w:r>
    </w:p>
    <w:p w:rsidRPr="00BF160B" w:rsidR="00BF160B" w:rsidP="00643E93" w:rsidRDefault="00BF160B" w14:paraId="2E8D0C32" w14:textId="77777777">
      <w:pPr>
        <w:spacing w:after="0" w:line="276" w:lineRule="auto"/>
        <w:contextualSpacing/>
        <w:jc w:val="both"/>
        <w:rPr>
          <w:rFonts w:ascii="Calibri" w:hAnsi="Calibri" w:eastAsia="Verdana" w:cs="Times New Roman"/>
          <w:spacing w:val="-10"/>
          <w:kern w:val="28"/>
          <w14:ligatures w14:val="standardContextual"/>
        </w:rPr>
      </w:pPr>
    </w:p>
    <w:p w:rsidR="00BF160B" w:rsidP="00D944A9" w:rsidRDefault="00BF160B" w14:paraId="7419B7AC" w14:textId="77777777">
      <w:pPr>
        <w:spacing w:after="0" w:line="276" w:lineRule="auto"/>
        <w:contextualSpacing/>
        <w:rPr>
          <w:rFonts w:ascii="Calibri" w:hAnsi="Calibri" w:eastAsia="Verdana" w:cs="Times New Roman"/>
          <w:b/>
          <w:color w:val="4BAAE1"/>
          <w:spacing w:val="-10"/>
          <w:kern w:val="28"/>
          <w14:ligatures w14:val="standardContextual"/>
        </w:rPr>
      </w:pPr>
      <w:r w:rsidRPr="00D944A9">
        <w:rPr>
          <w:rFonts w:ascii="Calibri" w:hAnsi="Calibri" w:eastAsia="Verdana" w:cs="Times New Roman"/>
          <w:b/>
          <w:color w:val="4BAAE1"/>
          <w:spacing w:val="-10"/>
          <w:kern w:val="28"/>
          <w14:ligatures w14:val="standardContextual"/>
        </w:rPr>
        <w:t>Structurele regeldrukkosten</w:t>
      </w:r>
    </w:p>
    <w:p w:rsidRPr="00D944A9" w:rsidR="00E25760" w:rsidP="00D944A9" w:rsidRDefault="00E25760" w14:paraId="6FD6928C" w14:textId="77777777">
      <w:pPr>
        <w:spacing w:after="0" w:line="276" w:lineRule="auto"/>
        <w:contextualSpacing/>
        <w:rPr>
          <w:rFonts w:ascii="Calibri" w:hAnsi="Calibri" w:eastAsia="Verdana" w:cs="Times New Roman"/>
          <w:b/>
          <w:color w:val="4BAAE1"/>
          <w:spacing w:val="-10"/>
          <w:kern w:val="28"/>
          <w14:ligatures w14:val="standardContextual"/>
        </w:rPr>
      </w:pPr>
    </w:p>
    <w:tbl>
      <w:tblPr>
        <w:tblStyle w:val="Tabelraster1"/>
        <w:tblW w:w="5000" w:type="pct"/>
        <w:tblInd w:w="0" w:type="dxa"/>
        <w:tblLook w:val="04A0" w:firstRow="1" w:lastRow="0" w:firstColumn="1" w:lastColumn="0" w:noHBand="0" w:noVBand="1"/>
      </w:tblPr>
      <w:tblGrid>
        <w:gridCol w:w="1581"/>
        <w:gridCol w:w="1773"/>
        <w:gridCol w:w="1581"/>
        <w:gridCol w:w="1581"/>
        <w:gridCol w:w="1582"/>
      </w:tblGrid>
      <w:tr w:rsidRPr="00BF160B" w:rsidR="00E25760" w:rsidTr="00E25760" w14:paraId="6520E360" w14:textId="77777777">
        <w:tc>
          <w:tcPr>
            <w:tcW w:w="976" w:type="pct"/>
            <w:tcBorders>
              <w:top w:val="single" w:color="auto" w:sz="4" w:space="0"/>
              <w:left w:val="single" w:color="auto" w:sz="4" w:space="0"/>
              <w:bottom w:val="single" w:color="auto" w:sz="4" w:space="0"/>
              <w:right w:val="single" w:color="auto" w:sz="4" w:space="0"/>
            </w:tcBorders>
            <w:shd w:val="clear" w:color="auto" w:fill="5CA3D6"/>
          </w:tcPr>
          <w:p w:rsidRPr="00BF160B" w:rsidR="00E25760" w:rsidP="00643E93" w:rsidRDefault="00E25760" w14:paraId="7A919C62" w14:textId="77777777">
            <w:pPr>
              <w:spacing w:line="276" w:lineRule="auto"/>
              <w:contextualSpacing/>
              <w:jc w:val="both"/>
              <w:rPr>
                <w:b/>
                <w:bCs/>
              </w:rPr>
            </w:pPr>
          </w:p>
        </w:tc>
        <w:tc>
          <w:tcPr>
            <w:tcW w:w="4024" w:type="pct"/>
            <w:gridSpan w:val="4"/>
            <w:tcBorders>
              <w:top w:val="single" w:color="auto" w:sz="4" w:space="0"/>
              <w:left w:val="single" w:color="auto" w:sz="4" w:space="0"/>
              <w:bottom w:val="single" w:color="auto" w:sz="4" w:space="0"/>
              <w:right w:val="single" w:color="auto" w:sz="4" w:space="0"/>
            </w:tcBorders>
            <w:shd w:val="clear" w:color="auto" w:fill="5CA3D6"/>
            <w:hideMark/>
          </w:tcPr>
          <w:p w:rsidRPr="00BF160B" w:rsidR="00E25760" w:rsidP="00643E93" w:rsidRDefault="00E25760" w14:paraId="19A835B3" w14:textId="04B3A36F">
            <w:pPr>
              <w:spacing w:line="276" w:lineRule="auto"/>
              <w:contextualSpacing/>
              <w:jc w:val="both"/>
              <w:rPr>
                <w:b/>
                <w:bCs/>
              </w:rPr>
            </w:pPr>
            <w:r w:rsidRPr="00BF160B">
              <w:rPr>
                <w:b/>
                <w:bCs/>
              </w:rPr>
              <w:t>MKI-gunningscriteria</w:t>
            </w:r>
          </w:p>
        </w:tc>
      </w:tr>
      <w:tr w:rsidRPr="00BF160B" w:rsidR="00E25760" w:rsidTr="00E25760" w14:paraId="7A4B8D4C" w14:textId="77777777">
        <w:tc>
          <w:tcPr>
            <w:tcW w:w="976" w:type="pct"/>
            <w:tcBorders>
              <w:top w:val="single" w:color="auto" w:sz="4" w:space="0"/>
              <w:left w:val="single" w:color="auto" w:sz="4" w:space="0"/>
              <w:bottom w:val="single" w:color="auto" w:sz="4" w:space="0"/>
              <w:right w:val="single" w:color="auto" w:sz="4" w:space="0"/>
            </w:tcBorders>
            <w:shd w:val="clear" w:color="auto" w:fill="DBEDF9"/>
          </w:tcPr>
          <w:p w:rsidRPr="00BF160B" w:rsidR="00E25760" w:rsidP="00643E93" w:rsidRDefault="00E25760" w14:paraId="39BFC16D" w14:textId="77777777">
            <w:pPr>
              <w:spacing w:line="276" w:lineRule="auto"/>
              <w:contextualSpacing/>
              <w:jc w:val="both"/>
            </w:pPr>
            <w:r w:rsidRPr="00BF160B">
              <w:t>Scenario</w:t>
            </w:r>
          </w:p>
          <w:p w:rsidRPr="00BF160B" w:rsidR="00E25760" w:rsidP="00643E93" w:rsidRDefault="00E25760" w14:paraId="0C6C4D7D" w14:textId="77777777">
            <w:pPr>
              <w:spacing w:line="276" w:lineRule="auto"/>
              <w:contextualSpacing/>
              <w:jc w:val="both"/>
            </w:pPr>
          </w:p>
        </w:tc>
        <w:tc>
          <w:tcPr>
            <w:tcW w:w="1095" w:type="pct"/>
            <w:tcBorders>
              <w:top w:val="single" w:color="auto" w:sz="4" w:space="0"/>
              <w:left w:val="single" w:color="auto" w:sz="4" w:space="0"/>
              <w:bottom w:val="single" w:color="auto" w:sz="4" w:space="0"/>
              <w:right w:val="single" w:color="auto" w:sz="4" w:space="0"/>
            </w:tcBorders>
            <w:shd w:val="clear" w:color="auto" w:fill="DBEDF9"/>
          </w:tcPr>
          <w:p w:rsidRPr="00BF160B" w:rsidR="00E25760" w:rsidP="00643E93" w:rsidRDefault="00E25760" w14:paraId="382A8D98" w14:textId="0B8BBB39">
            <w:pPr>
              <w:spacing w:line="276" w:lineRule="auto"/>
              <w:contextualSpacing/>
              <w:jc w:val="both"/>
            </w:pPr>
            <w:r>
              <w:t>Type kosten</w:t>
            </w:r>
          </w:p>
        </w:tc>
        <w:tc>
          <w:tcPr>
            <w:tcW w:w="976" w:type="pct"/>
            <w:tcBorders>
              <w:top w:val="single" w:color="auto" w:sz="4" w:space="0"/>
              <w:left w:val="single" w:color="auto" w:sz="4" w:space="0"/>
              <w:bottom w:val="single" w:color="auto" w:sz="4" w:space="0"/>
              <w:right w:val="single" w:color="auto" w:sz="4" w:space="0"/>
            </w:tcBorders>
            <w:shd w:val="clear" w:color="auto" w:fill="DBEDF9"/>
            <w:hideMark/>
          </w:tcPr>
          <w:p w:rsidRPr="00BF160B" w:rsidR="00E25760" w:rsidP="00643E93" w:rsidRDefault="00E25760" w14:paraId="31E5748D" w14:textId="48030D85">
            <w:pPr>
              <w:spacing w:line="276" w:lineRule="auto"/>
              <w:contextualSpacing/>
              <w:jc w:val="both"/>
            </w:pPr>
            <w:r w:rsidRPr="00BF160B">
              <w:t>Kosten per project (P)</w:t>
            </w:r>
          </w:p>
        </w:tc>
        <w:tc>
          <w:tcPr>
            <w:tcW w:w="976" w:type="pct"/>
            <w:tcBorders>
              <w:top w:val="single" w:color="auto" w:sz="4" w:space="0"/>
              <w:left w:val="single" w:color="auto" w:sz="4" w:space="0"/>
              <w:bottom w:val="single" w:color="auto" w:sz="4" w:space="0"/>
              <w:right w:val="single" w:color="auto" w:sz="4" w:space="0"/>
            </w:tcBorders>
            <w:shd w:val="clear" w:color="auto" w:fill="DBEDF9"/>
            <w:hideMark/>
          </w:tcPr>
          <w:p w:rsidRPr="00BF160B" w:rsidR="00E25760" w:rsidP="00643E93" w:rsidRDefault="00E25760" w14:paraId="4AB50B48" w14:textId="77777777">
            <w:pPr>
              <w:spacing w:line="276" w:lineRule="auto"/>
              <w:contextualSpacing/>
              <w:jc w:val="both"/>
            </w:pPr>
            <w:r w:rsidRPr="00BF160B">
              <w:t>Aantal projecten (Q)</w:t>
            </w:r>
          </w:p>
        </w:tc>
        <w:tc>
          <w:tcPr>
            <w:tcW w:w="977" w:type="pct"/>
            <w:tcBorders>
              <w:top w:val="single" w:color="auto" w:sz="4" w:space="0"/>
              <w:left w:val="single" w:color="auto" w:sz="4" w:space="0"/>
              <w:bottom w:val="single" w:color="auto" w:sz="4" w:space="0"/>
              <w:right w:val="single" w:color="auto" w:sz="4" w:space="0"/>
            </w:tcBorders>
            <w:shd w:val="clear" w:color="auto" w:fill="DBEDF9"/>
            <w:hideMark/>
          </w:tcPr>
          <w:p w:rsidRPr="00BF160B" w:rsidR="00E25760" w:rsidP="00643E93" w:rsidRDefault="00E25760" w14:paraId="1E7E9CA1" w14:textId="77777777">
            <w:pPr>
              <w:spacing w:line="276" w:lineRule="auto"/>
              <w:contextualSpacing/>
              <w:jc w:val="both"/>
            </w:pPr>
            <w:r w:rsidRPr="00BF160B">
              <w:t>Totale kosten (P*Q)</w:t>
            </w:r>
          </w:p>
        </w:tc>
      </w:tr>
      <w:tr w:rsidRPr="00BF160B" w:rsidR="00E25760" w:rsidTr="00E25760" w14:paraId="0F375606"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3F78A162" w14:textId="77777777">
            <w:pPr>
              <w:spacing w:line="276" w:lineRule="auto"/>
              <w:contextualSpacing/>
              <w:jc w:val="both"/>
            </w:pPr>
            <w:r w:rsidRPr="00BF160B">
              <w:t>Minimaal</w:t>
            </w: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86110A" w:rsidR="00E25760" w:rsidP="00E25760" w:rsidRDefault="00E25760" w14:paraId="31B13915" w14:textId="77777777">
            <w:pPr>
              <w:spacing w:line="276" w:lineRule="auto"/>
              <w:contextualSpacing/>
            </w:pPr>
            <w:r w:rsidRPr="0086110A">
              <w:t xml:space="preserve">Inschrijvingskosten </w:t>
            </w:r>
          </w:p>
          <w:p w:rsidRPr="0086110A" w:rsidR="00E25760" w:rsidP="00E25760" w:rsidRDefault="00E25760" w14:paraId="5A4A7FC2" w14:textId="76E7BB5C">
            <w:pPr>
              <w:spacing w:line="276" w:lineRule="auto"/>
              <w:contextualSpacing/>
              <w:rPr>
                <w:b/>
              </w:rPr>
            </w:pPr>
            <w:r w:rsidRPr="0086110A">
              <w:t>(- €1200)</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11D40159" w14:textId="7471F49A">
            <w:pPr>
              <w:spacing w:line="276" w:lineRule="auto"/>
              <w:contextualSpacing/>
              <w:jc w:val="right"/>
            </w:pPr>
            <w:r w:rsidRPr="006A30F9">
              <w:t>€ 377</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0D447785" w14:textId="77777777">
            <w:pPr>
              <w:spacing w:line="276" w:lineRule="auto"/>
              <w:contextualSpacing/>
              <w:jc w:val="right"/>
            </w:pPr>
            <w:r w:rsidRPr="00BF160B">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16A9E809" w14:textId="6CE1FA34">
            <w:pPr>
              <w:spacing w:line="276" w:lineRule="auto"/>
              <w:contextualSpacing/>
              <w:jc w:val="right"/>
              <w:rPr>
                <w:b/>
                <w:bCs/>
              </w:rPr>
            </w:pPr>
            <w:r w:rsidRPr="006A30F9">
              <w:t>€ 76.908</w:t>
            </w:r>
          </w:p>
        </w:tc>
      </w:tr>
      <w:tr w:rsidRPr="00BF160B" w:rsidR="00E25760" w:rsidTr="00E25760" w14:paraId="064D16EA"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63B9F3B3" w14:textId="77777777">
            <w:pPr>
              <w:spacing w:line="276" w:lineRule="auto"/>
              <w:contextualSpacing/>
              <w:jc w:val="both"/>
            </w:pP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86110A" w:rsidR="00E25760" w:rsidP="00E25760" w:rsidRDefault="00E25760" w14:paraId="6FC6FD9B" w14:textId="216E8F8E">
            <w:pPr>
              <w:spacing w:line="276" w:lineRule="auto"/>
              <w:contextualSpacing/>
              <w:rPr>
                <w:b/>
              </w:rPr>
            </w:pPr>
            <w:r>
              <w:t>Doorloopkosten</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3FFC0C82" w14:textId="246D3390">
            <w:pPr>
              <w:spacing w:line="276" w:lineRule="auto"/>
              <w:contextualSpacing/>
              <w:jc w:val="right"/>
            </w:pPr>
            <w:r w:rsidRPr="006A30F9">
              <w:t>€ 2.927</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4378B1F7" w14:textId="22B85FDC">
            <w:pPr>
              <w:spacing w:line="276" w:lineRule="auto"/>
              <w:contextualSpacing/>
              <w:jc w:val="right"/>
            </w:pPr>
            <w:r w:rsidRPr="006A30F9">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0850294D" w14:textId="3E7D56E9">
            <w:pPr>
              <w:spacing w:line="276" w:lineRule="auto"/>
              <w:contextualSpacing/>
              <w:jc w:val="right"/>
              <w:rPr>
                <w:b/>
                <w:bCs/>
              </w:rPr>
            </w:pPr>
            <w:r w:rsidRPr="006A30F9">
              <w:t>€ 597.108</w:t>
            </w:r>
          </w:p>
        </w:tc>
      </w:tr>
      <w:tr w:rsidRPr="00BF160B" w:rsidR="00E25760" w:rsidTr="00E25760" w14:paraId="5700452E"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4E947406" w14:textId="77777777">
            <w:pPr>
              <w:spacing w:line="276" w:lineRule="auto"/>
              <w:contextualSpacing/>
              <w:jc w:val="both"/>
            </w:pP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86110A" w:rsidR="00E25760" w:rsidP="00E25760" w:rsidRDefault="00E25760" w14:paraId="3033E85E" w14:textId="7C2FA343">
            <w:pPr>
              <w:spacing w:line="276" w:lineRule="auto"/>
              <w:contextualSpacing/>
              <w:rPr>
                <w:b/>
              </w:rPr>
            </w:pPr>
            <w:r w:rsidRPr="008155BA">
              <w:rPr>
                <w:b/>
                <w:bCs/>
              </w:rPr>
              <w:t>Totaal</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52661DFD" w14:textId="58D01A79">
            <w:pPr>
              <w:spacing w:line="276" w:lineRule="auto"/>
              <w:contextualSpacing/>
              <w:jc w:val="right"/>
            </w:pPr>
            <w:r w:rsidRPr="00BF160B">
              <w:t>€ 3.30</w:t>
            </w:r>
            <w:r>
              <w:t>4</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32994376" w14:textId="1BB6DFC5">
            <w:pPr>
              <w:spacing w:line="276" w:lineRule="auto"/>
              <w:contextualSpacing/>
              <w:jc w:val="right"/>
            </w:pPr>
            <w:r w:rsidRPr="006A30F9">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3CBDC375" w14:textId="70EAC8D6">
            <w:pPr>
              <w:spacing w:line="276" w:lineRule="auto"/>
              <w:contextualSpacing/>
              <w:jc w:val="right"/>
              <w:rPr>
                <w:b/>
                <w:bCs/>
              </w:rPr>
            </w:pPr>
            <w:r w:rsidRPr="00BF160B">
              <w:rPr>
                <w:b/>
                <w:bCs/>
              </w:rPr>
              <w:t>€ 67</w:t>
            </w:r>
            <w:r>
              <w:rPr>
                <w:b/>
                <w:bCs/>
              </w:rPr>
              <w:t>4</w:t>
            </w:r>
            <w:r w:rsidRPr="00BF160B">
              <w:rPr>
                <w:b/>
                <w:bCs/>
              </w:rPr>
              <w:t>.</w:t>
            </w:r>
            <w:r>
              <w:rPr>
                <w:b/>
                <w:bCs/>
              </w:rPr>
              <w:t>01</w:t>
            </w:r>
            <w:r w:rsidRPr="00BF160B">
              <w:rPr>
                <w:b/>
                <w:bCs/>
              </w:rPr>
              <w:t>6</w:t>
            </w:r>
          </w:p>
        </w:tc>
      </w:tr>
      <w:tr w:rsidRPr="00BF160B" w:rsidR="00E25760" w:rsidTr="00E25760" w14:paraId="7D6E1F3C"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58EBD2DC" w14:textId="77777777">
            <w:pPr>
              <w:spacing w:line="276" w:lineRule="auto"/>
              <w:contextualSpacing/>
              <w:jc w:val="both"/>
            </w:pPr>
            <w:r w:rsidRPr="00BF160B">
              <w:t>Gemiddeld</w:t>
            </w: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86110A" w:rsidR="00E25760" w:rsidP="00E25760" w:rsidRDefault="00E25760" w14:paraId="3C54699C" w14:textId="77777777">
            <w:pPr>
              <w:spacing w:line="276" w:lineRule="auto"/>
              <w:contextualSpacing/>
            </w:pPr>
            <w:r w:rsidRPr="0086110A">
              <w:t xml:space="preserve">Inschrijvingskosten </w:t>
            </w:r>
          </w:p>
          <w:p w:rsidRPr="0086110A" w:rsidR="00E25760" w:rsidP="00E25760" w:rsidRDefault="00E25760" w14:paraId="36294FA1" w14:textId="0D6456F9">
            <w:pPr>
              <w:spacing w:line="276" w:lineRule="auto"/>
              <w:contextualSpacing/>
            </w:pPr>
            <w:r w:rsidRPr="0086110A">
              <w:t>(- €1200)</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6A0521FA" w14:textId="4985C43C">
            <w:pPr>
              <w:spacing w:line="276" w:lineRule="auto"/>
              <w:contextualSpacing/>
              <w:jc w:val="right"/>
            </w:pPr>
            <w:r w:rsidRPr="006A30F9">
              <w:t>€ 1.149</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61F56EC7" w14:textId="77777777">
            <w:pPr>
              <w:spacing w:line="276" w:lineRule="auto"/>
              <w:contextualSpacing/>
              <w:jc w:val="right"/>
            </w:pPr>
            <w:r w:rsidRPr="00BF160B">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1FA7A4E8" w14:textId="2BC6142E">
            <w:pPr>
              <w:spacing w:line="276" w:lineRule="auto"/>
              <w:contextualSpacing/>
              <w:jc w:val="right"/>
              <w:rPr>
                <w:b/>
                <w:bCs/>
              </w:rPr>
            </w:pPr>
            <w:r w:rsidRPr="006A30F9">
              <w:t>€ 234.396</w:t>
            </w:r>
          </w:p>
        </w:tc>
      </w:tr>
      <w:tr w:rsidRPr="00BF160B" w:rsidR="00E25760" w:rsidTr="00E25760" w14:paraId="21809F55"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2605D0A5" w14:textId="77777777">
            <w:pPr>
              <w:spacing w:line="276" w:lineRule="auto"/>
              <w:contextualSpacing/>
              <w:jc w:val="both"/>
            </w:pP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86110A" w:rsidR="00E25760" w:rsidP="00E25760" w:rsidRDefault="00E25760" w14:paraId="48221EC3" w14:textId="3E7040B9">
            <w:pPr>
              <w:spacing w:line="276" w:lineRule="auto"/>
              <w:contextualSpacing/>
              <w:rPr>
                <w:b/>
              </w:rPr>
            </w:pPr>
            <w:r>
              <w:t>Doorloopkosten</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6002E9FE" w14:textId="049731E2">
            <w:pPr>
              <w:spacing w:line="276" w:lineRule="auto"/>
              <w:contextualSpacing/>
              <w:jc w:val="right"/>
            </w:pPr>
            <w:r w:rsidRPr="006A30F9">
              <w:t>€ 4.358</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6AD7963A" w14:textId="03EA31FA">
            <w:pPr>
              <w:spacing w:line="276" w:lineRule="auto"/>
              <w:contextualSpacing/>
              <w:jc w:val="right"/>
            </w:pPr>
            <w:r w:rsidRPr="006A30F9">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6BAB30EB" w14:textId="6642E875">
            <w:pPr>
              <w:spacing w:line="276" w:lineRule="auto"/>
              <w:contextualSpacing/>
              <w:jc w:val="right"/>
              <w:rPr>
                <w:b/>
                <w:bCs/>
              </w:rPr>
            </w:pPr>
            <w:r w:rsidRPr="006A30F9">
              <w:t>€ 889.032</w:t>
            </w:r>
          </w:p>
        </w:tc>
      </w:tr>
      <w:tr w:rsidRPr="00BF160B" w:rsidR="00E25760" w:rsidTr="00E25760" w14:paraId="7B0CDB57"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55F700FC" w14:textId="77777777">
            <w:pPr>
              <w:spacing w:line="276" w:lineRule="auto"/>
              <w:contextualSpacing/>
              <w:jc w:val="both"/>
            </w:pP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86110A" w:rsidR="00E25760" w:rsidP="00E25760" w:rsidRDefault="00E25760" w14:paraId="7FEDAF37" w14:textId="463C5FB6">
            <w:pPr>
              <w:spacing w:line="276" w:lineRule="auto"/>
              <w:contextualSpacing/>
              <w:rPr>
                <w:b/>
              </w:rPr>
            </w:pPr>
            <w:r w:rsidRPr="008155BA">
              <w:rPr>
                <w:b/>
                <w:bCs/>
              </w:rPr>
              <w:t>Totaal</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5C67D1DB" w14:textId="25014552">
            <w:pPr>
              <w:spacing w:line="276" w:lineRule="auto"/>
              <w:contextualSpacing/>
              <w:jc w:val="right"/>
            </w:pPr>
            <w:r w:rsidRPr="00BF160B">
              <w:t>€ 5.50</w:t>
            </w:r>
            <w:r>
              <w:t>7</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15EAA896" w14:textId="1441B834">
            <w:pPr>
              <w:spacing w:line="276" w:lineRule="auto"/>
              <w:contextualSpacing/>
              <w:jc w:val="right"/>
            </w:pPr>
            <w:r w:rsidRPr="006A30F9">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665236CA" w14:textId="55C0D7C2">
            <w:pPr>
              <w:spacing w:line="276" w:lineRule="auto"/>
              <w:contextualSpacing/>
              <w:jc w:val="right"/>
              <w:rPr>
                <w:b/>
                <w:bCs/>
              </w:rPr>
            </w:pPr>
            <w:r w:rsidRPr="00BF160B">
              <w:rPr>
                <w:b/>
                <w:bCs/>
              </w:rPr>
              <w:t>€ 1.12</w:t>
            </w:r>
            <w:r>
              <w:rPr>
                <w:b/>
                <w:bCs/>
              </w:rPr>
              <w:t>3</w:t>
            </w:r>
            <w:r w:rsidRPr="00BF160B">
              <w:rPr>
                <w:b/>
                <w:bCs/>
              </w:rPr>
              <w:t>.</w:t>
            </w:r>
            <w:r>
              <w:rPr>
                <w:b/>
                <w:bCs/>
              </w:rPr>
              <w:t>428</w:t>
            </w:r>
          </w:p>
        </w:tc>
      </w:tr>
      <w:tr w:rsidRPr="00BF160B" w:rsidR="00E25760" w:rsidTr="00E25760" w14:paraId="1B2FE3B0"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04B14187" w14:textId="77777777">
            <w:pPr>
              <w:spacing w:line="276" w:lineRule="auto"/>
              <w:contextualSpacing/>
              <w:jc w:val="both"/>
            </w:pPr>
            <w:r w:rsidRPr="00BF160B">
              <w:t>Maximaal</w:t>
            </w: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86110A" w:rsidR="00E25760" w:rsidP="00E25760" w:rsidRDefault="00E25760" w14:paraId="56151840" w14:textId="77777777">
            <w:pPr>
              <w:spacing w:line="276" w:lineRule="auto"/>
              <w:contextualSpacing/>
            </w:pPr>
            <w:r w:rsidRPr="0086110A">
              <w:t xml:space="preserve">Inschrijvingskosten </w:t>
            </w:r>
          </w:p>
          <w:p w:rsidRPr="0086110A" w:rsidR="00E25760" w:rsidP="00E25760" w:rsidRDefault="00E25760" w14:paraId="793FFA42" w14:textId="0250450B">
            <w:pPr>
              <w:spacing w:line="276" w:lineRule="auto"/>
              <w:contextualSpacing/>
            </w:pPr>
            <w:r w:rsidRPr="0086110A">
              <w:t>(- €1200)</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1F2B8DEB" w14:textId="6900EF24">
            <w:pPr>
              <w:spacing w:line="276" w:lineRule="auto"/>
              <w:contextualSpacing/>
              <w:jc w:val="right"/>
            </w:pPr>
            <w:r w:rsidRPr="006A30F9">
              <w:t>€ 1.916</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64F03AD9" w14:textId="77777777">
            <w:pPr>
              <w:spacing w:line="276" w:lineRule="auto"/>
              <w:contextualSpacing/>
              <w:jc w:val="right"/>
            </w:pPr>
            <w:r w:rsidRPr="00BF160B">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F160B" w:rsidR="00E25760" w:rsidP="00E25760" w:rsidRDefault="00E25760" w14:paraId="6F0E85CC" w14:textId="63E32E63">
            <w:pPr>
              <w:spacing w:line="276" w:lineRule="auto"/>
              <w:contextualSpacing/>
              <w:jc w:val="right"/>
              <w:rPr>
                <w:b/>
                <w:bCs/>
              </w:rPr>
            </w:pPr>
            <w:r w:rsidRPr="006A30F9">
              <w:t>€ 390.864</w:t>
            </w:r>
          </w:p>
        </w:tc>
      </w:tr>
      <w:tr w:rsidRPr="00BF160B" w:rsidR="00E25760" w:rsidTr="00E25760" w14:paraId="5E97668F"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159944E9" w14:textId="77777777">
            <w:pPr>
              <w:spacing w:line="276" w:lineRule="auto"/>
              <w:contextualSpacing/>
              <w:jc w:val="both"/>
            </w:pP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E25760" w:rsidR="00E25760" w:rsidP="00E25760" w:rsidRDefault="00E25760" w14:paraId="33F56A66" w14:textId="7A294C82">
            <w:pPr>
              <w:spacing w:line="276" w:lineRule="auto"/>
              <w:contextualSpacing/>
              <w:rPr>
                <w:b/>
                <w:color w:val="4BAAE1"/>
              </w:rPr>
            </w:pPr>
            <w:r>
              <w:t>Doorloopkosten</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68FF9708" w14:textId="2A7565BF">
            <w:pPr>
              <w:spacing w:line="276" w:lineRule="auto"/>
              <w:contextualSpacing/>
              <w:jc w:val="right"/>
            </w:pPr>
            <w:r w:rsidRPr="006A30F9">
              <w:t>€ 5.789</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3051EECA" w14:textId="5ED04EEF">
            <w:pPr>
              <w:spacing w:line="276" w:lineRule="auto"/>
              <w:contextualSpacing/>
              <w:jc w:val="right"/>
            </w:pPr>
            <w:r w:rsidRPr="006A30F9">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52428FE7" w14:textId="667EE0F9">
            <w:pPr>
              <w:spacing w:line="276" w:lineRule="auto"/>
              <w:contextualSpacing/>
              <w:jc w:val="right"/>
              <w:rPr>
                <w:b/>
                <w:bCs/>
              </w:rPr>
            </w:pPr>
            <w:r w:rsidRPr="006A30F9">
              <w:t>€ 1.180.956</w:t>
            </w:r>
          </w:p>
        </w:tc>
      </w:tr>
      <w:tr w:rsidRPr="00BF160B" w:rsidR="00E25760" w:rsidTr="00E25760" w14:paraId="1BA142A5" w14:textId="77777777">
        <w:trPr>
          <w:trHeight w:val="537"/>
        </w:trPr>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2C2BB9C9" w14:textId="77777777">
            <w:pPr>
              <w:spacing w:line="276" w:lineRule="auto"/>
              <w:contextualSpacing/>
              <w:jc w:val="both"/>
            </w:pPr>
          </w:p>
        </w:tc>
        <w:tc>
          <w:tcPr>
            <w:tcW w:w="1095" w:type="pct"/>
            <w:tcBorders>
              <w:top w:val="single" w:color="auto" w:sz="4" w:space="0"/>
              <w:left w:val="single" w:color="auto" w:sz="4" w:space="0"/>
              <w:bottom w:val="single" w:color="auto" w:sz="4" w:space="0"/>
              <w:right w:val="single" w:color="auto" w:sz="4" w:space="0"/>
            </w:tcBorders>
            <w:shd w:val="clear" w:color="auto" w:fill="FFFFFF" w:themeFill="background1"/>
          </w:tcPr>
          <w:p w:rsidRPr="00E25760" w:rsidR="00E25760" w:rsidP="00E25760" w:rsidRDefault="00E25760" w14:paraId="24831FB3" w14:textId="143226D4">
            <w:pPr>
              <w:spacing w:line="276" w:lineRule="auto"/>
              <w:contextualSpacing/>
              <w:rPr>
                <w:b/>
                <w:color w:val="4BAAE1"/>
              </w:rPr>
            </w:pPr>
            <w:r w:rsidRPr="008155BA">
              <w:rPr>
                <w:b/>
                <w:bCs/>
              </w:rPr>
              <w:t>Totaal</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5563DB09" w14:textId="4D2A7847">
            <w:pPr>
              <w:spacing w:line="276" w:lineRule="auto"/>
              <w:contextualSpacing/>
              <w:jc w:val="right"/>
            </w:pPr>
            <w:r w:rsidRPr="00BF160B">
              <w:t>€ 7.70</w:t>
            </w:r>
            <w:r>
              <w:t>5</w:t>
            </w:r>
          </w:p>
        </w:tc>
        <w:tc>
          <w:tcPr>
            <w:tcW w:w="976"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72D6CD45" w14:textId="2053A0DF">
            <w:pPr>
              <w:spacing w:line="276" w:lineRule="auto"/>
              <w:contextualSpacing/>
              <w:jc w:val="right"/>
            </w:pPr>
            <w:r w:rsidRPr="006A30F9">
              <w:t>204</w:t>
            </w:r>
          </w:p>
        </w:tc>
        <w:tc>
          <w:tcPr>
            <w:tcW w:w="977" w:type="pct"/>
            <w:tcBorders>
              <w:top w:val="single" w:color="auto" w:sz="4" w:space="0"/>
              <w:left w:val="single" w:color="auto" w:sz="4" w:space="0"/>
              <w:bottom w:val="single" w:color="auto" w:sz="4" w:space="0"/>
              <w:right w:val="single" w:color="auto" w:sz="4" w:space="0"/>
            </w:tcBorders>
            <w:shd w:val="clear" w:color="auto" w:fill="FFFFFF" w:themeFill="background1"/>
          </w:tcPr>
          <w:p w:rsidRPr="00BF160B" w:rsidR="00E25760" w:rsidP="00E25760" w:rsidRDefault="00E25760" w14:paraId="358DCA93" w14:textId="7C320C59">
            <w:pPr>
              <w:spacing w:line="276" w:lineRule="auto"/>
              <w:contextualSpacing/>
              <w:jc w:val="right"/>
              <w:rPr>
                <w:b/>
                <w:bCs/>
              </w:rPr>
            </w:pPr>
            <w:r w:rsidRPr="00BF160B">
              <w:rPr>
                <w:b/>
                <w:bCs/>
              </w:rPr>
              <w:t>€ 1.57</w:t>
            </w:r>
            <w:r>
              <w:rPr>
                <w:b/>
                <w:bCs/>
              </w:rPr>
              <w:t>1</w:t>
            </w:r>
            <w:r w:rsidRPr="00BF160B">
              <w:rPr>
                <w:b/>
                <w:bCs/>
              </w:rPr>
              <w:t>.8</w:t>
            </w:r>
            <w:r>
              <w:rPr>
                <w:b/>
                <w:bCs/>
              </w:rPr>
              <w:t>20</w:t>
            </w:r>
          </w:p>
        </w:tc>
      </w:tr>
      <w:bookmarkEnd w:id="54"/>
    </w:tbl>
    <w:p w:rsidR="00181BFF" w:rsidP="00181BFF" w:rsidRDefault="00181BFF" w14:paraId="0B5E343C" w14:textId="77777777">
      <w:pPr>
        <w:spacing w:after="0" w:line="276" w:lineRule="auto"/>
        <w:contextualSpacing/>
        <w:rPr>
          <w:rFonts w:ascii="Verdana" w:hAnsi="Verdana" w:eastAsia="Times New Roman" w:cs="Times New Roman"/>
          <w:sz w:val="18"/>
          <w:szCs w:val="18"/>
        </w:rPr>
      </w:pPr>
    </w:p>
    <w:p w:rsidR="00181BFF" w:rsidP="00181BFF" w:rsidRDefault="00181BFF" w14:paraId="3806974C" w14:textId="673A44A4">
      <w:pPr>
        <w:spacing w:after="0" w:line="276" w:lineRule="auto"/>
        <w:contextualSpacing/>
        <w:rPr>
          <w:rFonts w:ascii="Verdana" w:hAnsi="Verdana" w:eastAsia="Times New Roman" w:cs="Times New Roman"/>
          <w:sz w:val="18"/>
          <w:szCs w:val="18"/>
        </w:rPr>
      </w:pPr>
      <w:r>
        <w:rPr>
          <w:rFonts w:ascii="Verdana" w:hAnsi="Verdana" w:eastAsia="Times New Roman" w:cs="Times New Roman"/>
          <w:sz w:val="18"/>
          <w:szCs w:val="18"/>
        </w:rPr>
        <w:t>Het nader criterium</w:t>
      </w:r>
      <w:r w:rsidDel="0046318B">
        <w:rPr>
          <w:rFonts w:ascii="Verdana" w:hAnsi="Verdana" w:eastAsia="Times New Roman" w:cs="Times New Roman"/>
          <w:sz w:val="18"/>
          <w:szCs w:val="18"/>
        </w:rPr>
        <w:t xml:space="preserve"> op</w:t>
      </w:r>
      <w:r>
        <w:rPr>
          <w:rFonts w:ascii="Verdana" w:hAnsi="Verdana" w:eastAsia="Times New Roman" w:cs="Times New Roman"/>
          <w:sz w:val="18"/>
          <w:szCs w:val="18"/>
        </w:rPr>
        <w:t xml:space="preserve"> milieuprestatie leidt bij een gemiddeld GWW-werk tot een toename van de regeldrukkosten van 5</w:t>
      </w:r>
      <w:r w:rsidRPr="00487223">
        <w:rPr>
          <w:rFonts w:ascii="Verdana" w:hAnsi="Verdana" w:eastAsia="Times New Roman" w:cs="Times New Roman"/>
          <w:sz w:val="18"/>
          <w:szCs w:val="18"/>
        </w:rPr>
        <w:t>.</w:t>
      </w:r>
      <w:r>
        <w:rPr>
          <w:rFonts w:ascii="Verdana" w:hAnsi="Verdana" w:eastAsia="Times New Roman" w:cs="Times New Roman"/>
          <w:sz w:val="18"/>
          <w:szCs w:val="18"/>
        </w:rPr>
        <w:t>5</w:t>
      </w:r>
      <w:r w:rsidRPr="00487223">
        <w:rPr>
          <w:rFonts w:ascii="Verdana" w:hAnsi="Verdana" w:eastAsia="Times New Roman" w:cs="Times New Roman"/>
          <w:sz w:val="18"/>
          <w:szCs w:val="18"/>
        </w:rPr>
        <w:t xml:space="preserve">00 </w:t>
      </w:r>
      <w:r>
        <w:rPr>
          <w:rFonts w:ascii="Verdana" w:hAnsi="Verdana" w:eastAsia="Times New Roman" w:cs="Times New Roman"/>
          <w:sz w:val="18"/>
          <w:szCs w:val="18"/>
        </w:rPr>
        <w:t>euro</w:t>
      </w:r>
      <w:r w:rsidRPr="00487223">
        <w:rPr>
          <w:rFonts w:ascii="Verdana" w:hAnsi="Verdana" w:eastAsia="Times New Roman" w:cs="Times New Roman"/>
          <w:sz w:val="18"/>
          <w:szCs w:val="18"/>
        </w:rPr>
        <w:t xml:space="preserve"> per jaar. </w:t>
      </w:r>
      <w:r>
        <w:rPr>
          <w:rFonts w:ascii="Verdana" w:hAnsi="Verdana" w:eastAsia="Times New Roman" w:cs="Times New Roman"/>
          <w:sz w:val="18"/>
          <w:szCs w:val="18"/>
        </w:rPr>
        <w:t xml:space="preserve">Dit gaat bij een gemiddeld project </w:t>
      </w:r>
      <w:r w:rsidRPr="000E36B3" w:rsidR="00D46BCF">
        <w:rPr>
          <w:rFonts w:ascii="Verdana" w:hAnsi="Verdana" w:eastAsia="Times New Roman" w:cs="Times New Roman"/>
          <w:sz w:val="18"/>
          <w:szCs w:val="18"/>
        </w:rPr>
        <w:t>van €11.3 miljoen</w:t>
      </w:r>
      <w:r w:rsidR="00D46BCF">
        <w:rPr>
          <w:rStyle w:val="Voetnootmarkering"/>
          <w:rFonts w:ascii="Verdana" w:hAnsi="Verdana" w:eastAsia="Times New Roman" w:cs="Times New Roman"/>
          <w:sz w:val="18"/>
          <w:szCs w:val="18"/>
        </w:rPr>
        <w:footnoteReference w:id="48"/>
      </w:r>
      <w:r w:rsidRPr="000E36B3" w:rsidR="00D46BCF">
        <w:rPr>
          <w:rFonts w:ascii="Verdana" w:hAnsi="Verdana" w:eastAsia="Times New Roman" w:cs="Times New Roman"/>
          <w:sz w:val="18"/>
          <w:szCs w:val="18"/>
        </w:rPr>
        <w:t xml:space="preserve"> </w:t>
      </w:r>
      <w:r>
        <w:rPr>
          <w:rFonts w:ascii="Verdana" w:hAnsi="Verdana" w:eastAsia="Times New Roman" w:cs="Times New Roman"/>
          <w:sz w:val="18"/>
          <w:szCs w:val="18"/>
        </w:rPr>
        <w:t>om 0,01% van de totale projectwaarde</w:t>
      </w:r>
      <w:r w:rsidRPr="00F2248B">
        <w:rPr>
          <w:rFonts w:ascii="Verdana" w:hAnsi="Verdana" w:eastAsia="Times New Roman" w:cs="Times New Roman"/>
          <w:sz w:val="18"/>
          <w:szCs w:val="18"/>
        </w:rPr>
        <w:t xml:space="preserve">. </w:t>
      </w:r>
    </w:p>
    <w:p w:rsidRPr="00904ED0" w:rsidR="004F0533" w:rsidP="00643E93" w:rsidRDefault="004F0533" w14:paraId="6AC320A1" w14:textId="77777777">
      <w:pPr>
        <w:spacing w:after="0" w:line="276" w:lineRule="auto"/>
        <w:rPr>
          <w:rFonts w:ascii="Verdana" w:hAnsi="Verdana" w:eastAsia="Times New Roman" w:cs="Times New Roman"/>
          <w:sz w:val="21"/>
          <w:szCs w:val="21"/>
        </w:rPr>
      </w:pPr>
    </w:p>
    <w:p w:rsidRPr="00904ED0" w:rsidR="004F0533" w:rsidP="00643E93" w:rsidRDefault="004F0533" w14:paraId="5254AEAB" w14:textId="53CC7F47">
      <w:pPr>
        <w:pStyle w:val="Kop4"/>
        <w:numPr>
          <w:ilvl w:val="1"/>
          <w:numId w:val="24"/>
        </w:numPr>
        <w:spacing w:line="276" w:lineRule="auto"/>
      </w:pPr>
      <w:bookmarkStart w:name="_Toc195040772" w:id="56"/>
      <w:r w:rsidRPr="00904ED0">
        <w:t>Bestuurlijke lasten</w:t>
      </w:r>
      <w:bookmarkEnd w:id="56"/>
    </w:p>
    <w:p w:rsidR="004F0533" w:rsidP="00643E93" w:rsidRDefault="004F0533" w14:paraId="114E57B5" w14:textId="5E071EF1">
      <w:pPr>
        <w:spacing w:after="0" w:line="276" w:lineRule="auto"/>
        <w:rPr>
          <w:rFonts w:ascii="Verdana" w:hAnsi="Verdana" w:eastAsia="Times New Roman" w:cs="Times New Roman"/>
          <w:sz w:val="18"/>
          <w:szCs w:val="18"/>
        </w:rPr>
      </w:pPr>
    </w:p>
    <w:p w:rsidR="009D72F6" w:rsidP="009D72F6" w:rsidRDefault="009D72F6" w14:paraId="6FF03DC2" w14:textId="77777777">
      <w:pPr>
        <w:spacing w:after="0" w:line="276" w:lineRule="auto"/>
        <w:contextualSpacing/>
        <w:rPr>
          <w:rFonts w:ascii="Verdana" w:hAnsi="Verdana" w:eastAsia="Times New Roman" w:cs="Times New Roman"/>
          <w:sz w:val="18"/>
          <w:szCs w:val="18"/>
        </w:rPr>
      </w:pPr>
      <w:bookmarkStart w:name="_Hlk201641990" w:id="57"/>
      <w:r w:rsidRPr="000F5AF1">
        <w:rPr>
          <w:rFonts w:ascii="Verdana" w:hAnsi="Verdana" w:eastAsia="Times New Roman" w:cs="Times New Roman"/>
          <w:sz w:val="18"/>
          <w:szCs w:val="18"/>
        </w:rPr>
        <w:t>Het opnemen van MKI-prestatie-eisen op productniveau voor beton</w:t>
      </w:r>
      <w:r>
        <w:rPr>
          <w:rFonts w:ascii="Verdana" w:hAnsi="Verdana" w:eastAsia="Times New Roman" w:cs="Times New Roman"/>
          <w:sz w:val="18"/>
          <w:szCs w:val="18"/>
        </w:rPr>
        <w:t xml:space="preserve"> </w:t>
      </w:r>
      <w:r w:rsidRPr="000F5AF1">
        <w:rPr>
          <w:rFonts w:ascii="Verdana" w:hAnsi="Verdana" w:eastAsia="Times New Roman" w:cs="Times New Roman"/>
          <w:sz w:val="18"/>
          <w:szCs w:val="18"/>
        </w:rPr>
        <w:t>en</w:t>
      </w:r>
      <w:r>
        <w:rPr>
          <w:rFonts w:ascii="Verdana" w:hAnsi="Verdana" w:eastAsia="Times New Roman" w:cs="Times New Roman"/>
          <w:sz w:val="18"/>
          <w:szCs w:val="18"/>
        </w:rPr>
        <w:t xml:space="preserve"> </w:t>
      </w:r>
      <w:r w:rsidRPr="000F5AF1">
        <w:rPr>
          <w:rFonts w:ascii="Verdana" w:hAnsi="Verdana" w:eastAsia="Times New Roman" w:cs="Times New Roman"/>
          <w:sz w:val="18"/>
          <w:szCs w:val="18"/>
        </w:rPr>
        <w:t>asfalt resulteert in</w:t>
      </w:r>
      <w:r>
        <w:rPr>
          <w:rFonts w:ascii="Verdana" w:hAnsi="Verdana" w:eastAsia="Times New Roman" w:cs="Times New Roman"/>
          <w:sz w:val="18"/>
          <w:szCs w:val="18"/>
        </w:rPr>
        <w:t xml:space="preserve"> </w:t>
      </w:r>
      <w:r w:rsidRPr="000F5AF1">
        <w:rPr>
          <w:rFonts w:ascii="Verdana" w:hAnsi="Verdana" w:eastAsia="Times New Roman" w:cs="Times New Roman"/>
          <w:sz w:val="18"/>
          <w:szCs w:val="18"/>
        </w:rPr>
        <w:t>eenmalige en structurele kosten voor opdrachtgevers. Zij moeten immers eenmalig de prestatie-eisen verankeren in het aanbestedingsbeleid. Per project zullen daarnaast kosten gemaakt moeten worden in de projectvoorbereiding, waarin de MKI-scope vastgesteld wordt, en de MKI-eisen ingevoegd worden in de contractstukken. Ook worden structurele kosten verwacht</w:t>
      </w:r>
      <w:r>
        <w:rPr>
          <w:rFonts w:ascii="Verdana" w:hAnsi="Verdana" w:eastAsia="Times New Roman" w:cs="Times New Roman"/>
          <w:sz w:val="18"/>
          <w:szCs w:val="18"/>
        </w:rPr>
        <w:t xml:space="preserve"> </w:t>
      </w:r>
      <w:r w:rsidRPr="000F5AF1">
        <w:rPr>
          <w:rFonts w:ascii="Verdana" w:hAnsi="Verdana" w:eastAsia="Times New Roman" w:cs="Times New Roman"/>
          <w:sz w:val="18"/>
          <w:szCs w:val="18"/>
        </w:rPr>
        <w:t xml:space="preserve">voor de controle op de naleving. </w:t>
      </w:r>
    </w:p>
    <w:p w:rsidR="009D72F6" w:rsidP="009D72F6" w:rsidRDefault="009D72F6" w14:paraId="6E7E2DBD" w14:textId="77777777">
      <w:pPr>
        <w:spacing w:after="0" w:line="276" w:lineRule="auto"/>
        <w:contextualSpacing/>
        <w:rPr>
          <w:rFonts w:ascii="Verdana" w:hAnsi="Verdana" w:eastAsia="Times New Roman" w:cs="Times New Roman"/>
          <w:sz w:val="18"/>
          <w:szCs w:val="18"/>
        </w:rPr>
      </w:pPr>
    </w:p>
    <w:p w:rsidRPr="000F5AF1" w:rsidR="009D72F6" w:rsidP="009D72F6" w:rsidRDefault="009D72F6" w14:paraId="79ADAC02" w14:textId="77777777">
      <w:pPr>
        <w:spacing w:after="0" w:line="276" w:lineRule="auto"/>
        <w:rPr>
          <w:rFonts w:ascii="Verdana" w:hAnsi="Verdana" w:eastAsia="Times New Roman" w:cs="Times New Roman"/>
          <w:b/>
          <w:bCs/>
          <w:i/>
          <w:iCs/>
          <w:sz w:val="18"/>
          <w:szCs w:val="18"/>
        </w:rPr>
      </w:pPr>
      <w:r w:rsidRPr="0086110A">
        <w:rPr>
          <w:rFonts w:ascii="Verdana" w:hAnsi="Verdana" w:eastAsia="Times New Roman" w:cs="Times New Roman"/>
          <w:i/>
          <w:sz w:val="18"/>
          <w:szCs w:val="18"/>
        </w:rPr>
        <w:t>Eenmalige regeldrukeffecten</w:t>
      </w:r>
      <w:r w:rsidRPr="009D109F">
        <w:rPr>
          <w:rFonts w:ascii="Verdana" w:hAnsi="Verdana" w:eastAsia="Times New Roman" w:cs="Times New Roman"/>
          <w:b/>
          <w:bCs/>
          <w:i/>
          <w:iCs/>
          <w:sz w:val="18"/>
          <w:szCs w:val="18"/>
        </w:rPr>
        <w:t xml:space="preserve">: </w:t>
      </w:r>
      <w:r w:rsidRPr="00D32541">
        <w:rPr>
          <w:rFonts w:ascii="Verdana" w:hAnsi="Verdana" w:eastAsia="Times New Roman" w:cs="Times New Roman"/>
          <w:i/>
          <w:iCs/>
          <w:sz w:val="18"/>
          <w:szCs w:val="18"/>
        </w:rPr>
        <w:t>milieuprestatie-eisen in de vorm van de MKI</w:t>
      </w:r>
    </w:p>
    <w:p w:rsidR="009D72F6" w:rsidP="009D72F6" w:rsidRDefault="009D72F6" w14:paraId="16ACCEC7" w14:textId="77777777">
      <w:pPr>
        <w:spacing w:after="0" w:line="276" w:lineRule="auto"/>
        <w:contextualSpacing/>
        <w:rPr>
          <w:rFonts w:ascii="Verdana" w:hAnsi="Verdana" w:eastAsia="Times New Roman" w:cs="Times New Roman"/>
          <w:sz w:val="18"/>
          <w:szCs w:val="18"/>
        </w:rPr>
      </w:pPr>
    </w:p>
    <w:p w:rsidR="009D72F6" w:rsidP="009D72F6" w:rsidRDefault="009D72F6" w14:paraId="7E855A1E" w14:textId="600AD2AE">
      <w:pPr>
        <w:spacing w:after="0" w:line="276" w:lineRule="auto"/>
        <w:contextualSpacing/>
        <w:rPr>
          <w:rFonts w:ascii="Verdana" w:hAnsi="Verdana" w:eastAsia="Times New Roman" w:cs="Times New Roman"/>
          <w:sz w:val="18"/>
          <w:szCs w:val="18"/>
        </w:rPr>
      </w:pPr>
      <w:r w:rsidRPr="000F5AF1">
        <w:rPr>
          <w:rFonts w:ascii="Verdana" w:hAnsi="Verdana" w:eastAsia="Times New Roman" w:cs="Times New Roman"/>
          <w:sz w:val="18"/>
          <w:szCs w:val="18"/>
        </w:rPr>
        <w:t>De kosten voor het opnemen van MK</w:t>
      </w:r>
      <w:r>
        <w:rPr>
          <w:rFonts w:ascii="Verdana" w:hAnsi="Verdana" w:eastAsia="Times New Roman" w:cs="Times New Roman"/>
          <w:sz w:val="18"/>
          <w:szCs w:val="18"/>
        </w:rPr>
        <w:t xml:space="preserve">I </w:t>
      </w:r>
      <w:r w:rsidRPr="000F5AF1">
        <w:rPr>
          <w:rFonts w:ascii="Verdana" w:hAnsi="Verdana" w:eastAsia="Times New Roman" w:cs="Times New Roman"/>
          <w:sz w:val="18"/>
          <w:szCs w:val="18"/>
        </w:rPr>
        <w:t>prestatie</w:t>
      </w:r>
      <w:r>
        <w:rPr>
          <w:rFonts w:ascii="Verdana" w:hAnsi="Verdana" w:eastAsia="Times New Roman" w:cs="Times New Roman"/>
          <w:sz w:val="18"/>
          <w:szCs w:val="18"/>
        </w:rPr>
        <w:t>-</w:t>
      </w:r>
      <w:r w:rsidRPr="000F5AF1">
        <w:rPr>
          <w:rFonts w:ascii="Verdana" w:hAnsi="Verdana" w:eastAsia="Times New Roman" w:cs="Times New Roman"/>
          <w:sz w:val="18"/>
          <w:szCs w:val="18"/>
        </w:rPr>
        <w:t>eisen op productniveau hangen samen met de grootte van de organisatie van de opdrachtgever. Ondanks de variatie in grootte tussen opdrachtgevers kan een referentieberekening gemaakt worden voor een middelgrote opdrachtgever (projectomzet van circa €50 miljoen). De eenmalige tijdbesteding om alle MKI</w:t>
      </w:r>
      <w:r>
        <w:rPr>
          <w:rFonts w:ascii="Verdana" w:hAnsi="Verdana" w:eastAsia="Times New Roman" w:cs="Times New Roman"/>
          <w:sz w:val="18"/>
          <w:szCs w:val="18"/>
        </w:rPr>
        <w:t xml:space="preserve"> </w:t>
      </w:r>
      <w:r w:rsidRPr="000F5AF1">
        <w:rPr>
          <w:rFonts w:ascii="Verdana" w:hAnsi="Verdana" w:eastAsia="Times New Roman" w:cs="Times New Roman"/>
          <w:sz w:val="18"/>
          <w:szCs w:val="18"/>
        </w:rPr>
        <w:t>prestatie-eisen eenmalig in te regelen in de processen en deze vast te leggen in het beleid schatten de respondenten op een ruime werkweek (44 uur) van 1 medewerker.</w:t>
      </w:r>
      <w:r>
        <w:rPr>
          <w:rFonts w:ascii="Verdana" w:hAnsi="Verdana" w:eastAsia="Times New Roman" w:cs="Times New Roman"/>
          <w:sz w:val="18"/>
          <w:szCs w:val="18"/>
        </w:rPr>
        <w:t xml:space="preserve"> </w:t>
      </w:r>
      <w:r w:rsidRPr="000F5AF1">
        <w:rPr>
          <w:rFonts w:ascii="Verdana" w:hAnsi="Verdana" w:eastAsia="Times New Roman" w:cs="Times New Roman"/>
          <w:sz w:val="18"/>
          <w:szCs w:val="18"/>
        </w:rPr>
        <w:t>Uitgaande van een standaard intern uurtarief van een schaal 10 medewerker (€ 75</w:t>
      </w:r>
      <w:r w:rsidR="002D1D24">
        <w:rPr>
          <w:rFonts w:ascii="Verdana" w:hAnsi="Verdana" w:eastAsia="Times New Roman" w:cs="Times New Roman"/>
          <w:sz w:val="18"/>
          <w:szCs w:val="18"/>
        </w:rPr>
        <w:t>)</w:t>
      </w:r>
      <w:r>
        <w:rPr>
          <w:rStyle w:val="Voetnootmarkering"/>
          <w:rFonts w:ascii="Verdana" w:hAnsi="Verdana" w:eastAsia="Times New Roman" w:cs="Times New Roman"/>
          <w:sz w:val="18"/>
          <w:szCs w:val="18"/>
        </w:rPr>
        <w:footnoteReference w:id="49"/>
      </w:r>
      <w:r w:rsidRPr="000F5AF1">
        <w:rPr>
          <w:rFonts w:ascii="Verdana" w:hAnsi="Verdana" w:eastAsia="Times New Roman" w:cs="Times New Roman"/>
          <w:sz w:val="18"/>
          <w:szCs w:val="18"/>
        </w:rPr>
        <w:t xml:space="preserve"> zijn de bijbehorende kosten van deze tijdbesteding € 3.300.</w:t>
      </w:r>
    </w:p>
    <w:p w:rsidR="009D72F6" w:rsidP="009D72F6" w:rsidRDefault="009D72F6" w14:paraId="5CDF2915" w14:textId="77777777">
      <w:pPr>
        <w:spacing w:after="0" w:line="276" w:lineRule="auto"/>
        <w:contextualSpacing/>
        <w:rPr>
          <w:rFonts w:ascii="Verdana" w:hAnsi="Verdana" w:eastAsia="Times New Roman" w:cs="Times New Roman"/>
          <w:sz w:val="18"/>
          <w:szCs w:val="18"/>
        </w:rPr>
      </w:pPr>
    </w:p>
    <w:p w:rsidR="009D72F6" w:rsidP="009D72F6" w:rsidRDefault="009D72F6" w14:paraId="7837F1F4" w14:textId="77777777">
      <w:pPr>
        <w:spacing w:after="0" w:line="276" w:lineRule="auto"/>
        <w:contextualSpacing/>
        <w:jc w:val="both"/>
        <w:rPr>
          <w:rFonts w:ascii="Verdana" w:hAnsi="Verdana" w:eastAsia="Times New Roman" w:cs="Times New Roman"/>
          <w:sz w:val="18"/>
          <w:szCs w:val="18"/>
        </w:rPr>
      </w:pPr>
      <w:r w:rsidRPr="000F5AF1">
        <w:rPr>
          <w:rFonts w:ascii="Verdana" w:hAnsi="Verdana" w:eastAsia="Times New Roman" w:cs="Times New Roman"/>
          <w:sz w:val="18"/>
          <w:szCs w:val="18"/>
        </w:rPr>
        <w:t>De tijdbesteding voor het inregelen van de MKI-prestatie-eisen zal echter</w:t>
      </w:r>
      <w:r>
        <w:rPr>
          <w:rFonts w:ascii="Verdana" w:hAnsi="Verdana" w:eastAsia="Times New Roman" w:cs="Times New Roman"/>
          <w:sz w:val="18"/>
          <w:szCs w:val="18"/>
        </w:rPr>
        <w:t xml:space="preserve"> </w:t>
      </w:r>
      <w:r w:rsidRPr="000F5AF1">
        <w:rPr>
          <w:rFonts w:ascii="Verdana" w:hAnsi="Verdana" w:eastAsia="Times New Roman" w:cs="Times New Roman"/>
          <w:sz w:val="18"/>
          <w:szCs w:val="18"/>
        </w:rPr>
        <w:t>significant lager zijn voor opdrachtgevers die reeds gebruik maken van de MKI bij aanbestedingen, zo’n 24% van het totale aantal opdrachtgevers. Onderstaande tabel toont daarom de totale eenmalige bestuurlijke lasten voor die organisaties die nog niet met de MKI werken.</w:t>
      </w:r>
    </w:p>
    <w:p w:rsidRPr="00967BCA" w:rsidR="009D72F6" w:rsidP="009D72F6" w:rsidRDefault="009D72F6" w14:paraId="154A09FD" w14:textId="77777777">
      <w:pPr>
        <w:spacing w:after="0" w:line="276" w:lineRule="auto"/>
        <w:contextualSpacing/>
        <w:jc w:val="both"/>
        <w:rPr>
          <w:rFonts w:ascii="Calibri" w:hAnsi="Calibri" w:eastAsia="Verdana" w:cs="Times New Roman"/>
          <w:spacing w:val="-10"/>
          <w:kern w:val="28"/>
          <w14:ligatures w14:val="standardContextual"/>
        </w:rPr>
      </w:pPr>
    </w:p>
    <w:p w:rsidRPr="00D944A9" w:rsidR="009D72F6" w:rsidP="009D72F6" w:rsidRDefault="009D72F6" w14:paraId="546DFB90" w14:textId="77777777">
      <w:pPr>
        <w:spacing w:after="0" w:line="276" w:lineRule="auto"/>
        <w:contextualSpacing/>
        <w:rPr>
          <w:rFonts w:ascii="Calibri" w:hAnsi="Calibri" w:eastAsia="Verdana" w:cs="Times New Roman"/>
          <w:b/>
          <w:color w:val="4BAAE1"/>
          <w:spacing w:val="-10"/>
          <w:kern w:val="28"/>
          <w14:ligatures w14:val="standardContextual"/>
        </w:rPr>
      </w:pPr>
      <w:r w:rsidRPr="00D944A9">
        <w:rPr>
          <w:rFonts w:ascii="Calibri" w:hAnsi="Calibri" w:eastAsia="Verdana" w:cs="Times New Roman"/>
          <w:b/>
          <w:color w:val="4BAAE1"/>
          <w:spacing w:val="-10"/>
          <w:kern w:val="28"/>
          <w14:ligatures w14:val="standardContextual"/>
        </w:rPr>
        <w:t>Eenmalige bestuurlijke lasten</w:t>
      </w:r>
    </w:p>
    <w:tbl>
      <w:tblPr>
        <w:tblStyle w:val="Tabelraster1"/>
        <w:tblW w:w="5000" w:type="pct"/>
        <w:tblInd w:w="0" w:type="dxa"/>
        <w:tblLook w:val="04A0" w:firstRow="1" w:lastRow="0" w:firstColumn="1" w:lastColumn="0" w:noHBand="0" w:noVBand="1"/>
      </w:tblPr>
      <w:tblGrid>
        <w:gridCol w:w="1619"/>
        <w:gridCol w:w="1619"/>
        <w:gridCol w:w="1620"/>
        <w:gridCol w:w="1620"/>
        <w:gridCol w:w="1620"/>
      </w:tblGrid>
      <w:tr w:rsidRPr="00967BCA" w:rsidR="009D72F6" w:rsidTr="00142A61" w14:paraId="53865EDE"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5CA3D6"/>
            <w:hideMark/>
          </w:tcPr>
          <w:p w:rsidRPr="00967BCA" w:rsidR="009D72F6" w:rsidP="00142A61" w:rsidRDefault="009D72F6" w14:paraId="1A589630" w14:textId="77777777">
            <w:pPr>
              <w:spacing w:line="276" w:lineRule="auto"/>
              <w:contextualSpacing/>
              <w:jc w:val="both"/>
              <w:rPr>
                <w:b/>
                <w:bCs/>
              </w:rPr>
            </w:pPr>
            <w:r w:rsidRPr="00967BCA">
              <w:rPr>
                <w:b/>
                <w:bCs/>
              </w:rPr>
              <w:t>MKI-prestatie-eisen</w:t>
            </w:r>
          </w:p>
        </w:tc>
      </w:tr>
      <w:tr w:rsidRPr="00967BCA" w:rsidR="009D72F6" w:rsidTr="00142A61" w14:paraId="698248C1" w14:textId="77777777">
        <w:trPr>
          <w:trHeight w:val="606"/>
        </w:trPr>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64F243A9" w14:textId="77777777">
            <w:pPr>
              <w:spacing w:line="276" w:lineRule="auto"/>
              <w:contextualSpacing/>
              <w:jc w:val="both"/>
            </w:pPr>
            <w:r w:rsidRPr="00967BCA">
              <w:t>Tijdbesteding per organisatie (in uren)</w:t>
            </w:r>
          </w:p>
        </w:tc>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3D1AA281" w14:textId="77777777">
            <w:pPr>
              <w:spacing w:line="276" w:lineRule="auto"/>
              <w:contextualSpacing/>
              <w:jc w:val="both"/>
            </w:pPr>
            <w:r w:rsidRPr="00967BCA">
              <w:t>Uurtarief (€)</w:t>
            </w:r>
          </w:p>
        </w:tc>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41D90F39" w14:textId="77777777">
            <w:pPr>
              <w:spacing w:line="276" w:lineRule="auto"/>
              <w:contextualSpacing/>
              <w:jc w:val="both"/>
            </w:pPr>
            <w:r w:rsidRPr="00967BCA">
              <w:t>Kosten per organisatie (P)</w:t>
            </w:r>
          </w:p>
        </w:tc>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3F29C7D0" w14:textId="77777777">
            <w:pPr>
              <w:spacing w:line="276" w:lineRule="auto"/>
              <w:contextualSpacing/>
              <w:jc w:val="both"/>
            </w:pPr>
            <w:r w:rsidRPr="00967BCA">
              <w:t>Aantal organisaties (Q)</w:t>
            </w:r>
          </w:p>
        </w:tc>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40E342B1" w14:textId="77777777">
            <w:pPr>
              <w:spacing w:line="276" w:lineRule="auto"/>
              <w:contextualSpacing/>
            </w:pPr>
            <w:r w:rsidRPr="00967BCA">
              <w:t>Totale kosten (P*Q)</w:t>
            </w:r>
          </w:p>
        </w:tc>
      </w:tr>
      <w:tr w:rsidRPr="00967BCA" w:rsidR="009D72F6" w:rsidTr="00142A61" w14:paraId="5CB0F1ED" w14:textId="77777777">
        <w:trPr>
          <w:trHeight w:val="207"/>
        </w:trPr>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462E06C1" w14:textId="77777777">
            <w:pPr>
              <w:spacing w:line="276" w:lineRule="auto"/>
              <w:contextualSpacing/>
              <w:jc w:val="right"/>
            </w:pPr>
            <w:r w:rsidRPr="00967BCA">
              <w:t>44</w:t>
            </w:r>
          </w:p>
        </w:tc>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6EC5F081" w14:textId="77777777">
            <w:pPr>
              <w:spacing w:line="276" w:lineRule="auto"/>
              <w:contextualSpacing/>
              <w:jc w:val="right"/>
            </w:pPr>
            <w:r w:rsidRPr="00967BCA">
              <w:t>€ 75,00</w:t>
            </w:r>
          </w:p>
        </w:tc>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3AA86F43" w14:textId="77777777">
            <w:pPr>
              <w:spacing w:line="276" w:lineRule="auto"/>
              <w:contextualSpacing/>
              <w:jc w:val="right"/>
            </w:pPr>
            <w:r w:rsidRPr="00967BCA">
              <w:t>€3.300</w:t>
            </w:r>
          </w:p>
        </w:tc>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6AC1347B" w14:textId="77777777">
            <w:pPr>
              <w:spacing w:line="276" w:lineRule="auto"/>
              <w:contextualSpacing/>
              <w:jc w:val="right"/>
            </w:pPr>
            <w:r w:rsidRPr="00967BCA">
              <w:t>286</w:t>
            </w:r>
          </w:p>
        </w:tc>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1107360B" w14:textId="77777777">
            <w:pPr>
              <w:spacing w:line="276" w:lineRule="auto"/>
              <w:contextualSpacing/>
              <w:jc w:val="right"/>
              <w:rPr>
                <w:b/>
                <w:bCs/>
              </w:rPr>
            </w:pPr>
            <w:r w:rsidRPr="00967BCA">
              <w:rPr>
                <w:b/>
                <w:bCs/>
              </w:rPr>
              <w:t>€ 943.800</w:t>
            </w:r>
          </w:p>
        </w:tc>
      </w:tr>
    </w:tbl>
    <w:p w:rsidR="009D72F6" w:rsidP="009D72F6" w:rsidRDefault="009D72F6" w14:paraId="0B3DF834" w14:textId="77777777">
      <w:pPr>
        <w:spacing w:after="0" w:line="276" w:lineRule="auto"/>
        <w:contextualSpacing/>
        <w:jc w:val="both"/>
        <w:rPr>
          <w:rFonts w:ascii="Calibri" w:hAnsi="Calibri" w:eastAsia="Verdana" w:cs="Times New Roman"/>
          <w:spacing w:val="-10"/>
          <w:kern w:val="28"/>
          <w14:ligatures w14:val="standardContextual"/>
        </w:rPr>
      </w:pPr>
    </w:p>
    <w:p w:rsidR="009D72F6" w:rsidP="009D72F6" w:rsidRDefault="009D72F6" w14:paraId="636793F8" w14:textId="77777777">
      <w:pPr>
        <w:spacing w:after="0" w:line="276" w:lineRule="auto"/>
        <w:contextualSpacing/>
        <w:rPr>
          <w:rFonts w:ascii="Verdana" w:hAnsi="Verdana" w:eastAsia="Times New Roman" w:cs="Times New Roman"/>
          <w:i/>
          <w:sz w:val="18"/>
          <w:szCs w:val="18"/>
        </w:rPr>
      </w:pPr>
      <w:r w:rsidRPr="0086110A">
        <w:rPr>
          <w:rFonts w:ascii="Verdana" w:hAnsi="Verdana" w:eastAsia="Times New Roman" w:cs="Times New Roman"/>
          <w:i/>
          <w:sz w:val="18"/>
          <w:szCs w:val="18"/>
        </w:rPr>
        <w:lastRenderedPageBreak/>
        <w:t xml:space="preserve">Structurele regeldrukkosten: </w:t>
      </w:r>
      <w:r w:rsidRPr="00D32541">
        <w:rPr>
          <w:rFonts w:ascii="Verdana" w:hAnsi="Verdana" w:eastAsia="Times New Roman" w:cs="Times New Roman"/>
          <w:i/>
          <w:iCs/>
          <w:sz w:val="18"/>
          <w:szCs w:val="18"/>
        </w:rPr>
        <w:t>milieuprestatie-eisen in de vorm van de MKI</w:t>
      </w:r>
    </w:p>
    <w:p w:rsidRPr="000F5AF1" w:rsidR="009D72F6" w:rsidP="009D72F6" w:rsidRDefault="009D72F6" w14:paraId="17A469F6" w14:textId="77777777">
      <w:pPr>
        <w:spacing w:after="0" w:line="276" w:lineRule="auto"/>
        <w:contextualSpacing/>
        <w:rPr>
          <w:rFonts w:ascii="Verdana" w:hAnsi="Verdana" w:eastAsia="Times New Roman" w:cs="Times New Roman"/>
          <w:i/>
          <w:sz w:val="18"/>
          <w:szCs w:val="18"/>
        </w:rPr>
      </w:pPr>
    </w:p>
    <w:p w:rsidRPr="000F5AF1" w:rsidR="009D72F6" w:rsidP="009D72F6" w:rsidRDefault="009D72F6" w14:paraId="1981C62E" w14:textId="77777777">
      <w:pPr>
        <w:spacing w:after="0" w:line="276" w:lineRule="auto"/>
        <w:contextualSpacing/>
        <w:rPr>
          <w:rFonts w:ascii="Verdana" w:hAnsi="Verdana" w:eastAsia="Times New Roman" w:cs="Times New Roman"/>
          <w:sz w:val="18"/>
          <w:szCs w:val="18"/>
        </w:rPr>
      </w:pPr>
      <w:r w:rsidRPr="000F5AF1">
        <w:rPr>
          <w:rFonts w:ascii="Verdana" w:hAnsi="Verdana" w:eastAsia="Times New Roman" w:cs="Times New Roman"/>
          <w:sz w:val="18"/>
          <w:szCs w:val="18"/>
        </w:rPr>
        <w:t xml:space="preserve">Behalve eenmalige kosten, verwachten opdrachtgevers structurele bestuurlijke lasten als een gevolg van de werkzaamheden op projectbasis, waaronder het vaststellen van de MKI-scope, het invoegen van de MKI-eisen in de contractstukken, en de controle van de naleving van de gemaakte afspraken tussen opdrachtgever en opdrachtnemer. Deze tijdbesteding hangt naar verwachting sterk samen met de grootte van het project. Voor de berekening van de gemiddelde bestuurlijke lasten per project is SIRA uitgegaan van een standaard projectgrootte van €3.6 miljoen. Wanneer de schattingen van respondenten worden gecorrigeerd voor deze projectgrootte is de verwachting dat de structurele tijdbesteding per project neerkomt op circa 3,5 uur. Wederom uitgaande van een standaard uurtarief van een schaal 10 medewerker komen de kosten per project neer op €262,50. Dit staat gelijk aan minder dan 0,01% van de totale gemiddelde projectwaarde. </w:t>
      </w:r>
    </w:p>
    <w:p w:rsidRPr="000F5AF1" w:rsidR="009D72F6" w:rsidP="009D72F6" w:rsidRDefault="009D72F6" w14:paraId="229C94F3" w14:textId="77777777">
      <w:pPr>
        <w:spacing w:after="0" w:line="276" w:lineRule="auto"/>
        <w:contextualSpacing/>
        <w:rPr>
          <w:rFonts w:ascii="Verdana" w:hAnsi="Verdana" w:eastAsia="Times New Roman" w:cs="Times New Roman"/>
          <w:sz w:val="18"/>
          <w:szCs w:val="18"/>
        </w:rPr>
      </w:pPr>
    </w:p>
    <w:p w:rsidRPr="000F5AF1" w:rsidR="009D72F6" w:rsidP="009D72F6" w:rsidRDefault="009D72F6" w14:paraId="6C0AF7A1" w14:textId="77777777">
      <w:pPr>
        <w:spacing w:after="0" w:line="276" w:lineRule="auto"/>
        <w:contextualSpacing/>
        <w:rPr>
          <w:rFonts w:ascii="Verdana" w:hAnsi="Verdana" w:eastAsia="Times New Roman" w:cs="Times New Roman"/>
          <w:sz w:val="18"/>
          <w:szCs w:val="18"/>
        </w:rPr>
      </w:pPr>
      <w:r w:rsidRPr="000F5AF1">
        <w:rPr>
          <w:rFonts w:ascii="Verdana" w:hAnsi="Verdana" w:eastAsia="Times New Roman" w:cs="Times New Roman"/>
          <w:sz w:val="18"/>
          <w:szCs w:val="18"/>
        </w:rPr>
        <w:t>Het totale aantal projecten is berekend door de totale waarde van alle publiek aanbesteedde GWW-werken te delen door de gemiddelde projectwaarde. Hieruit volgt dat alle aanbestedende diensten en speciale-sectorbedrijven jaarlijks samen 2.504 projecten aanbesteden. Bij een gedeelte van deze projecten wordt op dit moment de MKI al toegepast. Gemeten in omzet komt dit aandeel neer op circa 30% van de GWW-werken. Onbekend is echter hoe vaak in deze gevallen MKI-prestatie-eisen worden opgelegd, en in hoeveel gevallen een MKI-gunningscriterium. Op basis van de interviews is SIRA uitgegaan van 50/50 verdeling. De verplichting tot het opnemen van MKI prestatie-eisen bij de aanbesteding van alle GWW-werken resulteert daarom in additionele bestuurlijke lasten bij 85% van de projecten. Dit komt neer op 2.128 projecten per jaar. Onderstaande tabel toont daarom de totale structurele bestuurlijke lasten voor die projecten waarbij tot op heden nog niet met MKI prestatie-eisen gewerkt werd.</w:t>
      </w:r>
    </w:p>
    <w:p w:rsidRPr="00967BCA" w:rsidR="009D72F6" w:rsidP="009D72F6" w:rsidRDefault="009D72F6" w14:paraId="7BCAD505" w14:textId="77777777">
      <w:pPr>
        <w:spacing w:after="0" w:line="276" w:lineRule="auto"/>
        <w:contextualSpacing/>
        <w:jc w:val="both"/>
        <w:rPr>
          <w:rFonts w:ascii="Calibri" w:hAnsi="Calibri" w:eastAsia="Verdana" w:cs="Times New Roman"/>
          <w:spacing w:val="-10"/>
          <w:kern w:val="28"/>
          <w14:ligatures w14:val="standardContextual"/>
        </w:rPr>
      </w:pPr>
    </w:p>
    <w:p w:rsidRPr="00D944A9" w:rsidR="009D72F6" w:rsidP="009D72F6" w:rsidRDefault="009D72F6" w14:paraId="2F5B12A2" w14:textId="77777777">
      <w:pPr>
        <w:spacing w:after="0" w:line="276" w:lineRule="auto"/>
        <w:contextualSpacing/>
        <w:rPr>
          <w:rFonts w:ascii="Calibri" w:hAnsi="Calibri" w:eastAsia="Verdana" w:cs="Times New Roman"/>
          <w:b/>
          <w:color w:val="4BAAE1"/>
          <w:spacing w:val="-10"/>
          <w:kern w:val="28"/>
          <w14:ligatures w14:val="standardContextual"/>
        </w:rPr>
      </w:pPr>
      <w:r w:rsidRPr="00D944A9">
        <w:rPr>
          <w:rFonts w:ascii="Calibri" w:hAnsi="Calibri" w:eastAsia="Verdana" w:cs="Times New Roman"/>
          <w:b/>
          <w:color w:val="4BAAE1"/>
          <w:spacing w:val="-10"/>
          <w:kern w:val="28"/>
          <w14:ligatures w14:val="standardContextual"/>
        </w:rPr>
        <w:t>Structurele bestuurlijke lasten</w:t>
      </w:r>
    </w:p>
    <w:tbl>
      <w:tblPr>
        <w:tblStyle w:val="Tabelraster1"/>
        <w:tblW w:w="5000" w:type="pct"/>
        <w:tblInd w:w="0" w:type="dxa"/>
        <w:tblLook w:val="04A0" w:firstRow="1" w:lastRow="0" w:firstColumn="1" w:lastColumn="0" w:noHBand="0" w:noVBand="1"/>
      </w:tblPr>
      <w:tblGrid>
        <w:gridCol w:w="1619"/>
        <w:gridCol w:w="1619"/>
        <w:gridCol w:w="1620"/>
        <w:gridCol w:w="1620"/>
        <w:gridCol w:w="1620"/>
      </w:tblGrid>
      <w:tr w:rsidRPr="00967BCA" w:rsidR="009D72F6" w:rsidTr="00142A61" w14:paraId="52B09FAA"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5CA3D6"/>
            <w:hideMark/>
          </w:tcPr>
          <w:p w:rsidRPr="00967BCA" w:rsidR="009D72F6" w:rsidP="00142A61" w:rsidRDefault="009D72F6" w14:paraId="53E6A765" w14:textId="77777777">
            <w:pPr>
              <w:spacing w:line="276" w:lineRule="auto"/>
              <w:contextualSpacing/>
              <w:jc w:val="both"/>
              <w:rPr>
                <w:b/>
                <w:bCs/>
              </w:rPr>
            </w:pPr>
            <w:r w:rsidRPr="00967BCA">
              <w:rPr>
                <w:b/>
                <w:bCs/>
              </w:rPr>
              <w:t>MKI-prestatie-eisen</w:t>
            </w:r>
          </w:p>
        </w:tc>
      </w:tr>
      <w:tr w:rsidRPr="00967BCA" w:rsidR="009D72F6" w:rsidTr="00142A61" w14:paraId="35571462" w14:textId="77777777">
        <w:trPr>
          <w:trHeight w:val="606"/>
        </w:trPr>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5CEA0BA8" w14:textId="77777777">
            <w:pPr>
              <w:spacing w:line="276" w:lineRule="auto"/>
              <w:contextualSpacing/>
              <w:jc w:val="both"/>
            </w:pPr>
            <w:r w:rsidRPr="00967BCA">
              <w:t>Tijdbesteding per organisatie (in uren)</w:t>
            </w:r>
          </w:p>
        </w:tc>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19CE1023" w14:textId="77777777">
            <w:pPr>
              <w:spacing w:line="276" w:lineRule="auto"/>
              <w:contextualSpacing/>
              <w:jc w:val="both"/>
            </w:pPr>
            <w:r w:rsidRPr="00967BCA">
              <w:t>Uurtarief (€)</w:t>
            </w:r>
          </w:p>
        </w:tc>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114DDBF8" w14:textId="77777777">
            <w:pPr>
              <w:spacing w:line="276" w:lineRule="auto"/>
              <w:contextualSpacing/>
              <w:jc w:val="both"/>
            </w:pPr>
            <w:r w:rsidRPr="00967BCA">
              <w:t>Kosten per organisatie (P)</w:t>
            </w:r>
          </w:p>
        </w:tc>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72FC76FB" w14:textId="77777777">
            <w:pPr>
              <w:spacing w:line="276" w:lineRule="auto"/>
              <w:contextualSpacing/>
              <w:jc w:val="both"/>
            </w:pPr>
            <w:r w:rsidRPr="00967BCA">
              <w:t>Aantal projecten (Q)</w:t>
            </w:r>
          </w:p>
        </w:tc>
        <w:tc>
          <w:tcPr>
            <w:tcW w:w="1000"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5A6D7CBC" w14:textId="77777777">
            <w:pPr>
              <w:spacing w:line="276" w:lineRule="auto"/>
              <w:contextualSpacing/>
            </w:pPr>
            <w:r w:rsidRPr="00967BCA">
              <w:t>Totale kosten (P*Q)</w:t>
            </w:r>
          </w:p>
        </w:tc>
      </w:tr>
      <w:tr w:rsidRPr="00967BCA" w:rsidR="009D72F6" w:rsidTr="00142A61" w14:paraId="5CADC24C" w14:textId="77777777">
        <w:trPr>
          <w:trHeight w:val="207"/>
        </w:trPr>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68B5D681" w14:textId="77777777">
            <w:pPr>
              <w:spacing w:line="276" w:lineRule="auto"/>
              <w:contextualSpacing/>
              <w:jc w:val="right"/>
            </w:pPr>
            <w:r w:rsidRPr="00967BCA">
              <w:t>3,5</w:t>
            </w:r>
          </w:p>
        </w:tc>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22F30A14" w14:textId="77777777">
            <w:pPr>
              <w:spacing w:line="276" w:lineRule="auto"/>
              <w:contextualSpacing/>
              <w:jc w:val="right"/>
            </w:pPr>
            <w:r w:rsidRPr="00967BCA">
              <w:t>€ 75,00</w:t>
            </w:r>
          </w:p>
        </w:tc>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60D6545D" w14:textId="77777777">
            <w:pPr>
              <w:spacing w:line="276" w:lineRule="auto"/>
              <w:contextualSpacing/>
              <w:jc w:val="right"/>
            </w:pPr>
            <w:r w:rsidRPr="00967BCA">
              <w:t>€263</w:t>
            </w:r>
          </w:p>
        </w:tc>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196F6F58" w14:textId="77777777">
            <w:pPr>
              <w:spacing w:line="276" w:lineRule="auto"/>
              <w:contextualSpacing/>
              <w:jc w:val="right"/>
            </w:pPr>
            <w:r w:rsidRPr="00967BCA">
              <w:t>2.128</w:t>
            </w:r>
          </w:p>
        </w:tc>
        <w:tc>
          <w:tcPr>
            <w:tcW w:w="10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630F4A99" w14:textId="77777777">
            <w:pPr>
              <w:spacing w:line="276" w:lineRule="auto"/>
              <w:contextualSpacing/>
              <w:jc w:val="right"/>
              <w:rPr>
                <w:b/>
                <w:bCs/>
              </w:rPr>
            </w:pPr>
            <w:r w:rsidRPr="00967BCA">
              <w:rPr>
                <w:b/>
                <w:bCs/>
              </w:rPr>
              <w:t>€ 559.664</w:t>
            </w:r>
          </w:p>
        </w:tc>
      </w:tr>
    </w:tbl>
    <w:p w:rsidR="009D72F6" w:rsidP="009D72F6" w:rsidRDefault="009D72F6" w14:paraId="1103BAF9" w14:textId="77777777">
      <w:pPr>
        <w:spacing w:after="0" w:line="276" w:lineRule="auto"/>
        <w:contextualSpacing/>
        <w:jc w:val="both"/>
        <w:rPr>
          <w:rFonts w:ascii="Calibri" w:hAnsi="Calibri" w:eastAsia="Verdana" w:cs="Times New Roman"/>
          <w:spacing w:val="-10"/>
          <w:kern w:val="28"/>
          <w14:ligatures w14:val="standardContextual"/>
        </w:rPr>
      </w:pPr>
    </w:p>
    <w:p w:rsidR="009D72F6" w:rsidP="009D72F6" w:rsidRDefault="009D72F6" w14:paraId="5728A25F" w14:textId="77777777">
      <w:pPr>
        <w:spacing w:after="0" w:line="276" w:lineRule="auto"/>
        <w:contextualSpacing/>
        <w:rPr>
          <w:rFonts w:ascii="Verdana" w:hAnsi="Verdana" w:eastAsia="Times New Roman" w:cs="Times New Roman"/>
          <w:i/>
          <w:sz w:val="18"/>
          <w:szCs w:val="18"/>
        </w:rPr>
      </w:pPr>
      <w:r w:rsidRPr="0086110A">
        <w:rPr>
          <w:rFonts w:ascii="Verdana" w:hAnsi="Verdana" w:eastAsia="Times New Roman" w:cs="Times New Roman"/>
          <w:i/>
          <w:sz w:val="18"/>
          <w:szCs w:val="18"/>
        </w:rPr>
        <w:t>Structurele regeldrukkosten: verplicht MKI</w:t>
      </w:r>
      <w:r>
        <w:rPr>
          <w:rFonts w:ascii="Verdana" w:hAnsi="Verdana" w:eastAsia="Times New Roman" w:cs="Times New Roman"/>
          <w:i/>
          <w:sz w:val="18"/>
          <w:szCs w:val="18"/>
        </w:rPr>
        <w:t xml:space="preserve"> als nader criterium</w:t>
      </w:r>
      <w:r w:rsidRPr="0086110A">
        <w:rPr>
          <w:rFonts w:ascii="Verdana" w:hAnsi="Verdana" w:eastAsia="Times New Roman" w:cs="Times New Roman"/>
          <w:i/>
          <w:sz w:val="18"/>
          <w:szCs w:val="18"/>
        </w:rPr>
        <w:t xml:space="preserve"> voor grote projecten</w:t>
      </w:r>
    </w:p>
    <w:p w:rsidR="009D72F6" w:rsidP="009D72F6" w:rsidRDefault="009D72F6" w14:paraId="4CE9EE07" w14:textId="77777777">
      <w:pPr>
        <w:spacing w:after="0" w:line="276" w:lineRule="auto"/>
        <w:contextualSpacing/>
        <w:rPr>
          <w:rFonts w:ascii="Verdana" w:hAnsi="Verdana" w:eastAsia="Times New Roman" w:cs="Times New Roman"/>
          <w:sz w:val="18"/>
          <w:szCs w:val="18"/>
        </w:rPr>
      </w:pPr>
    </w:p>
    <w:p w:rsidRPr="00E4712A" w:rsidR="009D72F6" w:rsidP="009D72F6" w:rsidRDefault="009D72F6" w14:paraId="455D6260" w14:textId="77777777">
      <w:pPr>
        <w:spacing w:after="0" w:line="276" w:lineRule="auto"/>
        <w:contextualSpacing/>
        <w:rPr>
          <w:rFonts w:ascii="Verdana" w:hAnsi="Verdana" w:eastAsia="Times New Roman" w:cs="Times New Roman"/>
          <w:sz w:val="18"/>
          <w:szCs w:val="18"/>
        </w:rPr>
      </w:pPr>
      <w:r w:rsidRPr="00E4712A">
        <w:rPr>
          <w:rFonts w:ascii="Verdana" w:hAnsi="Verdana" w:eastAsia="Times New Roman" w:cs="Times New Roman"/>
          <w:sz w:val="18"/>
          <w:szCs w:val="18"/>
        </w:rPr>
        <w:t xml:space="preserve">Het opnemen van </w:t>
      </w:r>
      <w:r>
        <w:rPr>
          <w:rFonts w:ascii="Verdana" w:hAnsi="Verdana" w:eastAsia="Times New Roman" w:cs="Times New Roman"/>
          <w:sz w:val="18"/>
          <w:szCs w:val="18"/>
        </w:rPr>
        <w:t>de</w:t>
      </w:r>
      <w:r w:rsidRPr="00E4712A">
        <w:rPr>
          <w:rFonts w:ascii="Verdana" w:hAnsi="Verdana" w:eastAsia="Times New Roman" w:cs="Times New Roman"/>
          <w:sz w:val="18"/>
          <w:szCs w:val="18"/>
        </w:rPr>
        <w:t xml:space="preserve"> MKI</w:t>
      </w:r>
      <w:r>
        <w:rPr>
          <w:rFonts w:ascii="Verdana" w:hAnsi="Verdana" w:eastAsia="Times New Roman" w:cs="Times New Roman"/>
          <w:sz w:val="18"/>
          <w:szCs w:val="18"/>
        </w:rPr>
        <w:t xml:space="preserve"> als nader criterium</w:t>
      </w:r>
      <w:r w:rsidRPr="00E4712A">
        <w:rPr>
          <w:rFonts w:ascii="Verdana" w:hAnsi="Verdana" w:eastAsia="Times New Roman" w:cs="Times New Roman"/>
          <w:sz w:val="18"/>
          <w:szCs w:val="18"/>
        </w:rPr>
        <w:t xml:space="preserve"> voor de publieke aanbesteding van GWW-werken resulteert in structurele bestuurlijke lasten voor opdrachtgevers. Deze kosten volgen primair uit de werkzaamheden die verricht moeten worden om een referentieberekening te maken voorafgaand aan het aanbestedingstraject. Respondenten hebben aangegeven dat zij voor deze berekening niet zelden gebruik maken van ondersteunende dienstverlening van externe duurzaamheidsadviseurs. Andere opdrachtgevers, voornamelijk wanneer zij veel ervaring hebben met MKI-gunningscriteria, beschikken over genoeg interne medewerkers die deze berekeningen kunnen verrichten. De bestuurlijke lasten voor het uitvoeren van de referentieberekening door externe duurzaamheidsadviseurs of door interne medewerkers variëren vrijwel evenredig met de omvang van projecten. Bij grote projecten, met een </w:t>
      </w:r>
      <w:r w:rsidRPr="00E4712A">
        <w:rPr>
          <w:rFonts w:ascii="Verdana" w:hAnsi="Verdana" w:eastAsia="Times New Roman" w:cs="Times New Roman"/>
          <w:sz w:val="18"/>
          <w:szCs w:val="18"/>
        </w:rPr>
        <w:lastRenderedPageBreak/>
        <w:t xml:space="preserve">gemiddeld projectwaarde van €11.3miljoen, lopen deze kosten gezamenlijk op tot €9.047 per project. Deze kosten bestaan voor €5.558 uit kosten voor de inhuur van externe medewerkers, en voor €3.488 uit kosten voor interne medewerkers. </w:t>
      </w:r>
    </w:p>
    <w:p w:rsidR="009D72F6" w:rsidP="009D72F6" w:rsidRDefault="009D72F6" w14:paraId="2A93E2EE" w14:textId="77777777">
      <w:pPr>
        <w:spacing w:after="0" w:line="276" w:lineRule="auto"/>
        <w:contextualSpacing/>
        <w:rPr>
          <w:rFonts w:ascii="Calibri" w:hAnsi="Calibri" w:eastAsia="Verdana" w:cs="Times New Roman"/>
          <w:spacing w:val="-10"/>
          <w:kern w:val="28"/>
          <w14:ligatures w14:val="standardContextual"/>
        </w:rPr>
      </w:pPr>
    </w:p>
    <w:p w:rsidRPr="00E4712A" w:rsidR="009D72F6" w:rsidP="009D72F6" w:rsidRDefault="009D72F6" w14:paraId="06758713" w14:textId="77777777">
      <w:pPr>
        <w:spacing w:after="0" w:line="276" w:lineRule="auto"/>
        <w:contextualSpacing/>
        <w:rPr>
          <w:rFonts w:ascii="Verdana" w:hAnsi="Verdana" w:eastAsia="Times New Roman" w:cs="Times New Roman"/>
          <w:sz w:val="18"/>
          <w:szCs w:val="18"/>
        </w:rPr>
      </w:pPr>
      <w:r w:rsidRPr="00E4712A">
        <w:rPr>
          <w:rFonts w:ascii="Verdana" w:hAnsi="Verdana" w:eastAsia="Times New Roman" w:cs="Times New Roman"/>
          <w:sz w:val="18"/>
          <w:szCs w:val="18"/>
        </w:rPr>
        <w:t>Naast structurele tijdbesteding voor het uitvoeren van de referentieberekening verwachten opdrachtgevers op projectbasis tijd kwijt te zijn aan de monitoring van het project. Hierbij wordt specifiek gedoeld op het toezicht op de naleving van de gemaakte beloften door opdrachtnemers. De tijdbesteding die hiermee gemoeid is loopt uiteen van een dagdeel tot enkele werkdagen. Opdrachtgevers geven aan gemiddeld 36 uur te besteden aan het houden van toezicht. Uitgaande vaneen standaard intern uurtarief van een schaal 10 medewerker zijn de bijbehorende kosten van deze tijdbesteding € 2.700.</w:t>
      </w:r>
      <w:r>
        <w:rPr>
          <w:rFonts w:ascii="Verdana" w:hAnsi="Verdana" w:eastAsia="Times New Roman" w:cs="Times New Roman"/>
          <w:sz w:val="18"/>
          <w:szCs w:val="18"/>
        </w:rPr>
        <w:t xml:space="preserve"> </w:t>
      </w:r>
      <w:r w:rsidRPr="00E4712A">
        <w:rPr>
          <w:rFonts w:ascii="Verdana" w:hAnsi="Verdana" w:eastAsia="Times New Roman" w:cs="Times New Roman"/>
          <w:sz w:val="18"/>
          <w:szCs w:val="18"/>
        </w:rPr>
        <w:t xml:space="preserve">Gezamenlijk bedragen de bestuurlijke lasten op projectbasis hierdoor € 11.746, wat gelijk staat aan circa 0,1% van de totale projectwaarde. </w:t>
      </w:r>
    </w:p>
    <w:p w:rsidR="009D72F6" w:rsidP="009D72F6" w:rsidRDefault="009D72F6" w14:paraId="65CBA9BC" w14:textId="77777777">
      <w:pPr>
        <w:spacing w:after="0" w:line="276" w:lineRule="auto"/>
        <w:contextualSpacing/>
        <w:rPr>
          <w:rFonts w:ascii="Calibri" w:hAnsi="Calibri" w:eastAsia="Verdana" w:cs="Times New Roman"/>
          <w:spacing w:val="-10"/>
          <w:kern w:val="28"/>
          <w14:ligatures w14:val="standardContextual"/>
        </w:rPr>
      </w:pPr>
    </w:p>
    <w:p w:rsidR="009D72F6" w:rsidP="009D72F6" w:rsidRDefault="009D72F6" w14:paraId="513B7639" w14:textId="2E140F86">
      <w:pPr>
        <w:spacing w:after="0" w:line="276" w:lineRule="auto"/>
        <w:contextualSpacing/>
        <w:rPr>
          <w:rFonts w:ascii="Verdana" w:hAnsi="Verdana" w:eastAsia="Times New Roman" w:cs="Times New Roman"/>
          <w:sz w:val="18"/>
          <w:szCs w:val="18"/>
        </w:rPr>
      </w:pPr>
      <w:r w:rsidRPr="00E4712A">
        <w:rPr>
          <w:rFonts w:ascii="Verdana" w:hAnsi="Verdana" w:eastAsia="Times New Roman" w:cs="Times New Roman"/>
          <w:sz w:val="18"/>
          <w:szCs w:val="18"/>
        </w:rPr>
        <w:t>In lijn met de berekening van de regeldrukgevolgen ten gevolge van de verplichting tot het opnemen van MKI</w:t>
      </w:r>
      <w:r>
        <w:rPr>
          <w:rFonts w:ascii="Verdana" w:hAnsi="Verdana" w:eastAsia="Times New Roman" w:cs="Times New Roman"/>
          <w:sz w:val="18"/>
          <w:szCs w:val="18"/>
        </w:rPr>
        <w:t xml:space="preserve"> prestatie-eisen</w:t>
      </w:r>
      <w:r w:rsidRPr="00E4712A">
        <w:rPr>
          <w:rFonts w:ascii="Verdana" w:hAnsi="Verdana" w:eastAsia="Times New Roman" w:cs="Times New Roman"/>
          <w:sz w:val="18"/>
          <w:szCs w:val="18"/>
        </w:rPr>
        <w:t xml:space="preserve">, </w:t>
      </w:r>
      <w:r>
        <w:rPr>
          <w:rFonts w:ascii="Verdana" w:hAnsi="Verdana" w:eastAsia="Times New Roman" w:cs="Times New Roman"/>
          <w:sz w:val="18"/>
          <w:szCs w:val="18"/>
        </w:rPr>
        <w:t>gaat SIRA</w:t>
      </w:r>
      <w:r w:rsidRPr="00E4712A">
        <w:rPr>
          <w:rFonts w:ascii="Verdana" w:hAnsi="Verdana" w:eastAsia="Times New Roman" w:cs="Times New Roman"/>
          <w:sz w:val="18"/>
          <w:szCs w:val="18"/>
        </w:rPr>
        <w:t xml:space="preserve"> er</w:t>
      </w:r>
      <w:r>
        <w:rPr>
          <w:rFonts w:ascii="Verdana" w:hAnsi="Verdana" w:eastAsia="Times New Roman" w:cs="Times New Roman"/>
          <w:sz w:val="18"/>
          <w:szCs w:val="18"/>
        </w:rPr>
        <w:t xml:space="preserve"> bij het nader criterium </w:t>
      </w:r>
      <w:r w:rsidRPr="00E4712A">
        <w:rPr>
          <w:rFonts w:ascii="Verdana" w:hAnsi="Verdana" w:eastAsia="Times New Roman" w:cs="Times New Roman"/>
          <w:sz w:val="18"/>
          <w:szCs w:val="18"/>
        </w:rPr>
        <w:t xml:space="preserve">van uit dat de MKI in de huidige situatie op enigerlei wijze wordt toegepast bij 30% van de werken. Op basis van de interviews doen </w:t>
      </w:r>
      <w:r>
        <w:rPr>
          <w:rFonts w:ascii="Verdana" w:hAnsi="Verdana" w:eastAsia="Times New Roman" w:cs="Times New Roman"/>
          <w:sz w:val="18"/>
          <w:szCs w:val="18"/>
        </w:rPr>
        <w:t>zij</w:t>
      </w:r>
      <w:r w:rsidRPr="00E4712A">
        <w:rPr>
          <w:rFonts w:ascii="Verdana" w:hAnsi="Verdana" w:eastAsia="Times New Roman" w:cs="Times New Roman"/>
          <w:sz w:val="18"/>
          <w:szCs w:val="18"/>
        </w:rPr>
        <w:t xml:space="preserve"> de aanname dat het in de helft van deze gevallen om </w:t>
      </w:r>
      <w:r>
        <w:rPr>
          <w:rFonts w:ascii="Verdana" w:hAnsi="Verdana" w:eastAsia="Times New Roman" w:cs="Times New Roman"/>
          <w:sz w:val="18"/>
          <w:szCs w:val="18"/>
        </w:rPr>
        <w:t>het toepassen van de</w:t>
      </w:r>
      <w:r w:rsidRPr="00E4712A">
        <w:rPr>
          <w:rFonts w:ascii="Verdana" w:hAnsi="Verdana" w:eastAsia="Times New Roman" w:cs="Times New Roman"/>
          <w:sz w:val="18"/>
          <w:szCs w:val="18"/>
        </w:rPr>
        <w:t xml:space="preserve"> MKI</w:t>
      </w:r>
      <w:r>
        <w:rPr>
          <w:rFonts w:ascii="Verdana" w:hAnsi="Verdana" w:eastAsia="Times New Roman" w:cs="Times New Roman"/>
          <w:sz w:val="18"/>
          <w:szCs w:val="18"/>
        </w:rPr>
        <w:t xml:space="preserve"> als nader criterium</w:t>
      </w:r>
      <w:r w:rsidRPr="00E4712A">
        <w:rPr>
          <w:rFonts w:ascii="Verdana" w:hAnsi="Verdana" w:eastAsia="Times New Roman" w:cs="Times New Roman"/>
          <w:sz w:val="18"/>
          <w:szCs w:val="18"/>
        </w:rPr>
        <w:t xml:space="preserve"> gaat, en in de andere helft om prestatie-eisen in de vorm van de MKI. Het uitvoeren van de referentieberekeningen, en het houden van toezicht vormen</w:t>
      </w:r>
      <w:r>
        <w:rPr>
          <w:rFonts w:ascii="Verdana" w:hAnsi="Verdana" w:eastAsia="Times New Roman" w:cs="Times New Roman"/>
          <w:sz w:val="18"/>
          <w:szCs w:val="18"/>
        </w:rPr>
        <w:t xml:space="preserve"> </w:t>
      </w:r>
      <w:r w:rsidRPr="00E4712A">
        <w:rPr>
          <w:rFonts w:ascii="Verdana" w:hAnsi="Verdana" w:eastAsia="Times New Roman" w:cs="Times New Roman"/>
          <w:sz w:val="18"/>
          <w:szCs w:val="18"/>
        </w:rPr>
        <w:t>derhalve bij 15% van de werken reeds onderdeel van de werkwijze. Dit betekent dat bij slechts 85% van de projecten, of 204 projecten, additionele bestuurlijke lasten voor het opnemen van een MKI-gunningscriterium worden verwacht. Onderstaande tabel toont de totale structurele bestuurlijke lasten voor die projecten waarbij tot op heden nog niet met MKI</w:t>
      </w:r>
      <w:r>
        <w:rPr>
          <w:rFonts w:ascii="Verdana" w:hAnsi="Verdana" w:eastAsia="Times New Roman" w:cs="Times New Roman"/>
          <w:sz w:val="18"/>
          <w:szCs w:val="18"/>
        </w:rPr>
        <w:t xml:space="preserve"> als nader criterium</w:t>
      </w:r>
      <w:r w:rsidRPr="00E4712A">
        <w:rPr>
          <w:rFonts w:ascii="Verdana" w:hAnsi="Verdana" w:eastAsia="Times New Roman" w:cs="Times New Roman"/>
          <w:sz w:val="18"/>
          <w:szCs w:val="18"/>
        </w:rPr>
        <w:t xml:space="preserve"> </w:t>
      </w:r>
      <w:r>
        <w:rPr>
          <w:rFonts w:ascii="Verdana" w:hAnsi="Verdana" w:eastAsia="Times New Roman" w:cs="Times New Roman"/>
          <w:sz w:val="18"/>
          <w:szCs w:val="18"/>
        </w:rPr>
        <w:t xml:space="preserve">in </w:t>
      </w:r>
      <w:r w:rsidRPr="00E4712A">
        <w:rPr>
          <w:rFonts w:ascii="Verdana" w:hAnsi="Verdana" w:eastAsia="Times New Roman" w:cs="Times New Roman"/>
          <w:sz w:val="18"/>
          <w:szCs w:val="18"/>
        </w:rPr>
        <w:t xml:space="preserve">gewerkt werd. </w:t>
      </w:r>
    </w:p>
    <w:p w:rsidR="009D72F6" w:rsidP="009D72F6" w:rsidRDefault="009D72F6" w14:paraId="71335C3E" w14:textId="77777777">
      <w:pPr>
        <w:spacing w:after="0" w:line="276" w:lineRule="auto"/>
        <w:contextualSpacing/>
        <w:jc w:val="both"/>
        <w:rPr>
          <w:rFonts w:ascii="Verdana" w:hAnsi="Verdana" w:eastAsia="Times New Roman" w:cs="Times New Roman"/>
          <w:sz w:val="18"/>
          <w:szCs w:val="18"/>
        </w:rPr>
      </w:pPr>
    </w:p>
    <w:p w:rsidRPr="001D3688" w:rsidR="009D72F6" w:rsidP="009D72F6" w:rsidRDefault="009D72F6" w14:paraId="5A66BA2C" w14:textId="77777777">
      <w:pPr>
        <w:spacing w:after="0" w:line="276" w:lineRule="auto"/>
        <w:contextualSpacing/>
        <w:rPr>
          <w:rFonts w:ascii="Calibri" w:hAnsi="Calibri" w:eastAsia="Verdana" w:cs="Times New Roman"/>
          <w:b/>
          <w:color w:val="4BAAE1"/>
          <w:spacing w:val="-10"/>
          <w:kern w:val="28"/>
          <w14:ligatures w14:val="standardContextual"/>
        </w:rPr>
      </w:pPr>
      <w:r w:rsidRPr="00D944A9">
        <w:rPr>
          <w:rFonts w:ascii="Calibri" w:hAnsi="Calibri" w:eastAsia="Verdana" w:cs="Times New Roman"/>
          <w:b/>
          <w:color w:val="4BAAE1"/>
          <w:spacing w:val="-10"/>
          <w:kern w:val="28"/>
          <w14:ligatures w14:val="standardContextual"/>
        </w:rPr>
        <w:t>Structurele bestuurlijke lasten</w:t>
      </w:r>
    </w:p>
    <w:tbl>
      <w:tblPr>
        <w:tblStyle w:val="Tabelraster1"/>
        <w:tblW w:w="4986" w:type="pct"/>
        <w:tblInd w:w="0" w:type="dxa"/>
        <w:tblLook w:val="04A0" w:firstRow="1" w:lastRow="0" w:firstColumn="1" w:lastColumn="0" w:noHBand="0" w:noVBand="1"/>
      </w:tblPr>
      <w:tblGrid>
        <w:gridCol w:w="1921"/>
        <w:gridCol w:w="1393"/>
        <w:gridCol w:w="1261"/>
        <w:gridCol w:w="1119"/>
        <w:gridCol w:w="1121"/>
        <w:gridCol w:w="1260"/>
      </w:tblGrid>
      <w:tr w:rsidRPr="00967BCA" w:rsidR="009D72F6" w:rsidTr="00142A61" w14:paraId="6CD13DC0"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5CA3D6"/>
          </w:tcPr>
          <w:p w:rsidRPr="00967BCA" w:rsidR="009D72F6" w:rsidP="00142A61" w:rsidRDefault="009D72F6" w14:paraId="3201095F" w14:textId="74DFAFC9">
            <w:pPr>
              <w:spacing w:line="276" w:lineRule="auto"/>
              <w:contextualSpacing/>
              <w:jc w:val="both"/>
              <w:rPr>
                <w:b/>
                <w:bCs/>
              </w:rPr>
            </w:pPr>
            <w:r w:rsidRPr="00967BCA">
              <w:rPr>
                <w:b/>
                <w:bCs/>
              </w:rPr>
              <w:t>MKI</w:t>
            </w:r>
            <w:r>
              <w:rPr>
                <w:b/>
                <w:bCs/>
              </w:rPr>
              <w:t xml:space="preserve"> als nader criterium</w:t>
            </w:r>
          </w:p>
        </w:tc>
      </w:tr>
      <w:tr w:rsidRPr="00967BCA" w:rsidR="009D72F6" w:rsidTr="00142A61" w14:paraId="5ECD2DD4" w14:textId="77777777">
        <w:trPr>
          <w:trHeight w:val="606"/>
        </w:trPr>
        <w:tc>
          <w:tcPr>
            <w:tcW w:w="1189" w:type="pct"/>
            <w:tcBorders>
              <w:top w:val="single" w:color="auto" w:sz="4" w:space="0"/>
              <w:left w:val="single" w:color="auto" w:sz="4" w:space="0"/>
              <w:bottom w:val="single" w:color="auto" w:sz="4" w:space="0"/>
              <w:right w:val="single" w:color="auto" w:sz="4" w:space="0"/>
            </w:tcBorders>
            <w:shd w:val="clear" w:color="auto" w:fill="DBEDF9"/>
          </w:tcPr>
          <w:p w:rsidRPr="00967BCA" w:rsidR="009D72F6" w:rsidP="00142A61" w:rsidRDefault="009D72F6" w14:paraId="323AF074" w14:textId="77777777">
            <w:pPr>
              <w:spacing w:line="276" w:lineRule="auto"/>
              <w:contextualSpacing/>
            </w:pPr>
            <w:r>
              <w:t>Type kosten</w:t>
            </w:r>
          </w:p>
        </w:tc>
        <w:tc>
          <w:tcPr>
            <w:tcW w:w="863" w:type="pct"/>
            <w:tcBorders>
              <w:top w:val="single" w:color="auto" w:sz="4" w:space="0"/>
              <w:left w:val="single" w:color="auto" w:sz="4" w:space="0"/>
              <w:bottom w:val="single" w:color="auto" w:sz="4" w:space="0"/>
              <w:right w:val="single" w:color="auto" w:sz="4" w:space="0"/>
            </w:tcBorders>
            <w:shd w:val="clear" w:color="auto" w:fill="DBEDF9"/>
          </w:tcPr>
          <w:p w:rsidRPr="00967BCA" w:rsidR="009D72F6" w:rsidP="00142A61" w:rsidRDefault="009D72F6" w14:paraId="1A2755CE" w14:textId="77777777">
            <w:pPr>
              <w:spacing w:line="276" w:lineRule="auto"/>
              <w:contextualSpacing/>
            </w:pPr>
            <w:r>
              <w:t>Eenmalig of structureel</w:t>
            </w:r>
          </w:p>
        </w:tc>
        <w:tc>
          <w:tcPr>
            <w:tcW w:w="781"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72137422" w14:textId="77777777">
            <w:pPr>
              <w:spacing w:line="276" w:lineRule="auto"/>
              <w:contextualSpacing/>
            </w:pPr>
            <w:r w:rsidRPr="00967BCA">
              <w:t xml:space="preserve">Kosten tijdbesteding (€) </w:t>
            </w:r>
          </w:p>
        </w:tc>
        <w:tc>
          <w:tcPr>
            <w:tcW w:w="693"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6F5B344F" w14:textId="77777777">
            <w:pPr>
              <w:spacing w:line="276" w:lineRule="auto"/>
              <w:contextualSpacing/>
            </w:pPr>
            <w:r w:rsidRPr="00967BCA">
              <w:t>Out-of-pocket kosten (€)</w:t>
            </w:r>
          </w:p>
        </w:tc>
        <w:tc>
          <w:tcPr>
            <w:tcW w:w="694"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18F2B390" w14:textId="77777777">
            <w:pPr>
              <w:spacing w:line="276" w:lineRule="auto"/>
              <w:contextualSpacing/>
            </w:pPr>
            <w:r w:rsidRPr="00967BCA">
              <w:t>Aantal projecten (Q)</w:t>
            </w:r>
          </w:p>
        </w:tc>
        <w:tc>
          <w:tcPr>
            <w:tcW w:w="779" w:type="pct"/>
            <w:tcBorders>
              <w:top w:val="single" w:color="auto" w:sz="4" w:space="0"/>
              <w:left w:val="single" w:color="auto" w:sz="4" w:space="0"/>
              <w:bottom w:val="single" w:color="auto" w:sz="4" w:space="0"/>
              <w:right w:val="single" w:color="auto" w:sz="4" w:space="0"/>
            </w:tcBorders>
            <w:shd w:val="clear" w:color="auto" w:fill="DBEDF9"/>
            <w:hideMark/>
          </w:tcPr>
          <w:p w:rsidRPr="00967BCA" w:rsidR="009D72F6" w:rsidP="00142A61" w:rsidRDefault="009D72F6" w14:paraId="31DF4E57" w14:textId="77777777">
            <w:pPr>
              <w:spacing w:line="276" w:lineRule="auto"/>
              <w:contextualSpacing/>
            </w:pPr>
            <w:r w:rsidRPr="00967BCA">
              <w:t>kosten (P*Q)</w:t>
            </w:r>
          </w:p>
        </w:tc>
      </w:tr>
      <w:tr w:rsidRPr="00967BCA" w:rsidR="009D72F6" w:rsidTr="00142A61" w14:paraId="71FD0C07" w14:textId="77777777">
        <w:trPr>
          <w:trHeight w:val="207"/>
        </w:trPr>
        <w:tc>
          <w:tcPr>
            <w:tcW w:w="1189" w:type="pct"/>
            <w:tcBorders>
              <w:top w:val="single" w:color="auto" w:sz="4" w:space="0"/>
              <w:left w:val="single" w:color="auto" w:sz="4" w:space="0"/>
              <w:bottom w:val="single" w:color="auto" w:sz="4" w:space="0"/>
              <w:right w:val="single" w:color="auto" w:sz="4" w:space="0"/>
            </w:tcBorders>
            <w:shd w:val="clear" w:color="auto" w:fill="FFFFFF" w:themeFill="background1"/>
          </w:tcPr>
          <w:p w:rsidRPr="00967BCA" w:rsidR="009D72F6" w:rsidP="00142A61" w:rsidRDefault="009D72F6" w14:paraId="00641023" w14:textId="77777777">
            <w:pPr>
              <w:spacing w:line="276" w:lineRule="auto"/>
              <w:contextualSpacing/>
            </w:pPr>
            <w:r>
              <w:t>Uitvoeren referentieberekening (extern)</w:t>
            </w:r>
          </w:p>
        </w:tc>
        <w:tc>
          <w:tcPr>
            <w:tcW w:w="863" w:type="pct"/>
            <w:tcBorders>
              <w:top w:val="single" w:color="auto" w:sz="4" w:space="0"/>
              <w:left w:val="single" w:color="auto" w:sz="4" w:space="0"/>
              <w:bottom w:val="single" w:color="auto" w:sz="4" w:space="0"/>
              <w:right w:val="single" w:color="auto" w:sz="4" w:space="0"/>
            </w:tcBorders>
            <w:shd w:val="clear" w:color="auto" w:fill="FFFFFF" w:themeFill="background1"/>
          </w:tcPr>
          <w:p w:rsidRPr="00967BCA" w:rsidR="009D72F6" w:rsidP="00142A61" w:rsidRDefault="009D72F6" w14:paraId="19CBB455" w14:textId="77777777">
            <w:pPr>
              <w:spacing w:line="276" w:lineRule="auto"/>
              <w:contextualSpacing/>
            </w:pPr>
            <w:r>
              <w:t>Structureel</w:t>
            </w:r>
          </w:p>
        </w:tc>
        <w:tc>
          <w:tcPr>
            <w:tcW w:w="781"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36D1DB66" w14:textId="77777777">
            <w:pPr>
              <w:spacing w:line="276" w:lineRule="auto"/>
              <w:contextualSpacing/>
            </w:pPr>
            <w:r>
              <w:t>-</w:t>
            </w:r>
          </w:p>
        </w:tc>
        <w:tc>
          <w:tcPr>
            <w:tcW w:w="693"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2BDABAF1" w14:textId="77777777">
            <w:pPr>
              <w:spacing w:line="276" w:lineRule="auto"/>
              <w:contextualSpacing/>
            </w:pPr>
            <w:r w:rsidRPr="00967BCA">
              <w:t>€ 5.558</w:t>
            </w:r>
          </w:p>
        </w:tc>
        <w:tc>
          <w:tcPr>
            <w:tcW w:w="694"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967BCA" w:rsidR="009D72F6" w:rsidP="00142A61" w:rsidRDefault="009D72F6" w14:paraId="01428845" w14:textId="77777777">
            <w:pPr>
              <w:spacing w:line="276" w:lineRule="auto"/>
              <w:contextualSpacing/>
            </w:pPr>
            <w:r w:rsidRPr="00967BCA">
              <w:t>204</w:t>
            </w:r>
          </w:p>
        </w:tc>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E4712A" w:rsidR="009D72F6" w:rsidP="00142A61" w:rsidRDefault="009D72F6" w14:paraId="707274F0" w14:textId="77777777">
            <w:pPr>
              <w:spacing w:line="276" w:lineRule="auto"/>
              <w:contextualSpacing/>
            </w:pPr>
            <w:r w:rsidRPr="00E4712A">
              <w:t>€ 1.133.832</w:t>
            </w:r>
          </w:p>
        </w:tc>
      </w:tr>
      <w:tr w:rsidRPr="00967BCA" w:rsidR="009D72F6" w:rsidTr="00142A61" w14:paraId="3C7BAA11" w14:textId="77777777">
        <w:trPr>
          <w:trHeight w:val="207"/>
        </w:trPr>
        <w:tc>
          <w:tcPr>
            <w:tcW w:w="1189" w:type="pct"/>
            <w:tcBorders>
              <w:top w:val="single" w:color="auto" w:sz="4" w:space="0"/>
              <w:left w:val="single" w:color="auto" w:sz="4" w:space="0"/>
              <w:bottom w:val="single" w:color="auto" w:sz="4" w:space="0"/>
              <w:right w:val="single" w:color="auto" w:sz="4" w:space="0"/>
            </w:tcBorders>
            <w:shd w:val="clear" w:color="auto" w:fill="FFFFFF" w:themeFill="background1"/>
          </w:tcPr>
          <w:p w:rsidR="009D72F6" w:rsidP="00142A61" w:rsidRDefault="009D72F6" w14:paraId="13C3630E" w14:textId="77777777">
            <w:pPr>
              <w:spacing w:line="276" w:lineRule="auto"/>
              <w:contextualSpacing/>
            </w:pPr>
            <w:r>
              <w:t>Uitvoeren referentieberekening (intern)</w:t>
            </w:r>
          </w:p>
        </w:tc>
        <w:tc>
          <w:tcPr>
            <w:tcW w:w="863" w:type="pct"/>
            <w:tcBorders>
              <w:top w:val="single" w:color="auto" w:sz="4" w:space="0"/>
              <w:left w:val="single" w:color="auto" w:sz="4" w:space="0"/>
              <w:bottom w:val="single" w:color="auto" w:sz="4" w:space="0"/>
              <w:right w:val="single" w:color="auto" w:sz="4" w:space="0"/>
            </w:tcBorders>
            <w:shd w:val="clear" w:color="auto" w:fill="FFFFFF" w:themeFill="background1"/>
          </w:tcPr>
          <w:p w:rsidR="009D72F6" w:rsidP="00142A61" w:rsidRDefault="009D72F6" w14:paraId="49BBC2F6" w14:textId="77777777">
            <w:pPr>
              <w:spacing w:line="276" w:lineRule="auto"/>
              <w:contextualSpacing/>
            </w:pPr>
            <w:r>
              <w:t>Structureel</w:t>
            </w:r>
          </w:p>
        </w:tc>
        <w:tc>
          <w:tcPr>
            <w:tcW w:w="781" w:type="pct"/>
            <w:tcBorders>
              <w:top w:val="single" w:color="auto" w:sz="4" w:space="0"/>
              <w:left w:val="single" w:color="auto" w:sz="4" w:space="0"/>
              <w:bottom w:val="single" w:color="auto" w:sz="4" w:space="0"/>
              <w:right w:val="single" w:color="auto" w:sz="4" w:space="0"/>
            </w:tcBorders>
            <w:shd w:val="clear" w:color="auto" w:fill="FFFFFF" w:themeFill="background1"/>
          </w:tcPr>
          <w:p w:rsidRPr="00967BCA" w:rsidR="009D72F6" w:rsidP="00142A61" w:rsidRDefault="009D72F6" w14:paraId="43333E05" w14:textId="77777777">
            <w:pPr>
              <w:spacing w:line="276" w:lineRule="auto"/>
              <w:contextualSpacing/>
            </w:pPr>
            <w:r>
              <w:t>€ 3.488</w:t>
            </w:r>
          </w:p>
        </w:tc>
        <w:tc>
          <w:tcPr>
            <w:tcW w:w="693" w:type="pct"/>
            <w:tcBorders>
              <w:top w:val="single" w:color="auto" w:sz="4" w:space="0"/>
              <w:left w:val="single" w:color="auto" w:sz="4" w:space="0"/>
              <w:bottom w:val="single" w:color="auto" w:sz="4" w:space="0"/>
              <w:right w:val="single" w:color="auto" w:sz="4" w:space="0"/>
            </w:tcBorders>
            <w:shd w:val="clear" w:color="auto" w:fill="FFFFFF" w:themeFill="background1"/>
          </w:tcPr>
          <w:p w:rsidRPr="00967BCA" w:rsidR="009D72F6" w:rsidP="00142A61" w:rsidRDefault="009D72F6" w14:paraId="1FDF19D0" w14:textId="77777777">
            <w:pPr>
              <w:spacing w:line="276" w:lineRule="auto"/>
              <w:contextualSpacing/>
            </w:pPr>
            <w:r>
              <w:t>-</w:t>
            </w:r>
          </w:p>
        </w:tc>
        <w:tc>
          <w:tcPr>
            <w:tcW w:w="694" w:type="pct"/>
            <w:tcBorders>
              <w:top w:val="single" w:color="auto" w:sz="4" w:space="0"/>
              <w:left w:val="single" w:color="auto" w:sz="4" w:space="0"/>
              <w:bottom w:val="single" w:color="auto" w:sz="4" w:space="0"/>
              <w:right w:val="single" w:color="auto" w:sz="4" w:space="0"/>
            </w:tcBorders>
            <w:shd w:val="clear" w:color="auto" w:fill="FFFFFF" w:themeFill="background1"/>
          </w:tcPr>
          <w:p w:rsidRPr="00967BCA" w:rsidR="009D72F6" w:rsidP="00142A61" w:rsidRDefault="009D72F6" w14:paraId="4CEE0BCA" w14:textId="77777777">
            <w:pPr>
              <w:spacing w:line="276" w:lineRule="auto"/>
              <w:contextualSpacing/>
            </w:pPr>
            <w:r>
              <w:t>204</w:t>
            </w:r>
          </w:p>
        </w:tc>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tcPr>
          <w:p w:rsidRPr="00E4712A" w:rsidR="009D72F6" w:rsidP="00142A61" w:rsidRDefault="009D72F6" w14:paraId="63472C4E" w14:textId="77777777">
            <w:pPr>
              <w:spacing w:line="276" w:lineRule="auto"/>
              <w:contextualSpacing/>
            </w:pPr>
            <w:r w:rsidRPr="00E4712A">
              <w:t>€ 711.552</w:t>
            </w:r>
          </w:p>
        </w:tc>
      </w:tr>
      <w:tr w:rsidRPr="00967BCA" w:rsidR="009D72F6" w:rsidTr="00142A61" w14:paraId="2C4EA044" w14:textId="77777777">
        <w:trPr>
          <w:trHeight w:val="207"/>
        </w:trPr>
        <w:tc>
          <w:tcPr>
            <w:tcW w:w="1189" w:type="pct"/>
            <w:tcBorders>
              <w:top w:val="single" w:color="auto" w:sz="4" w:space="0"/>
              <w:left w:val="single" w:color="auto" w:sz="4" w:space="0"/>
              <w:bottom w:val="single" w:color="auto" w:sz="4" w:space="0"/>
              <w:right w:val="single" w:color="auto" w:sz="4" w:space="0"/>
            </w:tcBorders>
            <w:shd w:val="clear" w:color="auto" w:fill="FFFFFF" w:themeFill="background1"/>
          </w:tcPr>
          <w:p w:rsidR="009D72F6" w:rsidP="00142A61" w:rsidRDefault="009D72F6" w14:paraId="6F382012" w14:textId="77777777">
            <w:pPr>
              <w:spacing w:line="276" w:lineRule="auto"/>
              <w:contextualSpacing/>
            </w:pPr>
            <w:r>
              <w:t>Monitoring (toezicht)</w:t>
            </w:r>
          </w:p>
        </w:tc>
        <w:tc>
          <w:tcPr>
            <w:tcW w:w="863" w:type="pct"/>
            <w:tcBorders>
              <w:top w:val="single" w:color="auto" w:sz="4" w:space="0"/>
              <w:left w:val="single" w:color="auto" w:sz="4" w:space="0"/>
              <w:bottom w:val="single" w:color="auto" w:sz="4" w:space="0"/>
              <w:right w:val="single" w:color="auto" w:sz="4" w:space="0"/>
            </w:tcBorders>
            <w:shd w:val="clear" w:color="auto" w:fill="FFFFFF" w:themeFill="background1"/>
          </w:tcPr>
          <w:p w:rsidR="009D72F6" w:rsidP="00142A61" w:rsidRDefault="009D72F6" w14:paraId="573340D5" w14:textId="77777777">
            <w:pPr>
              <w:spacing w:line="276" w:lineRule="auto"/>
              <w:contextualSpacing/>
            </w:pPr>
            <w:r>
              <w:t>Structureel</w:t>
            </w:r>
          </w:p>
        </w:tc>
        <w:tc>
          <w:tcPr>
            <w:tcW w:w="781" w:type="pct"/>
            <w:tcBorders>
              <w:top w:val="single" w:color="auto" w:sz="4" w:space="0"/>
              <w:left w:val="single" w:color="auto" w:sz="4" w:space="0"/>
              <w:bottom w:val="single" w:color="auto" w:sz="4" w:space="0"/>
              <w:right w:val="single" w:color="auto" w:sz="4" w:space="0"/>
            </w:tcBorders>
            <w:shd w:val="clear" w:color="auto" w:fill="FFFFFF" w:themeFill="background1"/>
          </w:tcPr>
          <w:p w:rsidR="009D72F6" w:rsidP="00142A61" w:rsidRDefault="009D72F6" w14:paraId="644B139A" w14:textId="77777777">
            <w:pPr>
              <w:spacing w:line="276" w:lineRule="auto"/>
              <w:contextualSpacing/>
            </w:pPr>
            <w:r>
              <w:t>€ 2.700</w:t>
            </w:r>
          </w:p>
        </w:tc>
        <w:tc>
          <w:tcPr>
            <w:tcW w:w="693" w:type="pct"/>
            <w:tcBorders>
              <w:top w:val="single" w:color="auto" w:sz="4" w:space="0"/>
              <w:left w:val="single" w:color="auto" w:sz="4" w:space="0"/>
              <w:bottom w:val="single" w:color="auto" w:sz="4" w:space="0"/>
              <w:right w:val="single" w:color="auto" w:sz="4" w:space="0"/>
            </w:tcBorders>
            <w:shd w:val="clear" w:color="auto" w:fill="FFFFFF" w:themeFill="background1"/>
          </w:tcPr>
          <w:p w:rsidRPr="00967BCA" w:rsidR="009D72F6" w:rsidP="00142A61" w:rsidRDefault="009D72F6" w14:paraId="2F3BEE30" w14:textId="77777777">
            <w:pPr>
              <w:spacing w:line="276" w:lineRule="auto"/>
              <w:contextualSpacing/>
            </w:pPr>
            <w:r>
              <w:t>-</w:t>
            </w:r>
          </w:p>
        </w:tc>
        <w:tc>
          <w:tcPr>
            <w:tcW w:w="694" w:type="pct"/>
            <w:tcBorders>
              <w:top w:val="single" w:color="auto" w:sz="4" w:space="0"/>
              <w:left w:val="single" w:color="auto" w:sz="4" w:space="0"/>
              <w:bottom w:val="single" w:color="auto" w:sz="4" w:space="0"/>
              <w:right w:val="single" w:color="auto" w:sz="4" w:space="0"/>
            </w:tcBorders>
            <w:shd w:val="clear" w:color="auto" w:fill="FFFFFF" w:themeFill="background1"/>
          </w:tcPr>
          <w:p w:rsidR="009D72F6" w:rsidP="00142A61" w:rsidRDefault="009D72F6" w14:paraId="292D68DA" w14:textId="77777777">
            <w:pPr>
              <w:spacing w:line="276" w:lineRule="auto"/>
              <w:contextualSpacing/>
            </w:pPr>
            <w:r>
              <w:t>204</w:t>
            </w:r>
          </w:p>
        </w:tc>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tcPr>
          <w:p w:rsidRPr="00E4712A" w:rsidR="009D72F6" w:rsidP="00142A61" w:rsidRDefault="009D72F6" w14:paraId="4E1C3CA0" w14:textId="77777777">
            <w:pPr>
              <w:spacing w:line="276" w:lineRule="auto"/>
              <w:contextualSpacing/>
            </w:pPr>
            <w:r w:rsidRPr="00E4712A">
              <w:t>€ 550.800</w:t>
            </w:r>
          </w:p>
        </w:tc>
      </w:tr>
      <w:tr w:rsidRPr="00967BCA" w:rsidR="009D72F6" w:rsidTr="00142A61" w14:paraId="767F395B" w14:textId="77777777">
        <w:trPr>
          <w:trHeight w:val="207"/>
        </w:trPr>
        <w:tc>
          <w:tcPr>
            <w:tcW w:w="1189" w:type="pct"/>
            <w:tcBorders>
              <w:top w:val="single" w:color="auto" w:sz="4" w:space="0"/>
              <w:left w:val="single" w:color="auto" w:sz="4" w:space="0"/>
              <w:bottom w:val="single" w:color="auto" w:sz="4" w:space="0"/>
              <w:right w:val="single" w:color="auto" w:sz="4" w:space="0"/>
            </w:tcBorders>
            <w:shd w:val="clear" w:color="auto" w:fill="FFFFFF" w:themeFill="background1"/>
          </w:tcPr>
          <w:p w:rsidRPr="00E4712A" w:rsidR="009D72F6" w:rsidP="00142A61" w:rsidRDefault="009D72F6" w14:paraId="5F6717E2" w14:textId="77777777">
            <w:pPr>
              <w:spacing w:line="276" w:lineRule="auto"/>
              <w:contextualSpacing/>
              <w:rPr>
                <w:b/>
                <w:bCs/>
              </w:rPr>
            </w:pPr>
            <w:r w:rsidRPr="00E4712A">
              <w:rPr>
                <w:b/>
                <w:bCs/>
              </w:rPr>
              <w:t>Totaal</w:t>
            </w:r>
          </w:p>
        </w:tc>
        <w:tc>
          <w:tcPr>
            <w:tcW w:w="863" w:type="pct"/>
            <w:tcBorders>
              <w:top w:val="single" w:color="auto" w:sz="4" w:space="0"/>
              <w:left w:val="single" w:color="auto" w:sz="4" w:space="0"/>
              <w:bottom w:val="single" w:color="auto" w:sz="4" w:space="0"/>
              <w:right w:val="single" w:color="auto" w:sz="4" w:space="0"/>
            </w:tcBorders>
            <w:shd w:val="clear" w:color="auto" w:fill="FFFFFF" w:themeFill="background1"/>
          </w:tcPr>
          <w:p w:rsidRPr="00E4712A" w:rsidR="009D72F6" w:rsidP="00142A61" w:rsidRDefault="009D72F6" w14:paraId="110C2860" w14:textId="77777777">
            <w:pPr>
              <w:spacing w:line="276" w:lineRule="auto"/>
              <w:contextualSpacing/>
              <w:rPr>
                <w:b/>
                <w:bCs/>
              </w:rPr>
            </w:pPr>
            <w:r w:rsidRPr="00E4712A">
              <w:rPr>
                <w:b/>
                <w:bCs/>
              </w:rPr>
              <w:t>Structureel</w:t>
            </w:r>
          </w:p>
        </w:tc>
        <w:tc>
          <w:tcPr>
            <w:tcW w:w="781" w:type="pct"/>
            <w:tcBorders>
              <w:top w:val="single" w:color="auto" w:sz="4" w:space="0"/>
              <w:left w:val="single" w:color="auto" w:sz="4" w:space="0"/>
              <w:bottom w:val="single" w:color="auto" w:sz="4" w:space="0"/>
              <w:right w:val="single" w:color="auto" w:sz="4" w:space="0"/>
            </w:tcBorders>
            <w:shd w:val="clear" w:color="auto" w:fill="FFFFFF" w:themeFill="background1"/>
          </w:tcPr>
          <w:p w:rsidRPr="00E4712A" w:rsidR="009D72F6" w:rsidP="00142A61" w:rsidRDefault="009D72F6" w14:paraId="1A75943D" w14:textId="77777777">
            <w:pPr>
              <w:spacing w:line="276" w:lineRule="auto"/>
              <w:contextualSpacing/>
              <w:rPr>
                <w:b/>
                <w:bCs/>
              </w:rPr>
            </w:pPr>
            <w:r w:rsidRPr="00E4712A">
              <w:rPr>
                <w:b/>
                <w:bCs/>
              </w:rPr>
              <w:t>€ 6.188</w:t>
            </w:r>
          </w:p>
        </w:tc>
        <w:tc>
          <w:tcPr>
            <w:tcW w:w="693" w:type="pct"/>
            <w:tcBorders>
              <w:top w:val="single" w:color="auto" w:sz="4" w:space="0"/>
              <w:left w:val="single" w:color="auto" w:sz="4" w:space="0"/>
              <w:bottom w:val="single" w:color="auto" w:sz="4" w:space="0"/>
              <w:right w:val="single" w:color="auto" w:sz="4" w:space="0"/>
            </w:tcBorders>
            <w:shd w:val="clear" w:color="auto" w:fill="FFFFFF" w:themeFill="background1"/>
          </w:tcPr>
          <w:p w:rsidRPr="00E4712A" w:rsidR="009D72F6" w:rsidP="00142A61" w:rsidRDefault="009D72F6" w14:paraId="2BC4A5D4" w14:textId="77777777">
            <w:pPr>
              <w:spacing w:line="276" w:lineRule="auto"/>
              <w:contextualSpacing/>
              <w:rPr>
                <w:b/>
                <w:bCs/>
              </w:rPr>
            </w:pPr>
            <w:r w:rsidRPr="00E4712A">
              <w:rPr>
                <w:b/>
                <w:bCs/>
              </w:rPr>
              <w:t>€ 5.558</w:t>
            </w:r>
          </w:p>
        </w:tc>
        <w:tc>
          <w:tcPr>
            <w:tcW w:w="694" w:type="pct"/>
            <w:tcBorders>
              <w:top w:val="single" w:color="auto" w:sz="4" w:space="0"/>
              <w:left w:val="single" w:color="auto" w:sz="4" w:space="0"/>
              <w:bottom w:val="single" w:color="auto" w:sz="4" w:space="0"/>
              <w:right w:val="single" w:color="auto" w:sz="4" w:space="0"/>
            </w:tcBorders>
            <w:shd w:val="clear" w:color="auto" w:fill="FFFFFF" w:themeFill="background1"/>
          </w:tcPr>
          <w:p w:rsidRPr="00E4712A" w:rsidR="009D72F6" w:rsidP="00142A61" w:rsidRDefault="009D72F6" w14:paraId="321A7C4D" w14:textId="77777777">
            <w:pPr>
              <w:spacing w:line="276" w:lineRule="auto"/>
              <w:contextualSpacing/>
              <w:rPr>
                <w:b/>
                <w:bCs/>
              </w:rPr>
            </w:pPr>
            <w:r w:rsidRPr="00E4712A">
              <w:rPr>
                <w:b/>
                <w:bCs/>
              </w:rPr>
              <w:t>204</w:t>
            </w:r>
          </w:p>
        </w:tc>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tcPr>
          <w:p w:rsidRPr="00E4712A" w:rsidR="009D72F6" w:rsidP="00142A61" w:rsidRDefault="009D72F6" w14:paraId="3D1F57FC" w14:textId="77777777">
            <w:pPr>
              <w:spacing w:line="276" w:lineRule="auto"/>
              <w:contextualSpacing/>
              <w:rPr>
                <w:b/>
                <w:bCs/>
              </w:rPr>
            </w:pPr>
            <w:r w:rsidRPr="00E4712A">
              <w:rPr>
                <w:b/>
                <w:bCs/>
              </w:rPr>
              <w:t>€ 2.396.184</w:t>
            </w:r>
          </w:p>
        </w:tc>
      </w:tr>
      <w:bookmarkEnd w:id="57"/>
    </w:tbl>
    <w:p w:rsidR="00ED54B2" w:rsidP="00643E93" w:rsidRDefault="00ED54B2" w14:paraId="331F42A7" w14:textId="77777777">
      <w:pPr>
        <w:spacing w:after="0" w:line="276" w:lineRule="auto"/>
        <w:rPr>
          <w:rFonts w:ascii="Verdana" w:hAnsi="Verdana" w:eastAsia="Times New Roman" w:cs="Times New Roman"/>
          <w:sz w:val="18"/>
          <w:szCs w:val="18"/>
        </w:rPr>
      </w:pPr>
    </w:p>
    <w:p w:rsidR="009D72F6" w:rsidP="00643E93" w:rsidRDefault="009D72F6" w14:paraId="482BE4F5" w14:textId="77777777">
      <w:pPr>
        <w:spacing w:after="0" w:line="276" w:lineRule="auto"/>
        <w:rPr>
          <w:rFonts w:ascii="Verdana" w:hAnsi="Verdana" w:eastAsia="Times New Roman" w:cs="Times New Roman"/>
          <w:sz w:val="18"/>
          <w:szCs w:val="18"/>
        </w:rPr>
      </w:pPr>
    </w:p>
    <w:p w:rsidR="009D72F6" w:rsidP="00643E93" w:rsidRDefault="009D72F6" w14:paraId="4557B025" w14:textId="77777777">
      <w:pPr>
        <w:spacing w:after="0" w:line="276" w:lineRule="auto"/>
        <w:rPr>
          <w:rFonts w:ascii="Verdana" w:hAnsi="Verdana" w:eastAsia="Times New Roman" w:cs="Times New Roman"/>
          <w:sz w:val="18"/>
          <w:szCs w:val="18"/>
        </w:rPr>
      </w:pPr>
    </w:p>
    <w:p w:rsidR="00EA0D1B" w:rsidP="009D72F6" w:rsidRDefault="00ED54B2" w14:paraId="1B0B42A8" w14:textId="1E4F8479">
      <w:pPr>
        <w:pStyle w:val="Kop4"/>
        <w:numPr>
          <w:ilvl w:val="1"/>
          <w:numId w:val="24"/>
        </w:numPr>
      </w:pPr>
      <w:r w:rsidRPr="00EA0D1B">
        <w:t>Gevolgen voor de rechtspraak</w:t>
      </w:r>
    </w:p>
    <w:p w:rsidRPr="009D72F6" w:rsidR="009D72F6" w:rsidP="009D72F6" w:rsidRDefault="009D72F6" w14:paraId="068C5098" w14:textId="77777777"/>
    <w:p w:rsidRPr="00301DBC" w:rsidR="00184570" w:rsidP="00184570" w:rsidRDefault="00184570" w14:paraId="36A01395" w14:textId="77777777">
      <w:pPr>
        <w:spacing w:after="0" w:line="276" w:lineRule="auto"/>
        <w:rPr>
          <w:rFonts w:ascii="Verdana" w:hAnsi="Verdana" w:eastAsia="Times New Roman" w:cs="Times New Roman"/>
          <w:sz w:val="18"/>
          <w:szCs w:val="18"/>
        </w:rPr>
      </w:pPr>
      <w:r w:rsidRPr="00EA0D1B">
        <w:rPr>
          <w:rFonts w:ascii="Verdana" w:hAnsi="Verdana" w:eastAsia="Times New Roman" w:cs="Times New Roman"/>
          <w:sz w:val="18"/>
          <w:szCs w:val="18"/>
        </w:rPr>
        <w:t xml:space="preserve">Het wetsvoorstel legt aan aanbestedende diensten en speciale-sectorbedrijven de verplichting op om milieuprestatie-eisen en nadere criteria </w:t>
      </w:r>
      <w:r>
        <w:rPr>
          <w:rFonts w:ascii="Verdana" w:hAnsi="Verdana" w:eastAsia="Times New Roman" w:cs="Times New Roman"/>
          <w:sz w:val="18"/>
          <w:szCs w:val="18"/>
        </w:rPr>
        <w:t xml:space="preserve">met betrekking tot de </w:t>
      </w:r>
      <w:r>
        <w:rPr>
          <w:rFonts w:ascii="Verdana" w:hAnsi="Verdana" w:eastAsia="Times New Roman" w:cs="Times New Roman"/>
          <w:sz w:val="18"/>
          <w:szCs w:val="18"/>
        </w:rPr>
        <w:lastRenderedPageBreak/>
        <w:t xml:space="preserve">milieuprestatie </w:t>
      </w:r>
      <w:r w:rsidRPr="00EA0D1B">
        <w:rPr>
          <w:rFonts w:ascii="Verdana" w:hAnsi="Verdana" w:eastAsia="Times New Roman" w:cs="Times New Roman"/>
          <w:sz w:val="18"/>
          <w:szCs w:val="18"/>
        </w:rPr>
        <w:t xml:space="preserve">te betrekken bij aanbestedingen van </w:t>
      </w:r>
      <w:r>
        <w:rPr>
          <w:rFonts w:ascii="Verdana" w:hAnsi="Verdana" w:eastAsia="Times New Roman" w:cs="Times New Roman"/>
          <w:sz w:val="18"/>
          <w:szCs w:val="18"/>
        </w:rPr>
        <w:t>GWW-werken</w:t>
      </w:r>
      <w:r w:rsidRPr="00EA0D1B">
        <w:rPr>
          <w:rFonts w:ascii="Verdana" w:hAnsi="Verdana" w:eastAsia="Times New Roman" w:cs="Times New Roman"/>
          <w:sz w:val="18"/>
          <w:szCs w:val="18"/>
        </w:rPr>
        <w:t>.</w:t>
      </w:r>
      <w:r>
        <w:rPr>
          <w:rFonts w:ascii="Verdana" w:hAnsi="Verdana" w:eastAsia="Times New Roman" w:cs="Times New Roman"/>
          <w:sz w:val="18"/>
          <w:szCs w:val="18"/>
        </w:rPr>
        <w:t xml:space="preserve"> </w:t>
      </w:r>
      <w:r w:rsidRPr="00301DBC">
        <w:rPr>
          <w:rFonts w:ascii="Verdana" w:hAnsi="Verdana" w:eastAsia="Times New Roman" w:cs="Times New Roman"/>
          <w:sz w:val="18"/>
          <w:szCs w:val="18"/>
        </w:rPr>
        <w:t xml:space="preserve">In de praktijk worden al GWW-werken aanbesteed en worden in die aanbestedingen reeds verplichtingen meegenomen die relevant zijn voor de beoordeling van inschrijvingen. Zoals bij alle aanbestedingsprocedures kunnen </w:t>
      </w:r>
      <w:r>
        <w:rPr>
          <w:rFonts w:ascii="Verdana" w:hAnsi="Verdana" w:eastAsia="Times New Roman" w:cs="Times New Roman"/>
          <w:sz w:val="18"/>
          <w:szCs w:val="18"/>
        </w:rPr>
        <w:t>partijen</w:t>
      </w:r>
      <w:r w:rsidRPr="00301DBC">
        <w:rPr>
          <w:rFonts w:ascii="Verdana" w:hAnsi="Verdana" w:eastAsia="Times New Roman" w:cs="Times New Roman"/>
          <w:sz w:val="18"/>
          <w:szCs w:val="18"/>
        </w:rPr>
        <w:t xml:space="preserve"> tijdens of direct na de aanbesteding naar de rechter stappen wanneer zij menen dat verplichtingen onjuist zijn toegepast.</w:t>
      </w:r>
      <w:r>
        <w:rPr>
          <w:rFonts w:ascii="Verdana" w:hAnsi="Verdana" w:eastAsia="Times New Roman" w:cs="Times New Roman"/>
          <w:sz w:val="18"/>
          <w:szCs w:val="18"/>
        </w:rPr>
        <w:t xml:space="preserve"> </w:t>
      </w:r>
      <w:r w:rsidRPr="00301DBC">
        <w:rPr>
          <w:rFonts w:ascii="Verdana" w:hAnsi="Verdana" w:eastAsia="Times New Roman" w:cs="Times New Roman"/>
          <w:sz w:val="18"/>
          <w:szCs w:val="18"/>
        </w:rPr>
        <w:t xml:space="preserve">Dit wetsvoorstel brengt geen wijzigingen aan in de Aanbestedingswet 2012. Aanbestedende diensten blijven gehouden aan de daarin opgenomen procedures en bepalingen met betrekking tot de wijze van aanbesteden. Evenmin worden wijzigingen aangebracht in de inrichting van toezicht en handhaving, die plaatsvindt binnen het bestaande kader van privaatrechtelijke rechtsbescherming. </w:t>
      </w:r>
      <w:r w:rsidRPr="00EA0D1B">
        <w:rPr>
          <w:rFonts w:ascii="Verdana" w:hAnsi="Verdana" w:eastAsia="Times New Roman" w:cs="Times New Roman"/>
          <w:sz w:val="18"/>
          <w:szCs w:val="18"/>
        </w:rPr>
        <w:t>Samengevat wordt de bestaande systematiek niet gewijzigd en sluiten de in dit wetsvoorstel opgenomen verplichtingen aan bij reeds bestaande werkprocessen. Op grond hiervan wordt verwacht dat het wetsvoorstel geen gevolgen zal hebben voor de rechtspraak.</w:t>
      </w:r>
    </w:p>
    <w:p w:rsidR="00390BFA" w:rsidP="00EA0D1B" w:rsidRDefault="00390BFA" w14:paraId="68CCF2CB" w14:textId="77777777">
      <w:pPr>
        <w:spacing w:after="0" w:line="276" w:lineRule="auto"/>
        <w:rPr>
          <w:rFonts w:ascii="Verdana" w:hAnsi="Verdana" w:eastAsia="Times New Roman" w:cs="Times New Roman"/>
          <w:sz w:val="18"/>
          <w:szCs w:val="18"/>
        </w:rPr>
      </w:pPr>
    </w:p>
    <w:p w:rsidR="00EA0D1B" w:rsidP="00EA0D1B" w:rsidRDefault="00EA0D1B" w14:paraId="2A22D341" w14:textId="77777777">
      <w:pPr>
        <w:spacing w:after="0" w:line="276" w:lineRule="auto"/>
        <w:rPr>
          <w:rFonts w:ascii="Verdana" w:hAnsi="Verdana" w:eastAsia="Times New Roman" w:cs="Times New Roman"/>
          <w:sz w:val="18"/>
          <w:szCs w:val="18"/>
        </w:rPr>
      </w:pPr>
    </w:p>
    <w:p w:rsidRPr="00390BFA" w:rsidR="00637815" w:rsidP="00390BFA" w:rsidRDefault="00637815" w14:paraId="5261E2F9" w14:textId="6F496D73">
      <w:pPr>
        <w:pStyle w:val="Kop3"/>
        <w:spacing w:line="276" w:lineRule="auto"/>
      </w:pPr>
      <w:r>
        <w:t>Monitoring en e</w:t>
      </w:r>
      <w:r w:rsidRPr="00E43A50" w:rsidR="004F0533">
        <w:t>valuatie</w:t>
      </w:r>
    </w:p>
    <w:p w:rsidRPr="00E43A50" w:rsidR="004F0533" w:rsidP="00643E93" w:rsidRDefault="004F0533" w14:paraId="3ADB59BB" w14:textId="6971A815">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Met het oog op een goede uitvoering, </w:t>
      </w:r>
      <w:r w:rsidR="00637815">
        <w:rPr>
          <w:rFonts w:ascii="Verdana" w:hAnsi="Verdana" w:eastAsia="Times New Roman" w:cs="Times New Roman"/>
          <w:sz w:val="18"/>
          <w:szCs w:val="18"/>
        </w:rPr>
        <w:t>monitoring</w:t>
      </w:r>
      <w:r w:rsidRPr="00E43A50">
        <w:rPr>
          <w:rFonts w:ascii="Verdana" w:hAnsi="Verdana" w:eastAsia="Times New Roman" w:cs="Times New Roman"/>
          <w:sz w:val="18"/>
          <w:szCs w:val="18"/>
        </w:rPr>
        <w:t xml:space="preserve"> en evaluatie van de voorgenomen wetswijziging </w:t>
      </w:r>
      <w:r w:rsidRPr="00E43A50" w:rsidR="00872EAA">
        <w:rPr>
          <w:rFonts w:ascii="Verdana" w:hAnsi="Verdana" w:eastAsia="Times New Roman" w:cs="Times New Roman"/>
          <w:sz w:val="18"/>
          <w:szCs w:val="18"/>
        </w:rPr>
        <w:t>word</w:t>
      </w:r>
      <w:r w:rsidRPr="00E43A50">
        <w:rPr>
          <w:rFonts w:ascii="Verdana" w:hAnsi="Verdana" w:eastAsia="Times New Roman" w:cs="Times New Roman"/>
          <w:sz w:val="18"/>
          <w:szCs w:val="18"/>
        </w:rPr>
        <w:t>en er met aanbestedende diensten</w:t>
      </w:r>
      <w:r w:rsidR="00095617">
        <w:rPr>
          <w:rFonts w:ascii="Verdana" w:hAnsi="Verdana" w:eastAsia="Times New Roman" w:cs="Times New Roman"/>
          <w:sz w:val="18"/>
          <w:szCs w:val="18"/>
        </w:rPr>
        <w:t xml:space="preserve"> en </w:t>
      </w:r>
      <w:r w:rsidR="00095617">
        <w:rPr>
          <w:rFonts w:ascii="Verdana" w:hAnsi="Verdana" w:eastAsia="Times New Roman" w:cs="Times New Roman"/>
          <w:sz w:val="18"/>
          <w:szCs w:val="18"/>
          <w:lang w:eastAsia="nl-NL"/>
        </w:rPr>
        <w:t>speciale-sectorbedrijven</w:t>
      </w:r>
      <w:r w:rsidRPr="00E43A50">
        <w:rPr>
          <w:rFonts w:ascii="Verdana" w:hAnsi="Verdana" w:eastAsia="Times New Roman" w:cs="Times New Roman"/>
          <w:sz w:val="18"/>
          <w:szCs w:val="18"/>
        </w:rPr>
        <w:t xml:space="preserve"> afspraken gemaakt over de wijze waarop informatieverstrekking tussen de </w:t>
      </w:r>
      <w:r w:rsidR="0043376A">
        <w:rPr>
          <w:rFonts w:ascii="Verdana" w:hAnsi="Verdana" w:eastAsia="Times New Roman" w:cs="Times New Roman"/>
          <w:sz w:val="18"/>
          <w:szCs w:val="18"/>
        </w:rPr>
        <w:t>aanbestedende diensten</w:t>
      </w:r>
      <w:r w:rsidRPr="00E43A50" w:rsidR="0043376A">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onderling en aan het Rijk zal plaatsvinden over de uitvoering van de maatregel en de daarmee gemoeide administratieve lasten. Dit zal naar verwachting plaatsvinden via de daarvoor </w:t>
      </w:r>
      <w:r w:rsidR="00D2432E">
        <w:rPr>
          <w:rFonts w:ascii="Verdana" w:hAnsi="Verdana" w:eastAsia="Times New Roman" w:cs="Times New Roman"/>
          <w:sz w:val="18"/>
          <w:szCs w:val="18"/>
        </w:rPr>
        <w:t>bestemde</w:t>
      </w:r>
      <w:r w:rsidRPr="00E43A50">
        <w:rPr>
          <w:rFonts w:ascii="Verdana" w:hAnsi="Verdana" w:eastAsia="Times New Roman" w:cs="Times New Roman"/>
          <w:sz w:val="18"/>
          <w:szCs w:val="18"/>
        </w:rPr>
        <w:t xml:space="preserve"> structuur binnen de Strategie Klimaatneutrale en Circulaire Infrastructuur</w:t>
      </w:r>
      <w:r w:rsidR="00E43A50">
        <w:rPr>
          <w:rFonts w:ascii="Verdana" w:hAnsi="Verdana" w:eastAsia="Times New Roman" w:cs="Times New Roman"/>
          <w:sz w:val="18"/>
          <w:szCs w:val="18"/>
        </w:rPr>
        <w:t xml:space="preserve"> of via </w:t>
      </w:r>
      <w:r w:rsidRPr="00E43A50" w:rsidR="00E43A50">
        <w:rPr>
          <w:rFonts w:ascii="Verdana" w:hAnsi="Verdana" w:eastAsia="Times New Roman" w:cs="Times New Roman"/>
          <w:sz w:val="18"/>
          <w:szCs w:val="18"/>
        </w:rPr>
        <w:t>monitoring op Maatschappelijk Verantwoord Opdrachtgeven en Inkopen</w:t>
      </w:r>
      <w:r w:rsidRPr="00E43A50">
        <w:rPr>
          <w:rFonts w:ascii="Verdana" w:hAnsi="Verdana" w:eastAsia="Times New Roman" w:cs="Times New Roman"/>
          <w:sz w:val="18"/>
          <w:szCs w:val="18"/>
        </w:rPr>
        <w:t>. Deze informatie dien</w:t>
      </w:r>
      <w:r w:rsidRPr="00E43A50" w:rsidR="00872EAA">
        <w:rPr>
          <w:rFonts w:ascii="Verdana" w:hAnsi="Verdana" w:eastAsia="Times New Roman" w:cs="Times New Roman"/>
          <w:sz w:val="18"/>
          <w:szCs w:val="18"/>
        </w:rPr>
        <w:t>t</w:t>
      </w:r>
      <w:r w:rsidRPr="00E43A50">
        <w:rPr>
          <w:rFonts w:ascii="Verdana" w:hAnsi="Verdana" w:eastAsia="Times New Roman" w:cs="Times New Roman"/>
          <w:sz w:val="18"/>
          <w:szCs w:val="18"/>
        </w:rPr>
        <w:t xml:space="preserve"> om te monitoren of de wet zoals bedoeld in de praktijk wordt toegepast. Daarbij </w:t>
      </w:r>
      <w:r w:rsidRPr="00E43A50" w:rsidR="00872EAA">
        <w:rPr>
          <w:rFonts w:ascii="Verdana" w:hAnsi="Verdana" w:eastAsia="Times New Roman" w:cs="Times New Roman"/>
          <w:sz w:val="18"/>
          <w:szCs w:val="18"/>
        </w:rPr>
        <w:t>wordt</w:t>
      </w:r>
      <w:r w:rsidRPr="00E43A50">
        <w:rPr>
          <w:rFonts w:ascii="Verdana" w:hAnsi="Verdana" w:eastAsia="Times New Roman" w:cs="Times New Roman"/>
          <w:sz w:val="18"/>
          <w:szCs w:val="18"/>
        </w:rPr>
        <w:t xml:space="preserve"> speciaal aandacht besteed aan de effectiviteit van de nieuwe regels, de naleving ervan door aanbestedende diensten </w:t>
      </w:r>
      <w:r w:rsidR="00095617">
        <w:rPr>
          <w:rFonts w:ascii="Verdana" w:hAnsi="Verdana" w:eastAsia="Times New Roman" w:cs="Times New Roman"/>
          <w:sz w:val="18"/>
          <w:szCs w:val="18"/>
        </w:rPr>
        <w:t xml:space="preserve">en </w:t>
      </w:r>
      <w:r w:rsidR="00095617">
        <w:rPr>
          <w:rFonts w:ascii="Verdana" w:hAnsi="Verdana" w:eastAsia="Times New Roman" w:cs="Times New Roman"/>
          <w:sz w:val="18"/>
          <w:szCs w:val="18"/>
          <w:lang w:eastAsia="nl-NL"/>
        </w:rPr>
        <w:t xml:space="preserve">speciale-sectorbedrijven </w:t>
      </w:r>
      <w:r w:rsidRPr="00E43A50">
        <w:rPr>
          <w:rFonts w:ascii="Verdana" w:hAnsi="Verdana" w:eastAsia="Times New Roman" w:cs="Times New Roman"/>
          <w:sz w:val="18"/>
          <w:szCs w:val="18"/>
        </w:rPr>
        <w:t>en de ervaringen van marktpartijen.</w:t>
      </w:r>
      <w:r w:rsidR="00377C18">
        <w:rPr>
          <w:rFonts w:ascii="Verdana" w:hAnsi="Verdana" w:eastAsia="Times New Roman" w:cs="Times New Roman"/>
          <w:sz w:val="18"/>
          <w:szCs w:val="18"/>
        </w:rPr>
        <w:t xml:space="preserve"> </w:t>
      </w:r>
    </w:p>
    <w:p w:rsidRPr="00E43A50" w:rsidR="004F0533" w:rsidP="00643E93" w:rsidRDefault="004F0533" w14:paraId="0C0E329A" w14:textId="77777777">
      <w:pPr>
        <w:spacing w:after="0" w:line="276" w:lineRule="auto"/>
        <w:rPr>
          <w:rFonts w:ascii="Verdana" w:hAnsi="Verdana" w:eastAsia="Times New Roman" w:cs="Times New Roman"/>
          <w:sz w:val="18"/>
          <w:szCs w:val="18"/>
        </w:rPr>
      </w:pPr>
    </w:p>
    <w:p w:rsidRPr="00826E4C" w:rsidR="00637815" w:rsidP="00390BFA" w:rsidRDefault="004F0533" w14:paraId="4C6F127A" w14:textId="6E081146">
      <w:pPr>
        <w:spacing w:after="0" w:line="276" w:lineRule="auto"/>
      </w:pPr>
      <w:r w:rsidRPr="00E43A50">
        <w:rPr>
          <w:rFonts w:ascii="Verdana" w:hAnsi="Verdana" w:eastAsia="Times New Roman" w:cs="Times New Roman"/>
          <w:sz w:val="18"/>
          <w:szCs w:val="18"/>
        </w:rPr>
        <w:t>Op basis van de verzamelde gegevens word</w:t>
      </w:r>
      <w:r w:rsidRPr="00E43A50" w:rsidR="00872EAA">
        <w:rPr>
          <w:rFonts w:ascii="Verdana" w:hAnsi="Verdana" w:eastAsia="Times New Roman" w:cs="Times New Roman"/>
          <w:sz w:val="18"/>
          <w:szCs w:val="18"/>
        </w:rPr>
        <w:t>t</w:t>
      </w:r>
      <w:r w:rsidRPr="00E43A50">
        <w:rPr>
          <w:rFonts w:ascii="Verdana" w:hAnsi="Verdana" w:eastAsia="Times New Roman" w:cs="Times New Roman"/>
          <w:sz w:val="18"/>
          <w:szCs w:val="18"/>
        </w:rPr>
        <w:t xml:space="preserve"> beoordeeld of de uitvoering van de wet voldoet aan de gestelde doelen. </w:t>
      </w:r>
      <w:r w:rsidR="00377C18">
        <w:rPr>
          <w:rFonts w:ascii="Verdana" w:hAnsi="Verdana" w:eastAsia="Times New Roman" w:cs="Times New Roman"/>
          <w:sz w:val="18"/>
          <w:szCs w:val="18"/>
        </w:rPr>
        <w:t xml:space="preserve">Bij de vaststelling van de milieuprestatie-eisen </w:t>
      </w:r>
      <w:r w:rsidR="00EA0D1B">
        <w:rPr>
          <w:rFonts w:ascii="Verdana" w:hAnsi="Verdana" w:eastAsia="Times New Roman" w:cs="Times New Roman"/>
          <w:sz w:val="18"/>
          <w:szCs w:val="18"/>
        </w:rPr>
        <w:t xml:space="preserve">en nadere criteria </w:t>
      </w:r>
      <w:r w:rsidR="00377C18">
        <w:rPr>
          <w:rFonts w:ascii="Verdana" w:hAnsi="Verdana" w:eastAsia="Times New Roman" w:cs="Times New Roman"/>
          <w:sz w:val="18"/>
          <w:szCs w:val="18"/>
        </w:rPr>
        <w:t>in de amvb is het voornemen om een evalueerbare doelstelling vast te stellen</w:t>
      </w:r>
      <w:r w:rsidR="00EA0D1B">
        <w:rPr>
          <w:rFonts w:ascii="Verdana" w:hAnsi="Verdana" w:eastAsia="Times New Roman" w:cs="Times New Roman"/>
          <w:sz w:val="18"/>
          <w:szCs w:val="18"/>
        </w:rPr>
        <w:t xml:space="preserve">, </w:t>
      </w:r>
      <w:r w:rsidR="00390BFA">
        <w:rPr>
          <w:rFonts w:ascii="Verdana" w:hAnsi="Verdana" w:eastAsia="Times New Roman" w:cs="Times New Roman"/>
          <w:sz w:val="18"/>
          <w:szCs w:val="18"/>
        </w:rPr>
        <w:t>waarvoor</w:t>
      </w:r>
      <w:r w:rsidR="00EA0D1B">
        <w:rPr>
          <w:rFonts w:ascii="Verdana" w:hAnsi="Verdana" w:eastAsia="Times New Roman" w:cs="Times New Roman"/>
          <w:sz w:val="18"/>
          <w:szCs w:val="18"/>
        </w:rPr>
        <w:t xml:space="preserve"> de beoogde effecten uit de onderzoeken zoals beschreven in hoofdstuk 6 </w:t>
      </w:r>
      <w:r w:rsidR="00390BFA">
        <w:rPr>
          <w:rFonts w:ascii="Verdana" w:hAnsi="Verdana" w:eastAsia="Times New Roman" w:cs="Times New Roman"/>
          <w:sz w:val="18"/>
          <w:szCs w:val="18"/>
        </w:rPr>
        <w:t>de basis vormen</w:t>
      </w:r>
      <w:r w:rsidR="00377C18">
        <w:rPr>
          <w:rFonts w:ascii="Verdana" w:hAnsi="Verdana" w:eastAsia="Times New Roman" w:cs="Times New Roman"/>
          <w:sz w:val="18"/>
          <w:szCs w:val="18"/>
        </w:rPr>
        <w:t xml:space="preserve">. </w:t>
      </w:r>
      <w:r w:rsidRPr="00E43A50">
        <w:rPr>
          <w:rFonts w:ascii="Verdana" w:hAnsi="Verdana" w:eastAsia="Times New Roman" w:cs="Times New Roman"/>
          <w:sz w:val="18"/>
          <w:szCs w:val="18"/>
        </w:rPr>
        <w:t>Indien blijkt dat de beoogde effecten onvoldoende worden bereikt of dat de wet in de praktijk niet goed functioneert, zal worden onderzocht of bijstelling van de regelgeving noodzakelijk is om de doelstellingen alsnog te realiseren. Dit proces zorgt ervoor dat de wet flexibel blijft en kan worden aangepast op basis van de praktijkervaringen, zodat de effectiviteit en doelmatigheid ervan op lange termijn gewaarborgd blijft.</w:t>
      </w:r>
      <w:r w:rsidR="00377C18">
        <w:rPr>
          <w:rFonts w:ascii="Verdana" w:hAnsi="Verdana" w:eastAsia="Times New Roman" w:cs="Times New Roman"/>
          <w:sz w:val="18"/>
          <w:szCs w:val="18"/>
        </w:rPr>
        <w:t xml:space="preserve"> </w:t>
      </w:r>
      <w:r w:rsidRPr="00426882" w:rsidR="00426882">
        <w:rPr>
          <w:rFonts w:ascii="Verdana" w:hAnsi="Verdana" w:eastAsia="Times New Roman" w:cs="Times New Roman"/>
          <w:sz w:val="18"/>
          <w:szCs w:val="18"/>
        </w:rPr>
        <w:t>Bij het opzetten</w:t>
      </w:r>
      <w:r w:rsidRPr="00426882" w:rsidR="00637815">
        <w:rPr>
          <w:rFonts w:ascii="Verdana" w:hAnsi="Verdana" w:eastAsia="Times New Roman" w:cs="Times New Roman"/>
          <w:sz w:val="18"/>
          <w:szCs w:val="18"/>
        </w:rPr>
        <w:t xml:space="preserve"> en </w:t>
      </w:r>
      <w:r w:rsidRPr="00426882" w:rsidR="00426882">
        <w:rPr>
          <w:rFonts w:ascii="Verdana" w:hAnsi="Verdana" w:eastAsia="Times New Roman" w:cs="Times New Roman"/>
          <w:sz w:val="18"/>
          <w:szCs w:val="18"/>
        </w:rPr>
        <w:t>uitvoeren</w:t>
      </w:r>
      <w:r w:rsidRPr="00426882" w:rsidR="00637815">
        <w:rPr>
          <w:rFonts w:ascii="Verdana" w:hAnsi="Verdana" w:eastAsia="Times New Roman" w:cs="Times New Roman"/>
          <w:sz w:val="18"/>
          <w:szCs w:val="18"/>
        </w:rPr>
        <w:t xml:space="preserve"> van </w:t>
      </w:r>
      <w:r w:rsidRPr="00426882" w:rsidR="00426882">
        <w:rPr>
          <w:rFonts w:ascii="Verdana" w:hAnsi="Verdana" w:eastAsia="Times New Roman" w:cs="Times New Roman"/>
          <w:sz w:val="18"/>
          <w:szCs w:val="18"/>
        </w:rPr>
        <w:t>deze</w:t>
      </w:r>
      <w:r w:rsidRPr="00426882" w:rsidR="00637815">
        <w:rPr>
          <w:rFonts w:ascii="Verdana" w:hAnsi="Verdana" w:eastAsia="Times New Roman" w:cs="Times New Roman"/>
          <w:sz w:val="18"/>
          <w:szCs w:val="18"/>
        </w:rPr>
        <w:t xml:space="preserve"> evaluaties wordt de sector actief betrokken, zodat </w:t>
      </w:r>
      <w:r w:rsidRPr="00426882" w:rsidR="00426882">
        <w:rPr>
          <w:rFonts w:ascii="Verdana" w:hAnsi="Verdana" w:eastAsia="Times New Roman" w:cs="Times New Roman"/>
          <w:sz w:val="18"/>
          <w:szCs w:val="18"/>
        </w:rPr>
        <w:t>praktijkervaringen</w:t>
      </w:r>
      <w:r w:rsidRPr="00426882" w:rsidR="00637815">
        <w:rPr>
          <w:rFonts w:ascii="Verdana" w:hAnsi="Verdana" w:eastAsia="Times New Roman" w:cs="Times New Roman"/>
          <w:sz w:val="18"/>
          <w:szCs w:val="18"/>
        </w:rPr>
        <w:t xml:space="preserve"> direct kunnen worden benut voor </w:t>
      </w:r>
      <w:r w:rsidRPr="00426882" w:rsidR="00426882">
        <w:rPr>
          <w:rFonts w:ascii="Verdana" w:hAnsi="Verdana" w:eastAsia="Times New Roman" w:cs="Times New Roman"/>
          <w:sz w:val="18"/>
          <w:szCs w:val="18"/>
        </w:rPr>
        <w:t xml:space="preserve">mogelijke </w:t>
      </w:r>
      <w:r w:rsidRPr="00426882" w:rsidR="00637815">
        <w:rPr>
          <w:rFonts w:ascii="Verdana" w:hAnsi="Verdana" w:eastAsia="Times New Roman" w:cs="Times New Roman"/>
          <w:sz w:val="18"/>
          <w:szCs w:val="18"/>
        </w:rPr>
        <w:t xml:space="preserve">verbeteringen </w:t>
      </w:r>
      <w:r w:rsidRPr="00426882" w:rsidR="00426882">
        <w:rPr>
          <w:rFonts w:ascii="Verdana" w:hAnsi="Verdana" w:eastAsia="Times New Roman" w:cs="Times New Roman"/>
          <w:sz w:val="18"/>
          <w:szCs w:val="18"/>
        </w:rPr>
        <w:t>of</w:t>
      </w:r>
      <w:r w:rsidRPr="00426882" w:rsidR="00637815">
        <w:rPr>
          <w:rFonts w:ascii="Verdana" w:hAnsi="Verdana" w:eastAsia="Times New Roman" w:cs="Times New Roman"/>
          <w:sz w:val="18"/>
          <w:szCs w:val="18"/>
        </w:rPr>
        <w:t xml:space="preserve"> bijsturing</w:t>
      </w:r>
      <w:r w:rsidRPr="00426882" w:rsidR="00426882">
        <w:rPr>
          <w:rFonts w:ascii="Verdana" w:hAnsi="Verdana" w:eastAsia="Times New Roman" w:cs="Times New Roman"/>
          <w:sz w:val="18"/>
          <w:szCs w:val="18"/>
        </w:rPr>
        <w:t xml:space="preserve"> van het beleid. </w:t>
      </w:r>
    </w:p>
    <w:p w:rsidR="00637815" w:rsidP="00643E93" w:rsidRDefault="00637815" w14:paraId="3ACD9A64" w14:textId="77777777">
      <w:pPr>
        <w:spacing w:after="0" w:line="276" w:lineRule="auto"/>
        <w:rPr>
          <w:rFonts w:ascii="Verdana" w:hAnsi="Verdana" w:eastAsia="Times New Roman" w:cs="Times New Roman"/>
          <w:sz w:val="18"/>
          <w:szCs w:val="18"/>
        </w:rPr>
      </w:pPr>
    </w:p>
    <w:p w:rsidRPr="00E43A50" w:rsidR="00D2432E" w:rsidP="00643E93" w:rsidRDefault="00D2432E" w14:paraId="0C3F7305" w14:textId="77777777">
      <w:pPr>
        <w:spacing w:after="0" w:line="276" w:lineRule="auto"/>
        <w:rPr>
          <w:rFonts w:ascii="Verdana" w:hAnsi="Verdana" w:eastAsia="Times New Roman" w:cs="Times New Roman"/>
          <w:sz w:val="18"/>
          <w:szCs w:val="18"/>
        </w:rPr>
      </w:pPr>
    </w:p>
    <w:p w:rsidRPr="00E43A50" w:rsidR="004F0533" w:rsidP="00643E93" w:rsidRDefault="004F0533" w14:paraId="133BDD97" w14:textId="516EF0A9">
      <w:pPr>
        <w:pStyle w:val="Kop3"/>
        <w:spacing w:line="276" w:lineRule="auto"/>
      </w:pPr>
      <w:bookmarkStart w:name="_Toc195040773" w:id="58"/>
      <w:r w:rsidRPr="00E43A50">
        <w:t>Advies en consultatie</w:t>
      </w:r>
      <w:bookmarkEnd w:id="58"/>
    </w:p>
    <w:p w:rsidRPr="00E43A50" w:rsidR="004F0533" w:rsidP="00D944A9" w:rsidRDefault="004F0533" w14:paraId="7AB0A8A4" w14:textId="4D4B7B26">
      <w:pPr>
        <w:pStyle w:val="Kop4"/>
        <w:numPr>
          <w:ilvl w:val="1"/>
          <w:numId w:val="24"/>
        </w:numPr>
        <w:spacing w:line="276" w:lineRule="auto"/>
        <w:rPr>
          <w:bCs/>
        </w:rPr>
      </w:pPr>
      <w:bookmarkStart w:name="_Toc195040774" w:id="59"/>
      <w:r w:rsidRPr="00E43A50">
        <w:t xml:space="preserve">Consultatie stakeholders in fase </w:t>
      </w:r>
      <w:r w:rsidRPr="00E43A50">
        <w:rPr>
          <w:bCs/>
        </w:rPr>
        <w:t xml:space="preserve">voorbereiding </w:t>
      </w:r>
      <w:bookmarkEnd w:id="59"/>
      <w:r w:rsidRPr="00E43A50" w:rsidR="000E650E">
        <w:t>wetsvoorstel</w:t>
      </w:r>
      <w:r w:rsidRPr="00E43A50" w:rsidDel="00EC3A2D" w:rsidR="000E650E">
        <w:rPr>
          <w:bCs/>
        </w:rPr>
        <w:t xml:space="preserve"> </w:t>
      </w:r>
    </w:p>
    <w:p w:rsidRPr="00E43A50" w:rsidR="004F0533" w:rsidP="00643E93" w:rsidRDefault="004F0533" w14:paraId="6642A405" w14:textId="361B4552">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Bij het opstellen van dit </w:t>
      </w:r>
      <w:r w:rsidRPr="00E43A50" w:rsidR="000E650E">
        <w:rPr>
          <w:rFonts w:ascii="Verdana" w:hAnsi="Verdana" w:eastAsia="Times New Roman" w:cs="Times New Roman"/>
          <w:sz w:val="18"/>
          <w:szCs w:val="18"/>
        </w:rPr>
        <w:t>wetsvoorstel</w:t>
      </w:r>
      <w:r w:rsidRPr="00E43A50" w:rsidDel="00EC3A2D"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is er uitgebreid overleg gevoerd met een breed scala aan relevante partijen, om ervoor te zorgen dat de wet goed aansluit bij de praktijk en de behoeften van alle betrokkenen. Er is individueel geconsulteerd met </w:t>
      </w:r>
      <w:r w:rsidRPr="00E43A50">
        <w:rPr>
          <w:rFonts w:ascii="Verdana" w:hAnsi="Verdana" w:eastAsia="Times New Roman" w:cs="Times New Roman"/>
          <w:sz w:val="18"/>
          <w:szCs w:val="18"/>
        </w:rPr>
        <w:lastRenderedPageBreak/>
        <w:t>aanbestedende diensten</w:t>
      </w:r>
      <w:r w:rsidR="00095617">
        <w:rPr>
          <w:rFonts w:ascii="Verdana" w:hAnsi="Verdana" w:eastAsia="Times New Roman" w:cs="Times New Roman"/>
          <w:sz w:val="18"/>
          <w:szCs w:val="18"/>
        </w:rPr>
        <w:t xml:space="preserve">, </w:t>
      </w:r>
      <w:r w:rsidR="00095617">
        <w:rPr>
          <w:rFonts w:ascii="Verdana" w:hAnsi="Verdana" w:eastAsia="Times New Roman" w:cs="Times New Roman"/>
          <w:sz w:val="18"/>
          <w:szCs w:val="18"/>
          <w:lang w:eastAsia="nl-NL"/>
        </w:rPr>
        <w:t>speciale-sectorbedrijven</w:t>
      </w:r>
      <w:r w:rsidRPr="00E43A50">
        <w:rPr>
          <w:rFonts w:ascii="Verdana" w:hAnsi="Verdana" w:eastAsia="Times New Roman" w:cs="Times New Roman"/>
          <w:sz w:val="18"/>
          <w:szCs w:val="18"/>
        </w:rPr>
        <w:t xml:space="preserve">, marktdeelnemers, brancheorganisaties, ingenieurs- en adviesbureaus en juridische experts. Daarnaast zijn stakeholderconsultaties georganiseerd waarbij alle geïnteresseerde partijen zich konden aanmelden om input te leveren op het </w:t>
      </w:r>
      <w:r w:rsidRPr="00E43A50" w:rsidR="000E650E">
        <w:rPr>
          <w:rFonts w:ascii="Verdana" w:hAnsi="Verdana" w:eastAsia="Times New Roman" w:cs="Times New Roman"/>
          <w:sz w:val="18"/>
          <w:szCs w:val="18"/>
        </w:rPr>
        <w:t>wetsvoorstel</w:t>
      </w:r>
      <w:r w:rsidRPr="00E43A50">
        <w:rPr>
          <w:rFonts w:ascii="Verdana" w:hAnsi="Verdana" w:eastAsia="Times New Roman" w:cs="Times New Roman"/>
          <w:sz w:val="18"/>
          <w:szCs w:val="18"/>
        </w:rPr>
        <w:t xml:space="preserve">. In totaal zijn meer dan </w:t>
      </w:r>
      <w:r w:rsidR="00E43A50">
        <w:rPr>
          <w:rFonts w:ascii="Verdana" w:hAnsi="Verdana" w:eastAsia="Times New Roman" w:cs="Times New Roman"/>
          <w:sz w:val="18"/>
          <w:szCs w:val="18"/>
        </w:rPr>
        <w:t>tweehonderd</w:t>
      </w:r>
      <w:r w:rsidRPr="00E43A50" w:rsidR="00E43A50">
        <w:rPr>
          <w:rFonts w:ascii="Verdana" w:hAnsi="Verdana" w:eastAsia="Times New Roman" w:cs="Times New Roman"/>
          <w:sz w:val="18"/>
          <w:szCs w:val="18"/>
        </w:rPr>
        <w:t xml:space="preserve"> </w:t>
      </w:r>
      <w:r w:rsidRPr="00E43A50">
        <w:rPr>
          <w:rFonts w:ascii="Verdana" w:hAnsi="Verdana" w:eastAsia="Times New Roman" w:cs="Times New Roman"/>
          <w:sz w:val="18"/>
          <w:szCs w:val="18"/>
        </w:rPr>
        <w:t>individuele partijen gesproken. Deze raadplegingen hebben waardevolle inzichten opgeleverd over de effecten van de wet in de praktijk, de uitdagingen die aanbestedende diensten</w:t>
      </w:r>
      <w:r w:rsidR="00095617">
        <w:rPr>
          <w:rFonts w:ascii="Verdana" w:hAnsi="Verdana" w:eastAsia="Times New Roman" w:cs="Times New Roman"/>
          <w:sz w:val="18"/>
          <w:szCs w:val="18"/>
        </w:rPr>
        <w:t xml:space="preserve">, </w:t>
      </w:r>
      <w:r w:rsidR="00095617">
        <w:rPr>
          <w:rFonts w:ascii="Verdana" w:hAnsi="Verdana" w:eastAsia="Times New Roman" w:cs="Times New Roman"/>
          <w:sz w:val="18"/>
          <w:szCs w:val="18"/>
          <w:lang w:eastAsia="nl-NL"/>
        </w:rPr>
        <w:t>speciale-sectorbedrijven</w:t>
      </w:r>
      <w:r w:rsidRPr="00E43A50">
        <w:rPr>
          <w:rFonts w:ascii="Verdana" w:hAnsi="Verdana" w:eastAsia="Times New Roman" w:cs="Times New Roman"/>
          <w:sz w:val="18"/>
          <w:szCs w:val="18"/>
        </w:rPr>
        <w:t xml:space="preserve"> en marktpartijen tegenkomen, en de mogelijkheden om de wet te verbeteren en beter uitvoerbaar te maken.</w:t>
      </w:r>
    </w:p>
    <w:p w:rsidRPr="00E43A50" w:rsidR="004F0533" w:rsidP="00643E93" w:rsidRDefault="004F0533" w14:paraId="259B4B2E" w14:textId="77777777">
      <w:pPr>
        <w:spacing w:after="0" w:line="276" w:lineRule="auto"/>
        <w:rPr>
          <w:rFonts w:ascii="Verdana" w:hAnsi="Verdana" w:eastAsia="Times New Roman" w:cs="Times New Roman"/>
          <w:sz w:val="18"/>
          <w:szCs w:val="18"/>
        </w:rPr>
      </w:pPr>
    </w:p>
    <w:p w:rsidRPr="00E43A50" w:rsidR="004F0533" w:rsidP="00643E93" w:rsidRDefault="004F0533" w14:paraId="519FE4BF" w14:textId="1F26DB86">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Daarnaast zijn er gesprekken gevoerd met maatschappelijke organisaties en andere belanghebbenden die invloed ondervinden van de aanbestedingspraktijk, zodat hun perspectieven ook zijn meegenomen. Het consultatieproces heeft bijgedragen aan het verfijnen van het </w:t>
      </w:r>
      <w:r w:rsidRPr="00E43A50" w:rsidR="000E650E">
        <w:rPr>
          <w:rFonts w:ascii="Verdana" w:hAnsi="Verdana" w:eastAsia="Times New Roman" w:cs="Times New Roman"/>
          <w:sz w:val="18"/>
          <w:szCs w:val="18"/>
        </w:rPr>
        <w:t>wetsvoorstel</w:t>
      </w:r>
      <w:r w:rsidRPr="00E43A50" w:rsidDel="00EC3A2D"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en heeft ervoor gezorgd dat het </w:t>
      </w:r>
      <w:r w:rsidRPr="00E43A50" w:rsidR="000E650E">
        <w:rPr>
          <w:rFonts w:ascii="Verdana" w:hAnsi="Verdana" w:eastAsia="Times New Roman" w:cs="Times New Roman"/>
          <w:sz w:val="18"/>
          <w:szCs w:val="18"/>
        </w:rPr>
        <w:t>wetsvoorstel</w:t>
      </w:r>
      <w:r w:rsidRPr="00E43A50" w:rsidDel="00EC3A2D"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niet alleen juridisch en beleidsmatig stevig is, maar ook breed wordt gedragen door de betrokken partijen. Op deze manier is geprobeerd de wet zo effectief en praktisch mogelijk te maken voor alle betrokkenen.</w:t>
      </w:r>
    </w:p>
    <w:p w:rsidRPr="00E43A50" w:rsidR="004F0533" w:rsidP="00643E93" w:rsidRDefault="004F0533" w14:paraId="7E1766B3" w14:textId="77777777">
      <w:pPr>
        <w:spacing w:after="0" w:line="276" w:lineRule="auto"/>
        <w:rPr>
          <w:rFonts w:ascii="Verdana" w:hAnsi="Verdana" w:eastAsia="Times New Roman" w:cs="Times New Roman"/>
          <w:sz w:val="18"/>
          <w:szCs w:val="18"/>
        </w:rPr>
      </w:pPr>
    </w:p>
    <w:p w:rsidRPr="00E43A50" w:rsidR="004F0533" w:rsidP="00643E93" w:rsidRDefault="004F0533" w14:paraId="62CBCFC5" w14:textId="279AA74D">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Tot slot is er een klankbordgroep samengesteld, waarin vertegenwoordigers van diverse stakeholders samen</w:t>
      </w:r>
      <w:r w:rsidRPr="00E43A50" w:rsidR="006928E4">
        <w:rPr>
          <w:rFonts w:ascii="Verdana" w:hAnsi="Verdana" w:eastAsia="Times New Roman" w:cs="Times New Roman"/>
          <w:sz w:val="18"/>
          <w:szCs w:val="18"/>
        </w:rPr>
        <w:t>gekomen</w:t>
      </w:r>
      <w:r w:rsidRPr="00E43A50">
        <w:rPr>
          <w:rFonts w:ascii="Verdana" w:hAnsi="Verdana" w:eastAsia="Times New Roman" w:cs="Times New Roman"/>
          <w:sz w:val="18"/>
          <w:szCs w:val="18"/>
        </w:rPr>
        <w:t xml:space="preserve"> om de conceptwetgeving te bespreken en feedback te geven. Deze klankbordgroep </w:t>
      </w:r>
      <w:r w:rsidR="00E43A50">
        <w:rPr>
          <w:rFonts w:ascii="Verdana" w:hAnsi="Verdana" w:eastAsia="Times New Roman" w:cs="Times New Roman"/>
          <w:sz w:val="18"/>
          <w:szCs w:val="18"/>
        </w:rPr>
        <w:t>levert</w:t>
      </w:r>
      <w:r w:rsidRPr="00E43A50" w:rsidR="00E43A50">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waardevolle inzichten </w:t>
      </w:r>
      <w:r w:rsidR="00E43A50">
        <w:rPr>
          <w:rFonts w:ascii="Verdana" w:hAnsi="Verdana" w:eastAsia="Times New Roman" w:cs="Times New Roman"/>
          <w:sz w:val="18"/>
          <w:szCs w:val="18"/>
        </w:rPr>
        <w:t>op</w:t>
      </w:r>
      <w:r w:rsidRPr="00E43A50" w:rsidR="00E43A50">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over de praktische uitvoerbaarheid van de wet </w:t>
      </w:r>
      <w:r w:rsidR="00E43A50">
        <w:rPr>
          <w:rFonts w:ascii="Verdana" w:hAnsi="Verdana" w:eastAsia="Times New Roman" w:cs="Times New Roman"/>
          <w:sz w:val="18"/>
          <w:szCs w:val="18"/>
        </w:rPr>
        <w:t>en zal ook geraadpleegd worden voor de amvb</w:t>
      </w:r>
      <w:r w:rsidRPr="00E43A50" w:rsidR="006928E4">
        <w:rPr>
          <w:rFonts w:ascii="Verdana" w:hAnsi="Verdana" w:eastAsia="Times New Roman" w:cs="Times New Roman"/>
          <w:sz w:val="18"/>
          <w:szCs w:val="18"/>
        </w:rPr>
        <w:t>.</w:t>
      </w:r>
    </w:p>
    <w:p w:rsidRPr="005B4CB1" w:rsidR="004F0533" w:rsidP="00643E93" w:rsidRDefault="004F0533" w14:paraId="3FEEA463" w14:textId="77777777">
      <w:pPr>
        <w:spacing w:after="0" w:line="276" w:lineRule="auto"/>
        <w:rPr>
          <w:rFonts w:ascii="Verdana" w:hAnsi="Verdana" w:eastAsia="Times New Roman" w:cs="Times New Roman"/>
          <w:sz w:val="21"/>
          <w:szCs w:val="21"/>
        </w:rPr>
      </w:pPr>
    </w:p>
    <w:p w:rsidRPr="00C8572C" w:rsidR="004F0533" w:rsidP="00780951" w:rsidRDefault="004F0533" w14:paraId="4131CA1D" w14:textId="260AB223">
      <w:pPr>
        <w:pStyle w:val="Kop4"/>
        <w:numPr>
          <w:ilvl w:val="1"/>
          <w:numId w:val="24"/>
        </w:numPr>
        <w:spacing w:line="276" w:lineRule="auto"/>
        <w:rPr>
          <w:szCs w:val="18"/>
        </w:rPr>
      </w:pPr>
      <w:bookmarkStart w:name="_Hlk210563758" w:id="60"/>
      <w:r w:rsidRPr="00E43A50">
        <w:t>Advisering door het Adviescollege Toetsing Regeldruk</w:t>
      </w:r>
      <w:r w:rsidRPr="00C8572C" w:rsidR="16B790C5">
        <w:rPr>
          <w:bCs/>
          <w:iCs/>
        </w:rPr>
        <w:t xml:space="preserve"> </w:t>
      </w:r>
    </w:p>
    <w:bookmarkEnd w:id="60"/>
    <w:p w:rsidRPr="003D02B7" w:rsidR="00DC5163" w:rsidP="00DC5163" w:rsidRDefault="00DC5163" w14:paraId="2423ED96" w14:textId="00AA6A33">
      <w:pPr>
        <w:spacing w:line="276" w:lineRule="auto"/>
        <w:rPr>
          <w:rFonts w:ascii="Verdana" w:hAnsi="Verdana"/>
          <w:sz w:val="18"/>
          <w:szCs w:val="18"/>
        </w:rPr>
      </w:pPr>
      <w:r w:rsidRPr="00780951">
        <w:rPr>
          <w:rFonts w:ascii="Verdana" w:hAnsi="Verdana"/>
          <w:sz w:val="18"/>
          <w:szCs w:val="18"/>
        </w:rPr>
        <w:t xml:space="preserve">Het wetsvoorstel en bijbehorende memorie van toelichting zijn parallel tijdens de periode van internetconsultatie voorgelegd aan het Adviescollege Toetsing Regeldruk (ATR) voor de toetsing op de administratieve lasten en regeldrukgevolgen. De ATR heeft op 15 augustus 2025 heeft het ATR zijn advies uitgebracht. Het college adviseert om 1) in het wetsvoorstel te onderbouwen hoe het ruimte bieden voor maatwerk aan aanbestedende diensten en speciale sectorbedrijven zich verhoudt tot het bewerkstelligen van een (meer) eenduidige toepassing van milieuprestatie-eisen in aanbestedingsprocedures, 2) een evalueerbare doelstelling te formuleren met betrekking tot de verwachte milieu-impact van beide instrumenten, 3) om toe te lichten hoe de werkbaarheid voor bedrijven zal worden </w:t>
      </w:r>
      <w:r w:rsidRPr="003D02B7">
        <w:rPr>
          <w:rFonts w:ascii="Verdana" w:hAnsi="Verdana"/>
          <w:sz w:val="18"/>
          <w:szCs w:val="18"/>
        </w:rPr>
        <w:t xml:space="preserve">meegenomen bij de vaststelling van de fases waarop het wetsvoorstel van toepassing is 4) om duidelijk te maken hoe wordt omgegaan met </w:t>
      </w:r>
      <w:r>
        <w:rPr>
          <w:rFonts w:ascii="Verdana" w:hAnsi="Verdana"/>
          <w:sz w:val="18"/>
          <w:szCs w:val="18"/>
        </w:rPr>
        <w:t>een berekenmethode vanuit de</w:t>
      </w:r>
      <w:r w:rsidRPr="003D02B7">
        <w:rPr>
          <w:rFonts w:ascii="Verdana" w:hAnsi="Verdana"/>
          <w:sz w:val="18"/>
          <w:szCs w:val="18"/>
        </w:rPr>
        <w:t xml:space="preserve"> </w:t>
      </w:r>
      <w:r>
        <w:rPr>
          <w:rFonts w:ascii="Verdana" w:hAnsi="Verdana"/>
          <w:sz w:val="18"/>
          <w:szCs w:val="18"/>
        </w:rPr>
        <w:t xml:space="preserve">herziene Europese Bouwproductenverordening </w:t>
      </w:r>
      <w:r w:rsidRPr="003D02B7">
        <w:rPr>
          <w:rFonts w:ascii="Verdana" w:hAnsi="Verdana"/>
          <w:sz w:val="18"/>
          <w:szCs w:val="18"/>
        </w:rPr>
        <w:t>om onnodige regeldruk te voorkomen</w:t>
      </w:r>
      <w:r w:rsidR="00404D90">
        <w:rPr>
          <w:rFonts w:ascii="Verdana" w:hAnsi="Verdana"/>
          <w:sz w:val="18"/>
          <w:szCs w:val="18"/>
        </w:rPr>
        <w:t>, en om 5)</w:t>
      </w:r>
      <w:r w:rsidRPr="00404D90" w:rsidR="00404D90">
        <w:rPr>
          <w:rFonts w:ascii="Verdana" w:hAnsi="Verdana" w:cs="Verdana"/>
          <w:b/>
          <w:bCs/>
          <w:color w:val="000000"/>
          <w:sz w:val="18"/>
          <w:szCs w:val="18"/>
        </w:rPr>
        <w:t xml:space="preserve"> </w:t>
      </w:r>
      <w:r w:rsidRPr="00404D90" w:rsidR="00404D90">
        <w:rPr>
          <w:rFonts w:ascii="Verdana" w:hAnsi="Verdana"/>
          <w:sz w:val="18"/>
          <w:szCs w:val="18"/>
        </w:rPr>
        <w:t>om de regeldrukberekening, overeenkomstig de Rijksbrede methodiek, aan te vullen</w:t>
      </w:r>
      <w:r w:rsidRPr="00404D90" w:rsidR="00404D90">
        <w:rPr>
          <w:rFonts w:ascii="Verdana" w:hAnsi="Verdana"/>
          <w:b/>
          <w:bCs/>
          <w:sz w:val="18"/>
          <w:szCs w:val="18"/>
        </w:rPr>
        <w:t>.</w:t>
      </w:r>
      <w:r w:rsidR="004A0B2D">
        <w:rPr>
          <w:rFonts w:ascii="Verdana" w:hAnsi="Verdana"/>
          <w:b/>
          <w:bCs/>
          <w:sz w:val="18"/>
          <w:szCs w:val="18"/>
        </w:rPr>
        <w:t xml:space="preserve"> </w:t>
      </w:r>
      <w:r w:rsidRPr="00E36038" w:rsidR="004A0B2D">
        <w:rPr>
          <w:rFonts w:ascii="Verdana" w:hAnsi="Verdana"/>
          <w:sz w:val="18"/>
          <w:szCs w:val="18"/>
        </w:rPr>
        <w:t>Hieronder wordt nader ingegaan op de manier waarop het ministerie van IenW de adviespunten heeft verwerkt.</w:t>
      </w:r>
      <w:r w:rsidR="004A0B2D">
        <w:rPr>
          <w:rFonts w:ascii="Verdana" w:hAnsi="Verdana"/>
          <w:sz w:val="18"/>
          <w:szCs w:val="18"/>
        </w:rPr>
        <w:t xml:space="preserve"> Op </w:t>
      </w:r>
      <w:r w:rsidR="0086110A">
        <w:rPr>
          <w:rFonts w:ascii="Verdana" w:hAnsi="Verdana"/>
          <w:sz w:val="18"/>
          <w:szCs w:val="18"/>
        </w:rPr>
        <w:t>30</w:t>
      </w:r>
      <w:r w:rsidR="004A0B2D">
        <w:rPr>
          <w:rFonts w:ascii="Verdana" w:hAnsi="Verdana"/>
          <w:sz w:val="18"/>
          <w:szCs w:val="18"/>
        </w:rPr>
        <w:t xml:space="preserve"> oktober </w:t>
      </w:r>
      <w:r w:rsidR="0086110A">
        <w:rPr>
          <w:rFonts w:ascii="Verdana" w:hAnsi="Verdana"/>
          <w:sz w:val="18"/>
          <w:szCs w:val="18"/>
        </w:rPr>
        <w:t xml:space="preserve">2025 </w:t>
      </w:r>
      <w:r w:rsidR="004A0B2D">
        <w:rPr>
          <w:rFonts w:ascii="Verdana" w:hAnsi="Verdana"/>
          <w:sz w:val="18"/>
          <w:szCs w:val="18"/>
        </w:rPr>
        <w:t>heeft ATR een</w:t>
      </w:r>
      <w:r w:rsidRPr="00E36038" w:rsidR="004A0B2D">
        <w:rPr>
          <w:rFonts w:ascii="Verdana" w:hAnsi="Verdana"/>
          <w:sz w:val="18"/>
          <w:szCs w:val="18"/>
        </w:rPr>
        <w:t xml:space="preserve"> aanvullende zienswijze </w:t>
      </w:r>
      <w:r w:rsidR="0086110A">
        <w:rPr>
          <w:rFonts w:ascii="Verdana" w:hAnsi="Verdana"/>
          <w:sz w:val="18"/>
          <w:szCs w:val="18"/>
        </w:rPr>
        <w:t>uitgebracht</w:t>
      </w:r>
      <w:r w:rsidR="00AF3164">
        <w:rPr>
          <w:rFonts w:ascii="Verdana" w:hAnsi="Verdana"/>
          <w:sz w:val="18"/>
          <w:szCs w:val="18"/>
        </w:rPr>
        <w:t>. Waar nog verduidelijking nodig was, is</w:t>
      </w:r>
      <w:r w:rsidR="004A0B2D">
        <w:rPr>
          <w:rFonts w:ascii="Verdana" w:hAnsi="Verdana"/>
          <w:sz w:val="18"/>
          <w:szCs w:val="18"/>
        </w:rPr>
        <w:t xml:space="preserve"> dat </w:t>
      </w:r>
      <w:r w:rsidR="00AF3164">
        <w:rPr>
          <w:rFonts w:ascii="Verdana" w:hAnsi="Verdana"/>
          <w:sz w:val="18"/>
          <w:szCs w:val="18"/>
        </w:rPr>
        <w:t xml:space="preserve">in dit wetsvoorstel verwerkt. </w:t>
      </w:r>
    </w:p>
    <w:p w:rsidRPr="003D02B7" w:rsidR="004F0533" w:rsidP="00DC5163" w:rsidRDefault="00DC5163" w14:paraId="115E6252" w14:textId="27ABEDDC">
      <w:pPr>
        <w:spacing w:line="276" w:lineRule="auto"/>
        <w:rPr>
          <w:rFonts w:ascii="Verdana" w:hAnsi="Verdana"/>
          <w:sz w:val="18"/>
          <w:szCs w:val="18"/>
        </w:rPr>
      </w:pPr>
      <w:r w:rsidRPr="00780951">
        <w:rPr>
          <w:rFonts w:ascii="Verdana" w:hAnsi="Verdana"/>
          <w:b/>
          <w:bCs/>
          <w:sz w:val="18"/>
          <w:szCs w:val="18"/>
        </w:rPr>
        <w:t xml:space="preserve">Inhoudelijke puntsgewijze reactie van het </w:t>
      </w:r>
      <w:r w:rsidR="004A0B2D">
        <w:rPr>
          <w:rFonts w:ascii="Verdana" w:hAnsi="Verdana"/>
          <w:b/>
          <w:bCs/>
          <w:sz w:val="18"/>
          <w:szCs w:val="18"/>
        </w:rPr>
        <w:t>m</w:t>
      </w:r>
      <w:r w:rsidRPr="00780951">
        <w:rPr>
          <w:rFonts w:ascii="Verdana" w:hAnsi="Verdana"/>
          <w:b/>
          <w:bCs/>
          <w:sz w:val="18"/>
          <w:szCs w:val="18"/>
        </w:rPr>
        <w:t>inisterie op de toets van het</w:t>
      </w:r>
      <w:r>
        <w:rPr>
          <w:rFonts w:ascii="Verdana" w:hAnsi="Verdana"/>
          <w:b/>
          <w:bCs/>
          <w:sz w:val="18"/>
          <w:szCs w:val="18"/>
        </w:rPr>
        <w:t xml:space="preserve"> </w:t>
      </w:r>
      <w:r w:rsidRPr="00780951" w:rsidR="16B790C5">
        <w:rPr>
          <w:rFonts w:ascii="Verdana" w:hAnsi="Verdana"/>
          <w:b/>
          <w:sz w:val="18"/>
          <w:szCs w:val="18"/>
        </w:rPr>
        <w:t xml:space="preserve">Adviescollege toetsing regeldruk </w:t>
      </w:r>
    </w:p>
    <w:p w:rsidR="004F0533" w:rsidP="00DC5163" w:rsidRDefault="16B790C5" w14:paraId="6CEE9A8F" w14:textId="08387E26">
      <w:pPr>
        <w:spacing w:line="276" w:lineRule="auto"/>
        <w:rPr>
          <w:rFonts w:ascii="Verdana" w:hAnsi="Verdana"/>
          <w:sz w:val="18"/>
          <w:szCs w:val="18"/>
        </w:rPr>
      </w:pPr>
      <w:r w:rsidRPr="003D02B7">
        <w:rPr>
          <w:rFonts w:ascii="Verdana" w:hAnsi="Verdana"/>
          <w:sz w:val="18"/>
          <w:szCs w:val="18"/>
        </w:rPr>
        <w:t xml:space="preserve">1). Het wetsvoorstel is zodanig vormgegeven dat landelijke uniformiteit wordt geborgd, terwijl ruimte voor maatwerk behouden blijft. </w:t>
      </w:r>
      <w:r w:rsidRPr="003D02B7" w:rsidR="00DC5163">
        <w:rPr>
          <w:rFonts w:ascii="Verdana" w:hAnsi="Verdana"/>
          <w:sz w:val="18"/>
          <w:szCs w:val="18"/>
        </w:rPr>
        <w:t xml:space="preserve">De basisnormen die het kabinet minimaal noodzakelijk acht op het gebied van milieu worden eenduidig vastgelegd in </w:t>
      </w:r>
      <w:r w:rsidR="00DC5163">
        <w:rPr>
          <w:rFonts w:ascii="Verdana" w:hAnsi="Verdana"/>
          <w:sz w:val="18"/>
          <w:szCs w:val="18"/>
        </w:rPr>
        <w:t xml:space="preserve">de </w:t>
      </w:r>
      <w:r w:rsidRPr="003D02B7" w:rsidR="00DC5163">
        <w:rPr>
          <w:rFonts w:ascii="Verdana" w:hAnsi="Verdana"/>
          <w:sz w:val="18"/>
          <w:szCs w:val="18"/>
        </w:rPr>
        <w:t>amvb en ministeriële regeling, zodat opdrachtnemers niet steeds met verschillende uitgangspunten geconfronteerd worden</w:t>
      </w:r>
      <w:r w:rsidR="00DC5163">
        <w:rPr>
          <w:rFonts w:ascii="Verdana" w:hAnsi="Verdana"/>
          <w:sz w:val="18"/>
          <w:szCs w:val="18"/>
        </w:rPr>
        <w:t xml:space="preserve"> bij verschillende opdrachtgevers</w:t>
      </w:r>
      <w:r w:rsidRPr="003D02B7" w:rsidR="00DC5163">
        <w:rPr>
          <w:rFonts w:ascii="Verdana" w:hAnsi="Verdana"/>
          <w:sz w:val="18"/>
          <w:szCs w:val="18"/>
        </w:rPr>
        <w:t>. Tegelijkertijd behouden opdrachtgevers vrijheid om hogere ambities na te streven. Dat kan gaan om strengere milieuprestatie-eisen of om aanvullende eisen, bijvoorbeeld als het g</w:t>
      </w:r>
      <w:r w:rsidR="00DC5163">
        <w:rPr>
          <w:rFonts w:ascii="Verdana" w:hAnsi="Verdana"/>
          <w:sz w:val="18"/>
          <w:szCs w:val="18"/>
        </w:rPr>
        <w:t>a</w:t>
      </w:r>
      <w:r w:rsidRPr="003D02B7" w:rsidR="00DC5163">
        <w:rPr>
          <w:rFonts w:ascii="Verdana" w:hAnsi="Verdana"/>
          <w:sz w:val="18"/>
          <w:szCs w:val="18"/>
        </w:rPr>
        <w:t xml:space="preserve">at om </w:t>
      </w:r>
      <w:r w:rsidRPr="003D02B7" w:rsidR="00DC5163">
        <w:rPr>
          <w:rFonts w:ascii="Verdana" w:hAnsi="Verdana"/>
          <w:sz w:val="18"/>
          <w:szCs w:val="18"/>
        </w:rPr>
        <w:lastRenderedPageBreak/>
        <w:t>materieel</w:t>
      </w:r>
      <w:r w:rsidR="00DC5163">
        <w:rPr>
          <w:rFonts w:ascii="Verdana" w:hAnsi="Verdana"/>
          <w:sz w:val="18"/>
          <w:szCs w:val="18"/>
        </w:rPr>
        <w:t>eisen of eisen aan</w:t>
      </w:r>
      <w:r w:rsidRPr="003D02B7" w:rsidR="00DC5163">
        <w:rPr>
          <w:rFonts w:ascii="Verdana" w:hAnsi="Verdana"/>
          <w:sz w:val="18"/>
          <w:szCs w:val="18"/>
        </w:rPr>
        <w:t xml:space="preserve"> percentages recyclaat of biobased</w:t>
      </w:r>
      <w:r w:rsidR="00DC5163">
        <w:rPr>
          <w:rFonts w:ascii="Verdana" w:hAnsi="Verdana"/>
          <w:sz w:val="18"/>
          <w:szCs w:val="18"/>
        </w:rPr>
        <w:t xml:space="preserve"> materiaal</w:t>
      </w:r>
      <w:r w:rsidRPr="003D02B7" w:rsidR="00DC5163">
        <w:rPr>
          <w:rFonts w:ascii="Verdana" w:hAnsi="Verdana"/>
          <w:sz w:val="18"/>
          <w:szCs w:val="18"/>
        </w:rPr>
        <w:t xml:space="preserve">. In hoofdstuk 2.3 in de memorie van toelichting is </w:t>
      </w:r>
      <w:r w:rsidR="00DC5163">
        <w:rPr>
          <w:rFonts w:ascii="Verdana" w:hAnsi="Verdana"/>
          <w:sz w:val="18"/>
          <w:szCs w:val="18"/>
        </w:rPr>
        <w:t>dit nader toegelicht</w:t>
      </w:r>
      <w:r w:rsidRPr="003D02B7" w:rsidR="00DC5163">
        <w:rPr>
          <w:rFonts w:ascii="Verdana" w:hAnsi="Verdana"/>
          <w:sz w:val="18"/>
          <w:szCs w:val="18"/>
        </w:rPr>
        <w:t xml:space="preserve">. </w:t>
      </w:r>
      <w:r w:rsidRPr="00E45D6A" w:rsidR="00DC5163">
        <w:rPr>
          <w:rFonts w:ascii="Verdana" w:hAnsi="Verdana"/>
          <w:sz w:val="18"/>
          <w:szCs w:val="18"/>
        </w:rPr>
        <w:t xml:space="preserve">Om maatwerk te borgen, is in het wetsvoorstel een mogelijkheid opgenomen om af te wijken van de verplichtingen. </w:t>
      </w:r>
      <w:r w:rsidR="00DC5163">
        <w:rPr>
          <w:rFonts w:ascii="Verdana" w:hAnsi="Verdana"/>
          <w:sz w:val="18"/>
          <w:szCs w:val="18"/>
        </w:rPr>
        <w:t>Deze uitzonderingsmogelijkheid</w:t>
      </w:r>
      <w:r w:rsidRPr="00E45D6A" w:rsidR="00DC5163">
        <w:rPr>
          <w:rFonts w:ascii="Verdana" w:hAnsi="Verdana"/>
          <w:sz w:val="18"/>
          <w:szCs w:val="18"/>
        </w:rPr>
        <w:t xml:space="preserve"> wordt nader uitgewerkt in de amvb. Verder zal de hoogte van de projectgrens die gaat gelden bij </w:t>
      </w:r>
      <w:r w:rsidR="00DC5163">
        <w:rPr>
          <w:rFonts w:ascii="Verdana" w:hAnsi="Verdana"/>
          <w:sz w:val="18"/>
          <w:szCs w:val="18"/>
        </w:rPr>
        <w:t xml:space="preserve">de verplichting van </w:t>
      </w:r>
      <w:r w:rsidRPr="00E45D6A" w:rsidR="00DC5163">
        <w:rPr>
          <w:rFonts w:ascii="Verdana" w:hAnsi="Verdana"/>
          <w:sz w:val="18"/>
          <w:szCs w:val="18"/>
        </w:rPr>
        <w:t>het gunningscriterium met nauwkeurigheid worden bepaald</w:t>
      </w:r>
      <w:r w:rsidR="00DC5163">
        <w:rPr>
          <w:rFonts w:ascii="Verdana" w:hAnsi="Verdana"/>
          <w:sz w:val="18"/>
          <w:szCs w:val="18"/>
        </w:rPr>
        <w:t xml:space="preserve">. Deze wordt </w:t>
      </w:r>
      <w:r w:rsidRPr="00E45D6A" w:rsidR="00DC5163">
        <w:rPr>
          <w:rFonts w:ascii="Verdana" w:hAnsi="Verdana"/>
          <w:sz w:val="18"/>
          <w:szCs w:val="18"/>
        </w:rPr>
        <w:t xml:space="preserve">onder andere </w:t>
      </w:r>
      <w:r w:rsidR="00DC5163">
        <w:rPr>
          <w:rFonts w:ascii="Verdana" w:hAnsi="Verdana"/>
          <w:sz w:val="18"/>
          <w:szCs w:val="18"/>
        </w:rPr>
        <w:t xml:space="preserve">geconsulteerd bij </w:t>
      </w:r>
      <w:r w:rsidRPr="00E45D6A" w:rsidR="00DC5163">
        <w:rPr>
          <w:rFonts w:ascii="Verdana" w:hAnsi="Verdana"/>
          <w:sz w:val="18"/>
          <w:szCs w:val="18"/>
        </w:rPr>
        <w:t>een klankbordgroep</w:t>
      </w:r>
      <w:r w:rsidR="00DC5163">
        <w:rPr>
          <w:rFonts w:ascii="Verdana" w:hAnsi="Verdana"/>
          <w:sz w:val="18"/>
          <w:szCs w:val="18"/>
        </w:rPr>
        <w:t>,</w:t>
      </w:r>
      <w:r w:rsidRPr="00E45D6A" w:rsidR="00DC5163">
        <w:rPr>
          <w:rFonts w:ascii="Verdana" w:hAnsi="Verdana"/>
          <w:sz w:val="18"/>
          <w:szCs w:val="18"/>
        </w:rPr>
        <w:t xml:space="preserve"> waarin een goede afspiegeling van de sector vertegenwoordigd is. Daarbij komt</w:t>
      </w:r>
      <w:r w:rsidR="00DC5163">
        <w:rPr>
          <w:rFonts w:ascii="Verdana" w:hAnsi="Verdana"/>
          <w:sz w:val="18"/>
          <w:szCs w:val="18"/>
        </w:rPr>
        <w:t xml:space="preserve"> onder andere</w:t>
      </w:r>
      <w:r w:rsidRPr="00E45D6A" w:rsidR="00DC5163">
        <w:rPr>
          <w:rFonts w:ascii="Verdana" w:hAnsi="Verdana"/>
          <w:sz w:val="18"/>
          <w:szCs w:val="18"/>
        </w:rPr>
        <w:t xml:space="preserve"> ook aan de orde of een gefaseerde invoering van lagere projectgrenzen en/of</w:t>
      </w:r>
      <w:r w:rsidRPr="00E45D6A">
        <w:rPr>
          <w:rFonts w:ascii="Verdana" w:hAnsi="Verdana"/>
          <w:sz w:val="18"/>
          <w:szCs w:val="18"/>
        </w:rPr>
        <w:t xml:space="preserve"> van bepaalde contractvormen (bijvoorbeeld bouwteams, basisonderhoud, raamovereenkomsten) nodig is, passend bij verschillende lokale situaties. </w:t>
      </w:r>
    </w:p>
    <w:p w:rsidRPr="00E45D6A" w:rsidR="00197FC3" w:rsidP="00DC5163" w:rsidRDefault="00197FC3" w14:paraId="1D85C75D" w14:textId="5C8B19B5">
      <w:pPr>
        <w:spacing w:line="276" w:lineRule="auto"/>
        <w:rPr>
          <w:rFonts w:ascii="Verdana" w:hAnsi="Verdana"/>
          <w:sz w:val="18"/>
          <w:szCs w:val="18"/>
        </w:rPr>
      </w:pPr>
      <w:r>
        <w:rPr>
          <w:rFonts w:ascii="Verdana" w:hAnsi="Verdana"/>
          <w:sz w:val="18"/>
          <w:szCs w:val="18"/>
        </w:rPr>
        <w:t xml:space="preserve">De verwachting is dat met het mogelijk maken van maatwerk de eenduidigheid en uniformiteit die de verplichtingen </w:t>
      </w:r>
      <w:r w:rsidR="004A0B2D">
        <w:rPr>
          <w:rFonts w:ascii="Verdana" w:hAnsi="Verdana"/>
          <w:sz w:val="18"/>
          <w:szCs w:val="18"/>
        </w:rPr>
        <w:t xml:space="preserve">beogen </w:t>
      </w:r>
      <w:r w:rsidRPr="00197FC3">
        <w:rPr>
          <w:rFonts w:ascii="Verdana" w:hAnsi="Verdana"/>
          <w:sz w:val="18"/>
          <w:szCs w:val="18"/>
        </w:rPr>
        <w:t xml:space="preserve">niet in gevaar komt. Dat komt omdat de milieuprestatie-eisen worden verwerkt in de standaard contracten en bestekken UAV-GC en RAW, die aanbestedende diensten </w:t>
      </w:r>
      <w:r>
        <w:rPr>
          <w:rFonts w:ascii="Verdana" w:hAnsi="Verdana"/>
          <w:sz w:val="18"/>
          <w:szCs w:val="18"/>
        </w:rPr>
        <w:t xml:space="preserve">in praktijk </w:t>
      </w:r>
      <w:r w:rsidRPr="00197FC3">
        <w:rPr>
          <w:rFonts w:ascii="Verdana" w:hAnsi="Verdana"/>
          <w:sz w:val="18"/>
          <w:szCs w:val="18"/>
        </w:rPr>
        <w:t xml:space="preserve">gebruiken om de vraagspecificatie voor hun aanbestedingen compleet te krijgen. </w:t>
      </w:r>
      <w:r>
        <w:rPr>
          <w:rFonts w:ascii="Verdana" w:hAnsi="Verdana"/>
          <w:sz w:val="18"/>
          <w:szCs w:val="18"/>
        </w:rPr>
        <w:t xml:space="preserve">Door van UAV-GC en RAW gebruik maken, </w:t>
      </w:r>
      <w:r w:rsidR="008B105A">
        <w:rPr>
          <w:rFonts w:ascii="Verdana" w:hAnsi="Verdana"/>
          <w:sz w:val="18"/>
          <w:szCs w:val="18"/>
        </w:rPr>
        <w:t>worden de</w:t>
      </w:r>
      <w:r w:rsidRPr="00197FC3">
        <w:rPr>
          <w:rFonts w:ascii="Verdana" w:hAnsi="Verdana"/>
          <w:sz w:val="18"/>
          <w:szCs w:val="18"/>
        </w:rPr>
        <w:t xml:space="preserve"> verplichtingen</w:t>
      </w:r>
      <w:r>
        <w:rPr>
          <w:rFonts w:ascii="Verdana" w:hAnsi="Verdana"/>
          <w:sz w:val="18"/>
          <w:szCs w:val="18"/>
        </w:rPr>
        <w:t xml:space="preserve"> automatisch</w:t>
      </w:r>
      <w:r w:rsidR="008B105A">
        <w:rPr>
          <w:rFonts w:ascii="Verdana" w:hAnsi="Verdana"/>
          <w:sz w:val="18"/>
          <w:szCs w:val="18"/>
        </w:rPr>
        <w:t xml:space="preserve"> geïmplementeerd</w:t>
      </w:r>
      <w:r w:rsidRPr="00197FC3">
        <w:rPr>
          <w:rFonts w:ascii="Verdana" w:hAnsi="Verdana"/>
          <w:sz w:val="18"/>
          <w:szCs w:val="18"/>
        </w:rPr>
        <w:t>.</w:t>
      </w:r>
      <w:r w:rsidR="004A0B2D">
        <w:rPr>
          <w:rStyle w:val="Voetnootmarkering"/>
          <w:rFonts w:ascii="Verdana" w:hAnsi="Verdana"/>
          <w:sz w:val="18"/>
          <w:szCs w:val="18"/>
        </w:rPr>
        <w:footnoteReference w:id="50"/>
      </w:r>
      <w:r w:rsidRPr="00197FC3">
        <w:rPr>
          <w:rFonts w:ascii="Verdana" w:hAnsi="Verdana"/>
          <w:sz w:val="18"/>
          <w:szCs w:val="18"/>
        </w:rPr>
        <w:t xml:space="preserve"> </w:t>
      </w:r>
      <w:r w:rsidRPr="004A0B2D" w:rsidR="004A0B2D">
        <w:rPr>
          <w:rFonts w:ascii="Verdana" w:hAnsi="Verdana"/>
          <w:sz w:val="18"/>
          <w:szCs w:val="18"/>
        </w:rPr>
        <w:t xml:space="preserve">In praktijk zullen de eisen in de sector </w:t>
      </w:r>
      <w:r w:rsidR="004A0B2D">
        <w:rPr>
          <w:rFonts w:ascii="Verdana" w:hAnsi="Verdana"/>
          <w:sz w:val="18"/>
          <w:szCs w:val="18"/>
        </w:rPr>
        <w:t xml:space="preserve">dus </w:t>
      </w:r>
      <w:r w:rsidRPr="004A0B2D" w:rsidR="004A0B2D">
        <w:rPr>
          <w:rFonts w:ascii="Verdana" w:hAnsi="Verdana"/>
          <w:sz w:val="18"/>
          <w:szCs w:val="18"/>
        </w:rPr>
        <w:t xml:space="preserve">worden </w:t>
      </w:r>
      <w:r w:rsidR="004A0B2D">
        <w:rPr>
          <w:rFonts w:ascii="Verdana" w:hAnsi="Verdana"/>
          <w:sz w:val="18"/>
          <w:szCs w:val="18"/>
        </w:rPr>
        <w:t xml:space="preserve">veelal </w:t>
      </w:r>
      <w:r w:rsidRPr="004A0B2D" w:rsidR="004A0B2D">
        <w:rPr>
          <w:rFonts w:ascii="Verdana" w:hAnsi="Verdana"/>
          <w:sz w:val="18"/>
          <w:szCs w:val="18"/>
        </w:rPr>
        <w:t xml:space="preserve">toegepast doordat de sector UAV-GC en RAW gebruikt. De eenduidigheid </w:t>
      </w:r>
      <w:r w:rsidR="004A0B2D">
        <w:rPr>
          <w:rFonts w:ascii="Verdana" w:hAnsi="Verdana"/>
          <w:sz w:val="18"/>
          <w:szCs w:val="18"/>
        </w:rPr>
        <w:t>blijft</w:t>
      </w:r>
      <w:r w:rsidRPr="004A0B2D" w:rsidR="004A0B2D">
        <w:rPr>
          <w:rFonts w:ascii="Verdana" w:hAnsi="Verdana"/>
          <w:sz w:val="18"/>
          <w:szCs w:val="18"/>
        </w:rPr>
        <w:t xml:space="preserve"> hiermee geborgd.</w:t>
      </w:r>
      <w:r w:rsidRPr="008B105A" w:rsidR="008B105A">
        <w:rPr>
          <w:rFonts w:ascii="Aptos" w:hAnsi="Aptos" w:eastAsia="Times New Roman"/>
        </w:rPr>
        <w:t xml:space="preserve"> </w:t>
      </w:r>
      <w:r w:rsidRPr="008B105A" w:rsidR="008B105A">
        <w:rPr>
          <w:rFonts w:ascii="Verdana" w:hAnsi="Verdana"/>
          <w:sz w:val="18"/>
          <w:szCs w:val="18"/>
        </w:rPr>
        <w:t xml:space="preserve">Dit staat </w:t>
      </w:r>
      <w:r w:rsidR="008B105A">
        <w:rPr>
          <w:rFonts w:ascii="Verdana" w:hAnsi="Verdana"/>
          <w:sz w:val="18"/>
          <w:szCs w:val="18"/>
        </w:rPr>
        <w:t>tevens</w:t>
      </w:r>
      <w:r w:rsidRPr="008B105A" w:rsidR="008B105A">
        <w:rPr>
          <w:rFonts w:ascii="Verdana" w:hAnsi="Verdana"/>
          <w:sz w:val="18"/>
          <w:szCs w:val="18"/>
        </w:rPr>
        <w:t xml:space="preserve"> in het wetsvoorstel op pagina</w:t>
      </w:r>
      <w:r w:rsidR="008B105A">
        <w:rPr>
          <w:rFonts w:ascii="Verdana" w:hAnsi="Verdana"/>
          <w:sz w:val="18"/>
          <w:szCs w:val="18"/>
        </w:rPr>
        <w:t xml:space="preserve"> </w:t>
      </w:r>
      <w:r w:rsidRPr="008B105A" w:rsidR="008B105A">
        <w:rPr>
          <w:rFonts w:ascii="Verdana" w:hAnsi="Verdana"/>
          <w:sz w:val="18"/>
          <w:szCs w:val="18"/>
        </w:rPr>
        <w:t>onder hoofdstuk 2.3.</w:t>
      </w:r>
    </w:p>
    <w:p w:rsidRPr="00E45D6A" w:rsidR="00DC5163" w:rsidP="00DC5163" w:rsidRDefault="00DC5163" w14:paraId="18AC57B0" w14:textId="0F4CE833">
      <w:pPr>
        <w:spacing w:line="276" w:lineRule="auto"/>
        <w:rPr>
          <w:rFonts w:ascii="Verdana" w:hAnsi="Verdana"/>
          <w:sz w:val="18"/>
          <w:szCs w:val="18"/>
        </w:rPr>
      </w:pPr>
      <w:r w:rsidRPr="00E45D6A">
        <w:rPr>
          <w:rFonts w:ascii="Verdana" w:hAnsi="Verdana"/>
          <w:sz w:val="18"/>
          <w:szCs w:val="18"/>
        </w:rPr>
        <w:t xml:space="preserve">2). Het ministerie van </w:t>
      </w:r>
      <w:bookmarkStart w:name="_Hlk210476533" w:id="61"/>
      <w:r w:rsidRPr="00E45D6A">
        <w:rPr>
          <w:rFonts w:ascii="Verdana" w:hAnsi="Verdana"/>
          <w:sz w:val="18"/>
          <w:szCs w:val="18"/>
        </w:rPr>
        <w:t>I</w:t>
      </w:r>
      <w:r>
        <w:rPr>
          <w:rFonts w:ascii="Verdana" w:hAnsi="Verdana"/>
          <w:sz w:val="18"/>
          <w:szCs w:val="18"/>
        </w:rPr>
        <w:t xml:space="preserve">nfrastructuur </w:t>
      </w:r>
      <w:r w:rsidRPr="00E45D6A">
        <w:rPr>
          <w:rFonts w:ascii="Verdana" w:hAnsi="Verdana"/>
          <w:sz w:val="18"/>
          <w:szCs w:val="18"/>
        </w:rPr>
        <w:t>en</w:t>
      </w:r>
      <w:r>
        <w:rPr>
          <w:rFonts w:ascii="Verdana" w:hAnsi="Verdana"/>
          <w:sz w:val="18"/>
          <w:szCs w:val="18"/>
        </w:rPr>
        <w:t xml:space="preserve"> </w:t>
      </w:r>
      <w:r w:rsidRPr="00E45D6A">
        <w:rPr>
          <w:rFonts w:ascii="Verdana" w:hAnsi="Verdana"/>
          <w:sz w:val="18"/>
          <w:szCs w:val="18"/>
        </w:rPr>
        <w:t>W</w:t>
      </w:r>
      <w:r>
        <w:rPr>
          <w:rFonts w:ascii="Verdana" w:hAnsi="Verdana"/>
          <w:sz w:val="18"/>
          <w:szCs w:val="18"/>
        </w:rPr>
        <w:t>aterstaat</w:t>
      </w:r>
      <w:r w:rsidRPr="00E45D6A">
        <w:rPr>
          <w:rFonts w:ascii="Verdana" w:hAnsi="Verdana"/>
          <w:sz w:val="18"/>
          <w:szCs w:val="18"/>
        </w:rPr>
        <w:t xml:space="preserve"> </w:t>
      </w:r>
      <w:bookmarkEnd w:id="61"/>
      <w:r w:rsidRPr="00E45D6A">
        <w:rPr>
          <w:rFonts w:ascii="Verdana" w:hAnsi="Verdana"/>
          <w:sz w:val="18"/>
          <w:szCs w:val="18"/>
        </w:rPr>
        <w:t xml:space="preserve">onderschrijft de wens voor regelmatige evaluatie en monitoring </w:t>
      </w:r>
      <w:r>
        <w:rPr>
          <w:rFonts w:ascii="Verdana" w:hAnsi="Verdana"/>
          <w:sz w:val="18"/>
          <w:szCs w:val="18"/>
        </w:rPr>
        <w:t>van de verplichtingen</w:t>
      </w:r>
      <w:r w:rsidRPr="00E45D6A">
        <w:rPr>
          <w:rFonts w:ascii="Verdana" w:hAnsi="Verdana"/>
          <w:sz w:val="18"/>
          <w:szCs w:val="18"/>
        </w:rPr>
        <w:t xml:space="preserve">. </w:t>
      </w:r>
      <w:r>
        <w:rPr>
          <w:rFonts w:ascii="Verdana" w:hAnsi="Verdana"/>
          <w:sz w:val="18"/>
          <w:szCs w:val="18"/>
        </w:rPr>
        <w:t>Om de basis te leggen</w:t>
      </w:r>
      <w:r w:rsidRPr="00E45D6A">
        <w:rPr>
          <w:rFonts w:ascii="Verdana" w:hAnsi="Verdana"/>
          <w:sz w:val="18"/>
          <w:szCs w:val="18"/>
        </w:rPr>
        <w:t xml:space="preserve"> voor </w:t>
      </w:r>
      <w:r>
        <w:rPr>
          <w:rFonts w:ascii="Verdana" w:hAnsi="Verdana"/>
          <w:sz w:val="18"/>
          <w:szCs w:val="18"/>
        </w:rPr>
        <w:t xml:space="preserve">een </w:t>
      </w:r>
      <w:r w:rsidRPr="00E45D6A">
        <w:rPr>
          <w:rFonts w:ascii="Verdana" w:hAnsi="Verdana"/>
          <w:sz w:val="18"/>
          <w:szCs w:val="18"/>
        </w:rPr>
        <w:t>evalueerbare doel</w:t>
      </w:r>
      <w:r>
        <w:rPr>
          <w:rFonts w:ascii="Verdana" w:hAnsi="Verdana"/>
          <w:sz w:val="18"/>
          <w:szCs w:val="18"/>
        </w:rPr>
        <w:t xml:space="preserve">stelling, </w:t>
      </w:r>
      <w:r w:rsidRPr="00E45D6A">
        <w:rPr>
          <w:rFonts w:ascii="Verdana" w:hAnsi="Verdana"/>
          <w:sz w:val="18"/>
          <w:szCs w:val="18"/>
        </w:rPr>
        <w:t xml:space="preserve">is een indicatieve berekening </w:t>
      </w:r>
      <w:r>
        <w:rPr>
          <w:rFonts w:ascii="Verdana" w:hAnsi="Verdana"/>
          <w:sz w:val="18"/>
          <w:szCs w:val="18"/>
        </w:rPr>
        <w:t>gemaakt</w:t>
      </w:r>
      <w:r w:rsidRPr="00E45D6A">
        <w:rPr>
          <w:rFonts w:ascii="Verdana" w:hAnsi="Verdana"/>
          <w:sz w:val="18"/>
          <w:szCs w:val="18"/>
        </w:rPr>
        <w:t xml:space="preserve"> van de impact van </w:t>
      </w:r>
      <w:r>
        <w:rPr>
          <w:rFonts w:ascii="Verdana" w:hAnsi="Verdana"/>
          <w:sz w:val="18"/>
          <w:szCs w:val="18"/>
        </w:rPr>
        <w:t>milieu</w:t>
      </w:r>
      <w:r w:rsidRPr="00E45D6A">
        <w:rPr>
          <w:rFonts w:ascii="Verdana" w:hAnsi="Verdana"/>
          <w:sz w:val="18"/>
          <w:szCs w:val="18"/>
        </w:rPr>
        <w:t>prestatie-eisen op materiaalniveau (beton, staal en asfalt).</w:t>
      </w:r>
      <w:r>
        <w:rPr>
          <w:rStyle w:val="Voetnootmarkering"/>
          <w:rFonts w:ascii="Verdana" w:hAnsi="Verdana"/>
          <w:sz w:val="18"/>
          <w:szCs w:val="18"/>
        </w:rPr>
        <w:footnoteReference w:id="51"/>
      </w:r>
      <w:r w:rsidRPr="00E45D6A">
        <w:rPr>
          <w:rFonts w:ascii="Verdana" w:hAnsi="Verdana"/>
          <w:sz w:val="18"/>
          <w:szCs w:val="18"/>
        </w:rPr>
        <w:t xml:space="preserve"> Daarbij zijn huidige prestatieniveaus als referentie gehanteerd en is naar de periode 2024-2030 gekeken. Hieruit blijkt dat als de </w:t>
      </w:r>
      <w:r>
        <w:rPr>
          <w:rFonts w:ascii="Verdana" w:hAnsi="Verdana"/>
          <w:sz w:val="18"/>
          <w:szCs w:val="18"/>
        </w:rPr>
        <w:t>milieu</w:t>
      </w:r>
      <w:r w:rsidRPr="00E45D6A">
        <w:rPr>
          <w:rFonts w:ascii="Verdana" w:hAnsi="Verdana"/>
          <w:sz w:val="18"/>
          <w:szCs w:val="18"/>
        </w:rPr>
        <w:t>prestatie-eisen per 2024 ingevoerd zouden worden dit leidt dit tot een totale CO</w:t>
      </w:r>
      <w:r w:rsidRPr="00773EC1">
        <w:rPr>
          <w:rFonts w:ascii="Verdana" w:hAnsi="Verdana"/>
          <w:sz w:val="18"/>
          <w:szCs w:val="18"/>
          <w:vertAlign w:val="subscript"/>
        </w:rPr>
        <w:t>2</w:t>
      </w:r>
      <w:r w:rsidRPr="00E45D6A">
        <w:rPr>
          <w:rFonts w:ascii="Verdana" w:hAnsi="Verdana"/>
          <w:sz w:val="18"/>
          <w:szCs w:val="18"/>
        </w:rPr>
        <w:t xml:space="preserve">-besparing van zo’n 623 kton in het jaar 2030 (niet-cumulatief). Relatief is dit een besparing van circa 13% van de totale impact van de GWW-sector in 2030, zowel op </w:t>
      </w:r>
      <w:r>
        <w:rPr>
          <w:rFonts w:ascii="Verdana" w:hAnsi="Verdana"/>
          <w:sz w:val="18"/>
          <w:szCs w:val="18"/>
        </w:rPr>
        <w:t>milieuprestatie</w:t>
      </w:r>
      <w:r>
        <w:rPr>
          <w:rStyle w:val="Voetnootmarkering"/>
          <w:rFonts w:ascii="Verdana" w:hAnsi="Verdana"/>
          <w:sz w:val="18"/>
          <w:szCs w:val="18"/>
        </w:rPr>
        <w:footnoteReference w:id="52"/>
      </w:r>
      <w:r w:rsidRPr="00E45D6A">
        <w:rPr>
          <w:rFonts w:ascii="Verdana" w:hAnsi="Verdana"/>
          <w:sz w:val="18"/>
          <w:szCs w:val="18"/>
        </w:rPr>
        <w:t xml:space="preserve"> als op CO</w:t>
      </w:r>
      <w:r w:rsidRPr="00773EC1">
        <w:rPr>
          <w:rFonts w:ascii="Verdana" w:hAnsi="Verdana"/>
          <w:sz w:val="18"/>
          <w:szCs w:val="18"/>
          <w:vertAlign w:val="subscript"/>
        </w:rPr>
        <w:t>2</w:t>
      </w:r>
      <w:r w:rsidRPr="00E45D6A">
        <w:rPr>
          <w:rFonts w:ascii="Verdana" w:hAnsi="Verdana"/>
          <w:sz w:val="18"/>
          <w:szCs w:val="18"/>
        </w:rPr>
        <w:t>-uitstoot. In Bijlage II van dat zelfde advies is een inschatting gemaakt dat op dit moment 70% van de GWW</w:t>
      </w:r>
      <w:r>
        <w:rPr>
          <w:rFonts w:ascii="Verdana" w:hAnsi="Verdana"/>
          <w:sz w:val="18"/>
          <w:szCs w:val="18"/>
        </w:rPr>
        <w:t>-</w:t>
      </w:r>
      <w:r w:rsidRPr="00E45D6A">
        <w:rPr>
          <w:rFonts w:ascii="Verdana" w:hAnsi="Verdana"/>
          <w:sz w:val="18"/>
          <w:szCs w:val="18"/>
        </w:rPr>
        <w:t xml:space="preserve">markt niet met </w:t>
      </w:r>
      <w:r>
        <w:rPr>
          <w:rFonts w:ascii="Verdana" w:hAnsi="Verdana"/>
          <w:sz w:val="18"/>
          <w:szCs w:val="18"/>
        </w:rPr>
        <w:t>milieuprestatie-eisen</w:t>
      </w:r>
      <w:r w:rsidRPr="00E45D6A">
        <w:rPr>
          <w:rFonts w:ascii="Verdana" w:hAnsi="Verdana"/>
          <w:sz w:val="18"/>
          <w:szCs w:val="18"/>
        </w:rPr>
        <w:t xml:space="preserve"> wordt aanbesteed. Op basis van deze </w:t>
      </w:r>
      <w:r w:rsidRPr="00780951">
        <w:rPr>
          <w:rFonts w:ascii="Verdana" w:hAnsi="Verdana"/>
          <w:sz w:val="18"/>
          <w:szCs w:val="18"/>
        </w:rPr>
        <w:t>inschatting is de potentie van deze beleidsmaatregel vertaald naar absolute reducties van CO</w:t>
      </w:r>
      <w:r w:rsidRPr="00773EC1">
        <w:rPr>
          <w:rFonts w:ascii="Verdana" w:hAnsi="Verdana"/>
          <w:sz w:val="18"/>
          <w:szCs w:val="18"/>
          <w:vertAlign w:val="subscript"/>
        </w:rPr>
        <w:t>2</w:t>
      </w:r>
      <w:r w:rsidRPr="00780951">
        <w:rPr>
          <w:rFonts w:ascii="Verdana" w:hAnsi="Verdana"/>
          <w:sz w:val="18"/>
          <w:szCs w:val="18"/>
        </w:rPr>
        <w:t xml:space="preserve"> en </w:t>
      </w:r>
      <w:r>
        <w:rPr>
          <w:rFonts w:ascii="Verdana" w:hAnsi="Verdana"/>
          <w:sz w:val="18"/>
          <w:szCs w:val="18"/>
        </w:rPr>
        <w:t>milieuprestatie</w:t>
      </w:r>
      <w:r w:rsidRPr="00780951">
        <w:rPr>
          <w:rFonts w:ascii="Verdana" w:hAnsi="Verdana"/>
          <w:sz w:val="18"/>
          <w:szCs w:val="18"/>
        </w:rPr>
        <w:t xml:space="preserve"> in 2030. </w:t>
      </w:r>
      <w:r w:rsidRPr="00E45D6A">
        <w:rPr>
          <w:rFonts w:ascii="Verdana" w:hAnsi="Verdana"/>
          <w:sz w:val="18"/>
          <w:szCs w:val="18"/>
        </w:rPr>
        <w:t xml:space="preserve">In het algemeen geldt dat naarmate de eisen strenger zijn dit leidt tot (extra) milieuwinst. </w:t>
      </w:r>
    </w:p>
    <w:p w:rsidR="00DC5163" w:rsidP="00DC5163" w:rsidRDefault="00DC5163" w14:paraId="26ACB89B" w14:textId="747D29B7">
      <w:pPr>
        <w:spacing w:line="276" w:lineRule="auto"/>
        <w:rPr>
          <w:rFonts w:ascii="Verdana" w:hAnsi="Verdana"/>
          <w:sz w:val="18"/>
          <w:szCs w:val="18"/>
        </w:rPr>
      </w:pPr>
      <w:r>
        <w:rPr>
          <w:rFonts w:ascii="Verdana" w:hAnsi="Verdana"/>
          <w:sz w:val="18"/>
          <w:szCs w:val="18"/>
        </w:rPr>
        <w:t xml:space="preserve">Om de impact inzichtelijk te maken van de tweede maatregel, waarbij </w:t>
      </w:r>
      <w:r w:rsidRPr="00BE1A29">
        <w:rPr>
          <w:rFonts w:ascii="Verdana" w:hAnsi="Verdana"/>
          <w:sz w:val="18"/>
          <w:szCs w:val="18"/>
        </w:rPr>
        <w:t xml:space="preserve">aanbestedende diensten en speciale-sectorbedrijven </w:t>
      </w:r>
      <w:r>
        <w:rPr>
          <w:rFonts w:ascii="Verdana" w:hAnsi="Verdana"/>
          <w:sz w:val="18"/>
          <w:szCs w:val="18"/>
        </w:rPr>
        <w:t xml:space="preserve">verplicht worden </w:t>
      </w:r>
      <w:r w:rsidRPr="00BE1A29">
        <w:rPr>
          <w:rFonts w:ascii="Verdana" w:hAnsi="Verdana"/>
          <w:sz w:val="18"/>
          <w:szCs w:val="18"/>
        </w:rPr>
        <w:t>om</w:t>
      </w:r>
      <w:r>
        <w:rPr>
          <w:rFonts w:ascii="Verdana" w:hAnsi="Verdana"/>
          <w:sz w:val="18"/>
          <w:szCs w:val="18"/>
        </w:rPr>
        <w:t xml:space="preserve"> bij de aanbesteding van een GWW-werk vanaf een bepaalde opdrachtwaarde </w:t>
      </w:r>
      <w:r w:rsidRPr="00BE1A29">
        <w:rPr>
          <w:rFonts w:ascii="Verdana" w:hAnsi="Verdana"/>
          <w:sz w:val="18"/>
          <w:szCs w:val="18"/>
        </w:rPr>
        <w:t>milieuprestatiekwaliteitsaspecten mee te nemen in de vorm van een (sub)gunningscriterium</w:t>
      </w:r>
      <w:r>
        <w:rPr>
          <w:rFonts w:ascii="Verdana" w:hAnsi="Verdana"/>
          <w:sz w:val="18"/>
          <w:szCs w:val="18"/>
        </w:rPr>
        <w:t>, is tevens onderzoek uitgevoerd.</w:t>
      </w:r>
      <w:r>
        <w:rPr>
          <w:rStyle w:val="Voetnootmarkering"/>
          <w:rFonts w:ascii="Verdana" w:hAnsi="Verdana"/>
          <w:sz w:val="18"/>
          <w:szCs w:val="18"/>
        </w:rPr>
        <w:footnoteReference w:id="53"/>
      </w:r>
      <w:r>
        <w:rPr>
          <w:rFonts w:ascii="Verdana" w:hAnsi="Verdana"/>
          <w:sz w:val="18"/>
          <w:szCs w:val="18"/>
        </w:rPr>
        <w:t xml:space="preserve"> Daarbij is uitgegaan van het scenario dat deze verplichting geldt </w:t>
      </w:r>
      <w:r>
        <w:rPr>
          <w:rFonts w:ascii="Verdana" w:hAnsi="Verdana" w:eastAsia="Times New Roman" w:cs="Times New Roman"/>
          <w:sz w:val="18"/>
          <w:szCs w:val="18"/>
          <w:lang w:eastAsia="nl-NL"/>
        </w:rPr>
        <w:t xml:space="preserve">voor GWW-werken die worden aanbesteed met een opdrachtwaarde vanaf de Europese aanbestedingsgrens. </w:t>
      </w:r>
      <w:r>
        <w:rPr>
          <w:rFonts w:ascii="Verdana" w:hAnsi="Verdana" w:eastAsia="Times New Roman" w:cs="Times New Roman"/>
          <w:sz w:val="18"/>
          <w:szCs w:val="18"/>
          <w:lang w:eastAsia="nl-NL"/>
        </w:rPr>
        <w:lastRenderedPageBreak/>
        <w:t xml:space="preserve">Hieruit is naar voren gekomen dat dit scenario leidt tot een reductie van 400kton </w:t>
      </w:r>
      <w:r w:rsidRPr="00E45D6A">
        <w:rPr>
          <w:rFonts w:ascii="Verdana" w:hAnsi="Verdana"/>
          <w:sz w:val="18"/>
          <w:szCs w:val="18"/>
        </w:rPr>
        <w:t>CO</w:t>
      </w:r>
      <w:r w:rsidRPr="001C7AB0">
        <w:rPr>
          <w:rFonts w:ascii="Verdana" w:hAnsi="Verdana"/>
          <w:sz w:val="18"/>
          <w:szCs w:val="18"/>
          <w:vertAlign w:val="subscript"/>
        </w:rPr>
        <w:t>2</w:t>
      </w:r>
      <w:r w:rsidRPr="001C7AB0">
        <w:rPr>
          <w:rFonts w:ascii="Verdana" w:hAnsi="Verdana"/>
          <w:sz w:val="18"/>
          <w:szCs w:val="18"/>
        </w:rPr>
        <w:t>-eq</w:t>
      </w:r>
      <w:r>
        <w:rPr>
          <w:rFonts w:ascii="Verdana" w:hAnsi="Verdana"/>
          <w:sz w:val="18"/>
          <w:szCs w:val="18"/>
        </w:rPr>
        <w:t>. Ook hier geldt dat h</w:t>
      </w:r>
      <w:r>
        <w:rPr>
          <w:rFonts w:ascii="Verdana" w:hAnsi="Verdana" w:eastAsia="Times New Roman" w:cs="Times New Roman"/>
          <w:sz w:val="18"/>
          <w:szCs w:val="18"/>
          <w:lang w:eastAsia="nl-NL"/>
        </w:rPr>
        <w:t>et positieve effect van de maatregel op de milieu-impact toeneemt</w:t>
      </w:r>
      <w:r w:rsidRPr="001C7AB0">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wanneer de geraamde opdrachtwaarde lager wordt vastgesteld. </w:t>
      </w:r>
    </w:p>
    <w:p w:rsidRPr="00E45D6A" w:rsidR="00DC5163" w:rsidP="00DC5163" w:rsidRDefault="00DC5163" w14:paraId="4B32D897" w14:textId="00B63CA2">
      <w:pPr>
        <w:spacing w:line="276" w:lineRule="auto"/>
        <w:rPr>
          <w:rFonts w:ascii="Verdana" w:hAnsi="Verdana"/>
          <w:sz w:val="18"/>
          <w:szCs w:val="18"/>
        </w:rPr>
      </w:pPr>
      <w:r>
        <w:rPr>
          <w:rFonts w:ascii="Verdana" w:hAnsi="Verdana"/>
          <w:sz w:val="18"/>
          <w:szCs w:val="18"/>
        </w:rPr>
        <w:t xml:space="preserve">Met bovenstaande gegevens </w:t>
      </w:r>
      <w:r w:rsidRPr="00E45D6A">
        <w:rPr>
          <w:rFonts w:ascii="Verdana" w:hAnsi="Verdana"/>
          <w:sz w:val="18"/>
          <w:szCs w:val="18"/>
        </w:rPr>
        <w:t xml:space="preserve">is </w:t>
      </w:r>
      <w:r>
        <w:rPr>
          <w:rFonts w:ascii="Verdana" w:hAnsi="Verdana"/>
          <w:sz w:val="18"/>
          <w:szCs w:val="18"/>
        </w:rPr>
        <w:t xml:space="preserve">voor beide verplichtingen </w:t>
      </w:r>
      <w:r w:rsidRPr="00E45D6A">
        <w:rPr>
          <w:rFonts w:ascii="Verdana" w:hAnsi="Verdana"/>
          <w:sz w:val="18"/>
          <w:szCs w:val="18"/>
        </w:rPr>
        <w:t xml:space="preserve">de basis gelegd voor </w:t>
      </w:r>
      <w:r>
        <w:rPr>
          <w:rFonts w:ascii="Verdana" w:hAnsi="Verdana"/>
          <w:sz w:val="18"/>
          <w:szCs w:val="18"/>
        </w:rPr>
        <w:t xml:space="preserve">een </w:t>
      </w:r>
      <w:r w:rsidRPr="00E45D6A">
        <w:rPr>
          <w:rFonts w:ascii="Verdana" w:hAnsi="Verdana"/>
          <w:sz w:val="18"/>
          <w:szCs w:val="18"/>
        </w:rPr>
        <w:t>evalueerbare doel</w:t>
      </w:r>
      <w:r>
        <w:rPr>
          <w:rFonts w:ascii="Verdana" w:hAnsi="Verdana"/>
          <w:sz w:val="18"/>
          <w:szCs w:val="18"/>
        </w:rPr>
        <w:t xml:space="preserve">stelling. Omdat de hoogte van de milieuprestatie-eisen en de minimum geraamde opdrachtwaarde niet in het wetsvoorstel, maar bij of krachtens amvb worden vastgesteld, is in het wetsvoorstel nog geen harde </w:t>
      </w:r>
      <w:r w:rsidRPr="00BE1A29">
        <w:rPr>
          <w:rFonts w:ascii="Verdana" w:hAnsi="Verdana"/>
          <w:sz w:val="18"/>
          <w:szCs w:val="18"/>
        </w:rPr>
        <w:t xml:space="preserve">evalueerbare doelstelling </w:t>
      </w:r>
      <w:r>
        <w:rPr>
          <w:rFonts w:ascii="Verdana" w:hAnsi="Verdana"/>
          <w:sz w:val="18"/>
          <w:szCs w:val="18"/>
        </w:rPr>
        <w:t xml:space="preserve">opgenomen </w:t>
      </w:r>
      <w:r w:rsidRPr="00BE1A29">
        <w:rPr>
          <w:rFonts w:ascii="Verdana" w:hAnsi="Verdana"/>
          <w:sz w:val="18"/>
          <w:szCs w:val="18"/>
        </w:rPr>
        <w:t>met betrekking tot de verwachte milieu-impact</w:t>
      </w:r>
      <w:r>
        <w:rPr>
          <w:rFonts w:ascii="Verdana" w:hAnsi="Verdana"/>
          <w:sz w:val="18"/>
          <w:szCs w:val="18"/>
        </w:rPr>
        <w:t xml:space="preserve"> van de verplichtingen</w:t>
      </w:r>
      <w:r w:rsidRPr="00BE1A29">
        <w:rPr>
          <w:rFonts w:ascii="Verdana" w:hAnsi="Verdana"/>
          <w:sz w:val="18"/>
          <w:szCs w:val="18"/>
        </w:rPr>
        <w:t>.</w:t>
      </w:r>
      <w:r w:rsidRPr="00E45D6A">
        <w:rPr>
          <w:rFonts w:ascii="Verdana" w:hAnsi="Verdana"/>
          <w:sz w:val="18"/>
          <w:szCs w:val="18"/>
        </w:rPr>
        <w:t xml:space="preserve"> </w:t>
      </w:r>
      <w:r>
        <w:rPr>
          <w:rFonts w:ascii="Verdana" w:hAnsi="Verdana"/>
          <w:sz w:val="18"/>
          <w:szCs w:val="18"/>
        </w:rPr>
        <w:t xml:space="preserve">Wel is extra informatie over de gewenste effecten van beide maatregelen </w:t>
      </w:r>
      <w:r w:rsidRPr="001C7AB0">
        <w:rPr>
          <w:rFonts w:ascii="Verdana" w:hAnsi="Verdana"/>
          <w:sz w:val="18"/>
          <w:szCs w:val="18"/>
        </w:rPr>
        <w:t xml:space="preserve">toegevoegd in hoofdstuk </w:t>
      </w:r>
      <w:r>
        <w:rPr>
          <w:rFonts w:ascii="Verdana" w:hAnsi="Verdana"/>
          <w:sz w:val="18"/>
          <w:szCs w:val="18"/>
        </w:rPr>
        <w:t>6</w:t>
      </w:r>
      <w:r w:rsidRPr="001C7AB0">
        <w:rPr>
          <w:rFonts w:ascii="Verdana" w:hAnsi="Verdana"/>
          <w:sz w:val="18"/>
          <w:szCs w:val="18"/>
        </w:rPr>
        <w:t xml:space="preserve"> van de memorie van toelichting</w:t>
      </w:r>
      <w:r>
        <w:rPr>
          <w:rFonts w:ascii="Verdana" w:hAnsi="Verdana"/>
          <w:sz w:val="18"/>
          <w:szCs w:val="18"/>
        </w:rPr>
        <w:t xml:space="preserve">. </w:t>
      </w:r>
      <w:r w:rsidRPr="00E45D6A">
        <w:rPr>
          <w:rFonts w:ascii="Verdana" w:hAnsi="Verdana"/>
          <w:sz w:val="18"/>
          <w:szCs w:val="18"/>
        </w:rPr>
        <w:t>Het ministerie van I</w:t>
      </w:r>
      <w:r>
        <w:rPr>
          <w:rFonts w:ascii="Verdana" w:hAnsi="Verdana"/>
          <w:sz w:val="18"/>
          <w:szCs w:val="18"/>
        </w:rPr>
        <w:t xml:space="preserve">nfrastructuur </w:t>
      </w:r>
      <w:r w:rsidRPr="00E45D6A">
        <w:rPr>
          <w:rFonts w:ascii="Verdana" w:hAnsi="Verdana"/>
          <w:sz w:val="18"/>
          <w:szCs w:val="18"/>
        </w:rPr>
        <w:t>en</w:t>
      </w:r>
      <w:r>
        <w:rPr>
          <w:rFonts w:ascii="Verdana" w:hAnsi="Verdana"/>
          <w:sz w:val="18"/>
          <w:szCs w:val="18"/>
        </w:rPr>
        <w:t xml:space="preserve"> </w:t>
      </w:r>
      <w:r w:rsidRPr="00E45D6A">
        <w:rPr>
          <w:rFonts w:ascii="Verdana" w:hAnsi="Verdana"/>
          <w:sz w:val="18"/>
          <w:szCs w:val="18"/>
        </w:rPr>
        <w:t>W</w:t>
      </w:r>
      <w:r>
        <w:rPr>
          <w:rFonts w:ascii="Verdana" w:hAnsi="Verdana"/>
          <w:sz w:val="18"/>
          <w:szCs w:val="18"/>
        </w:rPr>
        <w:t>aterstaat</w:t>
      </w:r>
      <w:r w:rsidRPr="00E45D6A">
        <w:rPr>
          <w:rFonts w:ascii="Verdana" w:hAnsi="Verdana"/>
          <w:sz w:val="18"/>
          <w:szCs w:val="18"/>
        </w:rPr>
        <w:t xml:space="preserve"> onderschrijft daarnaast de wens voor regelmatige evaluatie en monitoring. De werking van de verplichtingen zal periodiek worden beoordeeld op uitvoerbaarheid (de praktische toepassing door opdrachtgevers en opdrachtnemers). Ook wordt onderzocht hoe de daadwerkelijke bijdrage aan reductie van milieu-impact kan worden gemonitord. De verhouding tussen lasten en beoogde baten wordt</w:t>
      </w:r>
      <w:r>
        <w:rPr>
          <w:rFonts w:ascii="Verdana" w:hAnsi="Verdana"/>
          <w:sz w:val="18"/>
          <w:szCs w:val="18"/>
        </w:rPr>
        <w:t xml:space="preserve"> daarbij</w:t>
      </w:r>
      <w:r w:rsidRPr="00E45D6A">
        <w:rPr>
          <w:rFonts w:ascii="Verdana" w:hAnsi="Verdana"/>
          <w:sz w:val="18"/>
          <w:szCs w:val="18"/>
        </w:rPr>
        <w:t xml:space="preserve"> tevens betrokken. Bij het vormgeven van de evaluaties wordt de sector actief betrokken, zodat ervaringen uit de praktijk direct kunnen worden benut voor verbeteringen en bijsturing. Dit is verduidelijkt in hoofdstuk 10 van de memorie van toelichting.</w:t>
      </w:r>
      <w:r>
        <w:rPr>
          <w:rFonts w:ascii="Verdana" w:hAnsi="Verdana"/>
          <w:sz w:val="18"/>
          <w:szCs w:val="18"/>
        </w:rPr>
        <w:t xml:space="preserve"> </w:t>
      </w:r>
    </w:p>
    <w:p w:rsidR="00773EC1" w:rsidP="00773EC1" w:rsidRDefault="00DC5163" w14:paraId="6AC99427" w14:textId="77777777">
      <w:pPr>
        <w:spacing w:line="276" w:lineRule="auto"/>
        <w:rPr>
          <w:rFonts w:ascii="Verdana" w:hAnsi="Verdana"/>
          <w:sz w:val="18"/>
          <w:szCs w:val="18"/>
        </w:rPr>
      </w:pPr>
      <w:r w:rsidRPr="00D862DB">
        <w:rPr>
          <w:rFonts w:ascii="Verdana" w:hAnsi="Verdana"/>
          <w:sz w:val="18"/>
          <w:szCs w:val="18"/>
        </w:rPr>
        <w:t xml:space="preserve">3). Het </w:t>
      </w:r>
      <w:r>
        <w:rPr>
          <w:rFonts w:ascii="Verdana" w:hAnsi="Verdana"/>
          <w:sz w:val="18"/>
          <w:szCs w:val="18"/>
        </w:rPr>
        <w:t>kabinet</w:t>
      </w:r>
      <w:r w:rsidRPr="00D862DB">
        <w:rPr>
          <w:rFonts w:ascii="Verdana" w:hAnsi="Verdana"/>
          <w:sz w:val="18"/>
          <w:szCs w:val="18"/>
        </w:rPr>
        <w:t xml:space="preserve"> onderschrijft het belang van de werkbaarheid voor bedrijven bij de toepassing van milieuprestatie-eisen. Het </w:t>
      </w:r>
      <w:r>
        <w:rPr>
          <w:rFonts w:ascii="Verdana" w:hAnsi="Verdana"/>
          <w:sz w:val="18"/>
          <w:szCs w:val="18"/>
        </w:rPr>
        <w:t>kabinet</w:t>
      </w:r>
      <w:r w:rsidRPr="00D862DB">
        <w:rPr>
          <w:rFonts w:ascii="Verdana" w:hAnsi="Verdana"/>
          <w:sz w:val="18"/>
          <w:szCs w:val="18"/>
        </w:rPr>
        <w:t xml:space="preserve"> wil niet dat er onnodige administratieve lasten met </w:t>
      </w:r>
      <w:r>
        <w:rPr>
          <w:rFonts w:ascii="Verdana" w:hAnsi="Verdana"/>
          <w:sz w:val="18"/>
          <w:szCs w:val="18"/>
        </w:rPr>
        <w:t>een</w:t>
      </w:r>
      <w:r w:rsidRPr="00D862DB">
        <w:rPr>
          <w:rFonts w:ascii="Verdana" w:hAnsi="Verdana"/>
          <w:sz w:val="18"/>
          <w:szCs w:val="18"/>
        </w:rPr>
        <w:t xml:space="preserve"> wetsvoorstel gemoeid gaan. Daarom is – na uitgebreid onderzoek waarbij de sector betrokken is - gekozen voor verplichtingen die een beperkte hoeveelheid expertise, middelen en capaciteit vergen. Daarbij is tevens rekening gehouden met het MKB, zie o.a. hoofdstuk 6.2. van dit wetsvoorstel. Het uitgangspunt is dat de verplichtingen leiden tot een eenduidige werkbare norm</w:t>
      </w:r>
      <w:r>
        <w:rPr>
          <w:rFonts w:ascii="Verdana" w:hAnsi="Verdana"/>
          <w:sz w:val="18"/>
          <w:szCs w:val="18"/>
        </w:rPr>
        <w:t xml:space="preserve"> voor bedrijven en overheden,</w:t>
      </w:r>
      <w:r w:rsidRPr="00D862DB">
        <w:rPr>
          <w:rFonts w:ascii="Verdana" w:hAnsi="Verdana"/>
          <w:sz w:val="18"/>
          <w:szCs w:val="18"/>
        </w:rPr>
        <w:t xml:space="preserve"> in plaats van versnipperde eisen over opdrachtgevers heen zoals dat nu het geval is. Ten opzichte van de huidige situatie </w:t>
      </w:r>
      <w:r>
        <w:rPr>
          <w:rFonts w:ascii="Verdana" w:hAnsi="Verdana"/>
          <w:sz w:val="18"/>
          <w:szCs w:val="18"/>
        </w:rPr>
        <w:t>zorgt</w:t>
      </w:r>
      <w:r w:rsidRPr="00D862DB">
        <w:rPr>
          <w:rFonts w:ascii="Verdana" w:hAnsi="Verdana"/>
          <w:sz w:val="18"/>
          <w:szCs w:val="18"/>
        </w:rPr>
        <w:t xml:space="preserve"> het wetsvoorstel op deze manier voor meer duidelijkheid en minder uitzoekwerk. Door gebruik te maken van algemeen aanvaarde methoden (zoals de MKI), uniforme formats en centrale ondersteuning, wordt de uitvoeringspraktijk gestroomlijnd. </w:t>
      </w:r>
    </w:p>
    <w:p w:rsidRPr="00BF5CBA" w:rsidR="00DC5163" w:rsidP="00DC5163" w:rsidRDefault="00DC5163" w14:paraId="78AC013A" w14:textId="7D898F9F">
      <w:pPr>
        <w:spacing w:line="276" w:lineRule="auto"/>
        <w:rPr>
          <w:rFonts w:ascii="Verdana" w:hAnsi="Verdana"/>
          <w:sz w:val="18"/>
          <w:szCs w:val="18"/>
        </w:rPr>
      </w:pPr>
      <w:r w:rsidRPr="00D862DB">
        <w:rPr>
          <w:rFonts w:ascii="Verdana" w:hAnsi="Verdana"/>
          <w:sz w:val="18"/>
          <w:szCs w:val="18"/>
        </w:rPr>
        <w:t xml:space="preserve">In de voorbereiding van het wetsvoorstel zijn reeds intensieve gesprekken gevoerd met overheden, brancheorganisaties, opdrachtnemers en producenten. Ook zijn stakeholderconsultaties georganiseerd om te borgen dat het wetsvoorstel passend is bij de praktijk. Deze lijn wordt doorgezet bij de uitwerking van lagere regelgeving. </w:t>
      </w:r>
      <w:r w:rsidRPr="00D862DB" w:rsidR="00773EC1">
        <w:rPr>
          <w:rFonts w:ascii="Verdana" w:hAnsi="Verdana"/>
          <w:sz w:val="18"/>
          <w:szCs w:val="18"/>
        </w:rPr>
        <w:t xml:space="preserve">Ook bij de nadere uitwerking in </w:t>
      </w:r>
      <w:r w:rsidR="00773EC1">
        <w:rPr>
          <w:rFonts w:ascii="Verdana" w:hAnsi="Verdana"/>
          <w:sz w:val="18"/>
          <w:szCs w:val="18"/>
        </w:rPr>
        <w:t xml:space="preserve">de </w:t>
      </w:r>
      <w:r w:rsidRPr="00D862DB" w:rsidR="00773EC1">
        <w:rPr>
          <w:rFonts w:ascii="Verdana" w:hAnsi="Verdana"/>
          <w:sz w:val="18"/>
          <w:szCs w:val="18"/>
        </w:rPr>
        <w:t xml:space="preserve">amvb en ministeriele regeling wordt </w:t>
      </w:r>
      <w:r w:rsidR="00773EC1">
        <w:rPr>
          <w:rFonts w:ascii="Verdana" w:hAnsi="Verdana"/>
          <w:sz w:val="18"/>
          <w:szCs w:val="18"/>
        </w:rPr>
        <w:t>aandacht gegeven aan</w:t>
      </w:r>
      <w:r w:rsidRPr="00D862DB" w:rsidR="00773EC1">
        <w:rPr>
          <w:rFonts w:ascii="Verdana" w:hAnsi="Verdana"/>
          <w:sz w:val="18"/>
          <w:szCs w:val="18"/>
        </w:rPr>
        <w:t xml:space="preserve"> de proportionaliteit van de eisen, zodat partijen niet onevenredig worden belast. </w:t>
      </w:r>
      <w:r w:rsidR="00773EC1">
        <w:rPr>
          <w:rFonts w:ascii="Verdana" w:hAnsi="Verdana"/>
          <w:sz w:val="18"/>
          <w:szCs w:val="18"/>
        </w:rPr>
        <w:t xml:space="preserve">Dit geldt ook in geval een keuze wordt gemaakt over </w:t>
      </w:r>
      <w:r w:rsidRPr="00D34C24" w:rsidR="00773EC1">
        <w:rPr>
          <w:rFonts w:ascii="Verdana" w:hAnsi="Verdana"/>
          <w:sz w:val="18"/>
          <w:szCs w:val="18"/>
        </w:rPr>
        <w:t>modules in de levenscyclusanalyse die worden gebruikt om de MKI te berekenen</w:t>
      </w:r>
      <w:r w:rsidR="00773EC1">
        <w:rPr>
          <w:rFonts w:ascii="Verdana" w:hAnsi="Verdana"/>
          <w:sz w:val="18"/>
          <w:szCs w:val="18"/>
        </w:rPr>
        <w:t xml:space="preserve">. </w:t>
      </w:r>
      <w:r w:rsidRPr="00D862DB">
        <w:rPr>
          <w:rFonts w:ascii="Verdana" w:hAnsi="Verdana"/>
          <w:sz w:val="18"/>
          <w:szCs w:val="18"/>
        </w:rPr>
        <w:t>Zo wordt er een klankbordgroep opgericht om de richting te toetsen bij de sector</w:t>
      </w:r>
      <w:r>
        <w:rPr>
          <w:rFonts w:ascii="Verdana" w:hAnsi="Verdana"/>
          <w:sz w:val="18"/>
          <w:szCs w:val="18"/>
        </w:rPr>
        <w:t>, waarin de sector breed vertegenwoordigd is</w:t>
      </w:r>
      <w:r w:rsidRPr="00D862DB">
        <w:rPr>
          <w:rFonts w:ascii="Verdana" w:hAnsi="Verdana"/>
          <w:sz w:val="18"/>
          <w:szCs w:val="18"/>
        </w:rPr>
        <w:t xml:space="preserve">. </w:t>
      </w:r>
      <w:r>
        <w:rPr>
          <w:rFonts w:ascii="Verdana" w:hAnsi="Verdana"/>
          <w:sz w:val="18"/>
          <w:szCs w:val="18"/>
        </w:rPr>
        <w:t>Tot slot zal d</w:t>
      </w:r>
      <w:r w:rsidRPr="00D862DB">
        <w:rPr>
          <w:rFonts w:ascii="Verdana" w:hAnsi="Verdana"/>
          <w:sz w:val="18"/>
          <w:szCs w:val="18"/>
        </w:rPr>
        <w:t>e inwerkingtreding van dit wetsvoorstel worden geregeld bij koninklijk besluit. Hiermee kan het exacte tijdstip van inwerkingtreding afgestemd worden op de praktijk, bijvoorbeeld om de sector voldoende tijd te geven voor aanpassingen in processen, systemen of beleid.</w:t>
      </w:r>
      <w:r w:rsidR="00071942">
        <w:rPr>
          <w:rFonts w:ascii="Verdana" w:hAnsi="Verdana"/>
          <w:sz w:val="18"/>
          <w:szCs w:val="18"/>
        </w:rPr>
        <w:t xml:space="preserve"> </w:t>
      </w:r>
    </w:p>
    <w:p w:rsidR="00DC5163" w:rsidP="00DC5163" w:rsidRDefault="00DC5163" w14:paraId="79B80F3E" w14:textId="12B51A0A">
      <w:pPr>
        <w:spacing w:line="276" w:lineRule="auto"/>
        <w:rPr>
          <w:rFonts w:ascii="Verdana" w:hAnsi="Verdana"/>
          <w:sz w:val="18"/>
          <w:szCs w:val="18"/>
        </w:rPr>
      </w:pPr>
      <w:r w:rsidRPr="00BF5CBA">
        <w:rPr>
          <w:rFonts w:ascii="Verdana" w:hAnsi="Verdana"/>
          <w:sz w:val="18"/>
          <w:szCs w:val="18"/>
        </w:rPr>
        <w:t>4). Zoals het wetsvoorstel is vermeld wordt de rekenmethode voor het inzichtelijk maken van de milieuprestatie-eisen bij amvb vastgesteld. Daarbij wordt nadrukkelijk rekening gehouden met de verhouding tot de Europese Bouwproductenverordening</w:t>
      </w:r>
      <w:r>
        <w:rPr>
          <w:rFonts w:ascii="Verdana" w:hAnsi="Verdana"/>
          <w:sz w:val="18"/>
          <w:szCs w:val="18"/>
        </w:rPr>
        <w:t>. Dit is in</w:t>
      </w:r>
      <w:r w:rsidRPr="00BF5CBA">
        <w:rPr>
          <w:rFonts w:ascii="Verdana" w:hAnsi="Verdana"/>
          <w:sz w:val="18"/>
          <w:szCs w:val="18"/>
        </w:rPr>
        <w:t xml:space="preserve"> hoofdstuk </w:t>
      </w:r>
      <w:r>
        <w:rPr>
          <w:rFonts w:ascii="Verdana" w:hAnsi="Verdana"/>
          <w:sz w:val="18"/>
          <w:szCs w:val="18"/>
        </w:rPr>
        <w:t>4</w:t>
      </w:r>
      <w:r w:rsidRPr="00BF5CBA">
        <w:rPr>
          <w:rFonts w:ascii="Verdana" w:hAnsi="Verdana"/>
          <w:sz w:val="18"/>
          <w:szCs w:val="18"/>
        </w:rPr>
        <w:t xml:space="preserve"> </w:t>
      </w:r>
      <w:r>
        <w:rPr>
          <w:rFonts w:ascii="Verdana" w:hAnsi="Verdana"/>
          <w:sz w:val="18"/>
          <w:szCs w:val="18"/>
        </w:rPr>
        <w:t>van</w:t>
      </w:r>
      <w:r w:rsidRPr="00BF5CBA">
        <w:rPr>
          <w:rFonts w:ascii="Verdana" w:hAnsi="Verdana"/>
          <w:sz w:val="18"/>
          <w:szCs w:val="18"/>
        </w:rPr>
        <w:t xml:space="preserve"> het wetsvoorstel</w:t>
      </w:r>
      <w:r>
        <w:rPr>
          <w:rFonts w:ascii="Verdana" w:hAnsi="Verdana"/>
          <w:sz w:val="18"/>
          <w:szCs w:val="18"/>
        </w:rPr>
        <w:t xml:space="preserve"> te lezen. D</w:t>
      </w:r>
      <w:r w:rsidRPr="000C5D2E">
        <w:rPr>
          <w:rFonts w:ascii="Verdana" w:hAnsi="Verdana"/>
          <w:sz w:val="18"/>
          <w:szCs w:val="18"/>
        </w:rPr>
        <w:t xml:space="preserve">e stelling dat er twee parallelle rekenstelsels ontstaan – vanuit de Europese Bouwproductenverordening en vanuit het </w:t>
      </w:r>
      <w:r w:rsidRPr="000C5D2E">
        <w:rPr>
          <w:rFonts w:ascii="Verdana" w:hAnsi="Verdana"/>
          <w:sz w:val="18"/>
          <w:szCs w:val="18"/>
        </w:rPr>
        <w:lastRenderedPageBreak/>
        <w:t>wetsvoorstel – is onjuist.</w:t>
      </w:r>
      <w:r>
        <w:rPr>
          <w:rFonts w:ascii="Verdana" w:hAnsi="Verdana"/>
          <w:sz w:val="18"/>
          <w:szCs w:val="18"/>
        </w:rPr>
        <w:t xml:space="preserve"> Het huidige milieuprestatie-stelsel is gestoeld op Europees vastgestelde normen en regels. In zowel de Europese Bouwproductenverordening als het huidige Nederlandse milieuprestatie-stelsel vormen de bestaande EN15804</w:t>
      </w:r>
      <w:r>
        <w:rPr>
          <w:rStyle w:val="Voetnootmarkering"/>
          <w:rFonts w:ascii="Verdana" w:hAnsi="Verdana"/>
          <w:sz w:val="18"/>
          <w:szCs w:val="18"/>
        </w:rPr>
        <w:footnoteReference w:id="54"/>
      </w:r>
      <w:r>
        <w:rPr>
          <w:rFonts w:ascii="Verdana" w:hAnsi="Verdana"/>
          <w:sz w:val="18"/>
          <w:szCs w:val="18"/>
        </w:rPr>
        <w:t xml:space="preserve"> en </w:t>
      </w:r>
      <w:r w:rsidRPr="000C5D2E">
        <w:rPr>
          <w:rFonts w:ascii="Verdana" w:hAnsi="Verdana"/>
          <w:sz w:val="18"/>
          <w:szCs w:val="18"/>
        </w:rPr>
        <w:t>de bestaande Europese Product Cat</w:t>
      </w:r>
      <w:r>
        <w:rPr>
          <w:rFonts w:ascii="Verdana" w:hAnsi="Verdana"/>
          <w:sz w:val="18"/>
          <w:szCs w:val="18"/>
        </w:rPr>
        <w:t>e</w:t>
      </w:r>
      <w:r w:rsidRPr="000C5D2E">
        <w:rPr>
          <w:rFonts w:ascii="Verdana" w:hAnsi="Verdana"/>
          <w:sz w:val="18"/>
          <w:szCs w:val="18"/>
        </w:rPr>
        <w:t>gory Rules</w:t>
      </w:r>
      <w:r>
        <w:rPr>
          <w:rStyle w:val="Voetnootmarkering"/>
          <w:rFonts w:ascii="Verdana" w:hAnsi="Verdana"/>
          <w:sz w:val="18"/>
          <w:szCs w:val="18"/>
        </w:rPr>
        <w:footnoteReference w:id="55"/>
      </w:r>
      <w:r w:rsidRPr="000C5D2E">
        <w:rPr>
          <w:rFonts w:ascii="Verdana" w:hAnsi="Verdana"/>
          <w:sz w:val="18"/>
          <w:szCs w:val="18"/>
        </w:rPr>
        <w:t xml:space="preserve"> voor specifieke productgroepen (zoals beton, staal en asfalt) de </w:t>
      </w:r>
      <w:r>
        <w:rPr>
          <w:rFonts w:ascii="Verdana" w:hAnsi="Verdana"/>
          <w:sz w:val="18"/>
          <w:szCs w:val="18"/>
        </w:rPr>
        <w:t>basis voor</w:t>
      </w:r>
      <w:r w:rsidRPr="000C5D2E">
        <w:rPr>
          <w:rFonts w:ascii="Verdana" w:hAnsi="Verdana"/>
          <w:sz w:val="18"/>
          <w:szCs w:val="18"/>
        </w:rPr>
        <w:t xml:space="preserve"> </w:t>
      </w:r>
      <w:r>
        <w:rPr>
          <w:rFonts w:ascii="Verdana" w:hAnsi="Verdana"/>
          <w:sz w:val="18"/>
          <w:szCs w:val="18"/>
        </w:rPr>
        <w:t>rekenregels. De</w:t>
      </w:r>
      <w:r w:rsidRPr="000C5D2E">
        <w:rPr>
          <w:rFonts w:ascii="Verdana" w:hAnsi="Verdana"/>
          <w:sz w:val="18"/>
          <w:szCs w:val="18"/>
        </w:rPr>
        <w:t xml:space="preserve"> leveranciers die voldoen aan de Nederlandse eisen</w:t>
      </w:r>
      <w:r>
        <w:rPr>
          <w:rFonts w:ascii="Verdana" w:hAnsi="Verdana"/>
          <w:sz w:val="18"/>
          <w:szCs w:val="18"/>
        </w:rPr>
        <w:t>, voldoen daarom</w:t>
      </w:r>
      <w:r w:rsidRPr="000C5D2E">
        <w:rPr>
          <w:rFonts w:ascii="Verdana" w:hAnsi="Verdana"/>
          <w:sz w:val="18"/>
          <w:szCs w:val="18"/>
        </w:rPr>
        <w:t xml:space="preserve"> per definitie </w:t>
      </w:r>
      <w:r>
        <w:rPr>
          <w:rFonts w:ascii="Verdana" w:hAnsi="Verdana"/>
          <w:sz w:val="18"/>
          <w:szCs w:val="18"/>
        </w:rPr>
        <w:t>ook</w:t>
      </w:r>
      <w:r w:rsidRPr="000C5D2E">
        <w:rPr>
          <w:rFonts w:ascii="Verdana" w:hAnsi="Verdana"/>
          <w:sz w:val="18"/>
          <w:szCs w:val="18"/>
        </w:rPr>
        <w:t xml:space="preserve"> aan de Europese eisen.</w:t>
      </w:r>
      <w:r>
        <w:rPr>
          <w:rFonts w:ascii="Verdana" w:hAnsi="Verdana"/>
          <w:sz w:val="18"/>
          <w:szCs w:val="18"/>
        </w:rPr>
        <w:t xml:space="preserve"> </w:t>
      </w:r>
    </w:p>
    <w:p w:rsidR="00DC5163" w:rsidP="00DC5163" w:rsidRDefault="00DC5163" w14:paraId="252DC36C" w14:textId="5898A264">
      <w:pPr>
        <w:spacing w:line="276" w:lineRule="auto"/>
        <w:rPr>
          <w:rFonts w:ascii="Verdana" w:hAnsi="Verdana" w:eastAsia="Times New Roman" w:cs="Times New Roman"/>
          <w:sz w:val="18"/>
          <w:szCs w:val="18"/>
        </w:rPr>
      </w:pPr>
      <w:r>
        <w:rPr>
          <w:rFonts w:ascii="Verdana" w:hAnsi="Verdana"/>
          <w:sz w:val="18"/>
          <w:szCs w:val="18"/>
        </w:rPr>
        <w:t xml:space="preserve">Het is mogelijk dat de Europese Commissie onder </w:t>
      </w:r>
      <w:r w:rsidRPr="000C5D2E">
        <w:rPr>
          <w:rFonts w:ascii="Verdana" w:hAnsi="Verdana"/>
          <w:sz w:val="18"/>
          <w:szCs w:val="18"/>
        </w:rPr>
        <w:t xml:space="preserve">de herziene </w:t>
      </w:r>
      <w:r>
        <w:rPr>
          <w:rFonts w:ascii="Verdana" w:hAnsi="Verdana"/>
          <w:sz w:val="18"/>
          <w:szCs w:val="18"/>
        </w:rPr>
        <w:t>Europese Bouwproductenverordening</w:t>
      </w:r>
      <w:r w:rsidRPr="000C5D2E">
        <w:rPr>
          <w:rFonts w:ascii="Verdana" w:hAnsi="Verdana"/>
          <w:sz w:val="18"/>
          <w:szCs w:val="18"/>
        </w:rPr>
        <w:t xml:space="preserve"> rekenregels voor productgroepen doorontwikkel</w:t>
      </w:r>
      <w:r>
        <w:rPr>
          <w:rFonts w:ascii="Verdana" w:hAnsi="Verdana"/>
          <w:sz w:val="18"/>
          <w:szCs w:val="18"/>
        </w:rPr>
        <w:t>t in de vorm van een technisch geharmoniseerde specificatie.</w:t>
      </w:r>
      <w:r w:rsidRPr="000C5D2E">
        <w:rPr>
          <w:rFonts w:ascii="Verdana" w:hAnsi="Verdana"/>
          <w:sz w:val="18"/>
          <w:szCs w:val="18"/>
        </w:rPr>
        <w:t xml:space="preserve"> </w:t>
      </w:r>
      <w:r>
        <w:rPr>
          <w:rFonts w:ascii="Verdana" w:hAnsi="Verdana"/>
          <w:sz w:val="18"/>
          <w:szCs w:val="18"/>
        </w:rPr>
        <w:t xml:space="preserve">Dit is momenteel nog niet het geval; er zijn </w:t>
      </w:r>
      <w:r w:rsidRPr="000C5D2E">
        <w:rPr>
          <w:rFonts w:ascii="Verdana" w:hAnsi="Verdana"/>
          <w:sz w:val="18"/>
          <w:szCs w:val="18"/>
        </w:rPr>
        <w:t>nog</w:t>
      </w:r>
      <w:r>
        <w:rPr>
          <w:rFonts w:ascii="Verdana" w:hAnsi="Verdana"/>
          <w:sz w:val="18"/>
          <w:szCs w:val="18"/>
        </w:rPr>
        <w:t xml:space="preserve"> geen rekenregels</w:t>
      </w:r>
      <w:r w:rsidRPr="000C5D2E">
        <w:rPr>
          <w:rFonts w:ascii="Verdana" w:hAnsi="Verdana"/>
          <w:sz w:val="18"/>
          <w:szCs w:val="18"/>
        </w:rPr>
        <w:t xml:space="preserve"> </w:t>
      </w:r>
      <w:r>
        <w:rPr>
          <w:rFonts w:ascii="Verdana" w:hAnsi="Verdana"/>
          <w:sz w:val="18"/>
          <w:szCs w:val="18"/>
        </w:rPr>
        <w:t>ontwikkeld, gepubliceerd of</w:t>
      </w:r>
      <w:r w:rsidRPr="000C5D2E">
        <w:rPr>
          <w:rFonts w:ascii="Verdana" w:hAnsi="Verdana"/>
          <w:sz w:val="18"/>
          <w:szCs w:val="18"/>
        </w:rPr>
        <w:t xml:space="preserve"> van kracht. De Europese Commissie is een CPR Acquis proces gestart met een doorloopperiode van minimaal tien jaar</w:t>
      </w:r>
      <w:r>
        <w:rPr>
          <w:rFonts w:ascii="Verdana" w:hAnsi="Verdana"/>
          <w:sz w:val="18"/>
          <w:szCs w:val="18"/>
        </w:rPr>
        <w:t xml:space="preserve"> om te komen tot geharmoniseerde technische specificaties</w:t>
      </w:r>
      <w:r w:rsidRPr="000C5D2E">
        <w:rPr>
          <w:rFonts w:ascii="Verdana" w:hAnsi="Verdana"/>
          <w:sz w:val="18"/>
          <w:szCs w:val="18"/>
        </w:rPr>
        <w:t xml:space="preserve">. Nederland is </w:t>
      </w:r>
      <w:r>
        <w:rPr>
          <w:rFonts w:ascii="Verdana" w:hAnsi="Verdana"/>
          <w:sz w:val="18"/>
          <w:szCs w:val="18"/>
        </w:rPr>
        <w:t>als lidstaat betrokken bij</w:t>
      </w:r>
      <w:r w:rsidRPr="000C5D2E">
        <w:rPr>
          <w:rFonts w:ascii="Verdana" w:hAnsi="Verdana"/>
          <w:sz w:val="18"/>
          <w:szCs w:val="18"/>
        </w:rPr>
        <w:t xml:space="preserve"> </w:t>
      </w:r>
      <w:r>
        <w:rPr>
          <w:rFonts w:ascii="Verdana" w:hAnsi="Verdana"/>
          <w:sz w:val="18"/>
          <w:szCs w:val="18"/>
        </w:rPr>
        <w:t>dit</w:t>
      </w:r>
      <w:r w:rsidRPr="000C5D2E">
        <w:rPr>
          <w:rFonts w:ascii="Verdana" w:hAnsi="Verdana"/>
          <w:sz w:val="18"/>
          <w:szCs w:val="18"/>
        </w:rPr>
        <w:t xml:space="preserve"> proces. De Nederlandse inzet daarbij is dat op Europees niveau geborgd wordt dat de rekenregels ondersteunend zijn aan de doelstelling van het wetsvoorstel</w:t>
      </w:r>
      <w:r>
        <w:rPr>
          <w:rFonts w:ascii="Verdana" w:hAnsi="Verdana"/>
          <w:sz w:val="18"/>
          <w:szCs w:val="18"/>
        </w:rPr>
        <w:t xml:space="preserve"> en de onder de Omgevingswet verplichte Milieuprestatie-eis Gebouwen</w:t>
      </w:r>
      <w:r w:rsidRPr="000C5D2E">
        <w:rPr>
          <w:rFonts w:ascii="Verdana" w:hAnsi="Verdana"/>
          <w:sz w:val="18"/>
          <w:szCs w:val="18"/>
        </w:rPr>
        <w:t>, namelijk het effectief sturen op het verlagen van de milieubelasting door het bieden van eenduidigheid aan het bedrijfsleven en aanbestedende diensten.</w:t>
      </w:r>
      <w:r>
        <w:rPr>
          <w:rFonts w:ascii="Verdana" w:hAnsi="Verdana"/>
          <w:sz w:val="18"/>
          <w:szCs w:val="18"/>
        </w:rPr>
        <w:t xml:space="preserve"> Ook gelden er voor aanbestedende diensten over de herziene Europese Bouwproductenverordening andere regels. Zo mogen zij strengere of aanvullende eisen stellen. </w:t>
      </w:r>
    </w:p>
    <w:p w:rsidRPr="000C5D2E" w:rsidR="000C5D2E" w:rsidP="000C5D2E" w:rsidRDefault="000C5D2E" w14:paraId="67AED07C" w14:textId="49727A14">
      <w:pPr>
        <w:spacing w:line="276" w:lineRule="auto"/>
        <w:rPr>
          <w:rFonts w:ascii="Verdana" w:hAnsi="Verdana"/>
          <w:sz w:val="18"/>
          <w:szCs w:val="18"/>
        </w:rPr>
      </w:pPr>
      <w:r w:rsidRPr="000C5D2E">
        <w:rPr>
          <w:rFonts w:ascii="Verdana" w:hAnsi="Verdana"/>
          <w:sz w:val="18"/>
          <w:szCs w:val="18"/>
        </w:rPr>
        <w:t xml:space="preserve">Het CPR Acquis proces is een zorgvuldig en langdurig proces van onderhandeling. Nederland kan dit proces niet versnellen. Dat betekent ook een periode van onduidelijkheid over rekenregels </w:t>
      </w:r>
      <w:r w:rsidRPr="000C5D2E" w:rsidR="00DC5163">
        <w:rPr>
          <w:rFonts w:ascii="Verdana" w:hAnsi="Verdana"/>
          <w:sz w:val="18"/>
          <w:szCs w:val="18"/>
        </w:rPr>
        <w:t>en aanvulling hiervan door lidstaten.</w:t>
      </w:r>
      <w:r w:rsidRPr="000C5D2E">
        <w:rPr>
          <w:rFonts w:ascii="Verdana" w:hAnsi="Verdana"/>
          <w:sz w:val="18"/>
          <w:szCs w:val="18"/>
        </w:rPr>
        <w:t xml:space="preserve"> Het wachten met dit wetsvoorstel totdat er meer duidelijkheid is betekent dat het bedrijfsleven en aanbestedende diensten mogelijk jaren geen gebruik kunnen maken van de voordelen van dit wetsvoorstel. Dat is onwenselijk. </w:t>
      </w:r>
      <w:r>
        <w:rPr>
          <w:rFonts w:ascii="Verdana" w:hAnsi="Verdana"/>
          <w:sz w:val="18"/>
          <w:szCs w:val="18"/>
        </w:rPr>
        <w:t>Dat neemt niet weg dat</w:t>
      </w:r>
      <w:r w:rsidRPr="000C5D2E">
        <w:rPr>
          <w:rFonts w:ascii="Verdana" w:hAnsi="Verdana"/>
          <w:sz w:val="18"/>
          <w:szCs w:val="18"/>
        </w:rPr>
        <w:t xml:space="preserve"> Nederland stappen </w:t>
      </w:r>
      <w:r>
        <w:rPr>
          <w:rFonts w:ascii="Verdana" w:hAnsi="Verdana"/>
          <w:sz w:val="18"/>
          <w:szCs w:val="18"/>
        </w:rPr>
        <w:t xml:space="preserve">zet </w:t>
      </w:r>
      <w:r w:rsidRPr="000C5D2E">
        <w:rPr>
          <w:rFonts w:ascii="Verdana" w:hAnsi="Verdana"/>
          <w:sz w:val="18"/>
          <w:szCs w:val="18"/>
        </w:rPr>
        <w:t xml:space="preserve">om zich zo goed mogelijk voor te bereiden op de herziene Europese Bouwproductenverordening. Zo wordt er onderzoek gedaan naar verschillende scenario’s binnen de </w:t>
      </w:r>
      <w:r>
        <w:rPr>
          <w:rFonts w:ascii="Verdana" w:hAnsi="Verdana"/>
          <w:sz w:val="18"/>
          <w:szCs w:val="18"/>
        </w:rPr>
        <w:t>herziene Europese Bouwproductenverordening</w:t>
      </w:r>
      <w:r w:rsidRPr="000C5D2E">
        <w:rPr>
          <w:rFonts w:ascii="Verdana" w:hAnsi="Verdana"/>
          <w:sz w:val="18"/>
          <w:szCs w:val="18"/>
        </w:rPr>
        <w:t xml:space="preserve"> – bijvoorbeeld dat de Europese Commissie het toestaat dat er verschillende databases kunnen worden gebruikt bij de berekening van de milieuprestatie van bouwproducten – en wat dit juridisch gezien betekent. Hierbij </w:t>
      </w:r>
      <w:r w:rsidR="003D6A99">
        <w:rPr>
          <w:rFonts w:ascii="Verdana" w:hAnsi="Verdana"/>
          <w:sz w:val="18"/>
          <w:szCs w:val="18"/>
        </w:rPr>
        <w:t>heeft het voorkomen van onnodige regeldruk prioriteit.</w:t>
      </w:r>
      <w:r w:rsidRPr="000C5D2E">
        <w:rPr>
          <w:rFonts w:ascii="Verdana" w:hAnsi="Verdana"/>
          <w:sz w:val="18"/>
          <w:szCs w:val="18"/>
        </w:rPr>
        <w:t xml:space="preserve"> Afhankelijk van de juridische ruimte zijn er grofweg een tweetal scenario’s mogelijk:</w:t>
      </w:r>
    </w:p>
    <w:p w:rsidRPr="00DA58FA" w:rsidR="00DA58FA" w:rsidP="00DA58FA" w:rsidRDefault="000C5D2E" w14:paraId="2EC4FFEF" w14:textId="652F9FD8">
      <w:pPr>
        <w:pStyle w:val="Lijstalinea"/>
        <w:numPr>
          <w:ilvl w:val="0"/>
          <w:numId w:val="72"/>
        </w:numPr>
        <w:spacing w:line="276" w:lineRule="auto"/>
        <w:rPr>
          <w:rFonts w:ascii="Verdana" w:hAnsi="Verdana"/>
          <w:sz w:val="18"/>
          <w:szCs w:val="18"/>
        </w:rPr>
      </w:pPr>
      <w:r w:rsidRPr="00E97214">
        <w:rPr>
          <w:rFonts w:ascii="Verdana" w:hAnsi="Verdana"/>
          <w:sz w:val="18"/>
          <w:szCs w:val="18"/>
        </w:rPr>
        <w:t>De huidige situatie blijft in stand: als een fabrikant voldoet aan de NL eisen – dan voldoet een fabrikant ook aan de Europese (CPR) eisen.</w:t>
      </w:r>
    </w:p>
    <w:p w:rsidRPr="00DA58FA" w:rsidR="00F50212" w:rsidP="00DA58FA" w:rsidRDefault="000C5D2E" w14:paraId="5B6462BB" w14:textId="60490F60">
      <w:pPr>
        <w:pStyle w:val="Lijstalinea"/>
        <w:numPr>
          <w:ilvl w:val="0"/>
          <w:numId w:val="72"/>
        </w:numPr>
        <w:spacing w:line="276" w:lineRule="auto"/>
        <w:rPr>
          <w:rFonts w:ascii="Verdana" w:hAnsi="Verdana"/>
          <w:sz w:val="18"/>
          <w:szCs w:val="18"/>
        </w:rPr>
      </w:pPr>
      <w:r w:rsidRPr="00DA58FA">
        <w:rPr>
          <w:rFonts w:ascii="Verdana" w:hAnsi="Verdana"/>
          <w:sz w:val="18"/>
          <w:szCs w:val="18"/>
        </w:rPr>
        <w:t xml:space="preserve">De huidige situatie wijzigt doordat de Europese rekenmethode niet langer mag worden aangevuld door lidstaten. In de verdere uitwerking van het wetsvoorstel (bij of krachtens amvb) </w:t>
      </w:r>
      <w:r w:rsidR="00197FC3">
        <w:rPr>
          <w:rFonts w:ascii="Verdana" w:hAnsi="Verdana"/>
          <w:sz w:val="18"/>
          <w:szCs w:val="18"/>
        </w:rPr>
        <w:t>wordt</w:t>
      </w:r>
      <w:r w:rsidRPr="00DA58FA" w:rsidR="00197FC3">
        <w:rPr>
          <w:rFonts w:ascii="Verdana" w:hAnsi="Verdana"/>
          <w:sz w:val="18"/>
          <w:szCs w:val="18"/>
        </w:rPr>
        <w:t xml:space="preserve"> </w:t>
      </w:r>
      <w:r w:rsidRPr="00DA58FA">
        <w:rPr>
          <w:rFonts w:ascii="Verdana" w:hAnsi="Verdana"/>
          <w:sz w:val="18"/>
          <w:szCs w:val="18"/>
        </w:rPr>
        <w:t>het bedrijfsleven ontlast</w:t>
      </w:r>
      <w:r w:rsidRPr="00DA58FA" w:rsidDel="00197FC3">
        <w:rPr>
          <w:rFonts w:ascii="Verdana" w:hAnsi="Verdana"/>
          <w:sz w:val="18"/>
          <w:szCs w:val="18"/>
        </w:rPr>
        <w:t xml:space="preserve"> </w:t>
      </w:r>
      <w:r w:rsidRPr="00DA58FA">
        <w:rPr>
          <w:rFonts w:ascii="Verdana" w:hAnsi="Verdana"/>
          <w:sz w:val="18"/>
          <w:szCs w:val="18"/>
        </w:rPr>
        <w:t xml:space="preserve">van toegenomen regeldruk, bijvoorbeeld door als overheid zelf milieu-data ter beschikking te stellen of door een ander type eisen in aanbestedingen toe te passen, zoals een eis voor het maximum gehalte klinker in beton of de maximum </w:t>
      </w:r>
      <w:r w:rsidRPr="00DA58FA" w:rsidR="00DC5163">
        <w:rPr>
          <w:rFonts w:ascii="Verdana" w:hAnsi="Verdana"/>
          <w:sz w:val="18"/>
          <w:szCs w:val="18"/>
        </w:rPr>
        <w:t>productietemperatuur</w:t>
      </w:r>
      <w:r w:rsidRPr="00DA58FA">
        <w:rPr>
          <w:rFonts w:ascii="Verdana" w:hAnsi="Verdana"/>
          <w:sz w:val="18"/>
          <w:szCs w:val="18"/>
        </w:rPr>
        <w:t xml:space="preserve"> voor asfalt), waarmee de milieubelasting gericht wordt gereduceerd. </w:t>
      </w:r>
    </w:p>
    <w:p w:rsidRPr="00773EC1" w:rsidR="00773EC1" w:rsidP="00773EC1" w:rsidRDefault="00773EC1" w14:paraId="3C312386" w14:textId="69262E4A">
      <w:pPr>
        <w:spacing w:line="276" w:lineRule="auto"/>
        <w:rPr>
          <w:rFonts w:ascii="Verdana" w:hAnsi="Verdana"/>
          <w:sz w:val="18"/>
          <w:szCs w:val="18"/>
        </w:rPr>
      </w:pPr>
      <w:r w:rsidRPr="00773EC1">
        <w:rPr>
          <w:rFonts w:ascii="Verdana" w:hAnsi="Verdana"/>
          <w:sz w:val="18"/>
          <w:szCs w:val="18"/>
        </w:rPr>
        <w:t xml:space="preserve">5). De kwantitatieve regeldrukeffecten van het voorliggende wijzigingsvoorstel </w:t>
      </w:r>
      <w:r w:rsidR="00197FC3">
        <w:rPr>
          <w:rFonts w:ascii="Verdana" w:hAnsi="Verdana"/>
          <w:sz w:val="18"/>
          <w:szCs w:val="18"/>
        </w:rPr>
        <w:t xml:space="preserve">voor </w:t>
      </w:r>
      <w:r w:rsidRPr="00773EC1" w:rsidR="00197FC3">
        <w:rPr>
          <w:rFonts w:ascii="Verdana" w:hAnsi="Verdana"/>
          <w:sz w:val="18"/>
          <w:szCs w:val="18"/>
        </w:rPr>
        <w:t xml:space="preserve">burgers en bedrijven </w:t>
      </w:r>
      <w:r w:rsidRPr="00773EC1">
        <w:rPr>
          <w:rFonts w:ascii="Verdana" w:hAnsi="Verdana"/>
          <w:sz w:val="18"/>
          <w:szCs w:val="18"/>
        </w:rPr>
        <w:t>zijn in kaart gebracht door SIRA Consulting B.V.</w:t>
      </w:r>
      <w:r w:rsidR="008B105A">
        <w:rPr>
          <w:rFonts w:ascii="Verdana" w:hAnsi="Verdana"/>
          <w:sz w:val="18"/>
          <w:szCs w:val="18"/>
        </w:rPr>
        <w:t xml:space="preserve"> conform de </w:t>
      </w:r>
      <w:r w:rsidR="008B105A">
        <w:rPr>
          <w:rFonts w:ascii="Verdana" w:hAnsi="Verdana"/>
          <w:sz w:val="18"/>
          <w:szCs w:val="18"/>
        </w:rPr>
        <w:lastRenderedPageBreak/>
        <w:t>Rijksbreed gehanteerde methodiek.</w:t>
      </w:r>
      <w:r w:rsidRPr="003D371A" w:rsidR="008B105A">
        <w:rPr>
          <w:rFonts w:ascii="Verdana" w:hAnsi="Verdana" w:eastAsia="Times New Roman" w:cs="Times New Roman"/>
          <w:sz w:val="18"/>
          <w:szCs w:val="18"/>
          <w:vertAlign w:val="superscript"/>
        </w:rPr>
        <w:footnoteReference w:id="56"/>
      </w:r>
      <w:r w:rsidRPr="00E43A50" w:rsidR="008B105A">
        <w:rPr>
          <w:rFonts w:ascii="Verdana" w:hAnsi="Verdana" w:eastAsia="Times New Roman" w:cs="Times New Roman"/>
          <w:sz w:val="18"/>
          <w:szCs w:val="18"/>
        </w:rPr>
        <w:t xml:space="preserve"> </w:t>
      </w:r>
      <w:r w:rsidRPr="00773EC1">
        <w:rPr>
          <w:rFonts w:ascii="Verdana" w:hAnsi="Verdana"/>
          <w:sz w:val="18"/>
          <w:szCs w:val="18"/>
        </w:rPr>
        <w:t>Het onderzoek naar de regeldruk betreft de wijzigingen in de wet Milieubeheer, waarbij met de aanname is gewerkt dat bij amvb gestuurd wordt met de MKI als milieuprestatie-eis.</w:t>
      </w:r>
      <w:r w:rsidR="00197FC3">
        <w:rPr>
          <w:rStyle w:val="Voetnootmarkering"/>
          <w:rFonts w:ascii="Verdana" w:hAnsi="Verdana"/>
          <w:sz w:val="18"/>
          <w:szCs w:val="18"/>
        </w:rPr>
        <w:footnoteReference w:id="57"/>
      </w:r>
      <w:r w:rsidRPr="00773EC1">
        <w:rPr>
          <w:rFonts w:ascii="Verdana" w:hAnsi="Verdana"/>
          <w:sz w:val="18"/>
          <w:szCs w:val="18"/>
        </w:rPr>
        <w:t xml:space="preserve"> In </w:t>
      </w:r>
      <w:r w:rsidR="00197FC3">
        <w:rPr>
          <w:rFonts w:ascii="Verdana" w:hAnsi="Verdana"/>
          <w:sz w:val="18"/>
          <w:szCs w:val="18"/>
        </w:rPr>
        <w:t xml:space="preserve">hoofdstuk 9 van </w:t>
      </w:r>
      <w:r w:rsidRPr="00773EC1">
        <w:rPr>
          <w:rFonts w:ascii="Verdana" w:hAnsi="Verdana"/>
          <w:sz w:val="18"/>
          <w:szCs w:val="18"/>
        </w:rPr>
        <w:t>de Memorie van Toelichting zijn de bevindingen van het rapport beknopt weergegeven</w:t>
      </w:r>
      <w:r w:rsidR="00197FC3">
        <w:rPr>
          <w:rFonts w:ascii="Verdana" w:hAnsi="Verdana"/>
          <w:sz w:val="18"/>
          <w:szCs w:val="18"/>
        </w:rPr>
        <w:t xml:space="preserve"> en </w:t>
      </w:r>
      <w:r w:rsidRPr="00773EC1">
        <w:rPr>
          <w:rFonts w:ascii="Verdana" w:hAnsi="Verdana"/>
          <w:sz w:val="18"/>
          <w:szCs w:val="18"/>
        </w:rPr>
        <w:t xml:space="preserve">is toegevoegd hoe tot deze bevindingen is gekomen. Tevens is er een verwijzing naar het rapport opgenomen. </w:t>
      </w:r>
    </w:p>
    <w:p w:rsidRPr="00773EC1" w:rsidR="00773EC1" w:rsidP="00773EC1" w:rsidRDefault="00773EC1" w14:paraId="442CA179" w14:textId="77777777">
      <w:pPr>
        <w:spacing w:line="276" w:lineRule="auto"/>
        <w:rPr>
          <w:rFonts w:ascii="Verdana" w:hAnsi="Verdana"/>
          <w:sz w:val="18"/>
          <w:szCs w:val="18"/>
        </w:rPr>
      </w:pPr>
      <w:r w:rsidRPr="00773EC1">
        <w:rPr>
          <w:rFonts w:ascii="Verdana" w:hAnsi="Verdana"/>
          <w:sz w:val="18"/>
          <w:szCs w:val="18"/>
        </w:rPr>
        <w:t xml:space="preserve">Uit de interviews die zijn afgenomen door SIRA blijkt dat de MKI-prestatie-eisen op peloton-niveau niet tot aanzienlijke meerkosten van het materiaal zullen leiden. Het overgrote merendeel van de leveranciers voldoet al aan deze eisen in de huidige situatie. Mogelijk zullen ‘achterblijvers’ extra kosten moeten maken, maar het is aannemelijker dat deze partijen zullen afhaken bij dit type aanbestedingen. Voor het gunningscriterium geldt dit eveneens, maar speelt ook mee de materiaalkosten in sterke mate afhankelijk zijn van de invulling van de verplichting door de opdrachtgever. Hierdoor zijn de meerkosten vrijwel niet te kwantificeren. </w:t>
      </w:r>
    </w:p>
    <w:p w:rsidRPr="00F50212" w:rsidR="00773EC1" w:rsidP="00773EC1" w:rsidRDefault="00773EC1" w14:paraId="72BF8B6A" w14:textId="7F3B77F8">
      <w:pPr>
        <w:spacing w:line="276" w:lineRule="auto"/>
        <w:rPr>
          <w:rFonts w:ascii="Verdana" w:hAnsi="Verdana"/>
          <w:sz w:val="18"/>
          <w:szCs w:val="18"/>
        </w:rPr>
      </w:pPr>
      <w:r w:rsidRPr="00773EC1">
        <w:rPr>
          <w:rFonts w:ascii="Verdana" w:hAnsi="Verdana"/>
          <w:sz w:val="18"/>
          <w:szCs w:val="18"/>
        </w:rPr>
        <w:t>Alle geïnterviewde bedrijven geven aan reeds ervaring te hebben met de MKI in de aanbesteding, ze zijn dus al goeddeels bekend met deze werkwijze. Eventuele project-specifieke kennisnamekosten vormen onderdeel van de tijdbesteding voor het verrichten van LCA- en vervolgens MKI-berekeningen. De kosten van kennisname door opdrachtgevers vormen onderdeel van de eenmalige tijdbesteding voor het ‘inregelen’ van de MKI-prestatie-eisen door die opdrachtgevers die in de huidige situatie nog geen ervaring hadden met de MKI in de aanbesteding. Deze kosten konden door respondenten niet los bezien worden van de overige eenmalige werkzaamheden.</w:t>
      </w:r>
    </w:p>
    <w:p w:rsidR="0061727C" w:rsidP="00643E93" w:rsidRDefault="0061727C" w14:paraId="65DE8736" w14:textId="004904B9">
      <w:pPr>
        <w:pStyle w:val="Kop4"/>
        <w:numPr>
          <w:ilvl w:val="1"/>
          <w:numId w:val="24"/>
        </w:numPr>
        <w:spacing w:line="276" w:lineRule="auto"/>
      </w:pPr>
      <w:bookmarkStart w:name="_Hlk201642105" w:id="62"/>
      <w:r w:rsidRPr="00E43A50">
        <w:t>Uitvoe</w:t>
      </w:r>
      <w:r w:rsidRPr="00E43A50" w:rsidR="1F2E3E27">
        <w:t>r</w:t>
      </w:r>
      <w:r w:rsidR="179B46D6">
        <w:t>baarheid</w:t>
      </w:r>
      <w:r w:rsidRPr="00E43A50">
        <w:t>stoets</w:t>
      </w:r>
      <w:r w:rsidRPr="1F2E3E27">
        <w:t xml:space="preserve"> </w:t>
      </w:r>
      <w:r>
        <w:t>RWS</w:t>
      </w:r>
    </w:p>
    <w:p w:rsidRPr="00F50212" w:rsidR="00023420" w:rsidP="002B78F6" w:rsidRDefault="00023420" w14:paraId="58FD6960" w14:textId="6C42427B">
      <w:pPr>
        <w:spacing w:line="276" w:lineRule="auto"/>
        <w:rPr>
          <w:rFonts w:ascii="Verdana" w:hAnsi="Verdana"/>
          <w:sz w:val="18"/>
          <w:szCs w:val="18"/>
        </w:rPr>
      </w:pPr>
      <w:r w:rsidRPr="00F50212">
        <w:rPr>
          <w:rFonts w:ascii="Verdana" w:hAnsi="Verdana"/>
          <w:sz w:val="18"/>
          <w:szCs w:val="18"/>
        </w:rPr>
        <w:t xml:space="preserve">Het ministerie van </w:t>
      </w:r>
      <w:r w:rsidRPr="00F50212" w:rsidR="005A1E80">
        <w:rPr>
          <w:rFonts w:ascii="Verdana" w:hAnsi="Verdana"/>
          <w:sz w:val="18"/>
          <w:szCs w:val="18"/>
        </w:rPr>
        <w:t>I</w:t>
      </w:r>
      <w:r w:rsidR="005A1E80">
        <w:rPr>
          <w:rFonts w:ascii="Verdana" w:hAnsi="Verdana"/>
          <w:sz w:val="18"/>
          <w:szCs w:val="18"/>
        </w:rPr>
        <w:t xml:space="preserve">nfrastructuur </w:t>
      </w:r>
      <w:r w:rsidRPr="00F50212" w:rsidR="005A1E80">
        <w:rPr>
          <w:rFonts w:ascii="Verdana" w:hAnsi="Verdana"/>
          <w:sz w:val="18"/>
          <w:szCs w:val="18"/>
        </w:rPr>
        <w:t>en</w:t>
      </w:r>
      <w:r w:rsidR="005A1E80">
        <w:rPr>
          <w:rFonts w:ascii="Verdana" w:hAnsi="Verdana"/>
          <w:sz w:val="18"/>
          <w:szCs w:val="18"/>
        </w:rPr>
        <w:t xml:space="preserve"> </w:t>
      </w:r>
      <w:r w:rsidRPr="00F50212" w:rsidR="005A1E80">
        <w:rPr>
          <w:rFonts w:ascii="Verdana" w:hAnsi="Verdana"/>
          <w:sz w:val="18"/>
          <w:szCs w:val="18"/>
        </w:rPr>
        <w:t>W</w:t>
      </w:r>
      <w:r w:rsidR="005A1E80">
        <w:rPr>
          <w:rFonts w:ascii="Verdana" w:hAnsi="Verdana"/>
          <w:sz w:val="18"/>
          <w:szCs w:val="18"/>
        </w:rPr>
        <w:t>aterstaat</w:t>
      </w:r>
      <w:r w:rsidRPr="00F50212">
        <w:rPr>
          <w:rFonts w:ascii="Verdana" w:hAnsi="Verdana"/>
          <w:sz w:val="18"/>
          <w:szCs w:val="18"/>
        </w:rPr>
        <w:t xml:space="preserve"> heeft op 13 augustus </w:t>
      </w:r>
      <w:r w:rsidR="00213D05">
        <w:rPr>
          <w:rFonts w:ascii="Verdana" w:hAnsi="Verdana"/>
          <w:sz w:val="18"/>
          <w:szCs w:val="18"/>
        </w:rPr>
        <w:t>2025</w:t>
      </w:r>
      <w:r w:rsidRPr="00F50212" w:rsidR="005A1E80">
        <w:rPr>
          <w:rFonts w:ascii="Verdana" w:hAnsi="Verdana"/>
          <w:sz w:val="18"/>
          <w:szCs w:val="18"/>
        </w:rPr>
        <w:t xml:space="preserve"> </w:t>
      </w:r>
      <w:r w:rsidRPr="00F50212">
        <w:rPr>
          <w:rFonts w:ascii="Verdana" w:hAnsi="Verdana"/>
          <w:sz w:val="18"/>
          <w:szCs w:val="18"/>
        </w:rPr>
        <w:t xml:space="preserve">de uitvoerbaarheidstoets van Rijkswaterstaat ontvangen. </w:t>
      </w:r>
      <w:r w:rsidRPr="00F50212" w:rsidR="005A1E80">
        <w:rPr>
          <w:rFonts w:ascii="Verdana" w:hAnsi="Verdana"/>
          <w:sz w:val="18"/>
          <w:szCs w:val="18"/>
        </w:rPr>
        <w:t>De conclusie van de toets is dat het wetsvoorstel uitvoerbaar is</w:t>
      </w:r>
      <w:r w:rsidR="00213D05">
        <w:rPr>
          <w:rFonts w:ascii="Verdana" w:hAnsi="Verdana"/>
          <w:sz w:val="18"/>
          <w:szCs w:val="18"/>
        </w:rPr>
        <w:t>. Daarbij geeft Rijkswaterstaat de volgende aandachtspunten mee:</w:t>
      </w:r>
      <w:r w:rsidRPr="00F50212" w:rsidR="005A1E80">
        <w:rPr>
          <w:rFonts w:ascii="Verdana" w:hAnsi="Verdana"/>
          <w:sz w:val="18"/>
          <w:szCs w:val="18"/>
        </w:rPr>
        <w:t xml:space="preserve"> </w:t>
      </w:r>
    </w:p>
    <w:p w:rsidRPr="00F50212" w:rsidR="00023420" w:rsidP="002B78F6" w:rsidRDefault="00023420" w14:paraId="4A9704FB" w14:textId="2E32A137">
      <w:pPr>
        <w:pStyle w:val="Lijstalinea"/>
        <w:numPr>
          <w:ilvl w:val="0"/>
          <w:numId w:val="71"/>
        </w:numPr>
        <w:spacing w:after="120" w:line="276" w:lineRule="auto"/>
        <w:contextualSpacing w:val="0"/>
        <w:rPr>
          <w:rFonts w:ascii="Verdana" w:hAnsi="Verdana"/>
          <w:sz w:val="18"/>
          <w:szCs w:val="18"/>
        </w:rPr>
      </w:pPr>
      <w:r w:rsidRPr="00F50212">
        <w:rPr>
          <w:rFonts w:ascii="Verdana" w:hAnsi="Verdana"/>
          <w:sz w:val="18"/>
          <w:szCs w:val="18"/>
        </w:rPr>
        <w:t>Het is essentieel dat de wet en de amvb voldoende ruimte bied</w:t>
      </w:r>
      <w:r w:rsidR="000F4C42">
        <w:rPr>
          <w:rFonts w:ascii="Verdana" w:hAnsi="Verdana"/>
          <w:sz w:val="18"/>
          <w:szCs w:val="18"/>
        </w:rPr>
        <w:t>en</w:t>
      </w:r>
      <w:r w:rsidRPr="00F50212">
        <w:rPr>
          <w:rFonts w:ascii="Verdana" w:hAnsi="Verdana"/>
          <w:sz w:val="18"/>
          <w:szCs w:val="18"/>
        </w:rPr>
        <w:t xml:space="preserve"> voor gemotiveerde afwijkingen en alternatieve benaderingen, zodat Rijkswaterstaat projecten kan blijven uitvoeren binnen de grenzen van capaciteit, techniek, specifieke inkoopstrategieën en administratieve lasten. </w:t>
      </w:r>
    </w:p>
    <w:p w:rsidRPr="00F50212" w:rsidR="00023420" w:rsidP="002B78F6" w:rsidRDefault="00213D05" w14:paraId="1EA6F0DF" w14:textId="30886005">
      <w:pPr>
        <w:pStyle w:val="Lijstalinea"/>
        <w:numPr>
          <w:ilvl w:val="0"/>
          <w:numId w:val="71"/>
        </w:numPr>
        <w:spacing w:after="120" w:line="276" w:lineRule="auto"/>
        <w:contextualSpacing w:val="0"/>
        <w:rPr>
          <w:rFonts w:ascii="Verdana" w:hAnsi="Verdana"/>
          <w:sz w:val="18"/>
          <w:szCs w:val="18"/>
        </w:rPr>
      </w:pPr>
      <w:r>
        <w:rPr>
          <w:rFonts w:ascii="Verdana" w:hAnsi="Verdana"/>
          <w:sz w:val="18"/>
          <w:szCs w:val="18"/>
        </w:rPr>
        <w:t>Om</w:t>
      </w:r>
      <w:r w:rsidRPr="00F50212" w:rsidR="00023420">
        <w:rPr>
          <w:rFonts w:ascii="Verdana" w:hAnsi="Verdana"/>
          <w:sz w:val="18"/>
          <w:szCs w:val="18"/>
        </w:rPr>
        <w:t xml:space="preserve"> de daadwerkelijke impact op de werkzaamheden en organisatie van Rijkswaterstaat te beoordelen</w:t>
      </w:r>
      <w:r>
        <w:rPr>
          <w:rFonts w:ascii="Verdana" w:hAnsi="Verdana"/>
          <w:sz w:val="18"/>
          <w:szCs w:val="18"/>
        </w:rPr>
        <w:t>, is ook bij amvb een uitvoerbaarheidstoets gewenst</w:t>
      </w:r>
      <w:r w:rsidRPr="00F50212" w:rsidR="00023420">
        <w:rPr>
          <w:rFonts w:ascii="Verdana" w:hAnsi="Verdana"/>
          <w:sz w:val="18"/>
          <w:szCs w:val="18"/>
        </w:rPr>
        <w:t>.</w:t>
      </w:r>
    </w:p>
    <w:p w:rsidRPr="00F50212" w:rsidR="005A1E80" w:rsidP="00213D05" w:rsidRDefault="005A1E80" w14:paraId="05734CC5" w14:textId="10F3506F">
      <w:pPr>
        <w:spacing w:line="276" w:lineRule="auto"/>
        <w:rPr>
          <w:rFonts w:ascii="Verdana" w:hAnsi="Verdana"/>
          <w:sz w:val="18"/>
          <w:szCs w:val="18"/>
        </w:rPr>
      </w:pPr>
      <w:r w:rsidRPr="00F50212">
        <w:rPr>
          <w:rFonts w:ascii="Verdana" w:hAnsi="Verdana"/>
          <w:sz w:val="18"/>
          <w:szCs w:val="18"/>
        </w:rPr>
        <w:t>Het ministerie van I</w:t>
      </w:r>
      <w:r>
        <w:rPr>
          <w:rFonts w:ascii="Verdana" w:hAnsi="Verdana"/>
          <w:sz w:val="18"/>
          <w:szCs w:val="18"/>
        </w:rPr>
        <w:t xml:space="preserve">nfrastructuur </w:t>
      </w:r>
      <w:r w:rsidRPr="00F50212">
        <w:rPr>
          <w:rFonts w:ascii="Verdana" w:hAnsi="Verdana"/>
          <w:sz w:val="18"/>
          <w:szCs w:val="18"/>
        </w:rPr>
        <w:t>en</w:t>
      </w:r>
      <w:r>
        <w:rPr>
          <w:rFonts w:ascii="Verdana" w:hAnsi="Verdana"/>
          <w:sz w:val="18"/>
          <w:szCs w:val="18"/>
        </w:rPr>
        <w:t xml:space="preserve"> </w:t>
      </w:r>
      <w:r w:rsidRPr="00F50212">
        <w:rPr>
          <w:rFonts w:ascii="Verdana" w:hAnsi="Verdana"/>
          <w:sz w:val="18"/>
          <w:szCs w:val="18"/>
        </w:rPr>
        <w:t>W</w:t>
      </w:r>
      <w:r>
        <w:rPr>
          <w:rFonts w:ascii="Verdana" w:hAnsi="Verdana"/>
          <w:sz w:val="18"/>
          <w:szCs w:val="18"/>
        </w:rPr>
        <w:t>aterstaat</w:t>
      </w:r>
      <w:r w:rsidRPr="00F50212">
        <w:rPr>
          <w:rFonts w:ascii="Verdana" w:hAnsi="Verdana"/>
          <w:sz w:val="18"/>
          <w:szCs w:val="18"/>
        </w:rPr>
        <w:t xml:space="preserve"> neemt de aspecten die benoemd zijn mee in de verdere uitwerking </w:t>
      </w:r>
      <w:r>
        <w:rPr>
          <w:rFonts w:ascii="Verdana" w:hAnsi="Verdana"/>
          <w:sz w:val="18"/>
          <w:szCs w:val="18"/>
        </w:rPr>
        <w:t>van het wetsvoorstel in</w:t>
      </w:r>
      <w:r w:rsidRPr="00F50212">
        <w:rPr>
          <w:rFonts w:ascii="Verdana" w:hAnsi="Verdana"/>
          <w:sz w:val="18"/>
          <w:szCs w:val="18"/>
        </w:rPr>
        <w:t xml:space="preserve"> de onderliggende regelgeving. </w:t>
      </w:r>
    </w:p>
    <w:p w:rsidRPr="00F2248B" w:rsidR="00815724" w:rsidP="00643E93" w:rsidRDefault="00815724" w14:paraId="45BE31A9" w14:textId="77777777">
      <w:pPr>
        <w:spacing w:after="0" w:line="276" w:lineRule="auto"/>
        <w:rPr>
          <w:rFonts w:ascii="Verdana" w:hAnsi="Verdana" w:eastAsia="Times New Roman" w:cs="Times New Roman"/>
          <w:sz w:val="18"/>
          <w:szCs w:val="18"/>
        </w:rPr>
      </w:pPr>
    </w:p>
    <w:p w:rsidRPr="00E43A50" w:rsidR="0061727C" w:rsidP="00643E93" w:rsidRDefault="0061727C" w14:paraId="55347A25" w14:textId="4944C584">
      <w:pPr>
        <w:pStyle w:val="Kop4"/>
        <w:numPr>
          <w:ilvl w:val="1"/>
          <w:numId w:val="24"/>
        </w:numPr>
        <w:spacing w:line="276" w:lineRule="auto"/>
      </w:pPr>
      <w:r w:rsidRPr="00E43A50">
        <w:t>Uitvoer</w:t>
      </w:r>
      <w:r w:rsidR="00023420">
        <w:t>baarheids</w:t>
      </w:r>
      <w:r w:rsidRPr="00E43A50">
        <w:t xml:space="preserve">toets </w:t>
      </w:r>
      <w:r>
        <w:t>ProRail</w:t>
      </w:r>
    </w:p>
    <w:p w:rsidRPr="007D5BF2" w:rsidR="00023420" w:rsidP="00023420" w:rsidRDefault="00213D05" w14:paraId="296B86C8" w14:textId="5A512D81">
      <w:pPr>
        <w:spacing w:line="276" w:lineRule="auto"/>
        <w:rPr>
          <w:rFonts w:ascii="Verdana" w:hAnsi="Verdana"/>
          <w:sz w:val="18"/>
          <w:szCs w:val="18"/>
        </w:rPr>
      </w:pPr>
      <w:r>
        <w:rPr>
          <w:rFonts w:ascii="Verdana" w:hAnsi="Verdana"/>
          <w:sz w:val="18"/>
          <w:szCs w:val="18"/>
        </w:rPr>
        <w:t>Het</w:t>
      </w:r>
      <w:r w:rsidR="00023420">
        <w:rPr>
          <w:rFonts w:ascii="Verdana" w:hAnsi="Verdana"/>
          <w:sz w:val="18"/>
          <w:szCs w:val="18"/>
        </w:rPr>
        <w:t xml:space="preserve"> ministerie van </w:t>
      </w:r>
      <w:r w:rsidRPr="007D280C" w:rsidR="00780951">
        <w:rPr>
          <w:rFonts w:ascii="Verdana" w:hAnsi="Verdana"/>
          <w:sz w:val="18"/>
          <w:szCs w:val="18"/>
        </w:rPr>
        <w:t>I</w:t>
      </w:r>
      <w:r w:rsidR="00780951">
        <w:rPr>
          <w:rFonts w:ascii="Verdana" w:hAnsi="Verdana"/>
          <w:sz w:val="18"/>
          <w:szCs w:val="18"/>
        </w:rPr>
        <w:t xml:space="preserve">nfrastructuur </w:t>
      </w:r>
      <w:r w:rsidRPr="00A17DF9" w:rsidR="00780951">
        <w:rPr>
          <w:rFonts w:ascii="Verdana" w:hAnsi="Verdana"/>
          <w:sz w:val="18"/>
          <w:szCs w:val="18"/>
        </w:rPr>
        <w:t>en</w:t>
      </w:r>
      <w:r w:rsidR="00780951">
        <w:rPr>
          <w:rFonts w:ascii="Verdana" w:hAnsi="Verdana"/>
          <w:sz w:val="18"/>
          <w:szCs w:val="18"/>
        </w:rPr>
        <w:t xml:space="preserve"> </w:t>
      </w:r>
      <w:r w:rsidRPr="00A17DF9" w:rsidR="00780951">
        <w:rPr>
          <w:rFonts w:ascii="Verdana" w:hAnsi="Verdana"/>
          <w:sz w:val="18"/>
          <w:szCs w:val="18"/>
        </w:rPr>
        <w:t>W</w:t>
      </w:r>
      <w:r w:rsidR="00780951">
        <w:rPr>
          <w:rFonts w:ascii="Verdana" w:hAnsi="Verdana"/>
          <w:sz w:val="18"/>
          <w:szCs w:val="18"/>
        </w:rPr>
        <w:t>aterstaat</w:t>
      </w:r>
      <w:r w:rsidRPr="00A17DF9" w:rsidR="00023420">
        <w:rPr>
          <w:rFonts w:ascii="Verdana" w:hAnsi="Verdana"/>
          <w:sz w:val="18"/>
          <w:szCs w:val="18"/>
        </w:rPr>
        <w:t xml:space="preserve"> </w:t>
      </w:r>
      <w:r>
        <w:rPr>
          <w:rFonts w:ascii="Verdana" w:hAnsi="Verdana"/>
          <w:sz w:val="18"/>
          <w:szCs w:val="18"/>
        </w:rPr>
        <w:t xml:space="preserve">heeft </w:t>
      </w:r>
      <w:r w:rsidRPr="00A17DF9" w:rsidR="00023420">
        <w:rPr>
          <w:rFonts w:ascii="Verdana" w:hAnsi="Verdana"/>
          <w:sz w:val="18"/>
          <w:szCs w:val="18"/>
        </w:rPr>
        <w:t xml:space="preserve">op </w:t>
      </w:r>
      <w:r w:rsidRPr="008E1B6A" w:rsidR="008E1B6A">
        <w:rPr>
          <w:rFonts w:ascii="Verdana" w:hAnsi="Verdana"/>
          <w:sz w:val="18"/>
          <w:szCs w:val="18"/>
        </w:rPr>
        <w:t>1 september</w:t>
      </w:r>
      <w:r w:rsidR="008E1B6A">
        <w:rPr>
          <w:rFonts w:ascii="Verdana" w:hAnsi="Verdana"/>
          <w:sz w:val="18"/>
          <w:szCs w:val="18"/>
        </w:rPr>
        <w:t xml:space="preserve"> 2025</w:t>
      </w:r>
      <w:r w:rsidRPr="007D5BF2" w:rsidR="00023420">
        <w:rPr>
          <w:rFonts w:ascii="Verdana" w:hAnsi="Verdana"/>
          <w:sz w:val="18"/>
          <w:szCs w:val="18"/>
        </w:rPr>
        <w:t xml:space="preserve"> </w:t>
      </w:r>
      <w:r>
        <w:rPr>
          <w:rFonts w:ascii="Verdana" w:hAnsi="Verdana"/>
          <w:sz w:val="18"/>
          <w:szCs w:val="18"/>
        </w:rPr>
        <w:t xml:space="preserve">de uitvoerbaarheidstoets van Rijkswaterstaat </w:t>
      </w:r>
      <w:r w:rsidRPr="00A17DF9" w:rsidR="00023420">
        <w:rPr>
          <w:rFonts w:ascii="Verdana" w:hAnsi="Verdana"/>
          <w:sz w:val="18"/>
          <w:szCs w:val="18"/>
        </w:rPr>
        <w:t xml:space="preserve">ontvangen. Het wetsvoorstel sluit goed aan bij de werkwijze die ProRail reeds hanteert om de milieu-impact van de spoorsector te verlagen. ProRail staat derhalve positief tegenover dit wetsvoorstel. Tegelijkertijd </w:t>
      </w:r>
      <w:r w:rsidRPr="00A17DF9" w:rsidR="00023420">
        <w:rPr>
          <w:rFonts w:ascii="Verdana" w:hAnsi="Verdana"/>
          <w:sz w:val="18"/>
          <w:szCs w:val="18"/>
        </w:rPr>
        <w:lastRenderedPageBreak/>
        <w:t xml:space="preserve">constateert ProRail dat het wetsvoorstel op dit moment voorziet in de bevoegdheid om nadere regels te stellen bij algemene maatregel van bestuur en ministeriële regeling. Juist in deze nadere regelgeving worden het concrete toepassingsbereik en de inhoudelijke eisen die voor ProRail van specifiek belang zijn, nader uitgewerkt. Hierin is het van belang dat </w:t>
      </w:r>
      <w:r w:rsidRPr="00A17DF9" w:rsidR="00023420">
        <w:rPr>
          <w:rFonts w:ascii="Verdana" w:hAnsi="Verdana" w:eastAsia="Aptos" w:cs="Arial"/>
          <w:kern w:val="2"/>
          <w:sz w:val="18"/>
          <w:szCs w:val="18"/>
          <w14:ligatures w14:val="standardContextual"/>
        </w:rPr>
        <w:t>mits deze goed aansluit bij de praktijk, ruimte biedt voor technologische innovatie en rekening houdt met de uiteenlopende behoeften van aanbestedende diensten</w:t>
      </w:r>
      <w:r w:rsidR="007D5BF2">
        <w:rPr>
          <w:rFonts w:ascii="Verdana" w:hAnsi="Verdana" w:eastAsia="Aptos" w:cs="Arial"/>
          <w:kern w:val="2"/>
          <w:sz w:val="18"/>
          <w:szCs w:val="18"/>
          <w14:ligatures w14:val="standardContextual"/>
        </w:rPr>
        <w:t>.</w:t>
      </w:r>
      <w:r w:rsidRPr="007D5BF2" w:rsidR="00023420">
        <w:rPr>
          <w:rFonts w:ascii="Verdana" w:hAnsi="Verdana"/>
          <w:sz w:val="18"/>
          <w:szCs w:val="18"/>
        </w:rPr>
        <w:t xml:space="preserve"> </w:t>
      </w:r>
      <w:r w:rsidR="000F4C42">
        <w:rPr>
          <w:rFonts w:ascii="Verdana" w:hAnsi="Verdana"/>
          <w:sz w:val="18"/>
          <w:szCs w:val="18"/>
        </w:rPr>
        <w:t>Via</w:t>
      </w:r>
      <w:r w:rsidRPr="007D5BF2" w:rsidR="00023420">
        <w:rPr>
          <w:rFonts w:ascii="Verdana" w:hAnsi="Verdana"/>
          <w:sz w:val="18"/>
          <w:szCs w:val="18"/>
        </w:rPr>
        <w:t xml:space="preserve"> deelname aan de klankbordgroep blijft ProRail graag nauw betrokken bij deze nadere uitwerking. ProRail heeft naast een aantal tekstuele aanpassingen in de concept </w:t>
      </w:r>
      <w:r w:rsidRPr="005A1E80" w:rsidR="005A1E80">
        <w:rPr>
          <w:rFonts w:ascii="Verdana" w:hAnsi="Verdana"/>
          <w:sz w:val="18"/>
          <w:szCs w:val="18"/>
        </w:rPr>
        <w:t>Memorie</w:t>
      </w:r>
      <w:r w:rsidRPr="007D5BF2" w:rsidR="00023420">
        <w:rPr>
          <w:rFonts w:ascii="Verdana" w:hAnsi="Verdana"/>
          <w:sz w:val="18"/>
          <w:szCs w:val="18"/>
        </w:rPr>
        <w:t xml:space="preserve"> van Toelichting een aantal aandachtpunten meegegeven, waaronder: </w:t>
      </w:r>
    </w:p>
    <w:p w:rsidRPr="007D5BF2" w:rsidR="00023420" w:rsidP="007D5BF2" w:rsidRDefault="00023420" w14:paraId="1D1E76FB" w14:textId="6F3C7E0F">
      <w:pPr>
        <w:pStyle w:val="Lijstalinea"/>
        <w:numPr>
          <w:ilvl w:val="0"/>
          <w:numId w:val="8"/>
        </w:numPr>
        <w:spacing w:after="120" w:line="276" w:lineRule="auto"/>
        <w:contextualSpacing w:val="0"/>
        <w:rPr>
          <w:rFonts w:ascii="Verdana" w:hAnsi="Verdana"/>
          <w:sz w:val="18"/>
          <w:szCs w:val="18"/>
        </w:rPr>
      </w:pPr>
      <w:r w:rsidRPr="007D5BF2">
        <w:rPr>
          <w:rFonts w:ascii="Verdana" w:hAnsi="Verdana"/>
          <w:sz w:val="18"/>
          <w:szCs w:val="18"/>
        </w:rPr>
        <w:t xml:space="preserve">Het </w:t>
      </w:r>
      <w:r w:rsidRPr="007D5BF2">
        <w:rPr>
          <w:rFonts w:ascii="Verdana" w:hAnsi="Verdana" w:eastAsia="Aptos" w:cs="Arial"/>
          <w:kern w:val="2"/>
          <w:sz w:val="18"/>
          <w:szCs w:val="18"/>
          <w14:ligatures w14:val="standardContextual"/>
        </w:rPr>
        <w:t xml:space="preserve">bij amvb verplicht voorschrijven van een </w:t>
      </w:r>
      <w:r w:rsidRPr="007D5BF2" w:rsidR="005A1E80">
        <w:rPr>
          <w:rFonts w:ascii="Verdana" w:hAnsi="Verdana" w:eastAsia="Aptos" w:cs="Arial"/>
          <w:kern w:val="2"/>
          <w:sz w:val="18"/>
          <w:szCs w:val="18"/>
          <w14:ligatures w14:val="standardContextual"/>
        </w:rPr>
        <w:t>nader</w:t>
      </w:r>
      <w:r w:rsidRPr="007D5BF2">
        <w:rPr>
          <w:rFonts w:ascii="Verdana" w:hAnsi="Verdana" w:eastAsia="Aptos" w:cs="Arial"/>
          <w:kern w:val="2"/>
          <w:sz w:val="18"/>
          <w:szCs w:val="18"/>
          <w14:ligatures w14:val="standardContextual"/>
        </w:rPr>
        <w:t xml:space="preserve"> criterium</w:t>
      </w:r>
      <w:r>
        <w:rPr>
          <w:rFonts w:ascii="Verdana" w:hAnsi="Verdana" w:eastAsia="Aptos" w:cs="Arial"/>
          <w:kern w:val="2"/>
          <w:sz w:val="18"/>
          <w:szCs w:val="18"/>
          <w14:ligatures w14:val="standardContextual"/>
        </w:rPr>
        <w:t xml:space="preserve"> </w:t>
      </w:r>
      <w:r w:rsidR="005A1E80">
        <w:rPr>
          <w:rFonts w:ascii="Verdana" w:hAnsi="Verdana" w:eastAsia="Aptos" w:cs="Arial"/>
          <w:kern w:val="2"/>
          <w:sz w:val="18"/>
          <w:szCs w:val="18"/>
          <w14:ligatures w14:val="standardContextual"/>
        </w:rPr>
        <w:t>wordt in sommige gevallen</w:t>
      </w:r>
      <w:r w:rsidRPr="007D5BF2">
        <w:rPr>
          <w:rFonts w:ascii="Verdana" w:hAnsi="Verdana" w:eastAsia="Aptos" w:cs="Arial"/>
          <w:kern w:val="2"/>
          <w:sz w:val="18"/>
          <w:szCs w:val="18"/>
          <w14:ligatures w14:val="standardContextual"/>
        </w:rPr>
        <w:t xml:space="preserve"> – zoals </w:t>
      </w:r>
      <w:r w:rsidR="005A1E80">
        <w:rPr>
          <w:rFonts w:ascii="Verdana" w:hAnsi="Verdana" w:eastAsia="Aptos" w:cs="Arial"/>
          <w:kern w:val="2"/>
          <w:sz w:val="18"/>
          <w:szCs w:val="18"/>
          <w14:ligatures w14:val="standardContextual"/>
        </w:rPr>
        <w:t>bij</w:t>
      </w:r>
      <w:r w:rsidRPr="007D5BF2">
        <w:rPr>
          <w:rFonts w:ascii="Verdana" w:hAnsi="Verdana" w:eastAsia="Aptos" w:cs="Arial"/>
          <w:kern w:val="2"/>
          <w:sz w:val="18"/>
          <w:szCs w:val="18"/>
          <w14:ligatures w14:val="standardContextual"/>
        </w:rPr>
        <w:t xml:space="preserve"> een plan van aanpak voor samenwerkingscontracten</w:t>
      </w:r>
      <w:r w:rsidR="005A1E80">
        <w:rPr>
          <w:rFonts w:ascii="Verdana" w:hAnsi="Verdana" w:eastAsia="Aptos" w:cs="Arial"/>
          <w:kern w:val="2"/>
          <w:sz w:val="18"/>
          <w:szCs w:val="18"/>
          <w14:ligatures w14:val="standardContextual"/>
        </w:rPr>
        <w:t xml:space="preserve"> -</w:t>
      </w:r>
      <w:r w:rsidRPr="007D5BF2">
        <w:rPr>
          <w:rFonts w:ascii="Verdana" w:hAnsi="Verdana" w:eastAsia="Aptos" w:cs="Arial"/>
          <w:kern w:val="2"/>
          <w:sz w:val="18"/>
          <w:szCs w:val="18"/>
          <w14:ligatures w14:val="standardContextual"/>
        </w:rPr>
        <w:t xml:space="preserve"> in twijfel getrokken</w:t>
      </w:r>
      <w:r w:rsidR="000F4C42">
        <w:rPr>
          <w:rFonts w:ascii="Verdana" w:hAnsi="Verdana" w:eastAsia="Aptos" w:cs="Arial"/>
          <w:kern w:val="2"/>
          <w:sz w:val="18"/>
          <w:szCs w:val="18"/>
          <w14:ligatures w14:val="standardContextual"/>
        </w:rPr>
        <w:t>.</w:t>
      </w:r>
    </w:p>
    <w:p w:rsidRPr="007D5BF2" w:rsidR="00023420" w:rsidP="007D5BF2" w:rsidRDefault="00023420" w14:paraId="34C74A3C" w14:textId="1CB98B3B">
      <w:pPr>
        <w:pStyle w:val="Lijstalinea"/>
        <w:numPr>
          <w:ilvl w:val="0"/>
          <w:numId w:val="8"/>
        </w:numPr>
        <w:spacing w:after="120" w:line="276" w:lineRule="auto"/>
        <w:contextualSpacing w:val="0"/>
        <w:rPr>
          <w:rFonts w:ascii="Verdana" w:hAnsi="Verdana"/>
          <w:sz w:val="18"/>
          <w:szCs w:val="18"/>
        </w:rPr>
      </w:pPr>
      <w:r>
        <w:rPr>
          <w:rFonts w:ascii="Verdana" w:hAnsi="Verdana" w:eastAsia="Aptos" w:cs="Arial"/>
          <w:kern w:val="2"/>
          <w:sz w:val="18"/>
          <w:szCs w:val="18"/>
          <w14:ligatures w14:val="standardContextual"/>
        </w:rPr>
        <w:t>B</w:t>
      </w:r>
      <w:r w:rsidRPr="007D5BF2">
        <w:rPr>
          <w:rFonts w:ascii="Verdana" w:hAnsi="Verdana" w:eastAsia="Aptos" w:cs="Arial"/>
          <w:kern w:val="2"/>
          <w:sz w:val="18"/>
          <w:szCs w:val="18"/>
          <w14:ligatures w14:val="standardContextual"/>
        </w:rPr>
        <w:t>orgen dat de beoordelings- en rekenmethodiek uniform en eenduidig toegepast wordt is essentieel voor het creëren van voorspelbaarheid voor marktpartijen en het waarborgen van een gelijk speelveld binnen de sector.</w:t>
      </w:r>
      <w:r w:rsidRPr="007D5BF2" w:rsidDel="00F15652">
        <w:rPr>
          <w:rFonts w:ascii="Verdana" w:hAnsi="Verdana"/>
          <w:sz w:val="18"/>
          <w:szCs w:val="18"/>
        </w:rPr>
        <w:t xml:space="preserve"> </w:t>
      </w:r>
    </w:p>
    <w:p w:rsidRPr="007D5BF2" w:rsidR="00023420" w:rsidP="007D5BF2" w:rsidRDefault="00023420" w14:paraId="5C77AB79" w14:textId="356D1D26">
      <w:pPr>
        <w:pStyle w:val="Lijstalinea"/>
        <w:numPr>
          <w:ilvl w:val="0"/>
          <w:numId w:val="8"/>
        </w:numPr>
        <w:spacing w:after="120" w:line="276" w:lineRule="auto"/>
        <w:contextualSpacing w:val="0"/>
        <w:rPr>
          <w:rFonts w:ascii="Verdana" w:hAnsi="Verdana" w:eastAsia="Times New Roman" w:cs="Times New Roman"/>
          <w:sz w:val="18"/>
          <w:szCs w:val="18"/>
          <w:lang w:eastAsia="nl-NL"/>
        </w:rPr>
      </w:pPr>
      <w:r w:rsidRPr="007D5BF2">
        <w:rPr>
          <w:rFonts w:ascii="Verdana" w:hAnsi="Verdana" w:eastAsia="Aptos" w:cs="Arial"/>
          <w:kern w:val="2"/>
          <w:sz w:val="18"/>
          <w:szCs w:val="18"/>
          <w14:ligatures w14:val="standardContextual"/>
        </w:rPr>
        <w:t xml:space="preserve">Overwegen om in </w:t>
      </w:r>
      <w:r w:rsidRPr="007D5BF2" w:rsidR="000461C2">
        <w:rPr>
          <w:rFonts w:ascii="Verdana" w:hAnsi="Verdana" w:eastAsia="Aptos" w:cs="Arial"/>
          <w:kern w:val="2"/>
          <w:sz w:val="18"/>
          <w:szCs w:val="18"/>
          <w14:ligatures w14:val="standardContextual"/>
        </w:rPr>
        <w:t>de uitzonderingen die verder worden uitgewerkt in de amvb</w:t>
      </w:r>
      <w:r w:rsidRPr="007D5BF2">
        <w:rPr>
          <w:rFonts w:ascii="Verdana" w:hAnsi="Verdana" w:eastAsia="Aptos" w:cs="Arial"/>
          <w:kern w:val="2"/>
          <w:sz w:val="18"/>
          <w:szCs w:val="18"/>
          <w14:ligatures w14:val="standardContextual"/>
        </w:rPr>
        <w:t xml:space="preserve"> ten behoeve van de milieuprestatie-eisen tijdelijke ontheffingen op te nemen voor pilots, zodat innovaties of duurzame producten getest kunnen worden.</w:t>
      </w:r>
    </w:p>
    <w:p w:rsidRPr="007D5BF2" w:rsidR="00023420" w:rsidP="007D5BF2" w:rsidRDefault="00023420" w14:paraId="75FA2C54" w14:textId="1A9F64D3">
      <w:pPr>
        <w:pStyle w:val="Lijstalinea"/>
        <w:numPr>
          <w:ilvl w:val="0"/>
          <w:numId w:val="8"/>
        </w:numPr>
        <w:spacing w:after="120" w:line="276" w:lineRule="auto"/>
        <w:contextualSpacing w:val="0"/>
        <w:rPr>
          <w:rFonts w:ascii="Verdana" w:hAnsi="Verdana"/>
          <w:sz w:val="18"/>
          <w:szCs w:val="18"/>
        </w:rPr>
      </w:pPr>
      <w:r w:rsidRPr="007D5BF2">
        <w:rPr>
          <w:rFonts w:ascii="Verdana" w:hAnsi="Verdana" w:eastAsia="Aptos" w:cs="Arial"/>
          <w:kern w:val="2"/>
          <w:sz w:val="18"/>
          <w:szCs w:val="18"/>
          <w14:ligatures w14:val="standardContextual"/>
        </w:rPr>
        <w:t xml:space="preserve">Circulariteit en hoogwaardig hergebruik aan het einde van de levensduur voldoende borgen. </w:t>
      </w:r>
    </w:p>
    <w:p w:rsidRPr="007D280C" w:rsidR="00C94FB8" w:rsidP="007D280C" w:rsidRDefault="00C94FB8" w14:paraId="59A2E50C" w14:textId="4F056C5B">
      <w:pPr>
        <w:spacing w:line="276" w:lineRule="auto"/>
        <w:rPr>
          <w:rFonts w:ascii="Verdana" w:hAnsi="Verdana"/>
          <w:sz w:val="18"/>
          <w:szCs w:val="18"/>
        </w:rPr>
      </w:pPr>
      <w:r w:rsidRPr="007D280C">
        <w:rPr>
          <w:rFonts w:ascii="Verdana" w:hAnsi="Verdana"/>
          <w:sz w:val="18"/>
          <w:szCs w:val="18"/>
        </w:rPr>
        <w:t xml:space="preserve">Het ministerie van </w:t>
      </w:r>
      <w:r w:rsidRPr="007D280C" w:rsidR="00780951">
        <w:rPr>
          <w:rFonts w:ascii="Verdana" w:hAnsi="Verdana"/>
          <w:sz w:val="18"/>
          <w:szCs w:val="18"/>
        </w:rPr>
        <w:t>I</w:t>
      </w:r>
      <w:r w:rsidR="00780951">
        <w:rPr>
          <w:rFonts w:ascii="Verdana" w:hAnsi="Verdana"/>
          <w:sz w:val="18"/>
          <w:szCs w:val="18"/>
        </w:rPr>
        <w:t xml:space="preserve">nfrastructuur </w:t>
      </w:r>
      <w:r w:rsidRPr="007D280C" w:rsidR="00780951">
        <w:rPr>
          <w:rFonts w:ascii="Verdana" w:hAnsi="Verdana"/>
          <w:sz w:val="18"/>
          <w:szCs w:val="18"/>
        </w:rPr>
        <w:t>en</w:t>
      </w:r>
      <w:r w:rsidR="00780951">
        <w:rPr>
          <w:rFonts w:ascii="Verdana" w:hAnsi="Verdana"/>
          <w:sz w:val="18"/>
          <w:szCs w:val="18"/>
        </w:rPr>
        <w:t xml:space="preserve"> </w:t>
      </w:r>
      <w:r w:rsidRPr="007D280C" w:rsidR="00780951">
        <w:rPr>
          <w:rFonts w:ascii="Verdana" w:hAnsi="Verdana"/>
          <w:sz w:val="18"/>
          <w:szCs w:val="18"/>
        </w:rPr>
        <w:t>W</w:t>
      </w:r>
      <w:r w:rsidR="00780951">
        <w:rPr>
          <w:rFonts w:ascii="Verdana" w:hAnsi="Verdana"/>
          <w:sz w:val="18"/>
          <w:szCs w:val="18"/>
        </w:rPr>
        <w:t>aterstaat</w:t>
      </w:r>
      <w:r w:rsidRPr="007D280C">
        <w:rPr>
          <w:rFonts w:ascii="Verdana" w:hAnsi="Verdana"/>
          <w:sz w:val="18"/>
          <w:szCs w:val="18"/>
        </w:rPr>
        <w:t xml:space="preserve"> neemt de aspecten die benoemd zijn mee in de verdere uitwerking </w:t>
      </w:r>
      <w:r>
        <w:rPr>
          <w:rFonts w:ascii="Verdana" w:hAnsi="Verdana"/>
          <w:sz w:val="18"/>
          <w:szCs w:val="18"/>
        </w:rPr>
        <w:t xml:space="preserve">van </w:t>
      </w:r>
      <w:r w:rsidR="005A1E80">
        <w:rPr>
          <w:rFonts w:ascii="Verdana" w:hAnsi="Verdana"/>
          <w:sz w:val="18"/>
          <w:szCs w:val="18"/>
        </w:rPr>
        <w:t>het wetsvoorstel in</w:t>
      </w:r>
      <w:r w:rsidRPr="00F50212" w:rsidR="005A1E80">
        <w:rPr>
          <w:rFonts w:ascii="Verdana" w:hAnsi="Verdana"/>
          <w:sz w:val="18"/>
          <w:szCs w:val="18"/>
        </w:rPr>
        <w:t xml:space="preserve"> </w:t>
      </w:r>
      <w:r w:rsidRPr="00F50212">
        <w:rPr>
          <w:rFonts w:ascii="Verdana" w:hAnsi="Verdana"/>
          <w:sz w:val="18"/>
          <w:szCs w:val="18"/>
        </w:rPr>
        <w:t>de onderliggende regelgeving</w:t>
      </w:r>
      <w:r w:rsidRPr="007D280C">
        <w:rPr>
          <w:rFonts w:ascii="Verdana" w:hAnsi="Verdana"/>
          <w:sz w:val="18"/>
          <w:szCs w:val="18"/>
        </w:rPr>
        <w:t xml:space="preserve">. </w:t>
      </w:r>
    </w:p>
    <w:bookmarkEnd w:id="62"/>
    <w:p w:rsidRPr="005B4CB1" w:rsidR="004F0533" w:rsidP="00643E93" w:rsidRDefault="004F0533" w14:paraId="148FF979" w14:textId="77777777">
      <w:pPr>
        <w:spacing w:after="0" w:line="276" w:lineRule="auto"/>
        <w:rPr>
          <w:rFonts w:ascii="Verdana" w:hAnsi="Verdana" w:eastAsia="Times New Roman" w:cs="Times New Roman"/>
          <w:b/>
          <w:bCs/>
          <w:sz w:val="21"/>
          <w:szCs w:val="21"/>
        </w:rPr>
      </w:pPr>
    </w:p>
    <w:p w:rsidRPr="00E43A50" w:rsidR="004F0533" w:rsidP="00643E93" w:rsidRDefault="004F0533" w14:paraId="7262657B" w14:textId="5E55C933">
      <w:pPr>
        <w:pStyle w:val="Kop4"/>
        <w:numPr>
          <w:ilvl w:val="1"/>
          <w:numId w:val="24"/>
        </w:numPr>
        <w:spacing w:line="276" w:lineRule="auto"/>
      </w:pPr>
      <w:bookmarkStart w:name="_Toc195040777" w:id="63"/>
      <w:r w:rsidRPr="00E43A50">
        <w:t>Internetconsultatie</w:t>
      </w:r>
      <w:bookmarkEnd w:id="63"/>
    </w:p>
    <w:p w:rsidRPr="007D280C" w:rsidR="004F0533" w:rsidP="00643E93" w:rsidRDefault="004F0533" w14:paraId="43DC074F" w14:textId="76E6691A">
      <w:pPr>
        <w:spacing w:after="0" w:line="276" w:lineRule="auto"/>
        <w:rPr>
          <w:rFonts w:ascii="Verdana" w:hAnsi="Verdana" w:eastAsia="Times New Roman" w:cs="Times New Roman"/>
          <w:sz w:val="18"/>
          <w:szCs w:val="18"/>
        </w:rPr>
      </w:pPr>
    </w:p>
    <w:p w:rsidRPr="007D280C" w:rsidR="007B2EF4" w:rsidP="007B2EF4" w:rsidRDefault="007B2EF4" w14:paraId="0637E7F3" w14:textId="2940EBE7">
      <w:pPr>
        <w:spacing w:after="0" w:line="276" w:lineRule="auto"/>
        <w:rPr>
          <w:rFonts w:ascii="Verdana" w:hAnsi="Verdana" w:eastAsia="Times New Roman" w:cs="Times New Roman"/>
          <w:sz w:val="18"/>
          <w:szCs w:val="18"/>
        </w:rPr>
      </w:pPr>
      <w:r w:rsidRPr="007D280C">
        <w:rPr>
          <w:rFonts w:ascii="Verdana" w:hAnsi="Verdana" w:eastAsia="Times New Roman" w:cs="Times New Roman"/>
          <w:sz w:val="18"/>
          <w:szCs w:val="18"/>
        </w:rPr>
        <w:t xml:space="preserve">De internetconsultatie met betrekking tot dit wetsvoorstel </w:t>
      </w:r>
      <w:r w:rsidR="007D280C">
        <w:rPr>
          <w:rFonts w:ascii="Verdana" w:hAnsi="Verdana" w:eastAsia="Times New Roman" w:cs="Times New Roman"/>
          <w:sz w:val="18"/>
          <w:szCs w:val="18"/>
        </w:rPr>
        <w:t>heeft</w:t>
      </w:r>
      <w:r w:rsidRPr="007D280C">
        <w:rPr>
          <w:rFonts w:ascii="Verdana" w:hAnsi="Verdana" w:eastAsia="Times New Roman" w:cs="Times New Roman"/>
          <w:sz w:val="18"/>
          <w:szCs w:val="18"/>
        </w:rPr>
        <w:t xml:space="preserve"> van </w:t>
      </w:r>
      <w:r w:rsidRPr="007D280C" w:rsidR="0024713F">
        <w:rPr>
          <w:rFonts w:ascii="Verdana" w:hAnsi="Verdana" w:eastAsia="Times New Roman" w:cs="Times New Roman"/>
          <w:sz w:val="18"/>
          <w:szCs w:val="18"/>
        </w:rPr>
        <w:t>10 juli 2025</w:t>
      </w:r>
      <w:r w:rsidRPr="007D280C">
        <w:rPr>
          <w:rFonts w:ascii="Verdana" w:hAnsi="Verdana" w:eastAsia="Times New Roman" w:cs="Times New Roman"/>
          <w:sz w:val="18"/>
          <w:szCs w:val="18"/>
        </w:rPr>
        <w:t xml:space="preserve"> tot en met </w:t>
      </w:r>
      <w:r w:rsidRPr="007D280C" w:rsidR="0024713F">
        <w:rPr>
          <w:rFonts w:ascii="Verdana" w:hAnsi="Verdana" w:eastAsia="Times New Roman" w:cs="Times New Roman"/>
          <w:sz w:val="18"/>
          <w:szCs w:val="18"/>
        </w:rPr>
        <w:t>21 augustus 2025</w:t>
      </w:r>
      <w:r w:rsidR="007D280C">
        <w:rPr>
          <w:rFonts w:ascii="Verdana" w:hAnsi="Verdana" w:eastAsia="Times New Roman" w:cs="Times New Roman"/>
          <w:sz w:val="18"/>
          <w:szCs w:val="18"/>
        </w:rPr>
        <w:t xml:space="preserve"> plaatsgevonden</w:t>
      </w:r>
      <w:r w:rsidRPr="007D280C" w:rsidR="0024713F">
        <w:rPr>
          <w:rFonts w:ascii="Verdana" w:hAnsi="Verdana" w:eastAsia="Times New Roman" w:cs="Times New Roman"/>
          <w:sz w:val="18"/>
          <w:szCs w:val="18"/>
        </w:rPr>
        <w:t>.</w:t>
      </w:r>
      <w:r w:rsidRPr="007D280C">
        <w:rPr>
          <w:rFonts w:ascii="Verdana" w:hAnsi="Verdana" w:eastAsia="Times New Roman" w:cs="Times New Roman"/>
          <w:sz w:val="18"/>
          <w:szCs w:val="18"/>
        </w:rPr>
        <w:t xml:space="preserve"> </w:t>
      </w:r>
      <w:r w:rsidRPr="007D280C" w:rsidR="0024713F">
        <w:rPr>
          <w:rFonts w:ascii="Verdana" w:hAnsi="Verdana" w:eastAsia="Times New Roman" w:cs="Times New Roman"/>
          <w:sz w:val="18"/>
          <w:szCs w:val="18"/>
        </w:rPr>
        <w:t>D</w:t>
      </w:r>
      <w:r w:rsidRPr="007D280C">
        <w:rPr>
          <w:rFonts w:ascii="Verdana" w:hAnsi="Verdana" w:eastAsia="Times New Roman" w:cs="Times New Roman"/>
          <w:sz w:val="18"/>
          <w:szCs w:val="18"/>
        </w:rPr>
        <w:t xml:space="preserve">e reacties op de internetconsultatie </w:t>
      </w:r>
      <w:r w:rsidRPr="007D280C" w:rsidR="0024713F">
        <w:rPr>
          <w:rFonts w:ascii="Verdana" w:hAnsi="Verdana" w:eastAsia="Times New Roman" w:cs="Times New Roman"/>
          <w:sz w:val="18"/>
          <w:szCs w:val="18"/>
        </w:rPr>
        <w:t xml:space="preserve">zijn </w:t>
      </w:r>
      <w:r w:rsidRPr="007D280C">
        <w:rPr>
          <w:rFonts w:ascii="Verdana" w:hAnsi="Verdana" w:eastAsia="Times New Roman" w:cs="Times New Roman"/>
          <w:sz w:val="18"/>
          <w:szCs w:val="18"/>
        </w:rPr>
        <w:t xml:space="preserve">gebundeld </w:t>
      </w:r>
      <w:r w:rsidRPr="007D280C" w:rsidR="0024713F">
        <w:rPr>
          <w:rFonts w:ascii="Verdana" w:hAnsi="Verdana" w:eastAsia="Times New Roman" w:cs="Times New Roman"/>
          <w:sz w:val="18"/>
          <w:szCs w:val="18"/>
        </w:rPr>
        <w:t xml:space="preserve">en </w:t>
      </w:r>
      <w:r w:rsidRPr="007D280C">
        <w:rPr>
          <w:rFonts w:ascii="Verdana" w:hAnsi="Verdana" w:eastAsia="Times New Roman" w:cs="Times New Roman"/>
          <w:sz w:val="18"/>
          <w:szCs w:val="18"/>
        </w:rPr>
        <w:t>verwerkt het verslag van de internetconsultatie.</w:t>
      </w:r>
      <w:r w:rsidR="0024713F">
        <w:rPr>
          <w:rStyle w:val="Voetnootmarkering"/>
          <w:rFonts w:ascii="Verdana" w:hAnsi="Verdana" w:eastAsia="Times New Roman" w:cs="Times New Roman"/>
          <w:sz w:val="18"/>
          <w:szCs w:val="18"/>
        </w:rPr>
        <w:footnoteReference w:id="58"/>
      </w:r>
      <w:r w:rsidRPr="007D280C">
        <w:rPr>
          <w:rFonts w:ascii="Verdana" w:hAnsi="Verdana" w:eastAsia="Times New Roman" w:cs="Times New Roman"/>
          <w:sz w:val="18"/>
          <w:szCs w:val="18"/>
        </w:rPr>
        <w:t xml:space="preserve"> </w:t>
      </w:r>
      <w:r w:rsidRPr="0024713F" w:rsidR="0024713F">
        <w:rPr>
          <w:rFonts w:ascii="Verdana" w:hAnsi="Verdana" w:eastAsia="Times New Roman" w:cs="Times New Roman"/>
          <w:sz w:val="18"/>
          <w:szCs w:val="18"/>
        </w:rPr>
        <w:t xml:space="preserve">Samenvattend is in de reacties op de internetconsultatie van het wetsvoorstel </w:t>
      </w:r>
      <w:r w:rsidRPr="007D280C">
        <w:rPr>
          <w:rFonts w:ascii="Verdana" w:hAnsi="Verdana" w:eastAsia="Times New Roman" w:cs="Times New Roman"/>
          <w:sz w:val="18"/>
          <w:szCs w:val="18"/>
        </w:rPr>
        <w:t>brede steun uitgesproken voor de wettelijke verankering van milieuprestatie-eisen in de GWW-sector</w:t>
      </w:r>
      <w:r w:rsidR="00615C5F">
        <w:rPr>
          <w:rFonts w:ascii="Verdana" w:hAnsi="Verdana" w:eastAsia="Times New Roman" w:cs="Times New Roman"/>
          <w:sz w:val="18"/>
          <w:szCs w:val="18"/>
        </w:rPr>
        <w:t xml:space="preserve">, namelijk door 97% van de </w:t>
      </w:r>
      <w:r w:rsidR="00666BA0">
        <w:rPr>
          <w:rFonts w:ascii="Verdana" w:hAnsi="Verdana" w:eastAsia="Times New Roman" w:cs="Times New Roman"/>
          <w:sz w:val="18"/>
          <w:szCs w:val="18"/>
        </w:rPr>
        <w:t>partijen</w:t>
      </w:r>
      <w:r w:rsidRPr="007D280C">
        <w:rPr>
          <w:rFonts w:ascii="Verdana" w:hAnsi="Verdana" w:eastAsia="Times New Roman" w:cs="Times New Roman"/>
          <w:sz w:val="18"/>
          <w:szCs w:val="18"/>
        </w:rPr>
        <w:t xml:space="preserve">. </w:t>
      </w:r>
      <w:r w:rsidRPr="0024713F" w:rsidR="0024713F">
        <w:rPr>
          <w:rFonts w:ascii="Verdana" w:hAnsi="Verdana" w:eastAsia="Times New Roman" w:cs="Times New Roman"/>
          <w:sz w:val="18"/>
          <w:szCs w:val="18"/>
        </w:rPr>
        <w:t>Partijen</w:t>
      </w:r>
      <w:r w:rsidRPr="007D280C">
        <w:rPr>
          <w:rFonts w:ascii="Verdana" w:hAnsi="Verdana" w:eastAsia="Times New Roman" w:cs="Times New Roman"/>
          <w:sz w:val="18"/>
          <w:szCs w:val="18"/>
        </w:rPr>
        <w:t xml:space="preserve"> zien dit als een belangrijke stap richting meer uniformiteit en een gelijk speelveld. </w:t>
      </w:r>
      <w:r w:rsidR="00666BA0">
        <w:rPr>
          <w:rFonts w:ascii="Verdana" w:hAnsi="Verdana" w:eastAsia="Times New Roman" w:cs="Times New Roman"/>
          <w:sz w:val="18"/>
          <w:szCs w:val="18"/>
        </w:rPr>
        <w:t>Uit de consultatie kwamen verder e</w:t>
      </w:r>
      <w:r w:rsidRPr="007D280C">
        <w:rPr>
          <w:rFonts w:ascii="Verdana" w:hAnsi="Verdana" w:eastAsia="Times New Roman" w:cs="Times New Roman"/>
          <w:sz w:val="18"/>
          <w:szCs w:val="18"/>
        </w:rPr>
        <w:t xml:space="preserve">nkele </w:t>
      </w:r>
      <w:r w:rsidR="007D280C">
        <w:rPr>
          <w:rFonts w:ascii="Verdana" w:hAnsi="Verdana" w:eastAsia="Times New Roman" w:cs="Times New Roman"/>
          <w:sz w:val="18"/>
          <w:szCs w:val="18"/>
        </w:rPr>
        <w:t>aandachtspunten</w:t>
      </w:r>
      <w:r>
        <w:rPr>
          <w:rFonts w:ascii="Verdana" w:hAnsi="Verdana" w:eastAsia="Times New Roman" w:cs="Times New Roman"/>
          <w:sz w:val="18"/>
          <w:szCs w:val="18"/>
        </w:rPr>
        <w:t xml:space="preserve"> </w:t>
      </w:r>
      <w:r w:rsidRPr="007D280C">
        <w:rPr>
          <w:rFonts w:ascii="Verdana" w:hAnsi="Verdana" w:eastAsia="Times New Roman" w:cs="Times New Roman"/>
          <w:sz w:val="18"/>
          <w:szCs w:val="18"/>
        </w:rPr>
        <w:t>naar voren, zoals de behoefte aan duidelijke definities en afbakening van de verplichtingen, proportionaliteit tussen grote en kleine projecten, en ruimte voor innovatie en maatwerk. Het ministerie heeft deze punten betrokken bij de verdere uitwerking van het wetsvoorstel</w:t>
      </w:r>
      <w:r w:rsidR="007D280C">
        <w:rPr>
          <w:rFonts w:ascii="Verdana" w:hAnsi="Verdana" w:eastAsia="Times New Roman" w:cs="Times New Roman"/>
          <w:sz w:val="18"/>
          <w:szCs w:val="18"/>
        </w:rPr>
        <w:t>, en zal</w:t>
      </w:r>
      <w:r w:rsidRPr="0024713F" w:rsidR="0024713F">
        <w:rPr>
          <w:rFonts w:ascii="Verdana" w:hAnsi="Verdana" w:eastAsia="Times New Roman" w:cs="Times New Roman"/>
          <w:sz w:val="18"/>
          <w:szCs w:val="18"/>
        </w:rPr>
        <w:t xml:space="preserve"> deze </w:t>
      </w:r>
      <w:r w:rsidR="007D280C">
        <w:rPr>
          <w:rFonts w:ascii="Verdana" w:hAnsi="Verdana" w:eastAsia="Times New Roman" w:cs="Times New Roman"/>
          <w:sz w:val="18"/>
          <w:szCs w:val="18"/>
        </w:rPr>
        <w:t xml:space="preserve">meenemen in </w:t>
      </w:r>
      <w:r w:rsidRPr="0024713F" w:rsidR="0024713F">
        <w:rPr>
          <w:rFonts w:ascii="Verdana" w:hAnsi="Verdana" w:eastAsia="Times New Roman" w:cs="Times New Roman"/>
          <w:sz w:val="18"/>
          <w:szCs w:val="18"/>
        </w:rPr>
        <w:t xml:space="preserve">de uitwerking van </w:t>
      </w:r>
      <w:r w:rsidR="007D280C">
        <w:rPr>
          <w:rFonts w:ascii="Verdana" w:hAnsi="Verdana" w:eastAsia="Times New Roman" w:cs="Times New Roman"/>
          <w:sz w:val="18"/>
          <w:szCs w:val="18"/>
        </w:rPr>
        <w:t xml:space="preserve">het ondersteuningspunt en </w:t>
      </w:r>
      <w:r w:rsidRPr="0024713F" w:rsidR="0024713F">
        <w:rPr>
          <w:rFonts w:ascii="Verdana" w:hAnsi="Verdana" w:eastAsia="Times New Roman" w:cs="Times New Roman"/>
          <w:sz w:val="18"/>
          <w:szCs w:val="18"/>
        </w:rPr>
        <w:t xml:space="preserve">de verplichtingen in </w:t>
      </w:r>
      <w:r w:rsidRPr="007D280C">
        <w:rPr>
          <w:rFonts w:ascii="Verdana" w:hAnsi="Verdana" w:eastAsia="Times New Roman" w:cs="Times New Roman"/>
          <w:sz w:val="18"/>
          <w:szCs w:val="18"/>
        </w:rPr>
        <w:t>lagere regelgeving. Meer informatie over de reacties en de inhoudelijke beantwoording is te vinden in het consultatieverslag.</w:t>
      </w:r>
    </w:p>
    <w:p w:rsidRPr="007D280C" w:rsidR="006928E4" w:rsidP="00643E93" w:rsidRDefault="006928E4" w14:paraId="468F3995" w14:textId="77777777">
      <w:pPr>
        <w:spacing w:after="0" w:line="276" w:lineRule="auto"/>
        <w:rPr>
          <w:rFonts w:ascii="Verdana" w:hAnsi="Verdana" w:eastAsia="Times New Roman" w:cs="Times New Roman"/>
          <w:sz w:val="18"/>
          <w:szCs w:val="18"/>
        </w:rPr>
      </w:pPr>
    </w:p>
    <w:p w:rsidRPr="00E43A50" w:rsidR="004F0533" w:rsidP="00643E93" w:rsidRDefault="004F0533" w14:paraId="6B1143A1" w14:textId="3861864C">
      <w:pPr>
        <w:pStyle w:val="Kop4"/>
        <w:numPr>
          <w:ilvl w:val="1"/>
          <w:numId w:val="24"/>
        </w:numPr>
        <w:spacing w:line="276" w:lineRule="auto"/>
      </w:pPr>
      <w:bookmarkStart w:name="_Toc195040778" w:id="64"/>
      <w:r w:rsidRPr="00E43A50">
        <w:t>Notificatie Europese Commissie</w:t>
      </w:r>
      <w:bookmarkEnd w:id="64"/>
    </w:p>
    <w:p w:rsidRPr="005B4CB1" w:rsidR="004F0533" w:rsidP="00643E93" w:rsidRDefault="004F0533" w14:paraId="105C60D7" w14:textId="77777777">
      <w:pPr>
        <w:spacing w:after="0" w:line="276" w:lineRule="auto"/>
        <w:rPr>
          <w:rFonts w:ascii="Verdana" w:hAnsi="Verdana" w:eastAsia="Times New Roman" w:cs="Times New Roman"/>
          <w:b/>
          <w:bCs/>
          <w:sz w:val="21"/>
          <w:szCs w:val="21"/>
        </w:rPr>
      </w:pPr>
    </w:p>
    <w:p w:rsidRPr="00E43A50" w:rsidR="004F0533" w:rsidP="00643E93" w:rsidRDefault="004F0533" w14:paraId="42FBDA91" w14:textId="70348370">
      <w:pPr>
        <w:spacing w:after="0" w:line="276" w:lineRule="auto"/>
        <w:rPr>
          <w:rFonts w:ascii="Verdana" w:hAnsi="Verdana" w:eastAsia="Times New Roman" w:cs="Times New Roman"/>
          <w:sz w:val="18"/>
          <w:szCs w:val="18"/>
        </w:rPr>
      </w:pPr>
      <w:r w:rsidRPr="00E43A50">
        <w:rPr>
          <w:rFonts w:ascii="Verdana" w:hAnsi="Verdana" w:eastAsia="Times New Roman" w:cs="Times New Roman"/>
          <w:sz w:val="18"/>
          <w:szCs w:val="18"/>
        </w:rPr>
        <w:t xml:space="preserve">Dit </w:t>
      </w:r>
      <w:r w:rsidRPr="00E43A50" w:rsidR="000E650E">
        <w:rPr>
          <w:rFonts w:ascii="Verdana" w:hAnsi="Verdana" w:eastAsia="Times New Roman" w:cs="Times New Roman"/>
          <w:sz w:val="18"/>
          <w:szCs w:val="18"/>
        </w:rPr>
        <w:t>wetsvoorstel</w:t>
      </w:r>
      <w:r w:rsidRPr="00E43A50" w:rsidDel="00EC3A2D" w:rsidR="000E650E">
        <w:rPr>
          <w:rFonts w:ascii="Verdana" w:hAnsi="Verdana" w:eastAsia="Times New Roman" w:cs="Times New Roman"/>
          <w:sz w:val="18"/>
          <w:szCs w:val="18"/>
        </w:rPr>
        <w:t xml:space="preserve"> </w:t>
      </w:r>
      <w:r w:rsidRPr="00E43A50">
        <w:rPr>
          <w:rFonts w:ascii="Verdana" w:hAnsi="Verdana" w:eastAsia="Times New Roman" w:cs="Times New Roman"/>
          <w:sz w:val="18"/>
          <w:szCs w:val="18"/>
        </w:rPr>
        <w:t xml:space="preserve">wordt genotificeerd bij de Europese Commissie op het moment dat het voor advies bij de Raad van State voorligt. </w:t>
      </w:r>
    </w:p>
    <w:p w:rsidRPr="005B4CB1" w:rsidR="004F0533" w:rsidP="00643E93" w:rsidRDefault="004F0533" w14:paraId="52FCCAEF" w14:textId="77777777">
      <w:pPr>
        <w:spacing w:after="0" w:line="276" w:lineRule="auto"/>
        <w:rPr>
          <w:rFonts w:ascii="Verdana" w:hAnsi="Verdana" w:eastAsia="Times New Roman" w:cs="Times New Roman"/>
          <w:sz w:val="21"/>
          <w:szCs w:val="21"/>
        </w:rPr>
      </w:pPr>
    </w:p>
    <w:p w:rsidRPr="005B4CB1" w:rsidR="007D280C" w:rsidP="00643E93" w:rsidRDefault="007D280C" w14:paraId="74E4C3AD" w14:textId="77777777">
      <w:pPr>
        <w:spacing w:after="0" w:line="276" w:lineRule="auto"/>
        <w:rPr>
          <w:rFonts w:ascii="Verdana" w:hAnsi="Verdana" w:eastAsia="Times New Roman" w:cs="Times New Roman"/>
          <w:sz w:val="21"/>
          <w:szCs w:val="21"/>
        </w:rPr>
      </w:pPr>
    </w:p>
    <w:p w:rsidRPr="00E43A50" w:rsidR="004F0533" w:rsidP="00643E93" w:rsidRDefault="004F0533" w14:paraId="47021FFF" w14:textId="77777777">
      <w:pPr>
        <w:pStyle w:val="Kop3"/>
        <w:spacing w:line="276" w:lineRule="auto"/>
      </w:pPr>
      <w:r w:rsidRPr="00E43A50">
        <w:t>Overgangsrecht en inwerkingtreding</w:t>
      </w:r>
    </w:p>
    <w:p w:rsidR="00ED3273" w:rsidP="00643E93" w:rsidRDefault="004F0533" w14:paraId="0D21806B" w14:textId="7CBFDED2">
      <w:pPr>
        <w:spacing w:after="0" w:line="276" w:lineRule="auto"/>
        <w:rPr>
          <w:rFonts w:ascii="Verdana" w:hAnsi="Verdana" w:eastAsia="Times New Roman" w:cs="Calibri"/>
          <w:color w:val="000000"/>
          <w:sz w:val="18"/>
          <w:szCs w:val="18"/>
          <w:lang w:eastAsia="nl-NL"/>
        </w:rPr>
      </w:pPr>
      <w:r w:rsidRPr="00E43A50">
        <w:rPr>
          <w:rFonts w:ascii="Verdana" w:hAnsi="Verdana" w:eastAsia="Times New Roman" w:cs="Calibri"/>
          <w:color w:val="000000"/>
          <w:sz w:val="18"/>
          <w:szCs w:val="18"/>
          <w:lang w:eastAsia="nl-NL"/>
        </w:rPr>
        <w:t>De inwerkingtreding van de bepalingen uit dit voorstel</w:t>
      </w:r>
      <w:r w:rsidRPr="00E43A50" w:rsidDel="003A714F">
        <w:rPr>
          <w:rFonts w:ascii="Verdana" w:hAnsi="Verdana" w:eastAsia="Times New Roman" w:cs="Calibri"/>
          <w:color w:val="000000"/>
          <w:sz w:val="18"/>
          <w:szCs w:val="18"/>
          <w:lang w:eastAsia="nl-NL"/>
        </w:rPr>
        <w:t xml:space="preserve"> </w:t>
      </w:r>
      <w:r w:rsidRPr="00E43A50">
        <w:rPr>
          <w:rFonts w:ascii="Verdana" w:hAnsi="Verdana" w:eastAsia="Times New Roman" w:cs="Calibri"/>
          <w:color w:val="000000"/>
          <w:sz w:val="18"/>
          <w:szCs w:val="18"/>
          <w:lang w:eastAsia="nl-NL"/>
        </w:rPr>
        <w:t xml:space="preserve">– samen met de bepalingen uit de nog voor te leggen bijbehorende </w:t>
      </w:r>
      <w:r w:rsidRPr="00E43A50" w:rsidR="00931236">
        <w:rPr>
          <w:rFonts w:ascii="Verdana" w:hAnsi="Verdana" w:eastAsia="Times New Roman" w:cs="Calibri"/>
          <w:color w:val="000000"/>
          <w:sz w:val="18"/>
          <w:szCs w:val="18"/>
          <w:lang w:eastAsia="nl-NL"/>
        </w:rPr>
        <w:t>amvb</w:t>
      </w:r>
      <w:r w:rsidRPr="00E43A50">
        <w:rPr>
          <w:rFonts w:ascii="Verdana" w:hAnsi="Verdana" w:eastAsia="Times New Roman" w:cs="Calibri"/>
          <w:color w:val="000000"/>
          <w:sz w:val="18"/>
          <w:szCs w:val="18"/>
          <w:lang w:eastAsia="nl-NL"/>
        </w:rPr>
        <w:t xml:space="preserve"> en de ministeriële regeling – </w:t>
      </w:r>
      <w:r w:rsidRPr="00E43A50" w:rsidR="00743A10">
        <w:rPr>
          <w:rFonts w:ascii="Verdana" w:hAnsi="Verdana" w:eastAsia="Times New Roman" w:cs="Calibri"/>
          <w:color w:val="000000"/>
          <w:sz w:val="18"/>
          <w:szCs w:val="18"/>
          <w:lang w:eastAsia="nl-NL"/>
        </w:rPr>
        <w:t xml:space="preserve">zal plaatsvinden bij </w:t>
      </w:r>
      <w:r w:rsidR="009653C2">
        <w:rPr>
          <w:rFonts w:ascii="Verdana" w:hAnsi="Verdana" w:eastAsia="Times New Roman" w:cs="Calibri"/>
          <w:color w:val="000000"/>
          <w:sz w:val="18"/>
          <w:szCs w:val="18"/>
          <w:lang w:eastAsia="nl-NL"/>
        </w:rPr>
        <w:t>k</w:t>
      </w:r>
      <w:r w:rsidRPr="00E43A50" w:rsidR="00743A10">
        <w:rPr>
          <w:rFonts w:ascii="Verdana" w:hAnsi="Verdana" w:eastAsia="Times New Roman" w:cs="Calibri"/>
          <w:color w:val="000000"/>
          <w:sz w:val="18"/>
          <w:szCs w:val="18"/>
          <w:lang w:eastAsia="nl-NL"/>
        </w:rPr>
        <w:t>oninklijk besluit</w:t>
      </w:r>
      <w:r w:rsidRPr="00E43A50">
        <w:rPr>
          <w:rFonts w:ascii="Verdana" w:hAnsi="Verdana" w:eastAsia="Times New Roman" w:cs="Calibri"/>
          <w:color w:val="000000"/>
          <w:sz w:val="18"/>
          <w:szCs w:val="18"/>
          <w:lang w:eastAsia="nl-NL"/>
        </w:rPr>
        <w:t>. Dit biedt voldoende tijd voor de betrokken partijen, zoals aanbestedende diensten</w:t>
      </w:r>
      <w:r w:rsidR="00095617">
        <w:rPr>
          <w:rFonts w:ascii="Verdana" w:hAnsi="Verdana" w:eastAsia="Times New Roman" w:cs="Calibri"/>
          <w:color w:val="000000"/>
          <w:sz w:val="18"/>
          <w:szCs w:val="18"/>
          <w:lang w:eastAsia="nl-NL"/>
        </w:rPr>
        <w:t xml:space="preserve">, </w:t>
      </w:r>
      <w:r w:rsidR="00095617">
        <w:rPr>
          <w:rFonts w:ascii="Verdana" w:hAnsi="Verdana" w:eastAsia="Times New Roman" w:cs="Times New Roman"/>
          <w:sz w:val="18"/>
          <w:szCs w:val="18"/>
          <w:lang w:eastAsia="nl-NL"/>
        </w:rPr>
        <w:t>speciale-sectorbedrijven</w:t>
      </w:r>
      <w:r w:rsidRPr="00E43A50">
        <w:rPr>
          <w:rFonts w:ascii="Verdana" w:hAnsi="Verdana" w:eastAsia="Times New Roman" w:cs="Calibri"/>
          <w:color w:val="000000"/>
          <w:sz w:val="18"/>
          <w:szCs w:val="18"/>
          <w:lang w:eastAsia="nl-NL"/>
        </w:rPr>
        <w:t xml:space="preserve"> en marktdeelnemers om zich voor te bereiden op de nieuwe regelgeving en de daaraan gekoppelde procedures. Met de oprichting van </w:t>
      </w:r>
      <w:r w:rsidRPr="00E43A50" w:rsidR="00743A10">
        <w:rPr>
          <w:rFonts w:ascii="Verdana" w:hAnsi="Verdana" w:eastAsia="Times New Roman" w:cs="Calibri"/>
          <w:color w:val="000000"/>
          <w:sz w:val="18"/>
          <w:szCs w:val="18"/>
          <w:lang w:eastAsia="nl-NL"/>
        </w:rPr>
        <w:t>het in ondersteuningspunt zoals in hoofdstuk twee toegelicht als flankerend beleid</w:t>
      </w:r>
      <w:r w:rsidR="00904ED0">
        <w:rPr>
          <w:rFonts w:ascii="Verdana" w:hAnsi="Verdana" w:eastAsia="Times New Roman" w:cs="Calibri"/>
          <w:color w:val="000000"/>
          <w:sz w:val="18"/>
          <w:szCs w:val="18"/>
          <w:lang w:eastAsia="nl-NL"/>
        </w:rPr>
        <w:t xml:space="preserve"> </w:t>
      </w:r>
      <w:r w:rsidRPr="00E43A50">
        <w:rPr>
          <w:rFonts w:ascii="Verdana" w:hAnsi="Verdana" w:eastAsia="Times New Roman" w:cs="Calibri"/>
          <w:color w:val="000000"/>
          <w:sz w:val="18"/>
          <w:szCs w:val="18"/>
          <w:lang w:eastAsia="nl-NL"/>
        </w:rPr>
        <w:t>worden alle betrokkenen adequaat geïnformeerd en ondersteund bij over de nieuwe regels en hun rechten en verplichtingen.</w:t>
      </w:r>
      <w:r w:rsidR="00FA3E80">
        <w:rPr>
          <w:rFonts w:ascii="Verdana" w:hAnsi="Verdana"/>
        </w:rPr>
        <w:t xml:space="preserve"> </w:t>
      </w:r>
      <w:r w:rsidRPr="00E43A50">
        <w:rPr>
          <w:rFonts w:ascii="Verdana" w:hAnsi="Verdana" w:eastAsia="Times New Roman" w:cs="Calibri"/>
          <w:color w:val="000000"/>
          <w:sz w:val="18"/>
          <w:szCs w:val="18"/>
          <w:lang w:eastAsia="nl-NL"/>
        </w:rPr>
        <w:t>Het in</w:t>
      </w:r>
      <w:r w:rsidR="009653C2">
        <w:rPr>
          <w:rFonts w:ascii="Verdana" w:hAnsi="Verdana" w:eastAsia="Times New Roman" w:cs="Calibri"/>
          <w:color w:val="000000"/>
          <w:sz w:val="18"/>
          <w:szCs w:val="18"/>
          <w:lang w:eastAsia="nl-NL"/>
        </w:rPr>
        <w:t xml:space="preserve"> </w:t>
      </w:r>
      <w:r w:rsidRPr="00E43A50">
        <w:rPr>
          <w:rFonts w:ascii="Verdana" w:hAnsi="Verdana" w:eastAsia="Times New Roman" w:cs="Calibri"/>
          <w:color w:val="000000"/>
          <w:sz w:val="18"/>
          <w:szCs w:val="18"/>
          <w:lang w:eastAsia="nl-NL"/>
        </w:rPr>
        <w:t>werking</w:t>
      </w:r>
      <w:r w:rsidR="009653C2">
        <w:rPr>
          <w:rFonts w:ascii="Verdana" w:hAnsi="Verdana" w:eastAsia="Times New Roman" w:cs="Calibri"/>
          <w:color w:val="000000"/>
          <w:sz w:val="18"/>
          <w:szCs w:val="18"/>
          <w:lang w:eastAsia="nl-NL"/>
        </w:rPr>
        <w:t xml:space="preserve"> </w:t>
      </w:r>
      <w:r w:rsidRPr="00E43A50">
        <w:rPr>
          <w:rFonts w:ascii="Verdana" w:hAnsi="Verdana" w:eastAsia="Times New Roman" w:cs="Calibri"/>
          <w:color w:val="000000"/>
          <w:sz w:val="18"/>
          <w:szCs w:val="18"/>
          <w:lang w:eastAsia="nl-NL"/>
        </w:rPr>
        <w:t xml:space="preserve">treden van de wet </w:t>
      </w:r>
      <w:r w:rsidRPr="00E43A50" w:rsidR="001A2A9A">
        <w:rPr>
          <w:rFonts w:ascii="Verdana" w:hAnsi="Verdana" w:eastAsia="Times New Roman" w:cs="Calibri"/>
          <w:color w:val="000000"/>
          <w:sz w:val="18"/>
          <w:szCs w:val="18"/>
          <w:lang w:eastAsia="nl-NL"/>
        </w:rPr>
        <w:t>wordt</w:t>
      </w:r>
      <w:r w:rsidRPr="00E43A50">
        <w:rPr>
          <w:rFonts w:ascii="Verdana" w:hAnsi="Verdana" w:eastAsia="Times New Roman" w:cs="Calibri"/>
          <w:color w:val="000000"/>
          <w:sz w:val="18"/>
          <w:szCs w:val="18"/>
          <w:lang w:eastAsia="nl-NL"/>
        </w:rPr>
        <w:t xml:space="preserve"> dus zorgvuldig gepland om ervoor te zorgen dat alle partijen in staat zijn om zich tijdig aan te passen aan de nieuwe juridische en administratieve vereisten, zonder dat dit leidt tot onnodige onderbrekingen in aanbestedingsprocessen of andere negatieve effecten.</w:t>
      </w:r>
      <w:r w:rsidRPr="005B4CB1" w:rsidR="00CB4D67">
        <w:rPr>
          <w:rFonts w:ascii="Verdana" w:hAnsi="Verdana" w:cs="Segoe UI"/>
          <w:sz w:val="18"/>
          <w:szCs w:val="18"/>
        </w:rPr>
        <w:t xml:space="preserve"> </w:t>
      </w:r>
      <w:r w:rsidRPr="00E43A50" w:rsidR="00CB4D67">
        <w:rPr>
          <w:rFonts w:ascii="Verdana" w:hAnsi="Verdana" w:eastAsia="Times New Roman" w:cs="Calibri"/>
          <w:color w:val="000000"/>
          <w:sz w:val="18"/>
          <w:szCs w:val="18"/>
          <w:lang w:eastAsia="nl-NL"/>
        </w:rPr>
        <w:t>De eisen zijn alleen van toepassing op nieuwe aanbestedingen vanaf het moment van inwerkingtreding.</w:t>
      </w:r>
    </w:p>
    <w:p w:rsidR="000F4C42" w:rsidP="00643E93" w:rsidRDefault="000F4C42" w14:paraId="3E97C2C9" w14:textId="77777777">
      <w:pPr>
        <w:spacing w:after="0" w:line="276" w:lineRule="auto"/>
        <w:rPr>
          <w:rFonts w:ascii="Verdana" w:hAnsi="Verdana" w:eastAsia="Times New Roman" w:cs="Calibri"/>
          <w:color w:val="000000"/>
          <w:sz w:val="18"/>
          <w:szCs w:val="18"/>
          <w:lang w:eastAsia="nl-NL"/>
        </w:rPr>
      </w:pPr>
    </w:p>
    <w:p w:rsidR="000F4C42" w:rsidP="00643E93" w:rsidRDefault="000F4C42" w14:paraId="750DEAD3" w14:textId="77777777">
      <w:pPr>
        <w:spacing w:after="0" w:line="276" w:lineRule="auto"/>
        <w:rPr>
          <w:rFonts w:ascii="Verdana" w:hAnsi="Verdana" w:eastAsia="Times New Roman" w:cs="Calibri"/>
          <w:color w:val="000000"/>
          <w:sz w:val="18"/>
          <w:szCs w:val="18"/>
          <w:lang w:eastAsia="nl-NL"/>
        </w:rPr>
      </w:pPr>
    </w:p>
    <w:p w:rsidRPr="00E43A50" w:rsidR="006A0BF6" w:rsidP="00643E93" w:rsidRDefault="006A0BF6" w14:paraId="7DD8F504" w14:textId="20F1F3DC">
      <w:pPr>
        <w:pStyle w:val="Kop2"/>
        <w:numPr>
          <w:ilvl w:val="0"/>
          <w:numId w:val="25"/>
        </w:numPr>
        <w:spacing w:line="276" w:lineRule="auto"/>
      </w:pPr>
      <w:r w:rsidRPr="00E43A50">
        <w:t>Artikelsgewij</w:t>
      </w:r>
      <w:r w:rsidRPr="00E43A50" w:rsidR="00AF3AD6">
        <w:t>ze toelichting</w:t>
      </w:r>
    </w:p>
    <w:p w:rsidRPr="005B4CB1" w:rsidR="00717107" w:rsidP="00643E93" w:rsidRDefault="00717107" w14:paraId="6DBA58EA" w14:textId="77777777">
      <w:pPr>
        <w:pStyle w:val="Lijstalinea"/>
        <w:spacing w:line="276" w:lineRule="auto"/>
        <w:rPr>
          <w:rFonts w:ascii="Verdana" w:hAnsi="Verdana"/>
        </w:rPr>
      </w:pPr>
    </w:p>
    <w:p w:rsidRPr="00D944A9" w:rsidR="00BD2BA8" w:rsidP="00643E93" w:rsidRDefault="00BD2BA8" w14:paraId="01B13945" w14:textId="54150D7B">
      <w:pPr>
        <w:spacing w:line="276" w:lineRule="auto"/>
        <w:rPr>
          <w:rFonts w:ascii="Verdana" w:hAnsi="Verdana" w:eastAsia="DejaVu Sans" w:cs="Lohit Hindi"/>
          <w:i/>
          <w:color w:val="000000" w:themeColor="text1"/>
          <w:sz w:val="18"/>
          <w:szCs w:val="18"/>
          <w:lang w:eastAsia="nl-NL"/>
        </w:rPr>
      </w:pPr>
      <w:r>
        <w:rPr>
          <w:rFonts w:ascii="Verdana" w:hAnsi="Verdana" w:eastAsia="DejaVu Sans" w:cs="Lohit Hindi"/>
          <w:i/>
          <w:iCs/>
          <w:color w:val="000000" w:themeColor="text1"/>
          <w:sz w:val="18"/>
          <w:szCs w:val="18"/>
          <w:lang w:eastAsia="nl-NL"/>
        </w:rPr>
        <w:t>Artikel I, onderdeel A</w:t>
      </w:r>
    </w:p>
    <w:p w:rsidRPr="004B7596" w:rsidR="00BD2BA8" w:rsidP="00643E93" w:rsidRDefault="00BD2BA8" w14:paraId="54233FF9" w14:textId="40C94161">
      <w:pPr>
        <w:spacing w:line="276" w:lineRule="auto"/>
        <w:rPr>
          <w:rFonts w:ascii="Verdana" w:hAnsi="Verdana" w:eastAsia="DejaVu Sans" w:cs="Lohit Hindi"/>
          <w:color w:val="000000" w:themeColor="text1"/>
          <w:sz w:val="18"/>
          <w:szCs w:val="18"/>
          <w:lang w:eastAsia="nl-NL"/>
        </w:rPr>
      </w:pPr>
      <w:r>
        <w:rPr>
          <w:rFonts w:ascii="Verdana" w:hAnsi="Verdana" w:eastAsia="DejaVu Sans" w:cs="Lohit Hindi"/>
          <w:color w:val="000000" w:themeColor="text1"/>
          <w:sz w:val="18"/>
          <w:szCs w:val="18"/>
          <w:lang w:eastAsia="nl-NL"/>
        </w:rPr>
        <w:t xml:space="preserve">Aan artikel 1.1 van de Wet milieubeheer worden begripsbepalingen toegevoegd die in de voorgestelde artikelen 9.6.2 en 9.6.3 van de Wm terugkomen. Omdat deze begripsbepalingen aansluiten bij de gelijknamige bepalingen uit de Aanbestedingswet 2012, wordt in deze bepaling verwezen naar </w:t>
      </w:r>
      <w:r w:rsidR="0091256B">
        <w:rPr>
          <w:rFonts w:ascii="Verdana" w:hAnsi="Verdana" w:eastAsia="DejaVu Sans" w:cs="Lohit Hindi"/>
          <w:color w:val="000000" w:themeColor="text1"/>
          <w:sz w:val="18"/>
          <w:szCs w:val="18"/>
          <w:lang w:eastAsia="nl-NL"/>
        </w:rPr>
        <w:t>artikel 1.1 van</w:t>
      </w:r>
      <w:r>
        <w:rPr>
          <w:rFonts w:ascii="Verdana" w:hAnsi="Verdana" w:eastAsia="DejaVu Sans" w:cs="Lohit Hindi"/>
          <w:color w:val="000000" w:themeColor="text1"/>
          <w:sz w:val="18"/>
          <w:szCs w:val="18"/>
          <w:lang w:eastAsia="nl-NL"/>
        </w:rPr>
        <w:t xml:space="preserve"> de Aanbestedingswet 2012.</w:t>
      </w:r>
    </w:p>
    <w:p w:rsidRPr="00D944A9" w:rsidR="008F1C9C" w:rsidP="00643E93" w:rsidRDefault="008F1C9C" w14:paraId="2E56B21B" w14:textId="01B46C73">
      <w:pPr>
        <w:spacing w:line="276" w:lineRule="auto"/>
        <w:rPr>
          <w:rFonts w:ascii="Verdana" w:hAnsi="Verdana" w:eastAsia="DejaVu Sans" w:cs="Lohit Hindi"/>
          <w:i/>
          <w:color w:val="000000" w:themeColor="text1"/>
          <w:sz w:val="18"/>
          <w:szCs w:val="18"/>
          <w:lang w:eastAsia="nl-NL"/>
        </w:rPr>
      </w:pPr>
      <w:r>
        <w:rPr>
          <w:rFonts w:ascii="Verdana" w:hAnsi="Verdana" w:eastAsia="DejaVu Sans" w:cs="Lohit Hindi"/>
          <w:i/>
          <w:iCs/>
          <w:color w:val="000000" w:themeColor="text1"/>
          <w:sz w:val="18"/>
          <w:szCs w:val="18"/>
          <w:lang w:eastAsia="nl-NL"/>
        </w:rPr>
        <w:t>Artikel I, onderdeel B</w:t>
      </w:r>
    </w:p>
    <w:p w:rsidRPr="00D944A9" w:rsidR="008F1C9C" w:rsidP="00643E93" w:rsidRDefault="008F1C9C" w14:paraId="11C68D4A" w14:textId="4C3A34DF">
      <w:pPr>
        <w:spacing w:line="276" w:lineRule="auto"/>
        <w:rPr>
          <w:rFonts w:ascii="Verdana" w:hAnsi="Verdana" w:eastAsia="DejaVu Sans" w:cs="Lohit Hindi"/>
          <w:i/>
          <w:color w:val="000000" w:themeColor="text1"/>
          <w:sz w:val="18"/>
          <w:szCs w:val="18"/>
          <w:lang w:eastAsia="nl-NL"/>
        </w:rPr>
      </w:pPr>
      <w:r w:rsidRPr="00E43A50">
        <w:rPr>
          <w:rFonts w:ascii="Verdana" w:hAnsi="Verdana" w:eastAsia="Times New Roman" w:cs="Times New Roman"/>
          <w:sz w:val="18"/>
          <w:szCs w:val="18"/>
        </w:rPr>
        <w:t>Na de inwerkingtreding van deze wet regelt titel 9.6 niet langer alleen de bijdrage die de vervoerssector levert aan milieu-, klimaat- en energiebeleid door de inkoop van schone wegvoertuigen door aanbestedende diensten. Op grond van dit wetsvoorstel</w:t>
      </w:r>
      <w:r w:rsidRPr="00E43A50" w:rsidDel="00EC3A2D">
        <w:rPr>
          <w:rFonts w:ascii="Verdana" w:hAnsi="Verdana" w:eastAsia="Times New Roman" w:cs="Times New Roman"/>
          <w:sz w:val="18"/>
          <w:szCs w:val="18"/>
        </w:rPr>
        <w:t xml:space="preserve"> </w:t>
      </w:r>
      <w:r w:rsidRPr="00E43A50">
        <w:rPr>
          <w:rFonts w:ascii="Verdana" w:hAnsi="Verdana" w:eastAsia="Times New Roman" w:cs="Times New Roman"/>
          <w:sz w:val="18"/>
          <w:szCs w:val="18"/>
        </w:rPr>
        <w:t>is het ook mogelijk om regels te stellen over de toepassing van milieuprestatie-eisen bij de inkoop van GWW-werken door aanbestedende diensten. Nu zowel het bestaande artikel 9.6.1 als dit wetsvoorstel</w:t>
      </w:r>
      <w:r w:rsidRPr="00E43A50" w:rsidDel="00EC3A2D">
        <w:rPr>
          <w:rFonts w:ascii="Verdana" w:hAnsi="Verdana" w:eastAsia="Times New Roman" w:cs="Times New Roman"/>
          <w:sz w:val="18"/>
          <w:szCs w:val="18"/>
        </w:rPr>
        <w:t xml:space="preserve"> </w:t>
      </w:r>
      <w:r w:rsidRPr="00E43A50">
        <w:rPr>
          <w:rFonts w:ascii="Verdana" w:hAnsi="Verdana" w:eastAsia="Times New Roman" w:cs="Times New Roman"/>
          <w:sz w:val="18"/>
          <w:szCs w:val="18"/>
        </w:rPr>
        <w:t>betrekking he</w:t>
      </w:r>
      <w:r w:rsidR="000F4C42">
        <w:rPr>
          <w:rFonts w:ascii="Verdana" w:hAnsi="Verdana" w:eastAsia="Times New Roman" w:cs="Times New Roman"/>
          <w:sz w:val="18"/>
          <w:szCs w:val="18"/>
        </w:rPr>
        <w:t>eft</w:t>
      </w:r>
      <w:r w:rsidRPr="00E43A50">
        <w:rPr>
          <w:rFonts w:ascii="Verdana" w:hAnsi="Verdana" w:eastAsia="Times New Roman" w:cs="Times New Roman"/>
          <w:sz w:val="18"/>
          <w:szCs w:val="18"/>
        </w:rPr>
        <w:t xml:space="preserve"> op aanbestedende diensten</w:t>
      </w:r>
      <w:r w:rsidR="003270FC">
        <w:rPr>
          <w:rFonts w:ascii="Verdana" w:hAnsi="Verdana" w:eastAsia="Times New Roman" w:cs="Times New Roman"/>
          <w:sz w:val="18"/>
          <w:szCs w:val="18"/>
        </w:rPr>
        <w:t xml:space="preserve"> en speciale-sectorbedrijven</w:t>
      </w:r>
      <w:r w:rsidRPr="00E43A50">
        <w:rPr>
          <w:rFonts w:ascii="Verdana" w:hAnsi="Verdana" w:eastAsia="Times New Roman" w:cs="Times New Roman"/>
          <w:sz w:val="18"/>
          <w:szCs w:val="18"/>
        </w:rPr>
        <w:t xml:space="preserve">, regelt titel 9.6 na de inwerkingtreding van deze wet de bijdrage van aanbestedende diensten </w:t>
      </w:r>
      <w:r w:rsidR="003270FC">
        <w:rPr>
          <w:rFonts w:ascii="Verdana" w:hAnsi="Verdana" w:eastAsia="Times New Roman" w:cs="Times New Roman"/>
          <w:sz w:val="18"/>
          <w:szCs w:val="18"/>
        </w:rPr>
        <w:t>en speciale-sectorbedrijven</w:t>
      </w:r>
      <w:r w:rsidRPr="00E43A50" w:rsidR="003270FC">
        <w:rPr>
          <w:rFonts w:ascii="Verdana" w:hAnsi="Verdana" w:eastAsia="Times New Roman" w:cs="Times New Roman"/>
          <w:sz w:val="18"/>
          <w:szCs w:val="18"/>
        </w:rPr>
        <w:t xml:space="preserve"> </w:t>
      </w:r>
      <w:r w:rsidRPr="00E43A50">
        <w:rPr>
          <w:rFonts w:ascii="Verdana" w:hAnsi="Verdana" w:eastAsia="Times New Roman" w:cs="Times New Roman"/>
          <w:sz w:val="18"/>
          <w:szCs w:val="18"/>
        </w:rPr>
        <w:t>aan milieu-, klimaat- en energiebeleid. Door de aanpassing van het opschrift, sluit het opschrift beter aan bij de aangepaste titel.</w:t>
      </w:r>
    </w:p>
    <w:p w:rsidRPr="00D944A9" w:rsidR="00FF0FF0" w:rsidP="00643E93" w:rsidRDefault="00FF0FF0" w14:paraId="0B0F965B" w14:textId="59A87328">
      <w:pPr>
        <w:spacing w:line="276" w:lineRule="auto"/>
        <w:rPr>
          <w:rFonts w:ascii="Verdana" w:hAnsi="Verdana" w:eastAsia="DejaVu Sans" w:cs="Lohit Hindi"/>
          <w:i/>
          <w:color w:val="000000" w:themeColor="text1"/>
          <w:sz w:val="18"/>
          <w:szCs w:val="18"/>
          <w:lang w:eastAsia="nl-NL"/>
        </w:rPr>
      </w:pPr>
      <w:r>
        <w:rPr>
          <w:rFonts w:ascii="Verdana" w:hAnsi="Verdana" w:eastAsia="DejaVu Sans" w:cs="Lohit Hindi"/>
          <w:i/>
          <w:iCs/>
          <w:color w:val="000000" w:themeColor="text1"/>
          <w:sz w:val="18"/>
          <w:szCs w:val="18"/>
          <w:lang w:eastAsia="nl-NL"/>
        </w:rPr>
        <w:t xml:space="preserve">Artikel I, onderdeel C </w:t>
      </w:r>
    </w:p>
    <w:p w:rsidRPr="00D944A9" w:rsidR="00FF0FF0" w:rsidP="00D944A9" w:rsidRDefault="00FF0FF0" w14:paraId="0A808212" w14:textId="62B13B1B">
      <w:pPr>
        <w:spacing w:line="276" w:lineRule="auto"/>
        <w:rPr>
          <w:rFonts w:ascii="Verdana" w:hAnsi="Verdana" w:eastAsia="DejaVu Sans" w:cs="Lohit Hindi"/>
          <w:i/>
          <w:color w:val="000000" w:themeColor="text1"/>
          <w:sz w:val="18"/>
          <w:szCs w:val="18"/>
          <w:lang w:eastAsia="nl-NL"/>
        </w:rPr>
      </w:pPr>
      <w:r w:rsidRPr="00042C20">
        <w:rPr>
          <w:rFonts w:ascii="Verdana" w:hAnsi="Verdana" w:eastAsia="DejaVu Sans" w:cs="Lohit Hindi"/>
          <w:i/>
          <w:color w:val="000000" w:themeColor="text1"/>
          <w:sz w:val="18"/>
          <w:szCs w:val="18"/>
          <w:lang w:eastAsia="nl-NL"/>
        </w:rPr>
        <w:t>artikel 9.6.2</w:t>
      </w:r>
    </w:p>
    <w:p w:rsidR="00FF0FF0" w:rsidP="00643E93" w:rsidRDefault="00FF0FF0" w14:paraId="7007DC66" w14:textId="6E3BE301">
      <w:pPr>
        <w:spacing w:line="276" w:lineRule="auto"/>
        <w:rPr>
          <w:rFonts w:ascii="Verdana" w:hAnsi="Verdana" w:eastAsia="DejaVu Sans" w:cs="Lohit Hindi"/>
          <w:color w:val="000000" w:themeColor="text1"/>
          <w:sz w:val="18"/>
          <w:szCs w:val="18"/>
          <w:lang w:eastAsia="nl-NL"/>
        </w:rPr>
      </w:pPr>
      <w:r>
        <w:rPr>
          <w:rFonts w:ascii="Verdana" w:hAnsi="Verdana" w:eastAsia="DejaVu Sans" w:cs="Lohit Hindi"/>
          <w:color w:val="000000" w:themeColor="text1"/>
          <w:sz w:val="18"/>
          <w:szCs w:val="18"/>
          <w:lang w:eastAsia="nl-NL"/>
        </w:rPr>
        <w:t xml:space="preserve">In artikel 9.6.2 wordt de grondslag voorgesteld voor het vaststellen van milieuprestatie-eisen voor materialen en producten die in GWW-werken worden toegepast. Zoals in het algemene deel is toegelicht, gaat het om milieuprestatie-eisen voor de meest impactvolle materialen en producten in de GWW. Deze materialen en producten worden in een amvb aangewezen. Ook kunnen aanvullende voorwaarden worden gesteld waaraan milieuprestatie-eisen voor specifieke materialen en producten moeten voldoen. </w:t>
      </w:r>
      <w:r>
        <w:rPr>
          <w:rFonts w:ascii="Verdana" w:hAnsi="Verdana" w:eastAsia="DejaVu Sans" w:cs="Lohit Hindi"/>
          <w:color w:val="000000" w:themeColor="text1"/>
          <w:sz w:val="18"/>
          <w:szCs w:val="18"/>
          <w:lang w:eastAsia="nl-NL"/>
        </w:rPr>
        <w:lastRenderedPageBreak/>
        <w:t xml:space="preserve">Deze regelgeving biedt daarmee aan aanbestedende diensten en het bedrijfsleven duidelijkheid over de milieuprestatie-eisen die van toepassing zijn op een materiaal of product. </w:t>
      </w:r>
    </w:p>
    <w:p w:rsidR="008F6F70" w:rsidP="00643E93" w:rsidRDefault="00FF0FF0" w14:paraId="09751CE4" w14:textId="3BE98C8D">
      <w:pPr>
        <w:spacing w:line="276" w:lineRule="auto"/>
        <w:rPr>
          <w:rFonts w:ascii="Verdana" w:hAnsi="Verdana" w:eastAsia="DejaVu Sans" w:cs="Lohit Hindi"/>
          <w:color w:val="000000" w:themeColor="text1"/>
          <w:sz w:val="18"/>
          <w:szCs w:val="18"/>
          <w:lang w:eastAsia="nl-NL"/>
        </w:rPr>
      </w:pPr>
      <w:r>
        <w:rPr>
          <w:rFonts w:ascii="Verdana" w:hAnsi="Verdana" w:eastAsia="DejaVu Sans" w:cs="Lohit Hindi"/>
          <w:color w:val="000000" w:themeColor="text1"/>
          <w:sz w:val="18"/>
          <w:szCs w:val="18"/>
          <w:lang w:eastAsia="nl-NL"/>
        </w:rPr>
        <w:t xml:space="preserve">Daarnaast biedt de voorgestelde bepaling de grondslag voor het beschrijven van </w:t>
      </w:r>
      <w:r w:rsidR="0046318B">
        <w:rPr>
          <w:rFonts w:ascii="Verdana" w:hAnsi="Verdana" w:eastAsia="DejaVu Sans" w:cs="Lohit Hindi"/>
          <w:color w:val="000000" w:themeColor="text1"/>
          <w:sz w:val="18"/>
          <w:szCs w:val="18"/>
          <w:lang w:eastAsia="nl-NL"/>
        </w:rPr>
        <w:t xml:space="preserve">nadere criteria </w:t>
      </w:r>
      <w:r>
        <w:rPr>
          <w:rFonts w:ascii="Verdana" w:hAnsi="Verdana" w:eastAsia="DejaVu Sans" w:cs="Lohit Hindi"/>
          <w:color w:val="000000" w:themeColor="text1"/>
          <w:sz w:val="18"/>
          <w:szCs w:val="18"/>
          <w:lang w:eastAsia="nl-NL"/>
        </w:rPr>
        <w:t>die bij een aanbestedende dienst of speciale-sectorbedrijf moet</w:t>
      </w:r>
      <w:r w:rsidR="00927FF7">
        <w:rPr>
          <w:rFonts w:ascii="Verdana" w:hAnsi="Verdana" w:eastAsia="DejaVu Sans" w:cs="Lohit Hindi"/>
          <w:color w:val="000000" w:themeColor="text1"/>
          <w:sz w:val="18"/>
          <w:szCs w:val="18"/>
          <w:lang w:eastAsia="nl-NL"/>
        </w:rPr>
        <w:t>en</w:t>
      </w:r>
      <w:r>
        <w:rPr>
          <w:rFonts w:ascii="Verdana" w:hAnsi="Verdana" w:eastAsia="DejaVu Sans" w:cs="Lohit Hindi"/>
          <w:color w:val="000000" w:themeColor="text1"/>
          <w:sz w:val="18"/>
          <w:szCs w:val="18"/>
          <w:lang w:eastAsia="nl-NL"/>
        </w:rPr>
        <w:t xml:space="preserve"> worden meegenomen bij</w:t>
      </w:r>
      <w:r w:rsidR="0046318B">
        <w:rPr>
          <w:rFonts w:ascii="Verdana" w:hAnsi="Verdana" w:eastAsia="DejaVu Sans" w:cs="Lohit Hindi"/>
          <w:color w:val="000000" w:themeColor="text1"/>
          <w:sz w:val="18"/>
          <w:szCs w:val="18"/>
          <w:lang w:eastAsia="nl-NL"/>
        </w:rPr>
        <w:t xml:space="preserve"> </w:t>
      </w:r>
      <w:r w:rsidR="007D280C">
        <w:rPr>
          <w:rFonts w:ascii="Verdana" w:hAnsi="Verdana" w:eastAsia="DejaVu Sans" w:cs="Lohit Hindi"/>
          <w:color w:val="000000" w:themeColor="text1"/>
          <w:sz w:val="18"/>
          <w:szCs w:val="18"/>
          <w:lang w:eastAsia="nl-NL"/>
        </w:rPr>
        <w:t>gunning op basis</w:t>
      </w:r>
      <w:r w:rsidR="0046318B">
        <w:rPr>
          <w:rFonts w:ascii="Verdana" w:hAnsi="Verdana" w:eastAsia="DejaVu Sans" w:cs="Lohit Hindi"/>
          <w:color w:val="000000" w:themeColor="text1"/>
          <w:sz w:val="18"/>
          <w:szCs w:val="18"/>
          <w:lang w:eastAsia="nl-NL"/>
        </w:rPr>
        <w:t xml:space="preserve"> van </w:t>
      </w:r>
      <w:r w:rsidDel="0046318B">
        <w:rPr>
          <w:rFonts w:ascii="Verdana" w:hAnsi="Verdana" w:eastAsia="DejaVu Sans" w:cs="Lohit Hindi"/>
          <w:color w:val="000000" w:themeColor="text1"/>
          <w:sz w:val="18"/>
          <w:szCs w:val="18"/>
          <w:lang w:eastAsia="nl-NL"/>
        </w:rPr>
        <w:t xml:space="preserve">de </w:t>
      </w:r>
      <w:r>
        <w:rPr>
          <w:rFonts w:ascii="Verdana" w:hAnsi="Verdana" w:eastAsia="DejaVu Sans" w:cs="Lohit Hindi"/>
          <w:color w:val="000000" w:themeColor="text1"/>
          <w:sz w:val="18"/>
          <w:szCs w:val="18"/>
          <w:lang w:eastAsia="nl-NL"/>
        </w:rPr>
        <w:t>beste prijs-kwaliteitsverhouding</w:t>
      </w:r>
      <w:r w:rsidR="00FB1F13">
        <w:rPr>
          <w:rFonts w:ascii="Verdana" w:hAnsi="Verdana" w:eastAsia="DejaVu Sans" w:cs="Lohit Hindi"/>
          <w:color w:val="000000" w:themeColor="text1"/>
          <w:sz w:val="18"/>
          <w:szCs w:val="18"/>
          <w:lang w:eastAsia="nl-NL"/>
        </w:rPr>
        <w:t xml:space="preserve">. </w:t>
      </w:r>
      <w:r w:rsidR="008F6F70">
        <w:rPr>
          <w:rFonts w:ascii="Verdana" w:hAnsi="Verdana" w:eastAsia="DejaVu Sans" w:cs="Lohit Hindi"/>
          <w:color w:val="000000" w:themeColor="text1"/>
          <w:sz w:val="18"/>
          <w:szCs w:val="18"/>
          <w:lang w:eastAsia="nl-NL"/>
        </w:rPr>
        <w:t xml:space="preserve">Er ontstaat dan duidelijkheid over </w:t>
      </w:r>
      <w:r w:rsidR="00FB1F13">
        <w:rPr>
          <w:rFonts w:ascii="Verdana" w:hAnsi="Verdana" w:eastAsia="DejaVu Sans" w:cs="Lohit Hindi"/>
          <w:color w:val="000000" w:themeColor="text1"/>
          <w:sz w:val="18"/>
          <w:szCs w:val="18"/>
          <w:lang w:eastAsia="nl-NL"/>
        </w:rPr>
        <w:t xml:space="preserve">de nadere criteria </w:t>
      </w:r>
      <w:r w:rsidR="008F6F70">
        <w:rPr>
          <w:rFonts w:ascii="Verdana" w:hAnsi="Verdana" w:eastAsia="DejaVu Sans" w:cs="Lohit Hindi"/>
          <w:color w:val="000000" w:themeColor="text1"/>
          <w:sz w:val="18"/>
          <w:szCs w:val="18"/>
          <w:lang w:eastAsia="nl-NL"/>
        </w:rPr>
        <w:t>die een aanbestedende dienst of speciale-sectorbedrijf moet meenemen</w:t>
      </w:r>
      <w:r w:rsidR="00FB1F13">
        <w:rPr>
          <w:rFonts w:ascii="Verdana" w:hAnsi="Verdana" w:eastAsia="DejaVu Sans" w:cs="Lohit Hindi"/>
          <w:color w:val="000000" w:themeColor="text1"/>
          <w:sz w:val="18"/>
          <w:szCs w:val="18"/>
          <w:lang w:eastAsia="nl-NL"/>
        </w:rPr>
        <w:t xml:space="preserve"> om de milieuprestatie mee te nemen in de beoordeling van de kwaliteit van de inschrijvingen</w:t>
      </w:r>
      <w:r w:rsidR="008F6F70">
        <w:rPr>
          <w:rFonts w:ascii="Verdana" w:hAnsi="Verdana" w:eastAsia="DejaVu Sans" w:cs="Lohit Hindi"/>
          <w:color w:val="000000" w:themeColor="text1"/>
          <w:sz w:val="18"/>
          <w:szCs w:val="18"/>
          <w:lang w:eastAsia="nl-NL"/>
        </w:rPr>
        <w:t xml:space="preserve">. </w:t>
      </w:r>
      <w:r w:rsidR="005E654B">
        <w:rPr>
          <w:rFonts w:ascii="Verdana" w:hAnsi="Verdana" w:eastAsia="DejaVu Sans" w:cs="Lohit Hindi"/>
          <w:color w:val="000000" w:themeColor="text1"/>
          <w:sz w:val="18"/>
          <w:szCs w:val="18"/>
          <w:lang w:eastAsia="nl-NL"/>
        </w:rPr>
        <w:t>De voorgestelde bepaling sluit aan bij artikel 2.115 Aanbestedingswet 2012 waarin regels zijn opgenomen over het vaststellen van nadere criteria bij toepassing van het gunningscriterium beste prijs-kwaliteitsverhouding.</w:t>
      </w:r>
      <w:r w:rsidR="00071942">
        <w:rPr>
          <w:rFonts w:ascii="Verdana" w:hAnsi="Verdana" w:eastAsia="DejaVu Sans" w:cs="Lohit Hindi"/>
          <w:color w:val="000000" w:themeColor="text1"/>
          <w:sz w:val="18"/>
          <w:szCs w:val="18"/>
          <w:lang w:eastAsia="nl-NL"/>
        </w:rPr>
        <w:t xml:space="preserve"> </w:t>
      </w:r>
    </w:p>
    <w:p w:rsidR="00FF0FF0" w:rsidP="00643E93" w:rsidRDefault="00FF0FF0" w14:paraId="789F2FDC" w14:textId="28B772F7">
      <w:pPr>
        <w:spacing w:line="276" w:lineRule="auto"/>
        <w:rPr>
          <w:rFonts w:ascii="Verdana" w:hAnsi="Verdana" w:eastAsia="DejaVu Sans" w:cs="Lohit Hindi"/>
          <w:color w:val="000000" w:themeColor="text1"/>
          <w:sz w:val="18"/>
          <w:szCs w:val="18"/>
          <w:lang w:eastAsia="nl-NL"/>
        </w:rPr>
      </w:pPr>
      <w:r>
        <w:rPr>
          <w:rFonts w:ascii="Verdana" w:hAnsi="Verdana" w:eastAsia="DejaVu Sans" w:cs="Lohit Hindi"/>
          <w:color w:val="000000" w:themeColor="text1"/>
          <w:sz w:val="18"/>
          <w:szCs w:val="18"/>
          <w:lang w:eastAsia="nl-NL"/>
        </w:rPr>
        <w:t xml:space="preserve">Bij amvb wordt geregeld voor welke gevallen deze </w:t>
      </w:r>
      <w:r w:rsidR="00FB1F13">
        <w:rPr>
          <w:rFonts w:ascii="Verdana" w:hAnsi="Verdana" w:eastAsia="DejaVu Sans" w:cs="Lohit Hindi"/>
          <w:color w:val="000000" w:themeColor="text1"/>
          <w:sz w:val="18"/>
          <w:szCs w:val="18"/>
          <w:lang w:eastAsia="nl-NL"/>
        </w:rPr>
        <w:t xml:space="preserve">nadere criteria </w:t>
      </w:r>
      <w:r>
        <w:rPr>
          <w:rFonts w:ascii="Verdana" w:hAnsi="Verdana" w:eastAsia="DejaVu Sans" w:cs="Lohit Hindi"/>
          <w:color w:val="000000" w:themeColor="text1"/>
          <w:sz w:val="18"/>
          <w:szCs w:val="18"/>
          <w:lang w:eastAsia="nl-NL"/>
        </w:rPr>
        <w:t>moet</w:t>
      </w:r>
      <w:r w:rsidR="00FB1F13">
        <w:rPr>
          <w:rFonts w:ascii="Verdana" w:hAnsi="Verdana" w:eastAsia="DejaVu Sans" w:cs="Lohit Hindi"/>
          <w:color w:val="000000" w:themeColor="text1"/>
          <w:sz w:val="18"/>
          <w:szCs w:val="18"/>
          <w:lang w:eastAsia="nl-NL"/>
        </w:rPr>
        <w:t>en</w:t>
      </w:r>
      <w:r>
        <w:rPr>
          <w:rFonts w:ascii="Verdana" w:hAnsi="Verdana" w:eastAsia="DejaVu Sans" w:cs="Lohit Hindi"/>
          <w:color w:val="000000" w:themeColor="text1"/>
          <w:sz w:val="18"/>
          <w:szCs w:val="18"/>
          <w:lang w:eastAsia="nl-NL"/>
        </w:rPr>
        <w:t xml:space="preserve"> worden vastgesteld. In elk geval worden geen kwaliteitseisen beschreven voor de gunning van werken die onder een </w:t>
      </w:r>
      <w:r w:rsidR="00A27C09">
        <w:rPr>
          <w:rFonts w:ascii="Verdana" w:hAnsi="Verdana" w:eastAsia="DejaVu Sans" w:cs="Lohit Hindi"/>
          <w:color w:val="000000" w:themeColor="text1"/>
          <w:sz w:val="18"/>
          <w:szCs w:val="18"/>
          <w:lang w:eastAsia="nl-NL"/>
        </w:rPr>
        <w:t>geraamde waarde</w:t>
      </w:r>
      <w:r>
        <w:rPr>
          <w:rFonts w:ascii="Verdana" w:hAnsi="Verdana" w:eastAsia="DejaVu Sans" w:cs="Lohit Hindi"/>
          <w:color w:val="000000" w:themeColor="text1"/>
          <w:sz w:val="18"/>
          <w:szCs w:val="18"/>
          <w:lang w:eastAsia="nl-NL"/>
        </w:rPr>
        <w:t xml:space="preserve"> komen.</w:t>
      </w:r>
      <w:r w:rsidR="00A27C09">
        <w:rPr>
          <w:rFonts w:ascii="Verdana" w:hAnsi="Verdana" w:eastAsia="DejaVu Sans" w:cs="Lohit Hindi"/>
          <w:color w:val="000000" w:themeColor="text1"/>
          <w:sz w:val="18"/>
          <w:szCs w:val="18"/>
          <w:lang w:eastAsia="nl-NL"/>
        </w:rPr>
        <w:t xml:space="preserve"> </w:t>
      </w:r>
      <w:r w:rsidR="00107B5D">
        <w:rPr>
          <w:rFonts w:ascii="Verdana" w:hAnsi="Verdana" w:eastAsia="DejaVu Sans" w:cs="Lohit Hindi"/>
          <w:color w:val="000000" w:themeColor="text1"/>
          <w:sz w:val="18"/>
          <w:szCs w:val="18"/>
          <w:lang w:eastAsia="nl-NL"/>
        </w:rPr>
        <w:t xml:space="preserve">Welke geraamde waarde dat moet zijn wordt momenteel onderzocht, daarbij is bijvoorbeeld te denken aan de Europese Aanbestedingsgrens. </w:t>
      </w:r>
      <w:r w:rsidRPr="00A27C09" w:rsidR="00A27C09">
        <w:rPr>
          <w:rFonts w:ascii="Verdana" w:hAnsi="Verdana" w:eastAsia="DejaVu Sans" w:cs="Lohit Hindi"/>
          <w:color w:val="000000" w:themeColor="text1"/>
          <w:sz w:val="18"/>
          <w:szCs w:val="18"/>
          <w:lang w:eastAsia="nl-NL"/>
        </w:rPr>
        <w:t>Op opdrachten met een geraamde waarde lager dan deze in de amvb vastgestelde waarde is de amvb dan niet van toepassing</w:t>
      </w:r>
      <w:r w:rsidR="00714C19">
        <w:rPr>
          <w:rFonts w:ascii="Verdana" w:hAnsi="Verdana" w:eastAsia="DejaVu Sans" w:cs="Lohit Hindi"/>
          <w:color w:val="000000" w:themeColor="text1"/>
          <w:sz w:val="18"/>
          <w:szCs w:val="18"/>
          <w:lang w:eastAsia="nl-NL"/>
        </w:rPr>
        <w:t xml:space="preserve"> voor zover het gaat om de verplichting tot het toepassen van een nader criterium</w:t>
      </w:r>
      <w:r w:rsidRPr="00A27C09" w:rsidR="00A27C09">
        <w:rPr>
          <w:rFonts w:ascii="Verdana" w:hAnsi="Verdana" w:eastAsia="DejaVu Sans" w:cs="Lohit Hindi"/>
          <w:color w:val="000000" w:themeColor="text1"/>
          <w:sz w:val="18"/>
          <w:szCs w:val="18"/>
          <w:lang w:eastAsia="nl-NL"/>
        </w:rPr>
        <w:t>.</w:t>
      </w:r>
      <w:r>
        <w:rPr>
          <w:rFonts w:ascii="Verdana" w:hAnsi="Verdana" w:eastAsia="DejaVu Sans" w:cs="Lohit Hindi"/>
          <w:color w:val="000000" w:themeColor="text1"/>
          <w:sz w:val="18"/>
          <w:szCs w:val="18"/>
          <w:lang w:eastAsia="nl-NL"/>
        </w:rPr>
        <w:t xml:space="preserve"> Bij het </w:t>
      </w:r>
      <w:r w:rsidR="00FB1F13">
        <w:rPr>
          <w:rFonts w:ascii="Verdana" w:hAnsi="Verdana" w:eastAsia="DejaVu Sans" w:cs="Lohit Hindi"/>
          <w:color w:val="000000" w:themeColor="text1"/>
          <w:sz w:val="18"/>
          <w:szCs w:val="18"/>
          <w:lang w:eastAsia="nl-NL"/>
        </w:rPr>
        <w:t>verder</w:t>
      </w:r>
      <w:r w:rsidDel="00FB1F13">
        <w:rPr>
          <w:rFonts w:ascii="Verdana" w:hAnsi="Verdana" w:eastAsia="DejaVu Sans" w:cs="Lohit Hindi"/>
          <w:color w:val="000000" w:themeColor="text1"/>
          <w:sz w:val="18"/>
          <w:szCs w:val="18"/>
          <w:lang w:eastAsia="nl-NL"/>
        </w:rPr>
        <w:t xml:space="preserve"> </w:t>
      </w:r>
      <w:r>
        <w:rPr>
          <w:rFonts w:ascii="Verdana" w:hAnsi="Verdana" w:eastAsia="DejaVu Sans" w:cs="Lohit Hindi"/>
          <w:color w:val="000000" w:themeColor="text1"/>
          <w:sz w:val="18"/>
          <w:szCs w:val="18"/>
          <w:lang w:eastAsia="nl-NL"/>
        </w:rPr>
        <w:t>uitwerken van deze</w:t>
      </w:r>
      <w:r w:rsidR="00FB1F13">
        <w:rPr>
          <w:rFonts w:ascii="Verdana" w:hAnsi="Verdana" w:eastAsia="DejaVu Sans" w:cs="Lohit Hindi"/>
          <w:color w:val="000000" w:themeColor="text1"/>
          <w:sz w:val="18"/>
          <w:szCs w:val="18"/>
          <w:lang w:eastAsia="nl-NL"/>
        </w:rPr>
        <w:t xml:space="preserve"> nadere criteria</w:t>
      </w:r>
      <w:r w:rsidDel="00FB1F13">
        <w:rPr>
          <w:rFonts w:ascii="Verdana" w:hAnsi="Verdana" w:eastAsia="DejaVu Sans" w:cs="Lohit Hindi"/>
          <w:color w:val="000000" w:themeColor="text1"/>
          <w:sz w:val="18"/>
          <w:szCs w:val="18"/>
          <w:lang w:eastAsia="nl-NL"/>
        </w:rPr>
        <w:t xml:space="preserve"> </w:t>
      </w:r>
      <w:r>
        <w:rPr>
          <w:rFonts w:ascii="Verdana" w:hAnsi="Verdana" w:eastAsia="DejaVu Sans" w:cs="Lohit Hindi"/>
          <w:color w:val="000000" w:themeColor="text1"/>
          <w:sz w:val="18"/>
          <w:szCs w:val="18"/>
          <w:lang w:eastAsia="nl-NL"/>
        </w:rPr>
        <w:t>wordt daarmee rekening gehouden.</w:t>
      </w:r>
    </w:p>
    <w:p w:rsidR="00FF0FF0" w:rsidP="00643E93" w:rsidRDefault="00FF0FF0" w14:paraId="0DFC000A" w14:textId="35B40535">
      <w:pPr>
        <w:spacing w:line="276" w:lineRule="auto"/>
        <w:rPr>
          <w:rFonts w:ascii="Verdana" w:hAnsi="Verdana" w:eastAsia="DejaVu Sans" w:cs="Lohit Hindi"/>
          <w:color w:val="000000" w:themeColor="text1"/>
          <w:sz w:val="18"/>
          <w:szCs w:val="18"/>
          <w:lang w:eastAsia="nl-NL"/>
        </w:rPr>
      </w:pPr>
      <w:r>
        <w:rPr>
          <w:rFonts w:ascii="Verdana" w:hAnsi="Verdana" w:eastAsia="DejaVu Sans" w:cs="Lohit Hindi"/>
          <w:color w:val="000000" w:themeColor="text1"/>
          <w:sz w:val="18"/>
          <w:szCs w:val="18"/>
          <w:lang w:eastAsia="nl-NL"/>
        </w:rPr>
        <w:t xml:space="preserve">Zoals in het algemene deel van de toelichting is aangegeven, kunnen de milieuprestatie-eisen voor materialen en producten en de beschreven </w:t>
      </w:r>
      <w:r w:rsidR="00FB1F13">
        <w:rPr>
          <w:rFonts w:ascii="Verdana" w:hAnsi="Verdana" w:eastAsia="DejaVu Sans" w:cs="Lohit Hindi"/>
          <w:color w:val="000000" w:themeColor="text1"/>
          <w:sz w:val="18"/>
          <w:szCs w:val="18"/>
          <w:lang w:eastAsia="nl-NL"/>
        </w:rPr>
        <w:t>nadere criteria</w:t>
      </w:r>
      <w:r>
        <w:rPr>
          <w:rFonts w:ascii="Verdana" w:hAnsi="Verdana" w:eastAsia="DejaVu Sans" w:cs="Lohit Hindi"/>
          <w:color w:val="000000" w:themeColor="text1"/>
          <w:sz w:val="18"/>
          <w:szCs w:val="18"/>
          <w:lang w:eastAsia="nl-NL"/>
        </w:rPr>
        <w:t xml:space="preserve"> uiteenlopen. Vanwege de grote variatie in milieuprestatie-eisen en </w:t>
      </w:r>
      <w:r w:rsidR="00FB1F13">
        <w:rPr>
          <w:rFonts w:ascii="Verdana" w:hAnsi="Verdana" w:eastAsia="DejaVu Sans" w:cs="Lohit Hindi"/>
          <w:color w:val="000000" w:themeColor="text1"/>
          <w:sz w:val="18"/>
          <w:szCs w:val="18"/>
          <w:lang w:eastAsia="nl-NL"/>
        </w:rPr>
        <w:t>nadere criteria</w:t>
      </w:r>
      <w:r>
        <w:rPr>
          <w:rFonts w:ascii="Verdana" w:hAnsi="Verdana" w:eastAsia="DejaVu Sans" w:cs="Lohit Hindi"/>
          <w:color w:val="000000" w:themeColor="text1"/>
          <w:sz w:val="18"/>
          <w:szCs w:val="18"/>
          <w:lang w:eastAsia="nl-NL"/>
        </w:rPr>
        <w:t xml:space="preserve"> die worden meegenomen </w:t>
      </w:r>
      <w:r w:rsidR="00FB1F13">
        <w:rPr>
          <w:rFonts w:ascii="Verdana" w:hAnsi="Verdana" w:eastAsia="DejaVu Sans" w:cs="Lohit Hindi"/>
          <w:color w:val="000000" w:themeColor="text1"/>
          <w:sz w:val="18"/>
          <w:szCs w:val="18"/>
          <w:lang w:eastAsia="nl-NL"/>
        </w:rPr>
        <w:t xml:space="preserve">in de gunning op basis van </w:t>
      </w:r>
      <w:r>
        <w:rPr>
          <w:rFonts w:ascii="Verdana" w:hAnsi="Verdana" w:eastAsia="DejaVu Sans" w:cs="Lohit Hindi"/>
          <w:color w:val="000000" w:themeColor="text1"/>
          <w:sz w:val="18"/>
          <w:szCs w:val="18"/>
          <w:lang w:eastAsia="nl-NL"/>
        </w:rPr>
        <w:t xml:space="preserve">de beste prijs-kwaliteitsverhouding, is in de voorgestelde bepaling als algemene voorwaarde opgenomen dat deze eisen en </w:t>
      </w:r>
      <w:r w:rsidR="00FB1F13">
        <w:rPr>
          <w:rFonts w:ascii="Verdana" w:hAnsi="Verdana" w:eastAsia="DejaVu Sans" w:cs="Lohit Hindi"/>
          <w:color w:val="000000" w:themeColor="text1"/>
          <w:sz w:val="18"/>
          <w:szCs w:val="18"/>
          <w:lang w:eastAsia="nl-NL"/>
        </w:rPr>
        <w:t>criteria</w:t>
      </w:r>
      <w:r>
        <w:rPr>
          <w:rFonts w:ascii="Verdana" w:hAnsi="Verdana" w:eastAsia="DejaVu Sans" w:cs="Lohit Hindi"/>
          <w:color w:val="000000" w:themeColor="text1"/>
          <w:sz w:val="18"/>
          <w:szCs w:val="18"/>
          <w:lang w:eastAsia="nl-NL"/>
        </w:rPr>
        <w:t xml:space="preserve"> dienen ter bescherming van het milieu en de menselijke gezondheid. Voor de bescherming van het milieu wordt verwezen naar artikel 1.1, tweede lid, van de Wet milieubeheer. Het gaat dan mede om </w:t>
      </w:r>
      <w:r w:rsidRPr="00A21B5E">
        <w:rPr>
          <w:rFonts w:ascii="Verdana" w:hAnsi="Verdana" w:eastAsia="DejaVu Sans" w:cs="Lohit Hindi"/>
          <w:color w:val="000000" w:themeColor="text1"/>
          <w:sz w:val="18"/>
          <w:szCs w:val="18"/>
          <w:lang w:eastAsia="nl-NL"/>
        </w:rPr>
        <w:t>de verbetering van het milieu, de zorg voor een doelmatig beheer van afvalstoffen of een doelmatig beheer van afvalwater, de zorg voor een zuinig gebruik van energie en grondstoffen.</w:t>
      </w:r>
      <w:r>
        <w:rPr>
          <w:rFonts w:ascii="Verdana" w:hAnsi="Verdana" w:eastAsia="DejaVu Sans" w:cs="Lohit Hindi"/>
          <w:color w:val="000000" w:themeColor="text1"/>
          <w:sz w:val="18"/>
          <w:szCs w:val="18"/>
          <w:lang w:eastAsia="nl-NL"/>
        </w:rPr>
        <w:t xml:space="preserve"> </w:t>
      </w:r>
    </w:p>
    <w:p w:rsidRPr="00D944A9" w:rsidR="00FF0FF0" w:rsidP="00643E93" w:rsidRDefault="00FF0FF0" w14:paraId="179A2F84" w14:textId="31E012BD">
      <w:pPr>
        <w:spacing w:line="276" w:lineRule="auto"/>
        <w:rPr>
          <w:rFonts w:ascii="Verdana" w:hAnsi="Verdana" w:eastAsia="DejaVu Sans" w:cs="Lohit Hindi"/>
          <w:i/>
          <w:color w:val="000000" w:themeColor="text1"/>
          <w:sz w:val="18"/>
          <w:szCs w:val="18"/>
          <w:lang w:eastAsia="nl-NL"/>
        </w:rPr>
      </w:pPr>
      <w:r w:rsidRPr="001B3D5C">
        <w:rPr>
          <w:rFonts w:ascii="Verdana" w:hAnsi="Verdana" w:eastAsia="DejaVu Sans" w:cs="Lohit Hindi"/>
          <w:i/>
          <w:iCs/>
          <w:color w:val="000000" w:themeColor="text1"/>
          <w:sz w:val="18"/>
          <w:szCs w:val="18"/>
          <w:lang w:eastAsia="nl-NL"/>
        </w:rPr>
        <w:t>artikel 9.6.3</w:t>
      </w:r>
    </w:p>
    <w:p w:rsidR="00FF0FF0" w:rsidP="00643E93" w:rsidRDefault="00FF0FF0" w14:paraId="111D910E" w14:textId="53F3F774">
      <w:pPr>
        <w:spacing w:line="276" w:lineRule="auto"/>
        <w:rPr>
          <w:rFonts w:ascii="Verdana" w:hAnsi="Verdana" w:eastAsia="DejaVu Sans" w:cs="Lohit Hindi"/>
          <w:color w:val="000000" w:themeColor="text1"/>
          <w:sz w:val="18"/>
          <w:szCs w:val="18"/>
          <w:lang w:eastAsia="nl-NL"/>
        </w:rPr>
      </w:pPr>
      <w:r>
        <w:rPr>
          <w:rFonts w:ascii="Verdana" w:hAnsi="Verdana" w:eastAsia="DejaVu Sans" w:cs="Lohit Hindi"/>
          <w:color w:val="000000" w:themeColor="text1"/>
          <w:sz w:val="18"/>
          <w:szCs w:val="18"/>
          <w:lang w:eastAsia="nl-NL"/>
        </w:rPr>
        <w:t xml:space="preserve">In deze voorgestelde bepaling worden de verplichtingen voor aanbestedende diensten of speciale-sectorbedrijven geregeld om de milieuprestatie-eisen of </w:t>
      </w:r>
      <w:r w:rsidR="004B0FFF">
        <w:rPr>
          <w:rFonts w:ascii="Verdana" w:hAnsi="Verdana" w:eastAsia="DejaVu Sans" w:cs="Lohit Hindi"/>
          <w:color w:val="000000" w:themeColor="text1"/>
          <w:sz w:val="18"/>
          <w:szCs w:val="18"/>
          <w:lang w:eastAsia="nl-NL"/>
        </w:rPr>
        <w:t>nadere criteria</w:t>
      </w:r>
      <w:r w:rsidR="00FB1F13">
        <w:rPr>
          <w:rFonts w:ascii="Verdana" w:hAnsi="Verdana" w:eastAsia="DejaVu Sans" w:cs="Lohit Hindi"/>
          <w:color w:val="000000" w:themeColor="text1"/>
          <w:sz w:val="18"/>
          <w:szCs w:val="18"/>
          <w:lang w:eastAsia="nl-NL"/>
        </w:rPr>
        <w:t xml:space="preserve"> </w:t>
      </w:r>
      <w:r>
        <w:rPr>
          <w:rFonts w:ascii="Verdana" w:hAnsi="Verdana" w:eastAsia="DejaVu Sans" w:cs="Lohit Hindi"/>
          <w:color w:val="000000" w:themeColor="text1"/>
          <w:sz w:val="18"/>
          <w:szCs w:val="18"/>
          <w:lang w:eastAsia="nl-NL"/>
        </w:rPr>
        <w:t>te stellen met inachtneming van het voorgestelde artikel 9.6.2. Zoals in het algemene deel van de toelichting is aangegeven, zijn deze verplichtingen niet alleen van toepassing op aanbestedende diensten, maar ook op speciale-sectorbedrijven. Voor speciale-sectorbedrijven gaat het dan alleen om speciale-sectoropdrachten</w:t>
      </w:r>
      <w:r w:rsidR="00927FF7">
        <w:rPr>
          <w:rFonts w:ascii="Verdana" w:hAnsi="Verdana" w:eastAsia="DejaVu Sans" w:cs="Lohit Hindi"/>
          <w:color w:val="000000" w:themeColor="text1"/>
          <w:sz w:val="18"/>
          <w:szCs w:val="18"/>
          <w:lang w:eastAsia="nl-NL"/>
        </w:rPr>
        <w:t xml:space="preserve"> of concessieopdrachten</w:t>
      </w:r>
      <w:r>
        <w:rPr>
          <w:rFonts w:ascii="Verdana" w:hAnsi="Verdana" w:eastAsia="DejaVu Sans" w:cs="Lohit Hindi"/>
          <w:color w:val="000000" w:themeColor="text1"/>
          <w:sz w:val="18"/>
          <w:szCs w:val="18"/>
          <w:lang w:eastAsia="nl-NL"/>
        </w:rPr>
        <w:t xml:space="preserve"> voor activiteiten die in de artikelen 3.1 tot en met 3.6 van de Aanbestedingswet 2012 zijn genoemd </w:t>
      </w:r>
      <w:r w:rsidR="008F6F70">
        <w:rPr>
          <w:rFonts w:ascii="Verdana" w:hAnsi="Verdana" w:eastAsia="DejaVu Sans" w:cs="Lohit Hindi"/>
          <w:color w:val="000000" w:themeColor="text1"/>
          <w:sz w:val="18"/>
          <w:szCs w:val="18"/>
          <w:lang w:eastAsia="nl-NL"/>
        </w:rPr>
        <w:t>é</w:t>
      </w:r>
      <w:r>
        <w:rPr>
          <w:rFonts w:ascii="Verdana" w:hAnsi="Verdana" w:eastAsia="DejaVu Sans" w:cs="Lohit Hindi"/>
          <w:color w:val="000000" w:themeColor="text1"/>
          <w:sz w:val="18"/>
          <w:szCs w:val="18"/>
          <w:lang w:eastAsia="nl-NL"/>
        </w:rPr>
        <w:t>n</w:t>
      </w:r>
      <w:r w:rsidR="001B5D08">
        <w:rPr>
          <w:rFonts w:ascii="Verdana" w:hAnsi="Verdana" w:eastAsia="DejaVu Sans" w:cs="Lohit Hindi"/>
          <w:color w:val="000000" w:themeColor="text1"/>
          <w:sz w:val="18"/>
          <w:szCs w:val="18"/>
          <w:lang w:eastAsia="nl-NL"/>
        </w:rPr>
        <w:t xml:space="preserve"> voor zover deze activiteiten</w:t>
      </w:r>
      <w:r>
        <w:rPr>
          <w:rFonts w:ascii="Verdana" w:hAnsi="Verdana" w:eastAsia="DejaVu Sans" w:cs="Lohit Hindi"/>
          <w:color w:val="000000" w:themeColor="text1"/>
          <w:sz w:val="18"/>
          <w:szCs w:val="18"/>
          <w:lang w:eastAsia="nl-NL"/>
        </w:rPr>
        <w:t xml:space="preserve"> bij a</w:t>
      </w:r>
      <w:r w:rsidR="00A84F84">
        <w:rPr>
          <w:rFonts w:ascii="Verdana" w:hAnsi="Verdana" w:eastAsia="DejaVu Sans" w:cs="Lohit Hindi"/>
          <w:color w:val="000000" w:themeColor="text1"/>
          <w:sz w:val="18"/>
          <w:szCs w:val="18"/>
          <w:lang w:eastAsia="nl-NL"/>
        </w:rPr>
        <w:t>mvb</w:t>
      </w:r>
      <w:r>
        <w:rPr>
          <w:rFonts w:ascii="Verdana" w:hAnsi="Verdana" w:eastAsia="DejaVu Sans" w:cs="Lohit Hindi"/>
          <w:color w:val="000000" w:themeColor="text1"/>
          <w:sz w:val="18"/>
          <w:szCs w:val="18"/>
          <w:lang w:eastAsia="nl-NL"/>
        </w:rPr>
        <w:t xml:space="preserve"> zijn aangewezen.</w:t>
      </w:r>
    </w:p>
    <w:p w:rsidR="00941577" w:rsidP="00643E93" w:rsidRDefault="00FF0FF0" w14:paraId="5362B2EC" w14:textId="68F799ED">
      <w:pPr>
        <w:spacing w:line="276" w:lineRule="auto"/>
        <w:rPr>
          <w:rFonts w:ascii="Verdana" w:hAnsi="Verdana" w:eastAsia="DejaVu Sans" w:cs="Lohit Hindi"/>
          <w:color w:val="000000" w:themeColor="text1"/>
          <w:sz w:val="18"/>
          <w:szCs w:val="18"/>
          <w:lang w:eastAsia="nl-NL"/>
        </w:rPr>
      </w:pPr>
      <w:bookmarkStart w:name="_Hlk212805558" w:id="65"/>
      <w:bookmarkStart w:name="_Hlk212806912" w:id="66"/>
      <w:r>
        <w:rPr>
          <w:rFonts w:ascii="Verdana" w:hAnsi="Verdana" w:eastAsia="DejaVu Sans" w:cs="Lohit Hindi"/>
          <w:color w:val="000000" w:themeColor="text1"/>
          <w:sz w:val="18"/>
          <w:szCs w:val="18"/>
          <w:lang w:eastAsia="nl-NL"/>
        </w:rPr>
        <w:t xml:space="preserve">In het </w:t>
      </w:r>
      <w:r w:rsidR="008F6F70">
        <w:rPr>
          <w:rFonts w:ascii="Verdana" w:hAnsi="Verdana" w:eastAsia="DejaVu Sans" w:cs="Lohit Hindi"/>
          <w:color w:val="000000" w:themeColor="text1"/>
          <w:sz w:val="18"/>
          <w:szCs w:val="18"/>
          <w:lang w:eastAsia="nl-NL"/>
        </w:rPr>
        <w:t xml:space="preserve">derde </w:t>
      </w:r>
      <w:r>
        <w:rPr>
          <w:rFonts w:ascii="Verdana" w:hAnsi="Verdana" w:eastAsia="DejaVu Sans" w:cs="Lohit Hindi"/>
          <w:color w:val="000000" w:themeColor="text1"/>
          <w:sz w:val="18"/>
          <w:szCs w:val="18"/>
          <w:lang w:eastAsia="nl-NL"/>
        </w:rPr>
        <w:t xml:space="preserve">lid is </w:t>
      </w:r>
      <w:r w:rsidR="000E1A53">
        <w:rPr>
          <w:rFonts w:ascii="Verdana" w:hAnsi="Verdana" w:eastAsia="DejaVu Sans" w:cs="Lohit Hindi"/>
          <w:color w:val="000000" w:themeColor="text1"/>
          <w:sz w:val="18"/>
          <w:szCs w:val="18"/>
          <w:lang w:eastAsia="nl-NL"/>
        </w:rPr>
        <w:t>voor aanbestedende diensten en speciale-sectorbedrijven de mogelijkheid opgenomen om af te wijken van de verplichting om de milieuprestatie-eis als technische specificatie of nader criterium</w:t>
      </w:r>
      <w:r w:rsidR="00F07DB9">
        <w:rPr>
          <w:rFonts w:ascii="Verdana" w:hAnsi="Verdana" w:eastAsia="DejaVu Sans" w:cs="Lohit Hindi"/>
          <w:color w:val="000000" w:themeColor="text1"/>
          <w:sz w:val="18"/>
          <w:szCs w:val="18"/>
          <w:lang w:eastAsia="nl-NL"/>
        </w:rPr>
        <w:t xml:space="preserve"> toe te passen</w:t>
      </w:r>
      <w:r w:rsidR="00811E32">
        <w:rPr>
          <w:rFonts w:ascii="Verdana" w:hAnsi="Verdana" w:eastAsia="DejaVu Sans" w:cs="Lohit Hindi"/>
          <w:color w:val="000000" w:themeColor="text1"/>
          <w:sz w:val="18"/>
          <w:szCs w:val="18"/>
          <w:lang w:eastAsia="nl-NL"/>
        </w:rPr>
        <w:t xml:space="preserve"> in een aanbesteding</w:t>
      </w:r>
      <w:r w:rsidR="000E1A53">
        <w:rPr>
          <w:rFonts w:ascii="Verdana" w:hAnsi="Verdana" w:eastAsia="DejaVu Sans" w:cs="Lohit Hindi"/>
          <w:color w:val="000000" w:themeColor="text1"/>
          <w:sz w:val="18"/>
          <w:szCs w:val="18"/>
          <w:lang w:eastAsia="nl-NL"/>
        </w:rPr>
        <w:t xml:space="preserve">. Van deze uitzondering mag gebruik worden gemaakt in de situatie waarin </w:t>
      </w:r>
      <w:r w:rsidR="00A11E9B">
        <w:rPr>
          <w:rFonts w:ascii="Verdana" w:hAnsi="Verdana" w:eastAsia="DejaVu Sans" w:cs="Lohit Hindi"/>
          <w:color w:val="000000" w:themeColor="text1"/>
          <w:sz w:val="18"/>
          <w:szCs w:val="18"/>
          <w:lang w:eastAsia="nl-NL"/>
        </w:rPr>
        <w:t>de toepassing van de</w:t>
      </w:r>
      <w:r w:rsidR="000E1A53">
        <w:rPr>
          <w:rFonts w:ascii="Verdana" w:hAnsi="Verdana" w:eastAsia="DejaVu Sans" w:cs="Lohit Hindi"/>
          <w:color w:val="000000" w:themeColor="text1"/>
          <w:sz w:val="18"/>
          <w:szCs w:val="18"/>
          <w:lang w:eastAsia="nl-NL"/>
        </w:rPr>
        <w:t xml:space="preserve"> </w:t>
      </w:r>
      <w:r w:rsidR="00F07DB9">
        <w:rPr>
          <w:rFonts w:ascii="Verdana" w:hAnsi="Verdana" w:eastAsia="DejaVu Sans" w:cs="Lohit Hindi"/>
          <w:color w:val="000000" w:themeColor="text1"/>
          <w:sz w:val="18"/>
          <w:szCs w:val="18"/>
          <w:lang w:eastAsia="nl-NL"/>
        </w:rPr>
        <w:t xml:space="preserve">vastgestelde </w:t>
      </w:r>
      <w:r w:rsidR="000E1A53">
        <w:rPr>
          <w:rFonts w:ascii="Verdana" w:hAnsi="Verdana" w:eastAsia="DejaVu Sans" w:cs="Lohit Hindi"/>
          <w:color w:val="000000" w:themeColor="text1"/>
          <w:sz w:val="18"/>
          <w:szCs w:val="18"/>
          <w:lang w:eastAsia="nl-NL"/>
        </w:rPr>
        <w:t xml:space="preserve">eis of </w:t>
      </w:r>
      <w:r w:rsidR="00A11E9B">
        <w:rPr>
          <w:rFonts w:ascii="Verdana" w:hAnsi="Verdana" w:eastAsia="DejaVu Sans" w:cs="Lohit Hindi"/>
          <w:color w:val="000000" w:themeColor="text1"/>
          <w:sz w:val="18"/>
          <w:szCs w:val="18"/>
          <w:lang w:eastAsia="nl-NL"/>
        </w:rPr>
        <w:t>het</w:t>
      </w:r>
      <w:r w:rsidR="000E1A53">
        <w:rPr>
          <w:rFonts w:ascii="Verdana" w:hAnsi="Verdana" w:eastAsia="DejaVu Sans" w:cs="Lohit Hindi"/>
          <w:color w:val="000000" w:themeColor="text1"/>
          <w:sz w:val="18"/>
          <w:szCs w:val="18"/>
          <w:lang w:eastAsia="nl-NL"/>
        </w:rPr>
        <w:t xml:space="preserve"> criterium in een specifieke aanbesteding niet </w:t>
      </w:r>
      <w:r w:rsidR="00611532">
        <w:rPr>
          <w:rFonts w:ascii="Verdana" w:hAnsi="Verdana" w:eastAsia="DejaVu Sans" w:cs="Lohit Hindi"/>
          <w:color w:val="000000" w:themeColor="text1"/>
          <w:sz w:val="18"/>
          <w:szCs w:val="18"/>
          <w:lang w:eastAsia="nl-NL"/>
        </w:rPr>
        <w:t>in</w:t>
      </w:r>
      <w:r w:rsidR="008F1411">
        <w:rPr>
          <w:rFonts w:ascii="Verdana" w:hAnsi="Verdana" w:eastAsia="DejaVu Sans" w:cs="Lohit Hindi"/>
          <w:color w:val="000000" w:themeColor="text1"/>
          <w:sz w:val="18"/>
          <w:szCs w:val="18"/>
          <w:lang w:eastAsia="nl-NL"/>
        </w:rPr>
        <w:t xml:space="preserve"> een</w:t>
      </w:r>
      <w:r w:rsidR="00611532">
        <w:rPr>
          <w:rFonts w:ascii="Verdana" w:hAnsi="Verdana" w:eastAsia="DejaVu Sans" w:cs="Lohit Hindi"/>
          <w:color w:val="000000" w:themeColor="text1"/>
          <w:sz w:val="18"/>
          <w:szCs w:val="18"/>
          <w:lang w:eastAsia="nl-NL"/>
        </w:rPr>
        <w:t xml:space="preserve"> redelijke verhouding staat tot de opdracht</w:t>
      </w:r>
      <w:r w:rsidR="000E1A53">
        <w:rPr>
          <w:rFonts w:ascii="Verdana" w:hAnsi="Verdana" w:eastAsia="DejaVu Sans" w:cs="Lohit Hindi"/>
          <w:color w:val="000000" w:themeColor="text1"/>
          <w:sz w:val="18"/>
          <w:szCs w:val="18"/>
          <w:lang w:eastAsia="nl-NL"/>
        </w:rPr>
        <w:t>.</w:t>
      </w:r>
      <w:r w:rsidR="00A11E9B">
        <w:rPr>
          <w:rFonts w:ascii="Verdana" w:hAnsi="Verdana" w:eastAsia="DejaVu Sans" w:cs="Lohit Hindi"/>
          <w:color w:val="000000" w:themeColor="text1"/>
          <w:sz w:val="18"/>
          <w:szCs w:val="18"/>
          <w:lang w:eastAsia="nl-NL"/>
        </w:rPr>
        <w:t xml:space="preserve"> Dit moet getoetst worden</w:t>
      </w:r>
      <w:r w:rsidR="00F20588">
        <w:rPr>
          <w:rFonts w:ascii="Verdana" w:hAnsi="Verdana" w:eastAsia="DejaVu Sans" w:cs="Lohit Hindi"/>
          <w:color w:val="000000" w:themeColor="text1"/>
          <w:sz w:val="18"/>
          <w:szCs w:val="18"/>
          <w:lang w:eastAsia="nl-NL"/>
        </w:rPr>
        <w:t xml:space="preserve"> overeenkomstig</w:t>
      </w:r>
      <w:r w:rsidR="00A11E9B">
        <w:rPr>
          <w:rFonts w:ascii="Verdana" w:hAnsi="Verdana" w:eastAsia="DejaVu Sans" w:cs="Lohit Hindi"/>
          <w:color w:val="000000" w:themeColor="text1"/>
          <w:sz w:val="18"/>
          <w:szCs w:val="18"/>
          <w:lang w:eastAsia="nl-NL"/>
        </w:rPr>
        <w:t xml:space="preserve"> het proportionaliteitsbeginsel dat is vastgelegd in de artikelen 1.10, 1.13 en 1.16 in de </w:t>
      </w:r>
      <w:r w:rsidR="00A11E9B">
        <w:rPr>
          <w:rFonts w:ascii="Verdana" w:hAnsi="Verdana" w:eastAsia="DejaVu Sans" w:cs="Lohit Hindi"/>
          <w:color w:val="000000" w:themeColor="text1"/>
          <w:sz w:val="18"/>
          <w:szCs w:val="18"/>
          <w:lang w:eastAsia="nl-NL"/>
        </w:rPr>
        <w:lastRenderedPageBreak/>
        <w:t>Aanbestedingswet 2012 en</w:t>
      </w:r>
      <w:r w:rsidR="00611532">
        <w:rPr>
          <w:rFonts w:ascii="Verdana" w:hAnsi="Verdana" w:eastAsia="DejaVu Sans" w:cs="Lohit Hindi"/>
          <w:color w:val="000000" w:themeColor="text1"/>
          <w:sz w:val="18"/>
          <w:szCs w:val="18"/>
          <w:lang w:eastAsia="nl-NL"/>
        </w:rPr>
        <w:t xml:space="preserve"> de wijze waarop deze artikelen worden uitgelegd in de literatuur en jurisprudentie. </w:t>
      </w:r>
      <w:r w:rsidR="003E4BF6">
        <w:rPr>
          <w:rFonts w:ascii="Verdana" w:hAnsi="Verdana" w:eastAsia="DejaVu Sans" w:cs="Lohit Hindi"/>
          <w:color w:val="000000" w:themeColor="text1"/>
          <w:sz w:val="18"/>
          <w:szCs w:val="18"/>
          <w:lang w:eastAsia="nl-NL"/>
        </w:rPr>
        <w:t>In d</w:t>
      </w:r>
      <w:r w:rsidR="00811E32">
        <w:rPr>
          <w:rFonts w:ascii="Verdana" w:hAnsi="Verdana" w:eastAsia="DejaVu Sans" w:cs="Lohit Hindi"/>
          <w:color w:val="000000" w:themeColor="text1"/>
          <w:sz w:val="18"/>
          <w:szCs w:val="18"/>
          <w:lang w:eastAsia="nl-NL"/>
        </w:rPr>
        <w:t>eze</w:t>
      </w:r>
      <w:r w:rsidR="003E4BF6">
        <w:rPr>
          <w:rFonts w:ascii="Verdana" w:hAnsi="Verdana" w:eastAsia="DejaVu Sans" w:cs="Lohit Hindi"/>
          <w:color w:val="000000" w:themeColor="text1"/>
          <w:sz w:val="18"/>
          <w:szCs w:val="18"/>
          <w:lang w:eastAsia="nl-NL"/>
        </w:rPr>
        <w:t xml:space="preserve"> bepalingen </w:t>
      </w:r>
      <w:r w:rsidR="00811E32">
        <w:rPr>
          <w:rFonts w:ascii="Verdana" w:hAnsi="Verdana" w:eastAsia="DejaVu Sans" w:cs="Lohit Hindi"/>
          <w:color w:val="000000" w:themeColor="text1"/>
          <w:sz w:val="18"/>
          <w:szCs w:val="18"/>
          <w:lang w:eastAsia="nl-NL"/>
        </w:rPr>
        <w:t>uit</w:t>
      </w:r>
      <w:r w:rsidR="003E4BF6">
        <w:rPr>
          <w:rFonts w:ascii="Verdana" w:hAnsi="Verdana" w:eastAsia="DejaVu Sans" w:cs="Lohit Hindi"/>
          <w:color w:val="000000" w:themeColor="text1"/>
          <w:sz w:val="18"/>
          <w:szCs w:val="18"/>
          <w:lang w:eastAsia="nl-NL"/>
        </w:rPr>
        <w:t xml:space="preserve"> de Aanbestedingswet 2012 is het uitgangspunt dat aanbestedende diensten tijdens het vormgeven van eisen, voorwaarden en criteria toetsen of die in redelijke verhouding staan tot de opdracht. Op basis van </w:t>
      </w:r>
      <w:r w:rsidR="00811E32">
        <w:rPr>
          <w:rFonts w:ascii="Verdana" w:hAnsi="Verdana" w:eastAsia="DejaVu Sans" w:cs="Lohit Hindi"/>
          <w:color w:val="000000" w:themeColor="text1"/>
          <w:sz w:val="18"/>
          <w:szCs w:val="18"/>
          <w:lang w:eastAsia="nl-NL"/>
        </w:rPr>
        <w:t xml:space="preserve">het voorgestelde artikel 9.6.3, derde lid, </w:t>
      </w:r>
      <w:r w:rsidR="003E4BF6">
        <w:rPr>
          <w:rFonts w:ascii="Verdana" w:hAnsi="Verdana" w:eastAsia="DejaVu Sans" w:cs="Lohit Hindi"/>
          <w:color w:val="000000" w:themeColor="text1"/>
          <w:sz w:val="18"/>
          <w:szCs w:val="18"/>
          <w:lang w:eastAsia="nl-NL"/>
        </w:rPr>
        <w:t>kunnen aanbestedende diensten de eisen en criteria die in de amvb worden voorgeschreven,</w:t>
      </w:r>
      <w:r w:rsidR="00811E32">
        <w:rPr>
          <w:rFonts w:ascii="Verdana" w:hAnsi="Verdana" w:eastAsia="DejaVu Sans" w:cs="Lohit Hindi"/>
          <w:color w:val="000000" w:themeColor="text1"/>
          <w:sz w:val="18"/>
          <w:szCs w:val="18"/>
          <w:lang w:eastAsia="nl-NL"/>
        </w:rPr>
        <w:t xml:space="preserve"> toetsen aan dit beginsel.</w:t>
      </w:r>
      <w:r w:rsidR="00035CFF">
        <w:rPr>
          <w:rFonts w:ascii="Verdana" w:hAnsi="Verdana" w:eastAsia="DejaVu Sans" w:cs="Lohit Hindi"/>
          <w:color w:val="000000" w:themeColor="text1"/>
          <w:sz w:val="18"/>
          <w:szCs w:val="18"/>
          <w:lang w:eastAsia="nl-NL"/>
        </w:rPr>
        <w:t xml:space="preserve"> </w:t>
      </w:r>
      <w:r w:rsidRPr="00035CFF" w:rsidR="00035CFF">
        <w:rPr>
          <w:rFonts w:ascii="Verdana" w:hAnsi="Verdana" w:eastAsia="DejaVu Sans" w:cs="Lohit Hindi"/>
          <w:color w:val="000000" w:themeColor="text1"/>
          <w:sz w:val="18"/>
          <w:szCs w:val="18"/>
          <w:lang w:eastAsia="nl-NL"/>
        </w:rPr>
        <w:t xml:space="preserve">Hiermee wordt voorkomen dat toepassing van de verplichte eisen en criteria in een specifiek geval </w:t>
      </w:r>
      <w:r w:rsidR="00B92FCF">
        <w:rPr>
          <w:rFonts w:ascii="Verdana" w:hAnsi="Verdana" w:eastAsia="DejaVu Sans" w:cs="Lohit Hindi"/>
          <w:color w:val="000000" w:themeColor="text1"/>
          <w:sz w:val="18"/>
          <w:szCs w:val="18"/>
          <w:lang w:eastAsia="nl-NL"/>
        </w:rPr>
        <w:t>kan leiden</w:t>
      </w:r>
      <w:r w:rsidRPr="00035CFF" w:rsidR="00035CFF">
        <w:rPr>
          <w:rFonts w:ascii="Verdana" w:hAnsi="Verdana" w:eastAsia="DejaVu Sans" w:cs="Lohit Hindi"/>
          <w:color w:val="000000" w:themeColor="text1"/>
          <w:sz w:val="18"/>
          <w:szCs w:val="18"/>
          <w:lang w:eastAsia="nl-NL"/>
        </w:rPr>
        <w:t xml:space="preserve"> tot strijd met het</w:t>
      </w:r>
      <w:r w:rsidR="00035CFF">
        <w:rPr>
          <w:rFonts w:ascii="Verdana" w:hAnsi="Verdana" w:eastAsia="DejaVu Sans" w:cs="Lohit Hindi"/>
          <w:color w:val="000000" w:themeColor="text1"/>
          <w:sz w:val="18"/>
          <w:szCs w:val="18"/>
          <w:lang w:eastAsia="nl-NL"/>
        </w:rPr>
        <w:t xml:space="preserve"> proportionaliteitsbeginsel</w:t>
      </w:r>
      <w:r w:rsidRPr="00035CFF" w:rsidR="00035CFF">
        <w:rPr>
          <w:rFonts w:ascii="Verdana" w:hAnsi="Verdana" w:eastAsia="DejaVu Sans" w:cs="Lohit Hindi"/>
          <w:color w:val="000000" w:themeColor="text1"/>
          <w:sz w:val="18"/>
          <w:szCs w:val="18"/>
          <w:lang w:eastAsia="nl-NL"/>
        </w:rPr>
        <w:t>. Aan de</w:t>
      </w:r>
      <w:r w:rsidR="00035CFF">
        <w:rPr>
          <w:rFonts w:ascii="Verdana" w:hAnsi="Verdana" w:eastAsia="DejaVu Sans" w:cs="Lohit Hindi"/>
          <w:color w:val="000000" w:themeColor="text1"/>
          <w:sz w:val="18"/>
          <w:szCs w:val="18"/>
          <w:lang w:eastAsia="nl-NL"/>
        </w:rPr>
        <w:t>ze afwijkings</w:t>
      </w:r>
      <w:r w:rsidRPr="00035CFF" w:rsidR="00035CFF">
        <w:rPr>
          <w:rFonts w:ascii="Verdana" w:hAnsi="Verdana" w:eastAsia="DejaVu Sans" w:cs="Lohit Hindi"/>
          <w:color w:val="000000" w:themeColor="text1"/>
          <w:sz w:val="18"/>
          <w:szCs w:val="18"/>
          <w:lang w:eastAsia="nl-NL"/>
        </w:rPr>
        <w:t>mogelijkheid is de voorwaarde verbonden dat dit in de aanbestedingsstukken deugdelijk gemotiveerd wordt. Deze ‘comply or explain’ voorwaarde sluit ook aan bij het aanbestedingsrecht waarin dit regelmatig wordt toegepast. Aanbestedende diensten en speciale-sectorbedrijven zijn hier dus al mee bekend.</w:t>
      </w:r>
      <w:r w:rsidR="00071942">
        <w:rPr>
          <w:rFonts w:ascii="Verdana" w:hAnsi="Verdana" w:eastAsia="DejaVu Sans" w:cs="Lohit Hindi"/>
          <w:color w:val="000000" w:themeColor="text1"/>
          <w:sz w:val="18"/>
          <w:szCs w:val="18"/>
          <w:lang w:eastAsia="nl-NL"/>
        </w:rPr>
        <w:t xml:space="preserve"> </w:t>
      </w:r>
      <w:r w:rsidRPr="00035CFF" w:rsidR="00035CFF">
        <w:rPr>
          <w:rFonts w:ascii="Verdana" w:hAnsi="Verdana" w:eastAsia="DejaVu Sans" w:cs="Lohit Hindi"/>
          <w:color w:val="000000" w:themeColor="text1"/>
          <w:sz w:val="18"/>
          <w:szCs w:val="18"/>
          <w:lang w:eastAsia="nl-NL"/>
        </w:rPr>
        <w:t xml:space="preserve"> </w:t>
      </w:r>
      <w:bookmarkEnd w:id="65"/>
    </w:p>
    <w:bookmarkEnd w:id="66"/>
    <w:p w:rsidR="00FF0FF0" w:rsidP="00643E93" w:rsidRDefault="00FF0FF0" w14:paraId="15E3116B" w14:textId="3D6A86C2">
      <w:pPr>
        <w:spacing w:line="276" w:lineRule="auto"/>
        <w:rPr>
          <w:rFonts w:ascii="Verdana" w:hAnsi="Verdana" w:eastAsia="DejaVu Sans" w:cs="Lohit Hindi"/>
          <w:color w:val="000000" w:themeColor="text1"/>
          <w:sz w:val="18"/>
          <w:szCs w:val="18"/>
          <w:lang w:eastAsia="nl-NL"/>
        </w:rPr>
      </w:pPr>
      <w:r>
        <w:rPr>
          <w:rFonts w:ascii="Verdana" w:hAnsi="Verdana" w:eastAsia="DejaVu Sans" w:cs="Lohit Hindi"/>
          <w:color w:val="000000" w:themeColor="text1"/>
          <w:sz w:val="18"/>
          <w:szCs w:val="18"/>
          <w:lang w:eastAsia="nl-NL"/>
        </w:rPr>
        <w:t xml:space="preserve">In het </w:t>
      </w:r>
      <w:r w:rsidR="000E1A53">
        <w:rPr>
          <w:rFonts w:ascii="Verdana" w:hAnsi="Verdana" w:eastAsia="DejaVu Sans" w:cs="Lohit Hindi"/>
          <w:color w:val="000000" w:themeColor="text1"/>
          <w:sz w:val="18"/>
          <w:szCs w:val="18"/>
          <w:lang w:eastAsia="nl-NL"/>
        </w:rPr>
        <w:t>vierde</w:t>
      </w:r>
      <w:r w:rsidR="008F6F70">
        <w:rPr>
          <w:rFonts w:ascii="Verdana" w:hAnsi="Verdana" w:eastAsia="DejaVu Sans" w:cs="Lohit Hindi"/>
          <w:color w:val="000000" w:themeColor="text1"/>
          <w:sz w:val="18"/>
          <w:szCs w:val="18"/>
          <w:lang w:eastAsia="nl-NL"/>
        </w:rPr>
        <w:t xml:space="preserve"> </w:t>
      </w:r>
      <w:r>
        <w:rPr>
          <w:rFonts w:ascii="Verdana" w:hAnsi="Verdana" w:eastAsia="DejaVu Sans" w:cs="Lohit Hindi"/>
          <w:color w:val="000000" w:themeColor="text1"/>
          <w:sz w:val="18"/>
          <w:szCs w:val="18"/>
          <w:lang w:eastAsia="nl-NL"/>
        </w:rPr>
        <w:t xml:space="preserve">lid is een grondslag voorgesteld om bij amvb </w:t>
      </w:r>
      <w:r w:rsidR="008F6F70">
        <w:rPr>
          <w:rFonts w:ascii="Verdana" w:hAnsi="Verdana" w:eastAsia="DejaVu Sans" w:cs="Lohit Hindi"/>
          <w:color w:val="000000" w:themeColor="text1"/>
          <w:sz w:val="18"/>
          <w:szCs w:val="18"/>
          <w:lang w:eastAsia="nl-NL"/>
        </w:rPr>
        <w:t>uitzondering</w:t>
      </w:r>
      <w:r w:rsidR="00927FF7">
        <w:rPr>
          <w:rFonts w:ascii="Verdana" w:hAnsi="Verdana" w:eastAsia="DejaVu Sans" w:cs="Lohit Hindi"/>
          <w:color w:val="000000" w:themeColor="text1"/>
          <w:sz w:val="18"/>
          <w:szCs w:val="18"/>
          <w:lang w:eastAsia="nl-NL"/>
        </w:rPr>
        <w:t xml:space="preserve">en </w:t>
      </w:r>
      <w:r w:rsidR="00367E2F">
        <w:rPr>
          <w:rFonts w:ascii="Verdana" w:hAnsi="Verdana" w:eastAsia="DejaVu Sans" w:cs="Lohit Hindi"/>
          <w:color w:val="000000" w:themeColor="text1"/>
          <w:sz w:val="18"/>
          <w:szCs w:val="18"/>
          <w:lang w:eastAsia="nl-NL"/>
        </w:rPr>
        <w:t>op</w:t>
      </w:r>
      <w:r w:rsidR="00927FF7">
        <w:rPr>
          <w:rFonts w:ascii="Verdana" w:hAnsi="Verdana" w:eastAsia="DejaVu Sans" w:cs="Lohit Hindi"/>
          <w:color w:val="000000" w:themeColor="text1"/>
          <w:sz w:val="18"/>
          <w:szCs w:val="18"/>
          <w:lang w:eastAsia="nl-NL"/>
        </w:rPr>
        <w:t xml:space="preserve"> de toepassing van het eerste en tweede lid mogelijk te maken</w:t>
      </w:r>
      <w:r>
        <w:rPr>
          <w:rFonts w:ascii="Verdana" w:hAnsi="Verdana" w:eastAsia="DejaVu Sans" w:cs="Lohit Hindi"/>
          <w:color w:val="000000" w:themeColor="text1"/>
          <w:sz w:val="18"/>
          <w:szCs w:val="18"/>
          <w:lang w:eastAsia="nl-NL"/>
        </w:rPr>
        <w:t xml:space="preserve">. Het gaat dan om algemene uitzonderingen, die van toepassing zijn naast het per geval te beoordelen vereiste dat het stellen van deze voorwaarden en een gunningscriterium in </w:t>
      </w:r>
      <w:r w:rsidR="000E1A53">
        <w:rPr>
          <w:rFonts w:ascii="Verdana" w:hAnsi="Verdana" w:eastAsia="DejaVu Sans" w:cs="Lohit Hindi"/>
          <w:color w:val="000000" w:themeColor="text1"/>
          <w:sz w:val="18"/>
          <w:szCs w:val="18"/>
          <w:lang w:eastAsia="nl-NL"/>
        </w:rPr>
        <w:t>een redelijke</w:t>
      </w:r>
      <w:r>
        <w:rPr>
          <w:rFonts w:ascii="Verdana" w:hAnsi="Verdana" w:eastAsia="DejaVu Sans" w:cs="Lohit Hindi"/>
          <w:color w:val="000000" w:themeColor="text1"/>
          <w:sz w:val="18"/>
          <w:szCs w:val="18"/>
          <w:lang w:eastAsia="nl-NL"/>
        </w:rPr>
        <w:t xml:space="preserve"> verhouding moeten staan tot het voorwerp van de opdracht. </w:t>
      </w:r>
      <w:r w:rsidR="0057180B">
        <w:rPr>
          <w:rFonts w:ascii="Verdana" w:hAnsi="Verdana" w:eastAsia="DejaVu Sans" w:cs="Lohit Hindi"/>
          <w:color w:val="000000" w:themeColor="text1"/>
          <w:sz w:val="18"/>
          <w:szCs w:val="18"/>
          <w:lang w:eastAsia="nl-NL"/>
        </w:rPr>
        <w:t>Voorbeelden van deze uitzonderingen zijn gegeven in paragraaf 2.3 van het algemene deel van de toelichting.</w:t>
      </w:r>
    </w:p>
    <w:p w:rsidRPr="00E43A50" w:rsidR="00C67BCB" w:rsidP="00643E93" w:rsidRDefault="00C67BCB" w14:paraId="50ABF0E4" w14:textId="77777777">
      <w:pPr>
        <w:spacing w:line="276" w:lineRule="auto"/>
        <w:rPr>
          <w:rFonts w:ascii="Verdana" w:hAnsi="Verdana" w:eastAsia="DejaVu Sans" w:cs="Lohit Hindi"/>
          <w:color w:val="000000" w:themeColor="text1"/>
          <w:sz w:val="18"/>
          <w:szCs w:val="18"/>
          <w:lang w:eastAsia="nl-NL"/>
        </w:rPr>
      </w:pPr>
    </w:p>
    <w:p w:rsidRPr="007D28DB" w:rsidR="003C0789" w:rsidP="007D28DB" w:rsidRDefault="00210801" w14:paraId="7B5CAEB5" w14:textId="1C2070A7">
      <w:r w:rsidRPr="00184B72">
        <w:t>DE MINISTER VAN KLIMAAT EN GROENE GROEI,</w:t>
      </w:r>
    </w:p>
    <w:sectPr w:rsidRPr="007D28DB" w:rsidR="003C0789" w:rsidSect="00691C67">
      <w:headerReference w:type="default" r:id="rId11"/>
      <w:footerReference w:type="first" r:id="rId12"/>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E79A" w14:textId="77777777" w:rsidR="006D0FE1" w:rsidRDefault="006D0FE1">
      <w:pPr>
        <w:spacing w:after="0" w:line="240" w:lineRule="auto"/>
      </w:pPr>
      <w:r>
        <w:separator/>
      </w:r>
    </w:p>
  </w:endnote>
  <w:endnote w:type="continuationSeparator" w:id="0">
    <w:p w14:paraId="518015C1" w14:textId="77777777" w:rsidR="006D0FE1" w:rsidRDefault="006D0FE1">
      <w:pPr>
        <w:spacing w:after="0" w:line="240" w:lineRule="auto"/>
      </w:pPr>
      <w:r>
        <w:continuationSeparator/>
      </w:r>
    </w:p>
  </w:endnote>
  <w:endnote w:type="continuationNotice" w:id="1">
    <w:p w14:paraId="63BEDB0B" w14:textId="77777777" w:rsidR="006D0FE1" w:rsidRDefault="006D0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839167"/>
      <w:docPartObj>
        <w:docPartGallery w:val="Page Numbers (Bottom of Page)"/>
        <w:docPartUnique/>
      </w:docPartObj>
    </w:sdtPr>
    <w:sdtEndPr/>
    <w:sdtContent>
      <w:p w14:paraId="34116CF5" w14:textId="77777777" w:rsidR="00FC0A48" w:rsidRDefault="00FC0A48">
        <w:pPr>
          <w:pStyle w:val="Voettekst"/>
          <w:jc w:val="right"/>
        </w:pPr>
        <w:r>
          <w:fldChar w:fldCharType="begin"/>
        </w:r>
        <w:r>
          <w:instrText>PAGE   \* MERGEFORMAT</w:instrText>
        </w:r>
        <w:r>
          <w:fldChar w:fldCharType="separate"/>
        </w:r>
        <w:r>
          <w:t>2</w:t>
        </w:r>
        <w:r>
          <w:fldChar w:fldCharType="end"/>
        </w:r>
      </w:p>
    </w:sdtContent>
  </w:sdt>
  <w:p w14:paraId="1B8DC667" w14:textId="77777777" w:rsidR="00FC0A48" w:rsidRDefault="00FC0A48">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B46D" w14:textId="77777777" w:rsidR="006D0FE1" w:rsidRDefault="006D0FE1">
      <w:pPr>
        <w:spacing w:after="0" w:line="240" w:lineRule="auto"/>
      </w:pPr>
      <w:r>
        <w:separator/>
      </w:r>
    </w:p>
  </w:footnote>
  <w:footnote w:type="continuationSeparator" w:id="0">
    <w:p w14:paraId="59A5E689" w14:textId="77777777" w:rsidR="006D0FE1" w:rsidRDefault="006D0FE1">
      <w:pPr>
        <w:spacing w:after="0" w:line="240" w:lineRule="auto"/>
      </w:pPr>
      <w:r>
        <w:continuationSeparator/>
      </w:r>
    </w:p>
  </w:footnote>
  <w:footnote w:type="continuationNotice" w:id="1">
    <w:p w14:paraId="61BA30DA" w14:textId="77777777" w:rsidR="006D0FE1" w:rsidRDefault="006D0FE1">
      <w:pPr>
        <w:spacing w:after="0" w:line="240" w:lineRule="auto"/>
      </w:pPr>
    </w:p>
  </w:footnote>
  <w:footnote w:id="2">
    <w:p w14:paraId="56ACB7EE" w14:textId="77777777" w:rsidR="003A557A" w:rsidRPr="00D944A9" w:rsidRDefault="003A557A" w:rsidP="003A557A">
      <w:pPr>
        <w:pStyle w:val="Voetnoottekst"/>
        <w:rPr>
          <w:sz w:val="16"/>
          <w:szCs w:val="16"/>
          <w:lang w:val="nl-NL"/>
        </w:rPr>
      </w:pPr>
      <w:r w:rsidRPr="00C8572C">
        <w:rPr>
          <w:rStyle w:val="Voetnootmarkering"/>
          <w:sz w:val="16"/>
          <w:szCs w:val="16"/>
        </w:rPr>
        <w:footnoteRef/>
      </w:r>
      <w:r w:rsidRPr="00C8572C">
        <w:rPr>
          <w:sz w:val="16"/>
          <w:szCs w:val="16"/>
        </w:rPr>
        <w:t xml:space="preserve"> Europese Commissie. (2015). Closing the loop – An EU action plan for the Circular Economy. </w:t>
      </w:r>
      <w:r w:rsidRPr="00C8572C">
        <w:rPr>
          <w:sz w:val="16"/>
          <w:szCs w:val="16"/>
          <w:lang w:val="nl-NL"/>
        </w:rPr>
        <w:t xml:space="preserve">Brussel: Europese Commissie. </w:t>
      </w:r>
      <w:r w:rsidRPr="001F136E">
        <w:rPr>
          <w:sz w:val="16"/>
          <w:szCs w:val="16"/>
          <w:lang w:val="nl-NL"/>
        </w:rPr>
        <w:t xml:space="preserve">Beschikbaar via: </w:t>
      </w:r>
      <w:r w:rsidRPr="00C8572C">
        <w:rPr>
          <w:sz w:val="16"/>
          <w:szCs w:val="16"/>
          <w:lang w:val="nl-NL"/>
        </w:rPr>
        <w:t>www.ec.europa.eu/environment/circular-economy</w:t>
      </w:r>
    </w:p>
  </w:footnote>
  <w:footnote w:id="3">
    <w:p w14:paraId="3B190897" w14:textId="77777777" w:rsidR="003A557A" w:rsidRPr="00D944A9" w:rsidRDefault="003A557A" w:rsidP="003A557A">
      <w:pPr>
        <w:pStyle w:val="Voetnoottekst"/>
        <w:rPr>
          <w:sz w:val="16"/>
          <w:szCs w:val="16"/>
          <w:lang w:val="nl-NL"/>
        </w:rPr>
      </w:pPr>
      <w:r w:rsidRPr="00C8572C">
        <w:rPr>
          <w:rStyle w:val="Voetnootmarkering"/>
          <w:sz w:val="16"/>
          <w:szCs w:val="16"/>
        </w:rPr>
        <w:footnoteRef/>
      </w:r>
      <w:r w:rsidRPr="00C8572C">
        <w:rPr>
          <w:sz w:val="16"/>
          <w:szCs w:val="16"/>
          <w:lang w:val="nl-NL"/>
        </w:rPr>
        <w:t xml:space="preserve"> Raad van de Europese Unie. </w:t>
      </w:r>
      <w:r w:rsidRPr="00C8572C">
        <w:rPr>
          <w:sz w:val="16"/>
          <w:szCs w:val="16"/>
        </w:rPr>
        <w:t xml:space="preserve">(2016, 20 juni). Council conclusions on the EU action plan for the circular economy. </w:t>
      </w:r>
      <w:r w:rsidRPr="00C8572C">
        <w:rPr>
          <w:sz w:val="16"/>
          <w:szCs w:val="16"/>
          <w:lang w:val="nl-NL"/>
        </w:rPr>
        <w:t xml:space="preserve">Brussel: Raad van de EU. </w:t>
      </w:r>
      <w:r w:rsidRPr="001F136E">
        <w:rPr>
          <w:sz w:val="16"/>
          <w:szCs w:val="16"/>
          <w:lang w:val="nl-NL"/>
        </w:rPr>
        <w:t>Beschikbaar via:</w:t>
      </w:r>
      <w:r>
        <w:rPr>
          <w:sz w:val="16"/>
          <w:szCs w:val="16"/>
          <w:lang w:val="nl-NL"/>
        </w:rPr>
        <w:t xml:space="preserve"> </w:t>
      </w:r>
      <w:r w:rsidRPr="00C8572C">
        <w:rPr>
          <w:sz w:val="16"/>
          <w:szCs w:val="16"/>
          <w:lang w:val="nl-NL"/>
        </w:rPr>
        <w:t>www.consilium.europa.eu/media/23261/st09717en16f.pdf</w:t>
      </w:r>
    </w:p>
  </w:footnote>
  <w:footnote w:id="4">
    <w:p w14:paraId="131DA48C" w14:textId="77777777" w:rsidR="003A557A" w:rsidRPr="00D944A9" w:rsidRDefault="003A557A" w:rsidP="003A557A">
      <w:pPr>
        <w:pStyle w:val="Voetnoottekst"/>
        <w:rPr>
          <w:sz w:val="16"/>
          <w:szCs w:val="16"/>
          <w:lang w:val="nl-NL"/>
        </w:rPr>
      </w:pPr>
      <w:r w:rsidRPr="00C8572C">
        <w:rPr>
          <w:rStyle w:val="Voetnootmarkering"/>
          <w:sz w:val="16"/>
          <w:szCs w:val="16"/>
        </w:rPr>
        <w:footnoteRef/>
      </w:r>
      <w:r w:rsidRPr="00C8572C">
        <w:rPr>
          <w:sz w:val="16"/>
          <w:szCs w:val="16"/>
          <w:lang w:val="nl-NL"/>
        </w:rPr>
        <w:t xml:space="preserve"> Ministerie van Infrastructuur en Waterstaat. (2023, februari). Nationaal Programma Circulaire Economie 2023–2030. Den Haag: Rijksoverheid. </w:t>
      </w:r>
      <w:r w:rsidRPr="001F136E">
        <w:rPr>
          <w:sz w:val="16"/>
          <w:szCs w:val="16"/>
          <w:lang w:val="nl-NL"/>
        </w:rPr>
        <w:t>Beschikbaar via:</w:t>
      </w:r>
      <w:r>
        <w:rPr>
          <w:sz w:val="16"/>
          <w:szCs w:val="16"/>
          <w:lang w:val="nl-NL"/>
        </w:rPr>
        <w:t xml:space="preserve"> </w:t>
      </w:r>
      <w:r w:rsidRPr="00C8572C">
        <w:rPr>
          <w:sz w:val="16"/>
          <w:szCs w:val="16"/>
          <w:lang w:val="nl-NL"/>
        </w:rPr>
        <w:t>www.rijksoverheid.nl/npce-2023-2030</w:t>
      </w:r>
    </w:p>
  </w:footnote>
  <w:footnote w:id="5">
    <w:p w14:paraId="60BDBE16" w14:textId="77777777" w:rsidR="003A557A" w:rsidRPr="005B4CB1" w:rsidRDefault="003A557A" w:rsidP="003A557A">
      <w:pPr>
        <w:pStyle w:val="Voetnoottekst"/>
        <w:rPr>
          <w:lang w:val="nl-NL"/>
        </w:rPr>
      </w:pPr>
      <w:r>
        <w:rPr>
          <w:rStyle w:val="Voetnootmarkering"/>
        </w:rPr>
        <w:footnoteRef/>
      </w:r>
      <w:r w:rsidRPr="00796FCF">
        <w:rPr>
          <w:lang w:val="nl-NL"/>
        </w:rPr>
        <w:t xml:space="preserve"> </w:t>
      </w:r>
      <w:r w:rsidRPr="001F136E">
        <w:rPr>
          <w:sz w:val="16"/>
          <w:szCs w:val="16"/>
          <w:lang w:val="nl-NL"/>
        </w:rPr>
        <w:t>Hanemaaijer, A., Kishna, M. (projectleiding), Koch, J., Lucas, P., Rood, T., Schotten, K., &amp; Van Sluisveld, M. (2023). Integrale Circulaire Economie Rapportage 2023 (PBL-publicatienummer 4882). Den Haag: Planbureau voor de Leefomgeving. Beschikbaar via: www.pbl.nl/publicaties/integrale-circulaire-economie-rapportage-2023</w:t>
      </w:r>
    </w:p>
  </w:footnote>
  <w:footnote w:id="6">
    <w:p w14:paraId="5849F10F" w14:textId="77777777" w:rsidR="003A557A" w:rsidRPr="00F2248B" w:rsidRDefault="003A557A" w:rsidP="003A557A">
      <w:pPr>
        <w:pStyle w:val="Voetnoottekst"/>
        <w:rPr>
          <w:sz w:val="16"/>
          <w:szCs w:val="16"/>
          <w:lang w:val="nl-NL"/>
        </w:rPr>
      </w:pPr>
      <w:r>
        <w:rPr>
          <w:rStyle w:val="Voetnootmarkering"/>
        </w:rPr>
        <w:footnoteRef/>
      </w:r>
      <w:r w:rsidRPr="00BF1FD0">
        <w:rPr>
          <w:lang w:val="nl-NL"/>
        </w:rPr>
        <w:t xml:space="preserve"> </w:t>
      </w:r>
      <w:r w:rsidRPr="00C8572C">
        <w:rPr>
          <w:sz w:val="16"/>
          <w:szCs w:val="16"/>
          <w:lang w:val="nl-NL"/>
        </w:rPr>
        <w:t xml:space="preserve">Rijksinstituut voor Volksgezondheid en Milieu (RIVM). (2021). De milieu-impact van de jaarlijkse </w:t>
      </w:r>
      <w:r w:rsidRPr="00A76DFA">
        <w:rPr>
          <w:sz w:val="16"/>
          <w:szCs w:val="16"/>
          <w:lang w:val="nl-NL"/>
        </w:rPr>
        <w:t>85 miljard euro aan inkoop door alle Nederlandse overheden: Een studie die helpt bij prioriteren voor maatschappelijk verantwoord inkopen (MVI) (RIVM-rapport 2021-0219). Bilthoven: RIVM. Beschikbaar via: https://doi.org/10.21945/RIVM-2021-0219.</w:t>
      </w:r>
    </w:p>
  </w:footnote>
  <w:footnote w:id="7">
    <w:p w14:paraId="439E372D" w14:textId="77777777" w:rsidR="00127A7F" w:rsidRPr="00F2248B" w:rsidRDefault="00127A7F" w:rsidP="00127A7F">
      <w:pPr>
        <w:pStyle w:val="Voetnoottekst"/>
        <w:rPr>
          <w:lang w:val="nl-NL"/>
        </w:rPr>
      </w:pPr>
      <w:r w:rsidRPr="00F2248B">
        <w:rPr>
          <w:rStyle w:val="Voetnootmarkering"/>
          <w:sz w:val="16"/>
          <w:szCs w:val="16"/>
        </w:rPr>
        <w:footnoteRef/>
      </w:r>
      <w:r w:rsidRPr="00F2248B">
        <w:rPr>
          <w:sz w:val="16"/>
          <w:szCs w:val="16"/>
          <w:lang w:val="nl-NL"/>
        </w:rPr>
        <w:t xml:space="preserve"> S.A.M.J.V., Swartjes, J. &amp; Hekkert, M.P. (2022). Transitie naar een circulaire grond-, weg- en waterbouw in Nederland. Een missie-gedreven innovatie systeem analyse. Copernicus Institute of Sustainable Development, Utrecht University. Beschikbaar via: </w:t>
      </w:r>
      <w:r w:rsidRPr="00A76DFA">
        <w:rPr>
          <w:sz w:val="16"/>
          <w:szCs w:val="16"/>
          <w:lang w:val="nl-NL"/>
        </w:rPr>
        <w:t>https://zenodo.org/records/7273685#.Y5sdQcuZNhE</w:t>
      </w:r>
    </w:p>
  </w:footnote>
  <w:footnote w:id="8">
    <w:p w14:paraId="1F5FD08E" w14:textId="77777777" w:rsidR="003A557A" w:rsidRPr="00D944A9" w:rsidRDefault="003A557A" w:rsidP="003A557A">
      <w:pPr>
        <w:pStyle w:val="Geenafstand"/>
        <w:rPr>
          <w:sz w:val="16"/>
          <w:szCs w:val="16"/>
        </w:rPr>
      </w:pPr>
      <w:r w:rsidRPr="00C8572C">
        <w:rPr>
          <w:rStyle w:val="Voetnootmarkering"/>
          <w:b w:val="0"/>
          <w:sz w:val="16"/>
          <w:szCs w:val="16"/>
        </w:rPr>
        <w:footnoteRef/>
      </w:r>
      <w:r w:rsidRPr="00C8572C">
        <w:rPr>
          <w:b w:val="0"/>
          <w:sz w:val="16"/>
          <w:szCs w:val="16"/>
        </w:rPr>
        <w:t xml:space="preserve"> </w:t>
      </w:r>
      <w:r w:rsidRPr="00C8572C">
        <w:rPr>
          <w:rFonts w:eastAsia="Calibri" w:cs="Arial"/>
          <w:b w:val="0"/>
          <w:sz w:val="16"/>
          <w:szCs w:val="16"/>
        </w:rPr>
        <w:t>Hanemaaijer</w:t>
      </w:r>
      <w:r w:rsidRPr="00BF1FD0">
        <w:rPr>
          <w:rFonts w:eastAsia="Calibri" w:cs="Arial"/>
          <w:b w:val="0"/>
          <w:sz w:val="16"/>
          <w:szCs w:val="16"/>
        </w:rPr>
        <w:t>, A., Kishna, M. (projectleiding), Koch, J., Lucas, P., Rood, T., Schotten, K., &amp; Van Sluisveld, M. (2023). Integrale Circulaire Economie Rapportage 2023 (PBL-publicatienummer 4882). Den Haag: Planbureau voor de Leefomgeving. Beschikbaar via: www.pbl.nl/publicaties/integrale-circulaire-economie-rapportage-2023</w:t>
      </w:r>
    </w:p>
  </w:footnote>
  <w:footnote w:id="9">
    <w:p w14:paraId="185B0B95" w14:textId="6FA91BA8" w:rsidR="002539A2" w:rsidRPr="00F2248B" w:rsidRDefault="002539A2" w:rsidP="002539A2">
      <w:pPr>
        <w:pStyle w:val="Voetnoottekst"/>
        <w:rPr>
          <w:sz w:val="16"/>
          <w:szCs w:val="16"/>
          <w:lang w:val="nl-NL"/>
        </w:rPr>
      </w:pPr>
      <w:r w:rsidRPr="00F2248B">
        <w:rPr>
          <w:rStyle w:val="Voetnootmarkering"/>
          <w:sz w:val="16"/>
          <w:szCs w:val="16"/>
        </w:rPr>
        <w:footnoteRef/>
      </w:r>
      <w:r w:rsidRPr="00F2248B">
        <w:rPr>
          <w:sz w:val="16"/>
          <w:szCs w:val="16"/>
          <w:lang w:val="nl-NL"/>
        </w:rPr>
        <w:t xml:space="preserve"> </w:t>
      </w:r>
      <w:r w:rsidR="00A748CB" w:rsidRPr="00A748CB">
        <w:rPr>
          <w:sz w:val="16"/>
          <w:szCs w:val="16"/>
          <w:lang w:val="nl-NL"/>
        </w:rPr>
        <w:t>Economisch Instituut voor de Bouw (EIB). (2022). Materiaalstromen in de bouw en infra. Amsterdam: EIB. Beschikbaar via: www.eib.nl/publicaties/materiaalstromen-in-de-bouw-en-infra</w:t>
      </w:r>
    </w:p>
  </w:footnote>
  <w:footnote w:id="10">
    <w:p w14:paraId="0FC4E124" w14:textId="77777777" w:rsidR="00127A7F" w:rsidRPr="007A306C" w:rsidRDefault="00127A7F" w:rsidP="00127A7F">
      <w:pPr>
        <w:pStyle w:val="Voetnoottekst"/>
        <w:rPr>
          <w:lang w:val="nl-NL"/>
        </w:rPr>
      </w:pPr>
      <w:r w:rsidRPr="00F2248B">
        <w:rPr>
          <w:rStyle w:val="Voetnootmarkering"/>
          <w:sz w:val="16"/>
          <w:szCs w:val="16"/>
        </w:rPr>
        <w:footnoteRef/>
      </w:r>
      <w:r w:rsidRPr="00F2248B">
        <w:rPr>
          <w:sz w:val="16"/>
          <w:szCs w:val="16"/>
          <w:lang w:val="nl-NL"/>
        </w:rPr>
        <w:t xml:space="preserve"> EIB stelt dat de</w:t>
      </w:r>
      <w:r w:rsidRPr="00F2248B">
        <w:rPr>
          <w:rFonts w:eastAsia="Times New Roman" w:cs="Times New Roman"/>
          <w:sz w:val="16"/>
          <w:szCs w:val="16"/>
          <w:lang w:val="nl-NL"/>
        </w:rPr>
        <w:t xml:space="preserve"> totale MKI (milieukosten) van de bouw bijna €1,7 miljard bedroeg(en) in 2019, waarvan ongeveer 30% voor rekening komt van de GWW en 70% van de B&amp;U.</w:t>
      </w:r>
    </w:p>
  </w:footnote>
  <w:footnote w:id="11">
    <w:p w14:paraId="3507652B" w14:textId="77777777" w:rsidR="00272089" w:rsidRPr="00F2248B" w:rsidRDefault="00272089" w:rsidP="00272089">
      <w:pPr>
        <w:pStyle w:val="Voetnoottekst"/>
        <w:rPr>
          <w:sz w:val="16"/>
          <w:szCs w:val="16"/>
          <w:lang w:val="nl-NL"/>
        </w:rPr>
      </w:pPr>
      <w:r w:rsidRPr="00F2248B">
        <w:rPr>
          <w:rStyle w:val="Voetnootmarkering"/>
          <w:sz w:val="16"/>
          <w:szCs w:val="16"/>
        </w:rPr>
        <w:footnoteRef/>
      </w:r>
      <w:r w:rsidRPr="00F2248B">
        <w:rPr>
          <w:sz w:val="16"/>
          <w:szCs w:val="16"/>
          <w:lang w:val="nl-NL"/>
        </w:rPr>
        <w:t xml:space="preserve"> Steenmeijer et al (2021). De milieu-impact van de jaarlijkse 85 miljard euro aan inkoop door alle Nederlandse overheden Een studie die helpt bij prioriteren voor maatschappelijke verantwoord inkopen (MVI). RIVM. Beschikbaar via: https://www.rivm.nl/bibliotheek/rapporten/2021-0219.pdf</w:t>
      </w:r>
    </w:p>
  </w:footnote>
  <w:footnote w:id="12">
    <w:p w14:paraId="29104539" w14:textId="77777777" w:rsidR="002539A2" w:rsidRPr="0058302B" w:rsidRDefault="002539A2" w:rsidP="002539A2">
      <w:pPr>
        <w:pStyle w:val="Voetnoottekst"/>
        <w:rPr>
          <w:lang w:val="nl-NL"/>
        </w:rPr>
      </w:pPr>
      <w:r w:rsidRPr="00612383">
        <w:rPr>
          <w:rStyle w:val="Voetnootmarkering"/>
          <w:rFonts w:cs="Calibri"/>
          <w:sz w:val="16"/>
          <w:szCs w:val="16"/>
        </w:rPr>
        <w:footnoteRef/>
      </w:r>
      <w:r w:rsidRPr="00612383">
        <w:rPr>
          <w:rFonts w:cs="Calibri"/>
          <w:sz w:val="16"/>
          <w:szCs w:val="16"/>
          <w:lang w:val="nl-NL"/>
        </w:rPr>
        <w:t xml:space="preserve"> </w:t>
      </w:r>
      <w:r w:rsidRPr="00BF1FD0">
        <w:rPr>
          <w:rFonts w:cs="Calibri"/>
          <w:sz w:val="16"/>
          <w:szCs w:val="16"/>
          <w:lang w:val="nl-NL"/>
        </w:rPr>
        <w:t>Ministerie van Infrastructuur en Waterstaat. (2024, 31 mei). Toelichting circulair klimaatbeleid [Kamerstuk]. Den Haag: Rijksoverheid. Beschikbaar via: www.rijksoverheid.nl/documenten/kamerstukken/2024/05/31/toelichting-circulair-klimaatbeleid</w:t>
      </w:r>
    </w:p>
  </w:footnote>
  <w:footnote w:id="13">
    <w:p w14:paraId="555D483F" w14:textId="77777777" w:rsidR="002539A2" w:rsidRPr="00872E0C" w:rsidRDefault="002539A2" w:rsidP="002539A2">
      <w:pPr>
        <w:pStyle w:val="Voetnoottekst"/>
        <w:rPr>
          <w:lang w:val="nl-NL"/>
        </w:rPr>
      </w:pPr>
      <w:r>
        <w:rPr>
          <w:rStyle w:val="Voetnootmarkering"/>
        </w:rPr>
        <w:footnoteRef/>
      </w:r>
      <w:r w:rsidRPr="00872E0C">
        <w:rPr>
          <w:lang w:val="nl-NL"/>
        </w:rPr>
        <w:t xml:space="preserve"> </w:t>
      </w:r>
      <w:r w:rsidRPr="00C8572C">
        <w:rPr>
          <w:rFonts w:eastAsia="Times New Roman" w:cstheme="minorBidi"/>
          <w:sz w:val="16"/>
          <w:szCs w:val="16"/>
          <w:lang w:val="nl-NL"/>
        </w:rPr>
        <w:t>Klimaatneutrale en circulaire infrastructuurprojecten: het ministerie van IenW werkt sinds 2019 met de strategie Klimaatneutrale en Circulaire Infrastructuur (KCI) naar klimaatneutrale en circulaire Rijksinfraprojecten, vanuit de ambitie om uiterlijk in 2030 volledig klimaatneutraal te zijn en circulair te werken. De focus van de aanpak ligt bij de werkterreinen met de meeste klimaat- en grondstoffenimpact. Dit zijn: wegverharding, kunstwerken, kustlijnzorg &amp; vaargeulonderhoud, weg- dijk- spoormaterieel en spoor. Samen met belanghebbenden uit de markt, andere publieke opdrachtgevers en kennisinstellingen ontwikkel het ministerie voor elk van deze werkterreinen een transitiepad waarin de meest realistische route naar 2030 worden bepaald.</w:t>
      </w:r>
    </w:p>
  </w:footnote>
  <w:footnote w:id="14">
    <w:p w14:paraId="20919B38" w14:textId="60772807" w:rsidR="009D46DF" w:rsidRPr="00A630BD" w:rsidRDefault="009D46DF">
      <w:pPr>
        <w:pStyle w:val="Voetnoottekst"/>
        <w:rPr>
          <w:sz w:val="16"/>
          <w:szCs w:val="16"/>
          <w:lang w:val="nl-NL"/>
        </w:rPr>
      </w:pPr>
      <w:r w:rsidRPr="00A630BD">
        <w:rPr>
          <w:rStyle w:val="Voetnootmarkering"/>
          <w:sz w:val="16"/>
          <w:szCs w:val="16"/>
        </w:rPr>
        <w:footnoteRef/>
      </w:r>
      <w:r w:rsidR="007D7E3A">
        <w:rPr>
          <w:sz w:val="16"/>
          <w:szCs w:val="16"/>
          <w:lang w:val="nl-NL"/>
        </w:rPr>
        <w:t xml:space="preserve"> </w:t>
      </w:r>
      <w:r w:rsidR="007D7E3A" w:rsidRPr="00A630BD">
        <w:rPr>
          <w:rStyle w:val="Hyperlink"/>
          <w:color w:val="auto"/>
          <w:sz w:val="16"/>
          <w:szCs w:val="16"/>
          <w:u w:val="none"/>
          <w:lang w:val="nl-NL"/>
        </w:rPr>
        <w:t xml:space="preserve">Hendriks, R. H., &amp; Grul, W. S. (2024). </w:t>
      </w:r>
      <w:r w:rsidR="007D7E3A" w:rsidRPr="00A630BD">
        <w:rPr>
          <w:rStyle w:val="Hyperlink"/>
          <w:i/>
          <w:iCs/>
          <w:color w:val="auto"/>
          <w:sz w:val="16"/>
          <w:szCs w:val="16"/>
          <w:u w:val="none"/>
          <w:lang w:val="nl-NL"/>
        </w:rPr>
        <w:t>Toepassingsgebied dwingende MKI in de GWW</w:t>
      </w:r>
      <w:r w:rsidR="007D7E3A" w:rsidRPr="00A630BD">
        <w:rPr>
          <w:rStyle w:val="Hyperlink"/>
          <w:color w:val="auto"/>
          <w:sz w:val="16"/>
          <w:szCs w:val="16"/>
          <w:u w:val="none"/>
          <w:lang w:val="nl-NL"/>
        </w:rPr>
        <w:t>. Witteveen+Bos. Beschikbaar via: https://www.rijksoverheid.nl/documenten/rapporten/2024/02/13/bijlage-4-rapport-toepassingsgebied-dwingende-mki-in-de-gww</w:t>
      </w:r>
    </w:p>
  </w:footnote>
  <w:footnote w:id="15">
    <w:p w14:paraId="117901AA" w14:textId="0D9BF4B1" w:rsidR="009D46DF" w:rsidRPr="00A630BD" w:rsidRDefault="009D46DF">
      <w:pPr>
        <w:pStyle w:val="Voetnoottekst"/>
        <w:rPr>
          <w:sz w:val="16"/>
          <w:szCs w:val="16"/>
          <w:lang w:val="nl-NL"/>
        </w:rPr>
      </w:pPr>
      <w:r w:rsidRPr="00A630BD">
        <w:rPr>
          <w:rStyle w:val="Voetnootmarkering"/>
          <w:sz w:val="16"/>
          <w:szCs w:val="16"/>
        </w:rPr>
        <w:footnoteRef/>
      </w:r>
      <w:r w:rsidR="007D7E3A">
        <w:rPr>
          <w:sz w:val="16"/>
          <w:szCs w:val="16"/>
          <w:lang w:val="nl-NL"/>
        </w:rPr>
        <w:t xml:space="preserve"> </w:t>
      </w:r>
      <w:r w:rsidR="007D7E3A" w:rsidRPr="00A630BD">
        <w:rPr>
          <w:rStyle w:val="Hyperlink"/>
          <w:color w:val="auto"/>
          <w:sz w:val="16"/>
          <w:szCs w:val="16"/>
          <w:u w:val="none"/>
          <w:lang w:val="nl-NL"/>
        </w:rPr>
        <w:t xml:space="preserve">Hendriks, R. H., &amp; Grul, W. S. (2024). </w:t>
      </w:r>
      <w:r w:rsidR="007D7E3A" w:rsidRPr="00A630BD">
        <w:rPr>
          <w:rStyle w:val="Hyperlink"/>
          <w:i/>
          <w:iCs/>
          <w:color w:val="auto"/>
          <w:sz w:val="16"/>
          <w:szCs w:val="16"/>
          <w:u w:val="none"/>
          <w:lang w:val="nl-NL"/>
        </w:rPr>
        <w:t>Toepassingsgebied dwingende MKI in de GWW</w:t>
      </w:r>
      <w:r w:rsidR="007D7E3A" w:rsidRPr="00A630BD">
        <w:rPr>
          <w:rStyle w:val="Hyperlink"/>
          <w:color w:val="auto"/>
          <w:sz w:val="16"/>
          <w:szCs w:val="16"/>
          <w:u w:val="none"/>
          <w:lang w:val="nl-NL"/>
        </w:rPr>
        <w:t>. Witteveen+Bos. Beschikbaar via: https://www.rijksoverheid.nl/documenten/rapporten/2024/02/13/bijlage-4-rapport-toepassingsgebied-dwingende-mki-in-de-gww</w:t>
      </w:r>
    </w:p>
  </w:footnote>
  <w:footnote w:id="16">
    <w:p w14:paraId="21755F6A" w14:textId="1C32B50C" w:rsidR="009D46DF" w:rsidRPr="005B4CB1" w:rsidRDefault="009D46DF">
      <w:pPr>
        <w:pStyle w:val="Voetnoottekst"/>
        <w:rPr>
          <w:lang w:val="nl-NL"/>
        </w:rPr>
      </w:pPr>
      <w:r w:rsidRPr="00A630BD">
        <w:rPr>
          <w:rStyle w:val="Voetnootmarkering"/>
          <w:sz w:val="16"/>
          <w:szCs w:val="16"/>
        </w:rPr>
        <w:footnoteRef/>
      </w:r>
      <w:r w:rsidRPr="00A630BD">
        <w:rPr>
          <w:sz w:val="16"/>
          <w:szCs w:val="16"/>
          <w:lang w:val="nl-NL"/>
        </w:rPr>
        <w:t xml:space="preserve"> </w:t>
      </w:r>
      <w:r w:rsidR="007D7E3A" w:rsidRPr="00A630BD">
        <w:rPr>
          <w:rStyle w:val="Hyperlink"/>
          <w:color w:val="auto"/>
          <w:sz w:val="16"/>
          <w:szCs w:val="16"/>
          <w:u w:val="none"/>
          <w:lang w:val="nl-NL"/>
        </w:rPr>
        <w:t xml:space="preserve">Bosch, S., Peeters, T., Dijcker, R., Hendriks, R., Hoppe, F., &amp; Bakker, E. (2024). </w:t>
      </w:r>
      <w:r w:rsidR="007D7E3A" w:rsidRPr="00A630BD">
        <w:rPr>
          <w:rStyle w:val="Hyperlink"/>
          <w:i/>
          <w:iCs/>
          <w:color w:val="auto"/>
          <w:sz w:val="16"/>
          <w:szCs w:val="16"/>
          <w:u w:val="none"/>
          <w:lang w:val="nl-NL"/>
        </w:rPr>
        <w:t>Beleidsadvies sturende MKI</w:t>
      </w:r>
      <w:r w:rsidR="007D7E3A" w:rsidRPr="00A630BD">
        <w:rPr>
          <w:rStyle w:val="Hyperlink"/>
          <w:color w:val="auto"/>
          <w:sz w:val="16"/>
          <w:szCs w:val="16"/>
          <w:u w:val="none"/>
          <w:lang w:val="nl-NL"/>
        </w:rPr>
        <w:t>. Copper8, Witteveen+Bos &amp; Flux Partners. Beschikbaar via: https://www.rijksoverheid.nl/documenten/rapporten/2024/05/31/bijlage-3-beleidsadvies-sturende-mki</w:t>
      </w:r>
    </w:p>
  </w:footnote>
  <w:footnote w:id="17">
    <w:p w14:paraId="6741234B" w14:textId="77777777" w:rsidR="000515C7" w:rsidRPr="005B4CB1" w:rsidRDefault="000515C7" w:rsidP="000515C7">
      <w:pPr>
        <w:pStyle w:val="Voetnoottekst"/>
        <w:rPr>
          <w:sz w:val="16"/>
          <w:szCs w:val="16"/>
          <w:lang w:val="nl-NL"/>
        </w:rPr>
      </w:pPr>
      <w:r w:rsidRPr="005B4CB1">
        <w:rPr>
          <w:rStyle w:val="Voetnootmarkering"/>
          <w:sz w:val="16"/>
          <w:szCs w:val="16"/>
        </w:rPr>
        <w:footnoteRef/>
      </w:r>
      <w:r w:rsidRPr="008D24B9">
        <w:rPr>
          <w:sz w:val="16"/>
          <w:szCs w:val="16"/>
          <w:lang w:val="de-DE"/>
        </w:rPr>
        <w:t xml:space="preserve"> Bosch, S</w:t>
      </w:r>
      <w:r>
        <w:rPr>
          <w:sz w:val="16"/>
          <w:szCs w:val="16"/>
          <w:lang w:val="de-DE"/>
        </w:rPr>
        <w:t>.,</w:t>
      </w:r>
      <w:r w:rsidRPr="008D24B9">
        <w:rPr>
          <w:lang w:val="de-DE"/>
        </w:rPr>
        <w:t xml:space="preserve"> </w:t>
      </w:r>
      <w:r w:rsidRPr="00E124EE">
        <w:rPr>
          <w:sz w:val="16"/>
          <w:szCs w:val="16"/>
          <w:lang w:val="de-DE"/>
        </w:rPr>
        <w:t>Peeters, T., Hendriks, R., Preso, S., Hoog Antink, E., &amp; Schweitzer, G.</w:t>
      </w:r>
      <w:r>
        <w:rPr>
          <w:sz w:val="16"/>
          <w:szCs w:val="16"/>
          <w:lang w:val="de-DE"/>
        </w:rPr>
        <w:t xml:space="preserve"> </w:t>
      </w:r>
      <w:r w:rsidRPr="008D24B9">
        <w:rPr>
          <w:sz w:val="16"/>
          <w:szCs w:val="16"/>
          <w:lang w:val="de-DE"/>
        </w:rPr>
        <w:t xml:space="preserve">(2023). </w:t>
      </w:r>
      <w:r w:rsidRPr="008D24B9">
        <w:rPr>
          <w:i/>
          <w:iCs/>
          <w:sz w:val="16"/>
          <w:szCs w:val="16"/>
          <w:lang w:val="nl-NL"/>
        </w:rPr>
        <w:t>Inkopen met MKI in de GWW: Evaluatie van de Actie-agenda</w:t>
      </w:r>
      <w:r w:rsidRPr="007D7E3A">
        <w:rPr>
          <w:sz w:val="16"/>
          <w:szCs w:val="16"/>
          <w:lang w:val="nl-NL"/>
        </w:rPr>
        <w:t>. Copper8, Witteveen+Bos &amp; Rijkswaterstaat. Beschikbaar via:</w:t>
      </w:r>
      <w:r>
        <w:rPr>
          <w:sz w:val="16"/>
          <w:szCs w:val="16"/>
          <w:lang w:val="nl-NL"/>
        </w:rPr>
        <w:t xml:space="preserve"> </w:t>
      </w:r>
      <w:r w:rsidRPr="007D7E3A">
        <w:rPr>
          <w:sz w:val="16"/>
          <w:szCs w:val="16"/>
          <w:lang w:val="nl-NL"/>
        </w:rPr>
        <w:t>https://open.rijkswaterstaat.nl/open-overheid/@269293/inkopen-mki-gww-evaluatie-actie-agenda/</w:t>
      </w:r>
    </w:p>
  </w:footnote>
  <w:footnote w:id="18">
    <w:p w14:paraId="5A77C9CA" w14:textId="77777777" w:rsidR="00123DB9" w:rsidRPr="00976016" w:rsidRDefault="00123DB9" w:rsidP="00123DB9">
      <w:pPr>
        <w:pStyle w:val="Voetnoottekst"/>
        <w:rPr>
          <w:sz w:val="16"/>
          <w:szCs w:val="16"/>
          <w:lang w:val="nl-NL"/>
        </w:rPr>
      </w:pPr>
      <w:r w:rsidRPr="00976016">
        <w:rPr>
          <w:rStyle w:val="Voetnootmarkering"/>
          <w:sz w:val="16"/>
          <w:szCs w:val="16"/>
        </w:rPr>
        <w:footnoteRef/>
      </w:r>
      <w:r w:rsidRPr="00976016">
        <w:rPr>
          <w:sz w:val="16"/>
          <w:szCs w:val="16"/>
          <w:lang w:val="nl-NL"/>
        </w:rPr>
        <w:t xml:space="preserve"> De Euro</w:t>
      </w:r>
      <w:r>
        <w:rPr>
          <w:sz w:val="16"/>
          <w:szCs w:val="16"/>
          <w:lang w:val="nl-NL"/>
        </w:rPr>
        <w:t>pese Aanbestedingsgrens is een drempelwaarde die elke twee jaar door de Europese Commissie wordt vastgesteld. Wanneer de waarde van een werk boven die drempelwaarde uitkomt, is de aanbestedende dienst verplicht om Europees aan te besteden. Voor 2024 en 2025 is deze waarde vastgesteld op €5.538.00 exclusief BTW.</w:t>
      </w:r>
    </w:p>
  </w:footnote>
  <w:footnote w:id="19">
    <w:p w14:paraId="73BBE5AE" w14:textId="49396D13" w:rsidR="009F2EA8" w:rsidRPr="00182F3D" w:rsidRDefault="009F2EA8">
      <w:pPr>
        <w:pStyle w:val="Voetnoottekst"/>
        <w:rPr>
          <w:sz w:val="16"/>
          <w:szCs w:val="16"/>
          <w:lang w:val="nl-NL"/>
        </w:rPr>
      </w:pPr>
      <w:r w:rsidRPr="00182F3D">
        <w:rPr>
          <w:rStyle w:val="Voetnootmarkering"/>
          <w:sz w:val="16"/>
          <w:szCs w:val="16"/>
        </w:rPr>
        <w:footnoteRef/>
      </w:r>
      <w:r w:rsidRPr="00182F3D">
        <w:rPr>
          <w:sz w:val="16"/>
          <w:szCs w:val="16"/>
          <w:lang w:val="nl-NL"/>
        </w:rPr>
        <w:t xml:space="preserve"> </w:t>
      </w:r>
      <w:r w:rsidR="00182F3D" w:rsidRPr="00182F3D">
        <w:rPr>
          <w:sz w:val="16"/>
          <w:szCs w:val="16"/>
          <w:lang w:val="nl-NL"/>
        </w:rPr>
        <w:t>Economisch Instituut voor de Bouw (EIB). (2022). Materiaalstromen in de bouw en infra. Amsterdam: EIB. Beschikbaar via: www.eib.nl/publicaties/materiaalstromen-in-de-bouw-en-infra</w:t>
      </w:r>
    </w:p>
  </w:footnote>
  <w:footnote w:id="20">
    <w:p w14:paraId="19DE5835" w14:textId="6058410F" w:rsidR="00FD5F41" w:rsidRPr="007923FD" w:rsidRDefault="00FD5F41" w:rsidP="00FD5F41">
      <w:pPr>
        <w:pStyle w:val="Voetnoottekst"/>
        <w:rPr>
          <w:lang w:val="nl-NL"/>
        </w:rPr>
      </w:pPr>
      <w:r w:rsidRPr="00D2432E">
        <w:rPr>
          <w:rStyle w:val="Voetnootmarkering"/>
          <w:sz w:val="16"/>
          <w:szCs w:val="16"/>
        </w:rPr>
        <w:footnoteRef/>
      </w:r>
      <w:r w:rsidRPr="00D2432E">
        <w:rPr>
          <w:sz w:val="16"/>
          <w:szCs w:val="16"/>
          <w:lang w:val="nl-NL"/>
        </w:rPr>
        <w:t xml:space="preserve"> </w:t>
      </w:r>
      <w:r w:rsidR="007D7E3A" w:rsidRPr="00D2432E">
        <w:rPr>
          <w:rStyle w:val="Hyperlink"/>
          <w:color w:val="auto"/>
          <w:sz w:val="16"/>
          <w:szCs w:val="16"/>
          <w:u w:val="none"/>
          <w:lang w:val="nl-NL"/>
        </w:rPr>
        <w:t xml:space="preserve">Hendriks, R. H., &amp; Grul, W. S. (2024). </w:t>
      </w:r>
      <w:r w:rsidR="007D7E3A" w:rsidRPr="00D2432E">
        <w:rPr>
          <w:rStyle w:val="Hyperlink"/>
          <w:i/>
          <w:iCs/>
          <w:color w:val="auto"/>
          <w:sz w:val="16"/>
          <w:szCs w:val="16"/>
          <w:u w:val="none"/>
          <w:lang w:val="nl-NL"/>
        </w:rPr>
        <w:t>Toepassingsgebied dwingende MKI in de GWW</w:t>
      </w:r>
      <w:r w:rsidR="007D7E3A" w:rsidRPr="00D2432E">
        <w:rPr>
          <w:rStyle w:val="Hyperlink"/>
          <w:color w:val="auto"/>
          <w:sz w:val="16"/>
          <w:szCs w:val="16"/>
          <w:u w:val="none"/>
          <w:lang w:val="nl-NL"/>
        </w:rPr>
        <w:t>.</w:t>
      </w:r>
      <w:r w:rsidRPr="00D2432E">
        <w:rPr>
          <w:rStyle w:val="Hyperlink"/>
          <w:color w:val="auto"/>
          <w:sz w:val="16"/>
          <w:szCs w:val="16"/>
          <w:u w:val="none"/>
          <w:lang w:val="nl-NL"/>
        </w:rPr>
        <w:t xml:space="preserve"> Witteveen+Bos</w:t>
      </w:r>
      <w:r w:rsidR="007D7E3A" w:rsidRPr="00D2432E">
        <w:rPr>
          <w:rStyle w:val="Hyperlink"/>
          <w:color w:val="auto"/>
          <w:sz w:val="16"/>
          <w:szCs w:val="16"/>
          <w:u w:val="none"/>
          <w:lang w:val="nl-NL"/>
        </w:rPr>
        <w:t>. Beschikbaar via: https://www.rijksoverheid.nl/documenten/rapporten/2024/02/13/bijlage-4-rapport-toepassingsgebied-dwingende-mki-in-de-gww</w:t>
      </w:r>
      <w:r w:rsidR="007D7E3A" w:rsidRPr="00D2432E">
        <w:rPr>
          <w:sz w:val="16"/>
          <w:szCs w:val="16"/>
          <w:lang w:val="nl-NL"/>
        </w:rPr>
        <w:t>.</w:t>
      </w:r>
      <w:r w:rsidRPr="00D2432E">
        <w:rPr>
          <w:sz w:val="16"/>
          <w:szCs w:val="16"/>
          <w:lang w:val="nl-NL"/>
        </w:rPr>
        <w:t xml:space="preserve"> De materialen </w:t>
      </w:r>
      <w:r w:rsidRPr="00FD5F41">
        <w:rPr>
          <w:sz w:val="16"/>
          <w:szCs w:val="16"/>
          <w:lang w:val="nl-NL"/>
        </w:rPr>
        <w:t>beton, staal en asfalt veroorzaken samen minimaal</w:t>
      </w:r>
      <w:r w:rsidRPr="007923FD">
        <w:rPr>
          <w:sz w:val="16"/>
          <w:szCs w:val="16"/>
          <w:lang w:val="nl-NL"/>
        </w:rPr>
        <w:t xml:space="preserve"> 43</w:t>
      </w:r>
      <w:r>
        <w:rPr>
          <w:sz w:val="16"/>
          <w:szCs w:val="16"/>
          <w:lang w:val="nl-NL"/>
        </w:rPr>
        <w:t xml:space="preserve"> procent</w:t>
      </w:r>
      <w:r w:rsidRPr="007923FD">
        <w:rPr>
          <w:sz w:val="16"/>
          <w:szCs w:val="16"/>
          <w:lang w:val="nl-NL"/>
        </w:rPr>
        <w:t xml:space="preserve"> van de totale milieu-impact van de GWW, ten opzichte van 12</w:t>
      </w:r>
      <w:r>
        <w:rPr>
          <w:sz w:val="16"/>
          <w:szCs w:val="16"/>
          <w:lang w:val="nl-NL"/>
        </w:rPr>
        <w:t xml:space="preserve"> procent</w:t>
      </w:r>
      <w:r w:rsidRPr="007923FD">
        <w:rPr>
          <w:sz w:val="16"/>
          <w:szCs w:val="16"/>
          <w:lang w:val="nl-NL"/>
        </w:rPr>
        <w:t xml:space="preserve"> voor andere materialen. De overige 45</w:t>
      </w:r>
      <w:r>
        <w:rPr>
          <w:sz w:val="16"/>
          <w:szCs w:val="16"/>
          <w:lang w:val="nl-NL"/>
        </w:rPr>
        <w:t xml:space="preserve"> procent</w:t>
      </w:r>
      <w:r w:rsidRPr="007923FD">
        <w:rPr>
          <w:sz w:val="16"/>
          <w:szCs w:val="16"/>
          <w:lang w:val="nl-NL"/>
        </w:rPr>
        <w:t xml:space="preserve"> van de impact is onbekend, vanwege ontbrekende data. Omdat deze ontbrekende data betrekking heeft op grondwerk, waterbouw en ondergrondse infra zijn ook hier beton en staal verantwoordelijk voor een deel van de impact. Door de onderzoekers wordt op basis van een extrapolatie ingeschat dat het totale aandeel van deze materialen op de milieu-impact in de GWW 69</w:t>
      </w:r>
      <w:r>
        <w:rPr>
          <w:sz w:val="16"/>
          <w:szCs w:val="16"/>
          <w:lang w:val="nl-NL"/>
        </w:rPr>
        <w:t xml:space="preserve"> procent</w:t>
      </w:r>
      <w:r w:rsidRPr="007923FD">
        <w:rPr>
          <w:sz w:val="16"/>
          <w:szCs w:val="16"/>
          <w:lang w:val="nl-NL"/>
        </w:rPr>
        <w:t xml:space="preserve"> is. </w:t>
      </w:r>
    </w:p>
  </w:footnote>
  <w:footnote w:id="21">
    <w:p w14:paraId="7285E2B3" w14:textId="77777777" w:rsidR="000465A7" w:rsidRPr="00872E0C" w:rsidRDefault="000465A7" w:rsidP="000465A7">
      <w:pPr>
        <w:pStyle w:val="Voetnoottekst"/>
        <w:rPr>
          <w:sz w:val="16"/>
          <w:szCs w:val="16"/>
          <w:lang w:val="nl-NL"/>
        </w:rPr>
      </w:pPr>
      <w:r w:rsidRPr="00872E0C">
        <w:rPr>
          <w:rStyle w:val="Voetnootmarkering"/>
          <w:sz w:val="16"/>
          <w:szCs w:val="16"/>
        </w:rPr>
        <w:footnoteRef/>
      </w:r>
      <w:r w:rsidRPr="00872E0C">
        <w:rPr>
          <w:sz w:val="16"/>
          <w:szCs w:val="16"/>
          <w:lang w:val="nl-NL"/>
        </w:rPr>
        <w:t xml:space="preserve"> Dit zijn voor de GWW standaard toegepaste contractvormen. </w:t>
      </w:r>
      <w:r w:rsidRPr="00872E0C">
        <w:rPr>
          <w:sz w:val="16"/>
          <w:szCs w:val="16"/>
          <w:lang w:val="nl-NL"/>
        </w:rPr>
        <w:br/>
        <w:t>RAW: Rationalisatie en Automatisering Grond-, Weg- en Waterbouw</w:t>
      </w:r>
      <w:r w:rsidRPr="00872E0C">
        <w:rPr>
          <w:sz w:val="16"/>
          <w:szCs w:val="16"/>
          <w:lang w:val="nl-NL"/>
        </w:rPr>
        <w:br/>
        <w:t>UAV: Uniforme Administratieve Voorwaarden</w:t>
      </w:r>
      <w:r w:rsidRPr="00872E0C">
        <w:rPr>
          <w:sz w:val="16"/>
          <w:szCs w:val="16"/>
          <w:lang w:val="nl-NL"/>
        </w:rPr>
        <w:br/>
        <w:t>UAV-GC: Uniforme Administratieve Voorwaarden voor Geïntegreerde Contracten</w:t>
      </w:r>
    </w:p>
  </w:footnote>
  <w:footnote w:id="22">
    <w:p w14:paraId="16190D30" w14:textId="64EBAD8B" w:rsidR="002822F2" w:rsidRPr="005B4CB1" w:rsidRDefault="002822F2" w:rsidP="002822F2">
      <w:pPr>
        <w:pStyle w:val="Voetnoottekst"/>
        <w:rPr>
          <w:sz w:val="16"/>
          <w:szCs w:val="16"/>
          <w:lang w:val="nl-NL"/>
        </w:rPr>
      </w:pPr>
      <w:r w:rsidRPr="005B4CB1">
        <w:rPr>
          <w:rStyle w:val="Voetnootmarkering"/>
          <w:sz w:val="16"/>
          <w:szCs w:val="16"/>
        </w:rPr>
        <w:footnoteRef/>
      </w:r>
      <w:r w:rsidRPr="005B4CB1">
        <w:rPr>
          <w:sz w:val="16"/>
          <w:szCs w:val="16"/>
          <w:lang w:val="nl-NL"/>
        </w:rPr>
        <w:t xml:space="preserve"> </w:t>
      </w:r>
      <w:r w:rsidR="00182F3D" w:rsidRPr="00182F3D">
        <w:rPr>
          <w:sz w:val="16"/>
          <w:szCs w:val="16"/>
          <w:lang w:val="nl-NL"/>
        </w:rPr>
        <w:t>PIANOo. (2020). Aanbestedingsreglement Werken 2016 (ARW 2016), zoals gepubliceerd in de Staatscourant. Den Haag: Expertisecentrum Aanbesteden. Beschikbaar via: www.pianoo.nl/sites/default/files/media/documents/ARW%202016%20zoals%20gepubliceerd%20in%20Staatscourant%202020.pdf</w:t>
      </w:r>
    </w:p>
  </w:footnote>
  <w:footnote w:id="23">
    <w:p w14:paraId="21DB579E" w14:textId="77777777" w:rsidR="003B0991" w:rsidRPr="00D944A9" w:rsidRDefault="003B0991" w:rsidP="003B0991">
      <w:pPr>
        <w:pStyle w:val="Geenafstand"/>
        <w:rPr>
          <w:b w:val="0"/>
          <w:sz w:val="16"/>
          <w:szCs w:val="16"/>
        </w:rPr>
      </w:pPr>
      <w:r w:rsidRPr="007A6128">
        <w:rPr>
          <w:rStyle w:val="Voetnootmarkering"/>
          <w:b w:val="0"/>
          <w:bCs/>
          <w:sz w:val="16"/>
          <w:szCs w:val="16"/>
        </w:rPr>
        <w:footnoteRef/>
      </w:r>
      <w:r w:rsidRPr="007A6128">
        <w:rPr>
          <w:b w:val="0"/>
          <w:bCs/>
          <w:sz w:val="16"/>
          <w:szCs w:val="16"/>
        </w:rPr>
        <w:t xml:space="preserve"> Met kosten word</w:t>
      </w:r>
      <w:r>
        <w:rPr>
          <w:b w:val="0"/>
          <w:bCs/>
          <w:sz w:val="16"/>
          <w:szCs w:val="16"/>
        </w:rPr>
        <w:t>en</w:t>
      </w:r>
      <w:r w:rsidRPr="007A6128">
        <w:rPr>
          <w:b w:val="0"/>
          <w:bCs/>
          <w:sz w:val="16"/>
          <w:szCs w:val="16"/>
        </w:rPr>
        <w:t xml:space="preserve"> </w:t>
      </w:r>
      <w:r>
        <w:rPr>
          <w:b w:val="0"/>
          <w:bCs/>
          <w:sz w:val="16"/>
          <w:szCs w:val="16"/>
        </w:rPr>
        <w:t>hier</w:t>
      </w:r>
      <w:r w:rsidRPr="007A6128">
        <w:rPr>
          <w:b w:val="0"/>
          <w:bCs/>
          <w:sz w:val="16"/>
          <w:szCs w:val="16"/>
        </w:rPr>
        <w:t xml:space="preserve"> zowel de proceskosten als de materiaalkosten en de kosten in tijdsbesteding voor de aanbestedende dienst bedoeld.</w:t>
      </w:r>
    </w:p>
  </w:footnote>
  <w:footnote w:id="24">
    <w:p w14:paraId="0FD4C021" w14:textId="2645875D" w:rsidR="00802540" w:rsidRPr="00F2248B" w:rsidRDefault="00802540">
      <w:pPr>
        <w:pStyle w:val="Voetnoottekst"/>
        <w:rPr>
          <w:sz w:val="16"/>
          <w:szCs w:val="16"/>
          <w:lang w:val="nl-NL"/>
        </w:rPr>
      </w:pPr>
      <w:r w:rsidRPr="00F2248B">
        <w:rPr>
          <w:rStyle w:val="Voetnootmarkering"/>
          <w:sz w:val="16"/>
          <w:szCs w:val="16"/>
        </w:rPr>
        <w:footnoteRef/>
      </w:r>
      <w:r w:rsidRPr="00F2248B">
        <w:rPr>
          <w:sz w:val="16"/>
          <w:szCs w:val="16"/>
          <w:lang w:val="nl-NL"/>
        </w:rPr>
        <w:t xml:space="preserve"> Deze keuze is gemaakt op basis van onderzoek </w:t>
      </w:r>
      <w:r w:rsidR="0090676D">
        <w:rPr>
          <w:sz w:val="16"/>
          <w:szCs w:val="16"/>
          <w:lang w:val="nl-NL"/>
        </w:rPr>
        <w:t xml:space="preserve">naar de juridische inpassing van de beleidsmaatregelen. Bron: </w:t>
      </w:r>
      <w:r w:rsidRPr="00F2248B">
        <w:rPr>
          <w:sz w:val="16"/>
          <w:szCs w:val="16"/>
          <w:lang w:val="nl-NL"/>
        </w:rPr>
        <w:t xml:space="preserve">Hoppe, F., &amp; Bakker, E. (2024). </w:t>
      </w:r>
      <w:r w:rsidR="001E609C" w:rsidRPr="00F2248B">
        <w:rPr>
          <w:sz w:val="16"/>
          <w:szCs w:val="16"/>
          <w:lang w:val="nl-NL"/>
        </w:rPr>
        <w:t>Dwingende MKI in de GWW: onderzoek naar juridische inpassing</w:t>
      </w:r>
      <w:r w:rsidRPr="00F2248B">
        <w:rPr>
          <w:sz w:val="16"/>
          <w:szCs w:val="16"/>
          <w:lang w:val="nl-NL"/>
        </w:rPr>
        <w:t xml:space="preserve">. Flux Partners. </w:t>
      </w:r>
    </w:p>
  </w:footnote>
  <w:footnote w:id="25">
    <w:p w14:paraId="0DBF56DA" w14:textId="77777777" w:rsidR="00160A3A" w:rsidRPr="00160A3A" w:rsidRDefault="00160A3A" w:rsidP="00160A3A">
      <w:pPr>
        <w:spacing w:after="0" w:line="240" w:lineRule="auto"/>
        <w:rPr>
          <w:sz w:val="16"/>
          <w:szCs w:val="16"/>
        </w:rPr>
      </w:pPr>
      <w:r w:rsidRPr="00160A3A">
        <w:rPr>
          <w:rStyle w:val="Voetnootmarkering"/>
          <w:rFonts w:ascii="Verdana" w:hAnsi="Verdana"/>
          <w:sz w:val="16"/>
          <w:szCs w:val="16"/>
        </w:rPr>
        <w:footnoteRef/>
      </w:r>
      <w:r w:rsidRPr="00160A3A">
        <w:rPr>
          <w:rFonts w:ascii="Verdana" w:hAnsi="Verdana"/>
          <w:sz w:val="16"/>
          <w:szCs w:val="16"/>
        </w:rPr>
        <w:t xml:space="preserve"> </w:t>
      </w:r>
      <w:r w:rsidRPr="00F2248B">
        <w:rPr>
          <w:rFonts w:ascii="Verdana" w:eastAsia="Calibri" w:hAnsi="Verdana" w:cs="Arial"/>
          <w:sz w:val="16"/>
          <w:szCs w:val="16"/>
        </w:rPr>
        <w:t xml:space="preserve">Hendriks, R. H., &amp; Grul, W. S. (2024). Toepassingsgebied dwingende MKI in de GWW. Witteveen+Bos. Beschikbaar via: </w:t>
      </w:r>
      <w:hyperlink r:id="rId1" w:history="1">
        <w:r w:rsidRPr="00F2248B">
          <w:rPr>
            <w:rFonts w:ascii="Verdana" w:eastAsia="Calibri" w:hAnsi="Verdana" w:cs="Arial"/>
            <w:sz w:val="16"/>
            <w:szCs w:val="16"/>
          </w:rPr>
          <w:t>https://www.rijksoverheid.nl/documenten/rapporten/2024/02/13/bijlage-4-rapport-toepassingsgebied-dwingende-mki-in-de-gww</w:t>
        </w:r>
      </w:hyperlink>
      <w:r w:rsidRPr="00F2248B">
        <w:rPr>
          <w:rFonts w:ascii="Verdana" w:eastAsia="Calibri" w:hAnsi="Verdana" w:cs="Arial"/>
          <w:sz w:val="16"/>
          <w:szCs w:val="16"/>
        </w:rPr>
        <w:t xml:space="preserve">; Bosch, S., &amp; Peeters, T. (2024, 13 februari). Dwingende MKI in de GWW: Effecten en varianten. Copper8. Beschikbaar via: </w:t>
      </w:r>
      <w:hyperlink r:id="rId2" w:history="1">
        <w:r w:rsidRPr="00F2248B">
          <w:rPr>
            <w:rFonts w:ascii="Verdana" w:eastAsia="Calibri" w:hAnsi="Verdana" w:cs="Arial"/>
            <w:sz w:val="16"/>
            <w:szCs w:val="16"/>
          </w:rPr>
          <w:t>https://www.rijksoverheid.nl/documenten/rapporten/2024/02/13/bijlage-3-rapport-dwingende-mki-in-de-gww-effecten-en-varianten</w:t>
        </w:r>
      </w:hyperlink>
      <w:r w:rsidRPr="00F2248B">
        <w:rPr>
          <w:rFonts w:ascii="Verdana" w:eastAsia="Calibri" w:hAnsi="Verdana" w:cs="Arial"/>
          <w:sz w:val="16"/>
          <w:szCs w:val="16"/>
        </w:rPr>
        <w:t>; Bosch, S., Peeters, T., Dijcker, R., Hendriks, R., Hoppe, F., &amp; Bakker, E. (2024). Beleidsadvies sturende MKI. Copper8, Witteveen+Bos &amp; Flux Partners. Beschikbaar via: https://www.rijksoverheid.nl/documenten/rapporten/2024/05/31/bijlage-3-beleidsadvies-sturende-mki.</w:t>
      </w:r>
      <w:r w:rsidRPr="00160A3A">
        <w:rPr>
          <w:rStyle w:val="Hyperlink"/>
          <w:rFonts w:ascii="Verdana" w:hAnsi="Verdana"/>
          <w:sz w:val="16"/>
          <w:szCs w:val="16"/>
        </w:rPr>
        <w:t xml:space="preserve"> </w:t>
      </w:r>
    </w:p>
  </w:footnote>
  <w:footnote w:id="26">
    <w:p w14:paraId="00739B2D" w14:textId="77777777" w:rsidR="00160A3A" w:rsidRPr="005B4CB1" w:rsidRDefault="00160A3A" w:rsidP="00160A3A">
      <w:pPr>
        <w:pStyle w:val="Voetnoottekst"/>
        <w:rPr>
          <w:lang w:val="nl-NL"/>
        </w:rPr>
      </w:pPr>
      <w:r>
        <w:rPr>
          <w:rStyle w:val="Voetnootmarkering"/>
        </w:rPr>
        <w:footnoteRef/>
      </w:r>
      <w:r w:rsidRPr="005B4CB1">
        <w:rPr>
          <w:lang w:val="nl-NL"/>
        </w:rPr>
        <w:t xml:space="preserve"> </w:t>
      </w:r>
      <w:r w:rsidRPr="007A306C">
        <w:rPr>
          <w:sz w:val="16"/>
          <w:szCs w:val="16"/>
          <w:lang w:val="nl-NL"/>
        </w:rPr>
        <w:t xml:space="preserve">Warringa, G., Bergsma, G., Bouwman, P., Kanters, J.-W., Odenhoven, N., &amp; Uijttewaal, M. </w:t>
      </w:r>
      <w:r w:rsidRPr="00182F3D">
        <w:rPr>
          <w:sz w:val="16"/>
          <w:szCs w:val="16"/>
          <w:lang w:val="nl-NL"/>
        </w:rPr>
        <w:t>(2024, januari).</w:t>
      </w:r>
      <w:r w:rsidRPr="005B4CB1">
        <w:rPr>
          <w:sz w:val="16"/>
          <w:szCs w:val="16"/>
          <w:lang w:val="nl-NL"/>
        </w:rPr>
        <w:t xml:space="preserve"> Suggesties voor aanvullend circulaire</w:t>
      </w:r>
      <w:r w:rsidRPr="007A306C">
        <w:rPr>
          <w:sz w:val="16"/>
          <w:szCs w:val="16"/>
          <w:lang w:val="nl-NL"/>
        </w:rPr>
        <w:t xml:space="preserve"> </w:t>
      </w:r>
      <w:r w:rsidRPr="005B4CB1">
        <w:rPr>
          <w:sz w:val="16"/>
          <w:szCs w:val="16"/>
          <w:lang w:val="nl-NL"/>
        </w:rPr>
        <w:t>economiebeleid</w:t>
      </w:r>
      <w:r w:rsidRPr="00182F3D">
        <w:rPr>
          <w:sz w:val="16"/>
          <w:szCs w:val="16"/>
          <w:lang w:val="nl-NL"/>
        </w:rPr>
        <w:t xml:space="preserve">. </w:t>
      </w:r>
      <w:r w:rsidRPr="007A306C">
        <w:rPr>
          <w:sz w:val="16"/>
          <w:szCs w:val="16"/>
          <w:lang w:val="nl-NL"/>
        </w:rPr>
        <w:t>CE Delft. Beschikbaar via: https://ce.nl/publicaties/suggesties-voor-aanvullend-circulaire-economiebeleid/</w:t>
      </w:r>
    </w:p>
  </w:footnote>
  <w:footnote w:id="27">
    <w:p w14:paraId="7A8E1507" w14:textId="77777777" w:rsidR="00EF7ED1" w:rsidRPr="00C95C40" w:rsidRDefault="00EF7ED1" w:rsidP="00EF7ED1">
      <w:pPr>
        <w:pStyle w:val="Voetnoottekst"/>
        <w:rPr>
          <w:lang w:val="nl-NL"/>
        </w:rPr>
      </w:pPr>
      <w:r>
        <w:rPr>
          <w:rStyle w:val="Voetnootmarkering"/>
        </w:rPr>
        <w:footnoteRef/>
      </w:r>
      <w:r w:rsidRPr="00C95C40">
        <w:rPr>
          <w:lang w:val="nl-NL"/>
        </w:rPr>
        <w:t xml:space="preserve"> </w:t>
      </w:r>
      <w:r w:rsidRPr="00C95C40">
        <w:rPr>
          <w:sz w:val="16"/>
          <w:szCs w:val="16"/>
          <w:lang w:val="nl-NL"/>
        </w:rPr>
        <w:t>Hoppe, F., &amp; Bakker, E. (2024). Dwingende MKI in de GWW: onderzoek naar juridische inpassing. Flux Partners</w:t>
      </w:r>
      <w:r>
        <w:rPr>
          <w:sz w:val="16"/>
          <w:szCs w:val="16"/>
          <w:lang w:val="nl-NL"/>
        </w:rPr>
        <w:t>, p. 33 e.v.</w:t>
      </w:r>
    </w:p>
  </w:footnote>
  <w:footnote w:id="28">
    <w:p w14:paraId="1C09028B" w14:textId="77777777" w:rsidR="00686AE4" w:rsidRPr="001A2299" w:rsidRDefault="00686AE4" w:rsidP="00686AE4">
      <w:pPr>
        <w:pStyle w:val="Voetnoottekst"/>
        <w:rPr>
          <w:sz w:val="16"/>
          <w:szCs w:val="16"/>
          <w:lang w:val="nl-NL"/>
        </w:rPr>
      </w:pPr>
      <w:r w:rsidRPr="001A2299">
        <w:rPr>
          <w:rStyle w:val="Voetnootmarkering"/>
          <w:sz w:val="16"/>
          <w:szCs w:val="16"/>
        </w:rPr>
        <w:footnoteRef/>
      </w:r>
      <w:r w:rsidRPr="001A2299">
        <w:rPr>
          <w:sz w:val="16"/>
          <w:szCs w:val="16"/>
          <w:lang w:val="nl-NL"/>
        </w:rPr>
        <w:t xml:space="preserve"> Momenteel staat dat nog niet op de agenda van de Europese Commissie. Het is onduidelijk of de Commissie deze milieuprestatie-eisen op termijn gaat stellen. Zie hoofdstuk 4. </w:t>
      </w:r>
    </w:p>
  </w:footnote>
  <w:footnote w:id="29">
    <w:p w14:paraId="34E66946" w14:textId="05B5A47D" w:rsidR="00F50212" w:rsidRPr="00F50212" w:rsidRDefault="00F50212">
      <w:pPr>
        <w:pStyle w:val="Voetnoottekst"/>
        <w:rPr>
          <w:lang w:val="nl-NL"/>
        </w:rPr>
      </w:pPr>
      <w:r>
        <w:rPr>
          <w:rStyle w:val="Voetnootmarkering"/>
        </w:rPr>
        <w:footnoteRef/>
      </w:r>
      <w:r w:rsidRPr="00F50212">
        <w:rPr>
          <w:lang w:val="nl-NL"/>
        </w:rPr>
        <w:t xml:space="preserve"> </w:t>
      </w:r>
      <w:r w:rsidRPr="00F50212">
        <w:rPr>
          <w:sz w:val="16"/>
          <w:szCs w:val="16"/>
          <w:lang w:val="nl-NL"/>
        </w:rPr>
        <w:t xml:space="preserve">Op bouwwerkniveau – zoals maatregel twee van dit wetsvoorstel - stelt de Europese Commissie onder de herziene Europese Bouwproductenverordening geen regels. </w:t>
      </w:r>
    </w:p>
  </w:footnote>
  <w:footnote w:id="30">
    <w:p w14:paraId="3E5D6B9E" w14:textId="49938C8A" w:rsidR="004F0533" w:rsidRPr="000604B6" w:rsidRDefault="004F0533" w:rsidP="004F0533">
      <w:pPr>
        <w:pStyle w:val="Voetnoottekst"/>
        <w:rPr>
          <w:sz w:val="16"/>
          <w:szCs w:val="16"/>
          <w:lang w:val="nl-NL"/>
        </w:rPr>
      </w:pPr>
      <w:r w:rsidRPr="00454B02">
        <w:rPr>
          <w:rStyle w:val="Voetnootmarkering"/>
          <w:sz w:val="16"/>
          <w:szCs w:val="16"/>
        </w:rPr>
        <w:footnoteRef/>
      </w:r>
      <w:r w:rsidRPr="00454B02">
        <w:rPr>
          <w:sz w:val="16"/>
          <w:szCs w:val="16"/>
          <w:lang w:val="nl-NL"/>
        </w:rPr>
        <w:t xml:space="preserve"> </w:t>
      </w:r>
      <w:r w:rsidR="00961BF9" w:rsidRPr="00454B02">
        <w:rPr>
          <w:sz w:val="16"/>
          <w:szCs w:val="16"/>
          <w:lang w:val="nl-NL"/>
        </w:rPr>
        <w:t>Z</w:t>
      </w:r>
      <w:r w:rsidRPr="00454B02">
        <w:rPr>
          <w:sz w:val="16"/>
          <w:szCs w:val="16"/>
          <w:lang w:val="nl-NL"/>
        </w:rPr>
        <w:t xml:space="preserve">oals voorgeschreven in </w:t>
      </w:r>
      <w:r w:rsidR="00182F3D" w:rsidRPr="00182F3D">
        <w:rPr>
          <w:sz w:val="16"/>
          <w:szCs w:val="16"/>
          <w:lang w:val="nl-NL"/>
        </w:rPr>
        <w:t xml:space="preserve">Autoriteit Persoonsgegevens. (z.d.). Voor de overheid: wetgevingstoetsing [Webpagina]. </w:t>
      </w:r>
      <w:r w:rsidR="00182F3D">
        <w:rPr>
          <w:sz w:val="16"/>
          <w:szCs w:val="16"/>
          <w:lang w:val="nl-NL"/>
        </w:rPr>
        <w:t xml:space="preserve">Beschikbaar via: </w:t>
      </w:r>
      <w:r w:rsidR="00182F3D" w:rsidRPr="00182F3D">
        <w:rPr>
          <w:sz w:val="16"/>
          <w:szCs w:val="16"/>
          <w:lang w:val="nl-NL"/>
        </w:rPr>
        <w:t>www.autoriteitpersoonsgegevens.nl/themas/basis-avg/praktisch-avg/voor-de-overheid-wetgevingstoetsing</w:t>
      </w:r>
    </w:p>
  </w:footnote>
  <w:footnote w:id="31">
    <w:p w14:paraId="57DD8B50" w14:textId="582EA53B" w:rsidR="00454B02" w:rsidRPr="000604B6" w:rsidRDefault="00454B02">
      <w:pPr>
        <w:pStyle w:val="Voetnoottekst"/>
        <w:rPr>
          <w:lang w:val="nl-NL"/>
        </w:rPr>
      </w:pPr>
      <w:r w:rsidRPr="000604B6">
        <w:rPr>
          <w:rStyle w:val="Voetnootmarkering"/>
          <w:sz w:val="16"/>
          <w:szCs w:val="16"/>
        </w:rPr>
        <w:footnoteRef/>
      </w:r>
      <w:r w:rsidRPr="000604B6">
        <w:rPr>
          <w:sz w:val="16"/>
          <w:szCs w:val="16"/>
          <w:lang w:val="nl-NL"/>
        </w:rPr>
        <w:t xml:space="preserve"> </w:t>
      </w:r>
      <w:r w:rsidR="00182F3D" w:rsidRPr="00182F3D">
        <w:rPr>
          <w:sz w:val="16"/>
          <w:szCs w:val="16"/>
          <w:lang w:val="nl-NL"/>
        </w:rPr>
        <w:t>Kenniscentrum Beleid en Regelgeving (KCBR). (2023, september). Model DPIA Rijksdienst v3.0. Den Haag: KCBR. Te raadplegen via: www.kcbr.nl/sites/default/files/2023-09/Model%20DPIA%20Rijksdienst%20v3.0.pdf</w:t>
      </w:r>
    </w:p>
  </w:footnote>
  <w:footnote w:id="32">
    <w:p w14:paraId="20F65E26" w14:textId="2CD4A064" w:rsidR="004F0533" w:rsidRPr="00A67E74" w:rsidRDefault="004F0533" w:rsidP="004F0533">
      <w:pPr>
        <w:pStyle w:val="Voetnoottekst"/>
        <w:rPr>
          <w:rFonts w:cs="Calibri"/>
          <w:sz w:val="16"/>
          <w:szCs w:val="16"/>
          <w:lang w:val="nl-NL"/>
        </w:rPr>
      </w:pPr>
      <w:r w:rsidRPr="00A67E74">
        <w:rPr>
          <w:rStyle w:val="Voetnootmarkering"/>
          <w:rFonts w:cs="Calibri"/>
          <w:sz w:val="16"/>
          <w:szCs w:val="16"/>
        </w:rPr>
        <w:footnoteRef/>
      </w:r>
      <w:r w:rsidRPr="00A67E74">
        <w:rPr>
          <w:rFonts w:cs="Calibri"/>
          <w:sz w:val="16"/>
          <w:szCs w:val="16"/>
          <w:lang w:val="nl-NL"/>
        </w:rPr>
        <w:t xml:space="preserve"> </w:t>
      </w:r>
      <w:bookmarkStart w:id="34" w:name="_Hlk201641326"/>
      <w:r w:rsidR="007D7E3A" w:rsidRPr="007D7E3A">
        <w:rPr>
          <w:rStyle w:val="Hyperlink"/>
          <w:rFonts w:cs="Calibri"/>
          <w:color w:val="auto"/>
          <w:sz w:val="16"/>
          <w:szCs w:val="16"/>
          <w:u w:val="none"/>
          <w:lang w:val="nl-NL"/>
        </w:rPr>
        <w:t>Bosch, S., Peeters, T., Dijcker, R., Hendriks, R., Hoppe, F., &amp; Bakker, E. (2024). Beleidsadvies sturende MKI. Copper8, Witteveen+Bos &amp; Flux Partners. Beschikbaar via: https://www.rijksoverheid.nl/documenten/rapporten/2024/05/31/bijlage-3-beleidsadvies-sturende-mki</w:t>
      </w:r>
      <w:bookmarkEnd w:id="34"/>
    </w:p>
  </w:footnote>
  <w:footnote w:id="33">
    <w:p w14:paraId="268691CD" w14:textId="288B3792" w:rsidR="004F0533" w:rsidRPr="00A67E74" w:rsidRDefault="004F0533" w:rsidP="004F0533">
      <w:pPr>
        <w:pStyle w:val="Voetnoottekst"/>
        <w:rPr>
          <w:rFonts w:cs="Calibri"/>
          <w:sz w:val="16"/>
          <w:szCs w:val="16"/>
          <w:lang w:val="nl-NL"/>
        </w:rPr>
      </w:pPr>
      <w:r w:rsidRPr="00A67E74">
        <w:rPr>
          <w:rStyle w:val="Voetnootmarkering"/>
          <w:rFonts w:cs="Calibri"/>
          <w:sz w:val="16"/>
          <w:szCs w:val="16"/>
        </w:rPr>
        <w:footnoteRef/>
      </w:r>
      <w:r w:rsidR="00234C0F">
        <w:rPr>
          <w:rFonts w:cs="Calibri"/>
          <w:sz w:val="16"/>
          <w:szCs w:val="16"/>
          <w:lang w:val="de-DE"/>
        </w:rPr>
        <w:t xml:space="preserve"> </w:t>
      </w:r>
      <w:bookmarkStart w:id="35" w:name="_Hlk201641336"/>
      <w:r w:rsidR="00234C0F" w:rsidRPr="00F2248B">
        <w:rPr>
          <w:rFonts w:cs="Calibri"/>
          <w:sz w:val="16"/>
          <w:szCs w:val="16"/>
          <w:lang w:val="de-DE"/>
        </w:rPr>
        <w:t xml:space="preserve">Bosch, S., Peeters, T., Hendriks, R., Preso, S., Hoog Antink, E., &amp; Schweitzer, G. (2023). </w:t>
      </w:r>
      <w:r w:rsidR="00234C0F" w:rsidRPr="00234C0F">
        <w:rPr>
          <w:rFonts w:cs="Calibri"/>
          <w:sz w:val="16"/>
          <w:szCs w:val="16"/>
          <w:lang w:val="nl-NL"/>
        </w:rPr>
        <w:t>Inkopen met MKI in de GWW: Evaluatie van de Actie-agenda. Copper8, Witteveen+Bos &amp; Rijkswaterstaat. Beschikbaar via:</w:t>
      </w:r>
      <w:r w:rsidR="00BA76AE">
        <w:rPr>
          <w:rFonts w:cs="Calibri"/>
          <w:sz w:val="16"/>
          <w:szCs w:val="16"/>
          <w:lang w:val="nl-NL"/>
        </w:rPr>
        <w:t xml:space="preserve"> </w:t>
      </w:r>
      <w:r w:rsidR="00234C0F" w:rsidRPr="00234C0F">
        <w:rPr>
          <w:rFonts w:cs="Calibri"/>
          <w:sz w:val="16"/>
          <w:szCs w:val="16"/>
          <w:lang w:val="nl-NL"/>
        </w:rPr>
        <w:t>https://open.rijkswaterstaat.nl/open-overheid/@269293/inkopen-mki-gww-evaluatie-actie-agenda/</w:t>
      </w:r>
      <w:bookmarkEnd w:id="35"/>
    </w:p>
  </w:footnote>
  <w:footnote w:id="34">
    <w:p w14:paraId="452672F0" w14:textId="6F4C01D6" w:rsidR="00CE03C7" w:rsidRPr="00F26A78" w:rsidRDefault="00CE03C7" w:rsidP="00CE03C7">
      <w:pPr>
        <w:pStyle w:val="Voetnoottekst"/>
        <w:rPr>
          <w:lang w:val="nl-NL"/>
        </w:rPr>
      </w:pPr>
      <w:r>
        <w:rPr>
          <w:rStyle w:val="Voetnootmarkering"/>
        </w:rPr>
        <w:footnoteRef/>
      </w:r>
      <w:r w:rsidRPr="00F26A78">
        <w:rPr>
          <w:lang w:val="nl-NL"/>
        </w:rPr>
        <w:t xml:space="preserve"> </w:t>
      </w:r>
      <w:bookmarkStart w:id="36" w:name="_Hlk201641308"/>
      <w:r w:rsidR="00806361" w:rsidRPr="00934FAF">
        <w:rPr>
          <w:sz w:val="16"/>
          <w:szCs w:val="16"/>
          <w:lang w:val="nl-NL"/>
        </w:rPr>
        <w:t>Vries, J., de, Laan, J. van der</w:t>
      </w:r>
      <w:r w:rsidR="00806361">
        <w:rPr>
          <w:sz w:val="16"/>
          <w:szCs w:val="16"/>
          <w:lang w:val="nl-NL"/>
        </w:rPr>
        <w:t>, I.,</w:t>
      </w:r>
      <w:r w:rsidR="00806361" w:rsidRPr="00934FAF">
        <w:rPr>
          <w:sz w:val="16"/>
          <w:szCs w:val="16"/>
          <w:lang w:val="nl-NL"/>
        </w:rPr>
        <w:t xml:space="preserve"> Nieuwenhuijse</w:t>
      </w:r>
      <w:r w:rsidR="00806361" w:rsidRPr="00934FAF">
        <w:rPr>
          <w:lang w:val="nl-NL"/>
        </w:rPr>
        <w:t xml:space="preserve"> (2025),</w:t>
      </w:r>
      <w:r w:rsidR="00806361" w:rsidRPr="00934FAF">
        <w:rPr>
          <w:sz w:val="16"/>
          <w:szCs w:val="16"/>
          <w:lang w:val="nl-NL"/>
        </w:rPr>
        <w:t xml:space="preserve"> Factsheet | Versnellingsmaatregelen toepassing milieuprestatie-eisen GWW, CE </w:t>
      </w:r>
      <w:bookmarkEnd w:id="36"/>
      <w:r w:rsidR="00806361" w:rsidRPr="00934FAF">
        <w:rPr>
          <w:sz w:val="16"/>
          <w:szCs w:val="16"/>
          <w:lang w:val="nl-NL"/>
        </w:rPr>
        <w:t>Delft</w:t>
      </w:r>
    </w:p>
  </w:footnote>
  <w:footnote w:id="35">
    <w:p w14:paraId="6502D468" w14:textId="77777777" w:rsidR="00806361" w:rsidRPr="00BF5CBA" w:rsidRDefault="00806361" w:rsidP="00806361">
      <w:pPr>
        <w:pStyle w:val="Voetnoottekst"/>
        <w:rPr>
          <w:lang w:val="nl-NL"/>
        </w:rPr>
      </w:pPr>
      <w:r>
        <w:rPr>
          <w:rStyle w:val="Voetnootmarkering"/>
        </w:rPr>
        <w:footnoteRef/>
      </w:r>
      <w:r w:rsidRPr="00BF5CBA">
        <w:rPr>
          <w:lang w:val="nl-NL"/>
        </w:rPr>
        <w:t xml:space="preserve"> </w:t>
      </w:r>
      <w:r w:rsidRPr="00934FAF">
        <w:rPr>
          <w:sz w:val="16"/>
          <w:szCs w:val="16"/>
          <w:lang w:val="nl-NL"/>
        </w:rPr>
        <w:t>Vries, J., de, Laan, J. van der</w:t>
      </w:r>
      <w:r>
        <w:rPr>
          <w:sz w:val="16"/>
          <w:szCs w:val="16"/>
          <w:lang w:val="nl-NL"/>
        </w:rPr>
        <w:t>, I.,</w:t>
      </w:r>
      <w:r w:rsidRPr="00934FAF">
        <w:rPr>
          <w:sz w:val="16"/>
          <w:szCs w:val="16"/>
          <w:lang w:val="nl-NL"/>
        </w:rPr>
        <w:t xml:space="preserve"> Nieuwen</w:t>
      </w:r>
      <w:r w:rsidRPr="00806361">
        <w:rPr>
          <w:sz w:val="16"/>
          <w:szCs w:val="16"/>
          <w:lang w:val="nl-NL"/>
        </w:rPr>
        <w:t>huijse</w:t>
      </w:r>
      <w:r w:rsidRPr="00B25821">
        <w:rPr>
          <w:sz w:val="16"/>
          <w:szCs w:val="16"/>
          <w:lang w:val="nl-NL"/>
        </w:rPr>
        <w:t xml:space="preserve"> (2025),</w:t>
      </w:r>
      <w:r w:rsidRPr="00B25821">
        <w:rPr>
          <w:sz w:val="14"/>
          <w:szCs w:val="14"/>
          <w:lang w:val="nl-NL"/>
        </w:rPr>
        <w:t xml:space="preserve"> </w:t>
      </w:r>
      <w:r w:rsidRPr="00934FAF">
        <w:rPr>
          <w:sz w:val="16"/>
          <w:szCs w:val="16"/>
          <w:lang w:val="nl-NL"/>
        </w:rPr>
        <w:t>Factsheet | Versnellingsmaatregelen toepassing milieuprestatie-eisen GWW, CE Delft</w:t>
      </w:r>
    </w:p>
  </w:footnote>
  <w:footnote w:id="36">
    <w:p w14:paraId="13942F94" w14:textId="65BFE2C6" w:rsidR="004F0533" w:rsidRPr="00A67E74" w:rsidRDefault="004F0533" w:rsidP="004F0533">
      <w:pPr>
        <w:pStyle w:val="Voetnoottekst"/>
        <w:rPr>
          <w:rFonts w:cs="Calibri"/>
          <w:sz w:val="16"/>
          <w:szCs w:val="16"/>
          <w:lang w:val="nl-NL"/>
        </w:rPr>
      </w:pPr>
      <w:r w:rsidRPr="00A67E74">
        <w:rPr>
          <w:rStyle w:val="Voetnootmarkering"/>
          <w:rFonts w:cs="Calibri"/>
          <w:sz w:val="16"/>
          <w:szCs w:val="16"/>
        </w:rPr>
        <w:footnoteRef/>
      </w:r>
      <w:r w:rsidRPr="00A67E74">
        <w:rPr>
          <w:rFonts w:cs="Calibri"/>
          <w:sz w:val="16"/>
          <w:szCs w:val="16"/>
          <w:lang w:val="nl-NL"/>
        </w:rPr>
        <w:t xml:space="preserve"> Hanemaaijer, A</w:t>
      </w:r>
      <w:r w:rsidR="00182F3D" w:rsidRPr="00182F3D">
        <w:rPr>
          <w:rFonts w:cs="Calibri"/>
          <w:sz w:val="16"/>
          <w:szCs w:val="16"/>
          <w:lang w:val="nl-NL"/>
        </w:rPr>
        <w:t>., Kishna, M. (projectleiding), Koch, J., Lucas, P., Rood, T., Schotten, K., &amp; Van Sluisveld, M. (2023).</w:t>
      </w:r>
      <w:r w:rsidRPr="00A67E74">
        <w:rPr>
          <w:rFonts w:cs="Calibri"/>
          <w:sz w:val="16"/>
          <w:szCs w:val="16"/>
          <w:lang w:val="nl-NL"/>
        </w:rPr>
        <w:t xml:space="preserve"> Integrale Circulaire Economie Rapportage </w:t>
      </w:r>
      <w:r w:rsidR="00182F3D" w:rsidRPr="00182F3D">
        <w:rPr>
          <w:rFonts w:cs="Calibri"/>
          <w:sz w:val="16"/>
          <w:szCs w:val="16"/>
          <w:lang w:val="nl-NL"/>
        </w:rPr>
        <w:t>2023 (PBL-publicatienummer 4882).</w:t>
      </w:r>
      <w:r w:rsidRPr="00A67E74">
        <w:rPr>
          <w:rFonts w:cs="Calibri"/>
          <w:sz w:val="16"/>
          <w:szCs w:val="16"/>
          <w:lang w:val="nl-NL"/>
        </w:rPr>
        <w:t xml:space="preserve"> Den Haag: Planbureau voor de Leefomgeving. </w:t>
      </w:r>
      <w:r w:rsidR="00182F3D" w:rsidRPr="00182F3D">
        <w:rPr>
          <w:rFonts w:cs="Calibri"/>
          <w:sz w:val="16"/>
          <w:szCs w:val="16"/>
          <w:lang w:val="nl-NL"/>
        </w:rPr>
        <w:t>Beschikbaar via: www.pbl.nl/publicaties/integrale-circulaire-economie-rapportage-2023</w:t>
      </w:r>
    </w:p>
  </w:footnote>
  <w:footnote w:id="37">
    <w:p w14:paraId="36F20CE5" w14:textId="391BBBA6" w:rsidR="004F0533" w:rsidRPr="00A67E74" w:rsidRDefault="004F0533" w:rsidP="004F0533">
      <w:pPr>
        <w:pStyle w:val="Voetnoottekst"/>
        <w:rPr>
          <w:rFonts w:cs="Calibri"/>
          <w:sz w:val="16"/>
          <w:szCs w:val="16"/>
          <w:lang w:val="nl-NL"/>
        </w:rPr>
      </w:pPr>
      <w:r w:rsidRPr="00A67E74">
        <w:rPr>
          <w:rStyle w:val="Voetnootmarkering"/>
          <w:rFonts w:cs="Calibri"/>
          <w:sz w:val="16"/>
          <w:szCs w:val="16"/>
        </w:rPr>
        <w:footnoteRef/>
      </w:r>
      <w:r w:rsidR="00D94A47">
        <w:rPr>
          <w:rFonts w:cs="Calibri"/>
          <w:sz w:val="16"/>
          <w:szCs w:val="16"/>
          <w:lang w:val="nl-NL"/>
        </w:rPr>
        <w:t xml:space="preserve"> </w:t>
      </w:r>
      <w:bookmarkStart w:id="37" w:name="_Hlk201641377"/>
      <w:r w:rsidR="00D94A47" w:rsidRPr="00D94A47">
        <w:rPr>
          <w:rFonts w:cs="Calibri"/>
          <w:sz w:val="16"/>
          <w:szCs w:val="16"/>
          <w:lang w:val="nl-NL"/>
        </w:rPr>
        <w:t>Warringa, G., Bachaus, A., Bergsma, G., Bouwman, P., Odenhoven, N., Ahsman, N., Peters Sengers, J. J., &amp; Heideveld, A. (2024, mei). Effectbeoordeling Nationaal Programma Circulaire Economie. CE Delft. Beschikbaar via: https://ce.nl/publicaties/effectbeoordeling-nationale-programma-circulaire-economie/</w:t>
      </w:r>
      <w:bookmarkEnd w:id="37"/>
    </w:p>
  </w:footnote>
  <w:footnote w:id="38">
    <w:p w14:paraId="7EE575A5" w14:textId="348F6D96" w:rsidR="004F0533" w:rsidRPr="00F2248B" w:rsidRDefault="004F0533" w:rsidP="004F0533">
      <w:pPr>
        <w:pStyle w:val="Voetnoottekst"/>
        <w:rPr>
          <w:rFonts w:ascii="Calibri" w:hAnsi="Calibri" w:cs="Calibri"/>
          <w:lang w:val="de-DE"/>
        </w:rPr>
      </w:pPr>
      <w:r w:rsidRPr="00A67E74">
        <w:rPr>
          <w:rStyle w:val="Voetnootmarkering"/>
          <w:rFonts w:cs="Calibri"/>
          <w:sz w:val="16"/>
          <w:szCs w:val="16"/>
        </w:rPr>
        <w:footnoteRef/>
      </w:r>
      <w:r w:rsidRPr="00F2248B">
        <w:rPr>
          <w:rFonts w:cs="Calibri"/>
          <w:sz w:val="16"/>
          <w:szCs w:val="16"/>
          <w:lang w:val="de-DE"/>
        </w:rPr>
        <w:t xml:space="preserve"> </w:t>
      </w:r>
      <w:r w:rsidR="00D94A47" w:rsidRPr="00F2248B">
        <w:rPr>
          <w:rFonts w:cs="Calibri"/>
          <w:sz w:val="16"/>
          <w:szCs w:val="16"/>
          <w:lang w:val="de-DE"/>
        </w:rPr>
        <w:t>Idem</w:t>
      </w:r>
    </w:p>
  </w:footnote>
  <w:footnote w:id="39">
    <w:p w14:paraId="45FABFAA" w14:textId="2DD2E57C" w:rsidR="0011677F" w:rsidRPr="00F2248B" w:rsidRDefault="0011677F">
      <w:pPr>
        <w:pStyle w:val="Voetnoottekst"/>
        <w:rPr>
          <w:sz w:val="16"/>
          <w:szCs w:val="16"/>
          <w:lang w:val="nl-NL"/>
        </w:rPr>
      </w:pPr>
      <w:r w:rsidRPr="00F2248B">
        <w:rPr>
          <w:rStyle w:val="Voetnootmarkering"/>
          <w:sz w:val="16"/>
          <w:szCs w:val="16"/>
        </w:rPr>
        <w:footnoteRef/>
      </w:r>
      <w:r w:rsidRPr="00F2248B">
        <w:rPr>
          <w:sz w:val="16"/>
          <w:szCs w:val="16"/>
          <w:lang w:val="de-DE"/>
        </w:rPr>
        <w:t xml:space="preserve"> Bosch, S.</w:t>
      </w:r>
      <w:r w:rsidR="00E124EE">
        <w:rPr>
          <w:sz w:val="16"/>
          <w:szCs w:val="16"/>
          <w:lang w:val="de-DE"/>
        </w:rPr>
        <w:t>,</w:t>
      </w:r>
      <w:r w:rsidRPr="00F2248B">
        <w:rPr>
          <w:sz w:val="16"/>
          <w:szCs w:val="16"/>
          <w:lang w:val="de-DE"/>
        </w:rPr>
        <w:t xml:space="preserve"> </w:t>
      </w:r>
      <w:r w:rsidR="00E124EE" w:rsidRPr="00F2248B">
        <w:rPr>
          <w:sz w:val="16"/>
          <w:szCs w:val="16"/>
          <w:lang w:val="de-DE"/>
        </w:rPr>
        <w:t>Peeters, T., Hendriks, R., Preso, S., Hoog Antink, E., &amp; Schweitzer, G.</w:t>
      </w:r>
      <w:r w:rsidRPr="00F2248B">
        <w:rPr>
          <w:sz w:val="16"/>
          <w:szCs w:val="16"/>
          <w:lang w:val="de-DE"/>
        </w:rPr>
        <w:t xml:space="preserve"> (2023). </w:t>
      </w:r>
      <w:r w:rsidRPr="00F2248B">
        <w:rPr>
          <w:sz w:val="16"/>
          <w:szCs w:val="16"/>
          <w:lang w:val="nl-NL"/>
        </w:rPr>
        <w:t>Inkopen met MKI in de GWW: Evaluatie van de Actie-agenda. Copper8, Witteveen+Bos &amp; Rijkswaterstaat. Beschikbaar via:</w:t>
      </w:r>
      <w:r w:rsidR="00BA76AE">
        <w:rPr>
          <w:sz w:val="16"/>
          <w:szCs w:val="16"/>
          <w:lang w:val="nl-NL"/>
        </w:rPr>
        <w:t xml:space="preserve"> </w:t>
      </w:r>
      <w:hyperlink r:id="rId3" w:history="1">
        <w:r w:rsidRPr="00F2248B">
          <w:rPr>
            <w:rStyle w:val="Hyperlink"/>
            <w:sz w:val="16"/>
            <w:szCs w:val="16"/>
            <w:lang w:val="nl-NL"/>
          </w:rPr>
          <w:t>https://open.rijkswaterstaat.nl/open-overheid/@269293/inkopen-mki-gww-evaluatie-actie-agenda/</w:t>
        </w:r>
      </w:hyperlink>
      <w:r w:rsidRPr="00F2248B">
        <w:rPr>
          <w:sz w:val="16"/>
          <w:szCs w:val="16"/>
          <w:lang w:val="nl-NL"/>
        </w:rPr>
        <w:t xml:space="preserve"> en Bosch, S., &amp; Peeters, T. (2024, 13 februari). Dwingende MKI in de GWW: Effecten en varianten. Copper8. Beschikbaar via: https://www.rijksoverheid.nl/documenten/rapporten/2024/02/13/bijlage-3-rapport-dwingende-mki-in-de-gww-effecten-en-varianten</w:t>
      </w:r>
    </w:p>
  </w:footnote>
  <w:footnote w:id="40">
    <w:p w14:paraId="08EE3D90" w14:textId="2F5B75F2" w:rsidR="0046734D" w:rsidRPr="00F2248B" w:rsidRDefault="0046734D">
      <w:pPr>
        <w:pStyle w:val="Voetnoottekst"/>
        <w:rPr>
          <w:lang w:val="nl-NL"/>
        </w:rPr>
      </w:pPr>
      <w:r>
        <w:rPr>
          <w:rStyle w:val="Voetnootmarkering"/>
        </w:rPr>
        <w:footnoteRef/>
      </w:r>
      <w:r w:rsidRPr="00F2248B">
        <w:rPr>
          <w:lang w:val="nl-NL"/>
        </w:rPr>
        <w:t xml:space="preserve"> </w:t>
      </w:r>
      <w:r w:rsidRPr="00182F3D">
        <w:rPr>
          <w:sz w:val="16"/>
          <w:szCs w:val="16"/>
          <w:lang w:val="nl-NL"/>
        </w:rPr>
        <w:t>Ministerie van Binnenlandse Zaken en Koninkrijksrelaties. (2023, 8 november). Nationale Aanpak Biobased Bouwen. Den Haag: Rijksoverheid. Te raadplegen via: www.rijksoverheid.nl/documenten/rapporten/2023/11/08/nationale-aanpak-biobased-bouwen</w:t>
      </w:r>
    </w:p>
  </w:footnote>
  <w:footnote w:id="41">
    <w:p w14:paraId="3F76F1CC" w14:textId="26E00E1B" w:rsidR="00FD46D5" w:rsidRPr="00182F3D" w:rsidRDefault="00FD46D5" w:rsidP="00FD46D5">
      <w:pPr>
        <w:pStyle w:val="Voetnoottekst"/>
        <w:rPr>
          <w:sz w:val="16"/>
          <w:szCs w:val="16"/>
          <w:lang w:val="nl-NL"/>
        </w:rPr>
      </w:pPr>
      <w:r w:rsidRPr="00182F3D">
        <w:rPr>
          <w:rStyle w:val="Voetnootmarkering"/>
          <w:sz w:val="16"/>
          <w:szCs w:val="16"/>
        </w:rPr>
        <w:footnoteRef/>
      </w:r>
      <w:r w:rsidRPr="00182F3D">
        <w:rPr>
          <w:sz w:val="16"/>
          <w:szCs w:val="16"/>
          <w:lang w:val="nl-NL"/>
        </w:rPr>
        <w:t xml:space="preserve"> </w:t>
      </w:r>
      <w:r w:rsidR="00182F3D" w:rsidRPr="00182F3D">
        <w:rPr>
          <w:sz w:val="16"/>
          <w:szCs w:val="16"/>
          <w:lang w:val="nl-NL"/>
        </w:rPr>
        <w:t>Ministerie van Binnenlandse Zaken en Koninkrijksrelaties. (2023, 8 november). Nationale Aanpak Biobased Bouwen. Den Haag: Rijksoverheid. Te raadplegen via: www.rijksoverheid.nl/documenten/rapporten/2023/11/08/nationale-aanpak-biobased-bouwen</w:t>
      </w:r>
    </w:p>
  </w:footnote>
  <w:footnote w:id="42">
    <w:p w14:paraId="36E1ECFA" w14:textId="4CE79B15" w:rsidR="00124ED2" w:rsidRPr="00F2248B" w:rsidRDefault="00124ED2">
      <w:pPr>
        <w:pStyle w:val="Voetnoottekst"/>
        <w:rPr>
          <w:sz w:val="16"/>
          <w:szCs w:val="16"/>
          <w:lang w:val="nl-NL"/>
        </w:rPr>
      </w:pPr>
      <w:r w:rsidRPr="00F2248B">
        <w:rPr>
          <w:rStyle w:val="Voetnootmarkering"/>
          <w:sz w:val="16"/>
          <w:szCs w:val="16"/>
        </w:rPr>
        <w:footnoteRef/>
      </w:r>
      <w:r w:rsidRPr="00F2248B">
        <w:rPr>
          <w:sz w:val="16"/>
          <w:szCs w:val="16"/>
          <w:lang w:val="nl-NL"/>
        </w:rPr>
        <w:t xml:space="preserve"> </w:t>
      </w:r>
      <w:r>
        <w:rPr>
          <w:sz w:val="16"/>
          <w:szCs w:val="16"/>
          <w:lang w:val="nl-NL"/>
        </w:rPr>
        <w:t>Wittenveen+Bos heeft een data-analyse uitgevoerd op alle aanbestedingen die zijn gepubliceerd op TenderNed over een periode van 2016-2024. Op basis hiervan is geconcludeerd dat door aanbestedende diensten bij 83% gebruik wordt gemaakt van BPKV. Voor aanbestedingen boven de Europese drempelwaarde is dit zelfs 95%.</w:t>
      </w:r>
    </w:p>
  </w:footnote>
  <w:footnote w:id="43">
    <w:p w14:paraId="12FB268A" w14:textId="7AB84F4E" w:rsidR="003D371A" w:rsidRDefault="003D371A" w:rsidP="003D371A">
      <w:pPr>
        <w:pStyle w:val="Voetnoottekst"/>
        <w:rPr>
          <w:lang w:val="nl-NL"/>
        </w:rPr>
      </w:pPr>
      <w:r>
        <w:rPr>
          <w:rStyle w:val="Voetnootmarkering"/>
        </w:rPr>
        <w:footnoteRef/>
      </w:r>
      <w:r>
        <w:rPr>
          <w:lang w:val="nl-NL"/>
        </w:rPr>
        <w:t xml:space="preserve"> </w:t>
      </w:r>
      <w:r>
        <w:rPr>
          <w:sz w:val="16"/>
          <w:szCs w:val="16"/>
          <w:lang w:val="nl-NL"/>
        </w:rPr>
        <w:t>Poll, van der, P., Mook, J. (2025). Onderzoek Financiële Effecten Milieuprestatie-eisen in aanbestedingen van GWW-werken. SIRA Consulting B.V.</w:t>
      </w:r>
      <w:r w:rsidR="00E4565B">
        <w:rPr>
          <w:sz w:val="16"/>
          <w:szCs w:val="16"/>
          <w:lang w:val="nl-NL"/>
        </w:rPr>
        <w:t xml:space="preserve"> Beschikbaar via </w:t>
      </w:r>
      <w:r w:rsidR="00E4565B" w:rsidRPr="00E4565B">
        <w:rPr>
          <w:sz w:val="16"/>
          <w:szCs w:val="16"/>
          <w:lang w:val="nl-NL"/>
        </w:rPr>
        <w:t>https://www.internetconsultatie.nl/milieuprestatie_gww/b1</w:t>
      </w:r>
    </w:p>
  </w:footnote>
  <w:footnote w:id="44">
    <w:p w14:paraId="7BDCB3B6" w14:textId="0B3F6113" w:rsidR="003D371A" w:rsidRPr="00580C5B" w:rsidRDefault="003D371A" w:rsidP="003D371A">
      <w:pPr>
        <w:pStyle w:val="Voetnoottekst"/>
        <w:rPr>
          <w:lang w:val="nl-NL"/>
        </w:rPr>
      </w:pPr>
      <w:r>
        <w:rPr>
          <w:rStyle w:val="Voetnootmarkering"/>
        </w:rPr>
        <w:footnoteRef/>
      </w:r>
      <w:r w:rsidRPr="00580C5B">
        <w:rPr>
          <w:lang w:val="nl-NL"/>
        </w:rPr>
        <w:t xml:space="preserve"> </w:t>
      </w:r>
      <w:r w:rsidRPr="00580C5B">
        <w:rPr>
          <w:sz w:val="16"/>
          <w:szCs w:val="16"/>
          <w:lang w:val="nl-NL"/>
        </w:rPr>
        <w:t>https://www.kcbr.nl/sites/default/files/2023-12/Handboek%20Meting%20Regeldrukkosten%202023%20-%20DEF%20-%204-12-2023%20toegankelijk.pdf</w:t>
      </w:r>
      <w:r w:rsidR="00071942">
        <w:rPr>
          <w:sz w:val="16"/>
          <w:szCs w:val="16"/>
          <w:lang w:val="nl-NL"/>
        </w:rPr>
        <w:t xml:space="preserve"> </w:t>
      </w:r>
    </w:p>
  </w:footnote>
  <w:footnote w:id="45">
    <w:p w14:paraId="2ACBF8B5" w14:textId="0E7E34E9" w:rsidR="000E36B3" w:rsidRPr="0086110A" w:rsidRDefault="000E36B3">
      <w:pPr>
        <w:pStyle w:val="Voetnoottekst"/>
        <w:rPr>
          <w:lang w:val="nl-NL"/>
        </w:rPr>
      </w:pPr>
      <w:r>
        <w:rPr>
          <w:rStyle w:val="Voetnootmarkering"/>
        </w:rPr>
        <w:footnoteRef/>
      </w:r>
      <w:r w:rsidRPr="0086110A">
        <w:rPr>
          <w:lang w:val="nl-NL"/>
        </w:rPr>
        <w:t xml:space="preserve"> </w:t>
      </w:r>
      <w:r w:rsidRPr="0086110A">
        <w:rPr>
          <w:sz w:val="16"/>
          <w:szCs w:val="16"/>
          <w:lang w:val="nl-NL"/>
        </w:rPr>
        <w:t>Zie: https://www.kcbr.nl/sites/default/files/2023-12/Handboek%20Meting%20Regeldrukkosten%202023%20-%20DEF%20-%204-12-2023%20toegankelijk.pdf</w:t>
      </w:r>
    </w:p>
  </w:footnote>
  <w:footnote w:id="46">
    <w:p w14:paraId="493B7585" w14:textId="56240707" w:rsidR="00181BFF" w:rsidRPr="0086110A" w:rsidRDefault="00181BFF">
      <w:pPr>
        <w:pStyle w:val="Voetnoottekst"/>
        <w:rPr>
          <w:lang w:val="nl-NL"/>
        </w:rPr>
      </w:pPr>
      <w:r>
        <w:rPr>
          <w:rStyle w:val="Voetnootmarkering"/>
        </w:rPr>
        <w:footnoteRef/>
      </w:r>
      <w:r w:rsidRPr="0086110A">
        <w:rPr>
          <w:lang w:val="nl-NL"/>
        </w:rPr>
        <w:t xml:space="preserve"> </w:t>
      </w:r>
      <w:r w:rsidRPr="0086110A">
        <w:rPr>
          <w:sz w:val="16"/>
          <w:szCs w:val="16"/>
          <w:lang w:val="nl-NL"/>
        </w:rPr>
        <w:t xml:space="preserve">Tijdbestedingen worden door de interviewrespondenten geregeld uitgedrukt in Fte’s in plaats van individuele werkzame uren. Omdat het aantal werkzame uren van een voltijds dienstverband significant kan verschillen tussen werkgevers, en tussen CAO’s, wordt gerekend met een standaardaantal uren. </w:t>
      </w:r>
      <w:r w:rsidR="00D46BCF">
        <w:rPr>
          <w:sz w:val="16"/>
          <w:szCs w:val="16"/>
          <w:lang w:val="nl-NL"/>
        </w:rPr>
        <w:t>Door SIRA is gekozen</w:t>
      </w:r>
      <w:r w:rsidRPr="0086110A">
        <w:rPr>
          <w:sz w:val="16"/>
          <w:szCs w:val="16"/>
          <w:lang w:val="nl-NL"/>
        </w:rPr>
        <w:t xml:space="preserve"> om het aantal van 1.720 werkzame uren op jaarbasis te hanteren. Dit aantal berust op een schatting van het Ministerie van Sociale Zaken en Werkgelegenheid.</w:t>
      </w:r>
    </w:p>
  </w:footnote>
  <w:footnote w:id="47">
    <w:p w14:paraId="3FD2FFB3" w14:textId="77777777" w:rsidR="00416DC9" w:rsidRPr="00656177" w:rsidRDefault="00416DC9" w:rsidP="00416DC9">
      <w:pPr>
        <w:pStyle w:val="Voetnoottekst"/>
        <w:rPr>
          <w:lang w:val="nl-NL"/>
        </w:rPr>
      </w:pPr>
      <w:r>
        <w:rPr>
          <w:rStyle w:val="Voetnootmarkering"/>
        </w:rPr>
        <w:footnoteRef/>
      </w:r>
      <w:r w:rsidRPr="00656177">
        <w:rPr>
          <w:lang w:val="nl-NL"/>
        </w:rPr>
        <w:t xml:space="preserve"> </w:t>
      </w:r>
      <w:r w:rsidRPr="00656177">
        <w:rPr>
          <w:rFonts w:eastAsia="Times New Roman" w:cs="Times New Roman"/>
          <w:sz w:val="16"/>
          <w:szCs w:val="16"/>
          <w:lang w:val="nl-NL"/>
        </w:rPr>
        <w:t>De verplichtingen omtrent het MKI-gunningscriterium is van toepassing bij de aanbesteding van GWW-werken vanaf een minimum geraamde opdrachtwaarde. Naar de afbakening van deze categorie wordt door het ministerie van IenW onderzoek gedaan. Een mogelijke optie die hierbij bekeken wordt is de Europese aanbestedingsgrens voor werken, deze bedraagt €5.538.000 in 2024-2025. In het SIRA onderzoek is uitgegaan van deze aanbestedingsgrens voor grote projecten.</w:t>
      </w:r>
    </w:p>
  </w:footnote>
  <w:footnote w:id="48">
    <w:p w14:paraId="08BC6C19" w14:textId="77777777" w:rsidR="00D46BCF" w:rsidRPr="00656177" w:rsidRDefault="00D46BCF" w:rsidP="00D46BCF">
      <w:pPr>
        <w:pStyle w:val="Voetnoottekst"/>
        <w:rPr>
          <w:lang w:val="nl-NL"/>
        </w:rPr>
      </w:pPr>
      <w:r>
        <w:rPr>
          <w:rStyle w:val="Voetnootmarkering"/>
        </w:rPr>
        <w:footnoteRef/>
      </w:r>
      <w:r w:rsidRPr="00656177">
        <w:rPr>
          <w:lang w:val="nl-NL"/>
        </w:rPr>
        <w:t xml:space="preserve"> </w:t>
      </w:r>
      <w:r w:rsidRPr="00656177">
        <w:rPr>
          <w:sz w:val="16"/>
          <w:szCs w:val="16"/>
          <w:lang w:val="nl-NL"/>
        </w:rPr>
        <w:t>Ten opzichte van de totale GWW-marktwaarde vertegenwoordigen ‘Europese’ aanbestedingen 30%, of €2.722.500.000 van alle publieke aanbestedingen. Het gemiddelde aantal projecten per jaar boven deze aanbestedingsgrens is 240. De gemiddelde projectwaarde van projecten boven de Europese aanbestedingsgrens ligt hiermee op €11.343.750.</w:t>
      </w:r>
    </w:p>
  </w:footnote>
  <w:footnote w:id="49">
    <w:p w14:paraId="09C85DF6" w14:textId="77777777" w:rsidR="009D72F6" w:rsidRPr="000F5AF1" w:rsidRDefault="009D72F6" w:rsidP="009D72F6">
      <w:pPr>
        <w:pStyle w:val="Voetnoottekst"/>
        <w:rPr>
          <w:lang w:val="nl-NL"/>
        </w:rPr>
      </w:pPr>
      <w:r>
        <w:rPr>
          <w:rStyle w:val="Voetnootmarkering"/>
        </w:rPr>
        <w:footnoteRef/>
      </w:r>
      <w:r w:rsidRPr="000F5AF1">
        <w:rPr>
          <w:lang w:val="nl-NL"/>
        </w:rPr>
        <w:t xml:space="preserve"> </w:t>
      </w:r>
      <w:r w:rsidRPr="000F5AF1">
        <w:rPr>
          <w:sz w:val="16"/>
          <w:szCs w:val="16"/>
          <w:lang w:val="nl-NL"/>
        </w:rPr>
        <w:t>Voor medewerkers van overheidsorganisaties worden standaard interne uurtarieven (incl. btw) aangehouden, gebaseerd op de salaristabel uit de CAO Gemeenten 2024-2025. Deze is beschikbaar via https://www.caogemeenten.nl/cao-gemeenten/salaris-salaristoeslagen-en-vergoedingen</w:t>
      </w:r>
    </w:p>
  </w:footnote>
  <w:footnote w:id="50">
    <w:p w14:paraId="4153FF27" w14:textId="0224DEF5" w:rsidR="004A0B2D" w:rsidRPr="005E3513" w:rsidRDefault="004A0B2D">
      <w:pPr>
        <w:pStyle w:val="Voetnoottekst"/>
        <w:rPr>
          <w:lang w:val="nl-NL"/>
        </w:rPr>
      </w:pPr>
      <w:r>
        <w:rPr>
          <w:rStyle w:val="Voetnootmarkering"/>
        </w:rPr>
        <w:footnoteRef/>
      </w:r>
      <w:r w:rsidRPr="005E3513">
        <w:rPr>
          <w:lang w:val="nl-NL"/>
        </w:rPr>
        <w:t xml:space="preserve"> </w:t>
      </w:r>
      <w:r>
        <w:rPr>
          <w:sz w:val="16"/>
          <w:szCs w:val="16"/>
          <w:lang w:val="nl-NL"/>
        </w:rPr>
        <w:t>I</w:t>
      </w:r>
      <w:r w:rsidRPr="005E3513">
        <w:rPr>
          <w:sz w:val="16"/>
          <w:szCs w:val="16"/>
          <w:lang w:val="nl-NL"/>
        </w:rPr>
        <w:t>n de GWW-markt circa 1/3 van het marktvolume (op basis van omzet) uit RAW-bestekken bestaat en zo’n 2/3 uit UAV-GC-contracten</w:t>
      </w:r>
    </w:p>
  </w:footnote>
  <w:footnote w:id="51">
    <w:p w14:paraId="6B07E311" w14:textId="77777777" w:rsidR="00DC5163" w:rsidRPr="00E52DC4" w:rsidRDefault="00DC5163" w:rsidP="00DC5163">
      <w:pPr>
        <w:pStyle w:val="Voetnoottekst"/>
        <w:rPr>
          <w:lang w:val="nl-NL"/>
        </w:rPr>
      </w:pPr>
      <w:r>
        <w:rPr>
          <w:rStyle w:val="Voetnootmarkering"/>
        </w:rPr>
        <w:footnoteRef/>
      </w:r>
      <w:r w:rsidRPr="00E52DC4">
        <w:rPr>
          <w:lang w:val="nl-NL"/>
        </w:rPr>
        <w:t xml:space="preserve"> </w:t>
      </w:r>
      <w:r w:rsidRPr="00A630BD">
        <w:rPr>
          <w:rStyle w:val="Hyperlink"/>
          <w:color w:val="auto"/>
          <w:sz w:val="16"/>
          <w:szCs w:val="16"/>
          <w:u w:val="none"/>
          <w:lang w:val="nl-NL"/>
        </w:rPr>
        <w:t xml:space="preserve">Bosch, S., Peeters, T., Dijcker, R., Hendriks, R., Hoppe, F., &amp; Bakker, E. (2024). </w:t>
      </w:r>
      <w:r w:rsidRPr="00A630BD">
        <w:rPr>
          <w:rStyle w:val="Hyperlink"/>
          <w:i/>
          <w:iCs/>
          <w:color w:val="auto"/>
          <w:sz w:val="16"/>
          <w:szCs w:val="16"/>
          <w:u w:val="none"/>
          <w:lang w:val="nl-NL"/>
        </w:rPr>
        <w:t>Beleidsadvies sturende MKI</w:t>
      </w:r>
      <w:r w:rsidRPr="00A630BD">
        <w:rPr>
          <w:rStyle w:val="Hyperlink"/>
          <w:color w:val="auto"/>
          <w:sz w:val="16"/>
          <w:szCs w:val="16"/>
          <w:u w:val="none"/>
          <w:lang w:val="nl-NL"/>
        </w:rPr>
        <w:t>. Copper8, Witteveen+Bos &amp; Flux Partners. Beschikbaar via: https://www.rijksoverheid.nl/documenten/rapporten/2024/05/31/bijlage-3-beleidsadvies-sturende-mki</w:t>
      </w:r>
    </w:p>
  </w:footnote>
  <w:footnote w:id="52">
    <w:p w14:paraId="289EEA5B" w14:textId="77777777" w:rsidR="00DC5163" w:rsidRPr="001C7AB0" w:rsidRDefault="00DC5163" w:rsidP="00DC5163">
      <w:pPr>
        <w:pStyle w:val="Voetnoottekst"/>
        <w:rPr>
          <w:lang w:val="nl-NL"/>
        </w:rPr>
      </w:pPr>
      <w:r>
        <w:rPr>
          <w:rStyle w:val="Voetnootmarkering"/>
        </w:rPr>
        <w:footnoteRef/>
      </w:r>
      <w:r w:rsidRPr="001C7AB0">
        <w:rPr>
          <w:lang w:val="nl-NL"/>
        </w:rPr>
        <w:t xml:space="preserve"> </w:t>
      </w:r>
      <w:r w:rsidRPr="00E52DC4">
        <w:rPr>
          <w:rStyle w:val="Hyperlink"/>
          <w:color w:val="auto"/>
          <w:sz w:val="16"/>
          <w:szCs w:val="16"/>
          <w:u w:val="none"/>
          <w:lang w:val="nl-NL"/>
        </w:rPr>
        <w:t>Gemeten met de Milieukostenindicator (MKI)</w:t>
      </w:r>
    </w:p>
  </w:footnote>
  <w:footnote w:id="53">
    <w:p w14:paraId="73915D2D" w14:textId="77777777" w:rsidR="00DC5163" w:rsidRPr="00BF5CBA" w:rsidRDefault="00DC5163" w:rsidP="00DC5163">
      <w:pPr>
        <w:pStyle w:val="Voetnoottekst"/>
        <w:rPr>
          <w:lang w:val="nl-NL"/>
        </w:rPr>
      </w:pPr>
      <w:r>
        <w:rPr>
          <w:rStyle w:val="Voetnootmarkering"/>
        </w:rPr>
        <w:footnoteRef/>
      </w:r>
      <w:r w:rsidRPr="00BF5CBA">
        <w:rPr>
          <w:lang w:val="nl-NL"/>
        </w:rPr>
        <w:t xml:space="preserve"> </w:t>
      </w:r>
      <w:r w:rsidRPr="00934FAF">
        <w:rPr>
          <w:sz w:val="16"/>
          <w:szCs w:val="16"/>
          <w:lang w:val="nl-NL"/>
        </w:rPr>
        <w:t>Vries, J., de, Laan, J. van der</w:t>
      </w:r>
      <w:r>
        <w:rPr>
          <w:sz w:val="16"/>
          <w:szCs w:val="16"/>
          <w:lang w:val="nl-NL"/>
        </w:rPr>
        <w:t>, I.,</w:t>
      </w:r>
      <w:r w:rsidRPr="00934FAF">
        <w:rPr>
          <w:sz w:val="16"/>
          <w:szCs w:val="16"/>
          <w:lang w:val="nl-NL"/>
        </w:rPr>
        <w:t xml:space="preserve"> Nieuwen</w:t>
      </w:r>
      <w:r w:rsidRPr="00806361">
        <w:rPr>
          <w:sz w:val="16"/>
          <w:szCs w:val="16"/>
          <w:lang w:val="nl-NL"/>
        </w:rPr>
        <w:t>huijse</w:t>
      </w:r>
      <w:r w:rsidRPr="00213D05">
        <w:rPr>
          <w:sz w:val="16"/>
          <w:szCs w:val="16"/>
          <w:lang w:val="nl-NL"/>
        </w:rPr>
        <w:t xml:space="preserve"> (2025),</w:t>
      </w:r>
      <w:r w:rsidRPr="00213D05">
        <w:rPr>
          <w:sz w:val="14"/>
          <w:szCs w:val="14"/>
          <w:lang w:val="nl-NL"/>
        </w:rPr>
        <w:t xml:space="preserve"> </w:t>
      </w:r>
      <w:r w:rsidRPr="00934FAF">
        <w:rPr>
          <w:sz w:val="16"/>
          <w:szCs w:val="16"/>
          <w:lang w:val="nl-NL"/>
        </w:rPr>
        <w:t>Factsheet | Versnellingsmaatregelen toepassing milieuprestatie-eisen GWW, CE Delft</w:t>
      </w:r>
    </w:p>
  </w:footnote>
  <w:footnote w:id="54">
    <w:p w14:paraId="2AB0896D" w14:textId="77777777" w:rsidR="00DC5163" w:rsidRPr="00D133D1" w:rsidRDefault="00DC5163" w:rsidP="00DC5163">
      <w:pPr>
        <w:pStyle w:val="Voetnoottekst"/>
        <w:rPr>
          <w:sz w:val="16"/>
          <w:szCs w:val="16"/>
          <w:lang w:val="nl-NL"/>
        </w:rPr>
      </w:pPr>
      <w:r w:rsidRPr="00D133D1">
        <w:rPr>
          <w:sz w:val="16"/>
          <w:szCs w:val="16"/>
          <w:lang w:val="nl-NL"/>
        </w:rPr>
        <w:footnoteRef/>
      </w:r>
      <w:r w:rsidRPr="00D133D1">
        <w:rPr>
          <w:sz w:val="16"/>
          <w:szCs w:val="16"/>
          <w:lang w:val="nl-NL"/>
        </w:rPr>
        <w:t xml:space="preserve"> De EN15804 is de Europese norm voor het bepalen van de milieuprestatie van bouwproducten.</w:t>
      </w:r>
    </w:p>
  </w:footnote>
  <w:footnote w:id="55">
    <w:p w14:paraId="5194DAA9" w14:textId="77777777" w:rsidR="00DC5163" w:rsidRPr="00D133D1" w:rsidRDefault="00DC5163" w:rsidP="00DC5163">
      <w:pPr>
        <w:pStyle w:val="Voetnoottekst"/>
        <w:rPr>
          <w:sz w:val="16"/>
          <w:szCs w:val="16"/>
          <w:lang w:val="nl-NL"/>
        </w:rPr>
      </w:pPr>
      <w:r w:rsidRPr="00D133D1">
        <w:rPr>
          <w:sz w:val="16"/>
          <w:szCs w:val="16"/>
          <w:lang w:val="nl-NL"/>
        </w:rPr>
        <w:footnoteRef/>
      </w:r>
      <w:r w:rsidRPr="00D133D1">
        <w:rPr>
          <w:sz w:val="16"/>
          <w:szCs w:val="16"/>
          <w:lang w:val="nl-NL"/>
        </w:rPr>
        <w:t xml:space="preserve"> Product Category Rule</w:t>
      </w:r>
      <w:r>
        <w:rPr>
          <w:sz w:val="16"/>
          <w:szCs w:val="16"/>
          <w:lang w:val="nl-NL"/>
        </w:rPr>
        <w:t>s, ook wel PCR, is</w:t>
      </w:r>
      <w:r w:rsidRPr="00D133D1">
        <w:rPr>
          <w:sz w:val="16"/>
          <w:szCs w:val="16"/>
          <w:lang w:val="nl-NL"/>
        </w:rPr>
        <w:t xml:space="preserve"> een verzameling specifieke regels, vereisten en richtsnoeren voor het opstellen van milieuverklaringen voor producten.</w:t>
      </w:r>
    </w:p>
  </w:footnote>
  <w:footnote w:id="56">
    <w:p w14:paraId="2A32FB3F" w14:textId="179460F1" w:rsidR="008B105A" w:rsidRDefault="008B105A" w:rsidP="008B105A">
      <w:pPr>
        <w:pStyle w:val="Voetnoottekst"/>
        <w:rPr>
          <w:lang w:val="nl-NL"/>
        </w:rPr>
      </w:pPr>
      <w:r>
        <w:rPr>
          <w:rStyle w:val="Voetnootmarkering"/>
        </w:rPr>
        <w:footnoteRef/>
      </w:r>
      <w:r>
        <w:rPr>
          <w:lang w:val="nl-NL"/>
        </w:rPr>
        <w:t xml:space="preserve"> </w:t>
      </w:r>
      <w:r>
        <w:rPr>
          <w:sz w:val="16"/>
          <w:szCs w:val="16"/>
          <w:lang w:val="nl-NL"/>
        </w:rPr>
        <w:t>Poll, van der, P., Mook, J. (2025). Onderzoek Financiële Effecten Milieuprestatie-eisen in aanbestedingen van GWW-werken. SIRA Consulting B.V.</w:t>
      </w:r>
      <w:r w:rsidR="003F1F8D" w:rsidRPr="003F1F8D">
        <w:rPr>
          <w:sz w:val="16"/>
          <w:szCs w:val="16"/>
          <w:lang w:val="nl-NL"/>
        </w:rPr>
        <w:t xml:space="preserve"> </w:t>
      </w:r>
      <w:r w:rsidR="003F1F8D">
        <w:rPr>
          <w:sz w:val="16"/>
          <w:szCs w:val="16"/>
          <w:lang w:val="nl-NL"/>
        </w:rPr>
        <w:t xml:space="preserve">Beschikbaar via </w:t>
      </w:r>
      <w:r w:rsidR="003F1F8D" w:rsidRPr="00E4565B">
        <w:rPr>
          <w:sz w:val="16"/>
          <w:szCs w:val="16"/>
          <w:lang w:val="nl-NL"/>
        </w:rPr>
        <w:t>https://www.internetconsultatie.nl/milieuprestatie_gww/b1</w:t>
      </w:r>
    </w:p>
  </w:footnote>
  <w:footnote w:id="57">
    <w:p w14:paraId="07613372" w14:textId="10E5B35F" w:rsidR="00197FC3" w:rsidRPr="00197FC3" w:rsidRDefault="00197FC3">
      <w:pPr>
        <w:pStyle w:val="Voetnoottekst"/>
        <w:rPr>
          <w:lang w:val="nl-NL"/>
        </w:rPr>
      </w:pPr>
      <w:r>
        <w:rPr>
          <w:rStyle w:val="Voetnootmarkering"/>
        </w:rPr>
        <w:footnoteRef/>
      </w:r>
      <w:r w:rsidRPr="00197FC3">
        <w:rPr>
          <w:lang w:val="nl-NL"/>
        </w:rPr>
        <w:t xml:space="preserve"> </w:t>
      </w:r>
      <w:r w:rsidRPr="00197FC3">
        <w:rPr>
          <w:sz w:val="16"/>
          <w:szCs w:val="16"/>
          <w:lang w:val="nl-NL"/>
        </w:rPr>
        <w:t>Bij de uitwerking van de amvb wordt opnieuw een regeldruktoets uitgevoerd door SIRA</w:t>
      </w:r>
    </w:p>
  </w:footnote>
  <w:footnote w:id="58">
    <w:p w14:paraId="4F993D8C" w14:textId="12E2F015" w:rsidR="0024713F" w:rsidRPr="00A17DF9" w:rsidRDefault="0024713F">
      <w:pPr>
        <w:pStyle w:val="Voetnoottekst"/>
        <w:rPr>
          <w:sz w:val="16"/>
          <w:szCs w:val="16"/>
          <w:lang w:val="nl-NL"/>
        </w:rPr>
      </w:pPr>
      <w:r w:rsidRPr="007D280C">
        <w:rPr>
          <w:rStyle w:val="Voetnootmarkering"/>
          <w:sz w:val="16"/>
          <w:szCs w:val="16"/>
        </w:rPr>
        <w:footnoteRef/>
      </w:r>
      <w:r w:rsidRPr="007D280C">
        <w:rPr>
          <w:sz w:val="16"/>
          <w:szCs w:val="16"/>
          <w:lang w:val="nl-NL"/>
        </w:rPr>
        <w:t xml:space="preserve"> Het verslag van de internetconsultatie en de bijbehorende stukken is te vinden op de website overheid.nl, met als vindplaats: https://www.internetconsultatie.nl/milieuprestatie_gww/b1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D4D" w14:textId="77777777" w:rsidR="00FC0A48" w:rsidRDefault="00FC0A48">
    <w:pPr>
      <w:pStyle w:val="MarginlessContainer"/>
    </w:pPr>
    <w:r>
      <w:rPr>
        <w:noProof/>
      </w:rPr>
      <mc:AlternateContent>
        <mc:Choice Requires="wps">
          <w:drawing>
            <wp:anchor distT="0" distB="0" distL="0" distR="0" simplePos="0" relativeHeight="251658240" behindDoc="0" locked="1" layoutInCell="1" allowOverlap="1" wp14:anchorId="29E647DF" wp14:editId="02600A63">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61B26D07" w14:textId="77777777" w:rsidR="00FC0A48" w:rsidRDefault="00FC0A48">
                          <w:r>
                            <w:fldChar w:fldCharType="begin"/>
                          </w:r>
                          <w:r>
                            <w:instrText>PAGE</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type w14:anchorId="29E647DF"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61B26D07" w14:textId="77777777" w:rsidR="00FC0A48" w:rsidRDefault="00FC0A48">
                    <w:r>
                      <w:fldChar w:fldCharType="begin"/>
                    </w:r>
                    <w:r>
                      <w:instrText>PAGE</w:instrText>
                    </w:r>
                    <w:r>
                      <w:fldChar w:fldCharType="separate"/>
                    </w:r>
                    <w:r>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97B194F" wp14:editId="4286BF06">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46437194" w14:textId="77777777" w:rsidR="00FC0A48" w:rsidRDefault="00FC0A48"/>
                      </w:txbxContent>
                    </wps:txbx>
                    <wps:bodyPr vert="horz" wrap="square" lIns="0" tIns="0" rIns="0" bIns="0" anchor="t" anchorCtr="0"/>
                  </wps:wsp>
                </a:graphicData>
              </a:graphic>
            </wp:anchor>
          </w:drawing>
        </mc:Choice>
        <mc:Fallback>
          <w:pict>
            <v:shape w14:anchorId="397B194F" id="Merking tweede pagina" o:spid="_x0000_s1027" type="#_x0000_t202" style="position:absolute;margin-left:79.35pt;margin-top:94.35pt;width:187.65pt;height:22.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46437194" w14:textId="77777777" w:rsidR="00FC0A48" w:rsidRDefault="00FC0A48"/>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65B130F" wp14:editId="2EF70409">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D9617FF" w14:textId="77777777" w:rsidR="00FC0A48" w:rsidRDefault="00FC0A48"/>
                      </w:txbxContent>
                    </wps:txbx>
                    <wps:bodyPr vert="horz" wrap="square" lIns="0" tIns="0" rIns="0" bIns="0" anchor="t" anchorCtr="0"/>
                  </wps:wsp>
                </a:graphicData>
              </a:graphic>
            </wp:anchor>
          </w:drawing>
        </mc:Choice>
        <mc:Fallback>
          <w:pict>
            <v:shape w14:anchorId="465B130F" id="Rubricering tweede pagina"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D9617FF" w14:textId="77777777" w:rsidR="00FC0A48" w:rsidRDefault="00FC0A4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D9D"/>
    <w:multiLevelType w:val="hybridMultilevel"/>
    <w:tmpl w:val="34483CEC"/>
    <w:lvl w:ilvl="0" w:tplc="04130001">
      <w:start w:val="1"/>
      <w:numFmt w:val="bullet"/>
      <w:lvlText w:val=""/>
      <w:lvlJc w:val="left"/>
      <w:pPr>
        <w:tabs>
          <w:tab w:val="num" w:pos="720"/>
        </w:tabs>
        <w:ind w:left="720" w:hanging="360"/>
      </w:pPr>
      <w:rPr>
        <w:rFonts w:ascii="Symbol" w:hAnsi="Symbol" w:hint="default"/>
      </w:rPr>
    </w:lvl>
    <w:lvl w:ilvl="1" w:tplc="90E87F2C">
      <w:start w:val="1"/>
      <w:numFmt w:val="decimal"/>
      <w:lvlText w:val="%2."/>
      <w:lvlJc w:val="left"/>
      <w:pPr>
        <w:ind w:left="1440" w:hanging="360"/>
      </w:pPr>
      <w:rPr>
        <w:rFonts w:hint="default"/>
        <w:i/>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39C3536"/>
    <w:multiLevelType w:val="hybridMultilevel"/>
    <w:tmpl w:val="3566D6B6"/>
    <w:lvl w:ilvl="0" w:tplc="C700F3F8">
      <w:start w:val="1"/>
      <w:numFmt w:val="decimal"/>
      <w:lvlText w:val="%1."/>
      <w:lvlJc w:val="left"/>
      <w:pPr>
        <w:ind w:left="1020" w:hanging="360"/>
      </w:pPr>
    </w:lvl>
    <w:lvl w:ilvl="1" w:tplc="04B28C7E">
      <w:start w:val="1"/>
      <w:numFmt w:val="decimal"/>
      <w:lvlText w:val="%2."/>
      <w:lvlJc w:val="left"/>
      <w:pPr>
        <w:ind w:left="1020" w:hanging="360"/>
      </w:pPr>
    </w:lvl>
    <w:lvl w:ilvl="2" w:tplc="329E3648">
      <w:start w:val="1"/>
      <w:numFmt w:val="decimal"/>
      <w:lvlText w:val="%3."/>
      <w:lvlJc w:val="left"/>
      <w:pPr>
        <w:ind w:left="1020" w:hanging="360"/>
      </w:pPr>
    </w:lvl>
    <w:lvl w:ilvl="3" w:tplc="E682BF34">
      <w:start w:val="1"/>
      <w:numFmt w:val="decimal"/>
      <w:lvlText w:val="%4."/>
      <w:lvlJc w:val="left"/>
      <w:pPr>
        <w:ind w:left="1020" w:hanging="360"/>
      </w:pPr>
    </w:lvl>
    <w:lvl w:ilvl="4" w:tplc="C276D3B8">
      <w:start w:val="1"/>
      <w:numFmt w:val="decimal"/>
      <w:lvlText w:val="%5."/>
      <w:lvlJc w:val="left"/>
      <w:pPr>
        <w:ind w:left="1020" w:hanging="360"/>
      </w:pPr>
    </w:lvl>
    <w:lvl w:ilvl="5" w:tplc="CFEA0494">
      <w:start w:val="1"/>
      <w:numFmt w:val="decimal"/>
      <w:lvlText w:val="%6."/>
      <w:lvlJc w:val="left"/>
      <w:pPr>
        <w:ind w:left="1020" w:hanging="360"/>
      </w:pPr>
    </w:lvl>
    <w:lvl w:ilvl="6" w:tplc="E12E36BC">
      <w:start w:val="1"/>
      <w:numFmt w:val="decimal"/>
      <w:lvlText w:val="%7."/>
      <w:lvlJc w:val="left"/>
      <w:pPr>
        <w:ind w:left="1020" w:hanging="360"/>
      </w:pPr>
    </w:lvl>
    <w:lvl w:ilvl="7" w:tplc="2DBE5224">
      <w:start w:val="1"/>
      <w:numFmt w:val="decimal"/>
      <w:lvlText w:val="%8."/>
      <w:lvlJc w:val="left"/>
      <w:pPr>
        <w:ind w:left="1020" w:hanging="360"/>
      </w:pPr>
    </w:lvl>
    <w:lvl w:ilvl="8" w:tplc="B380C38A">
      <w:start w:val="1"/>
      <w:numFmt w:val="decimal"/>
      <w:lvlText w:val="%9."/>
      <w:lvlJc w:val="left"/>
      <w:pPr>
        <w:ind w:left="1020" w:hanging="360"/>
      </w:pPr>
    </w:lvl>
  </w:abstractNum>
  <w:abstractNum w:abstractNumId="2" w15:restartNumberingAfterBreak="0">
    <w:nsid w:val="043064ED"/>
    <w:multiLevelType w:val="hybridMultilevel"/>
    <w:tmpl w:val="6AE41FFA"/>
    <w:lvl w:ilvl="0" w:tplc="17F8F760">
      <w:start w:val="1"/>
      <w:numFmt w:val="decimal"/>
      <w:lvlText w:val="%1."/>
      <w:lvlJc w:val="left"/>
      <w:pPr>
        <w:ind w:left="1020" w:hanging="360"/>
      </w:pPr>
    </w:lvl>
    <w:lvl w:ilvl="1" w:tplc="C1D48F00">
      <w:start w:val="1"/>
      <w:numFmt w:val="decimal"/>
      <w:lvlText w:val="%2."/>
      <w:lvlJc w:val="left"/>
      <w:pPr>
        <w:ind w:left="1020" w:hanging="360"/>
      </w:pPr>
    </w:lvl>
    <w:lvl w:ilvl="2" w:tplc="7CFAF2DC">
      <w:start w:val="1"/>
      <w:numFmt w:val="decimal"/>
      <w:lvlText w:val="%3."/>
      <w:lvlJc w:val="left"/>
      <w:pPr>
        <w:ind w:left="1020" w:hanging="360"/>
      </w:pPr>
    </w:lvl>
    <w:lvl w:ilvl="3" w:tplc="7026DCE0">
      <w:start w:val="1"/>
      <w:numFmt w:val="decimal"/>
      <w:lvlText w:val="%4."/>
      <w:lvlJc w:val="left"/>
      <w:pPr>
        <w:ind w:left="1020" w:hanging="360"/>
      </w:pPr>
    </w:lvl>
    <w:lvl w:ilvl="4" w:tplc="3698C78E">
      <w:start w:val="1"/>
      <w:numFmt w:val="decimal"/>
      <w:lvlText w:val="%5."/>
      <w:lvlJc w:val="left"/>
      <w:pPr>
        <w:ind w:left="1020" w:hanging="360"/>
      </w:pPr>
    </w:lvl>
    <w:lvl w:ilvl="5" w:tplc="0AF604FC">
      <w:start w:val="1"/>
      <w:numFmt w:val="decimal"/>
      <w:lvlText w:val="%6."/>
      <w:lvlJc w:val="left"/>
      <w:pPr>
        <w:ind w:left="1020" w:hanging="360"/>
      </w:pPr>
    </w:lvl>
    <w:lvl w:ilvl="6" w:tplc="87067C90">
      <w:start w:val="1"/>
      <w:numFmt w:val="decimal"/>
      <w:lvlText w:val="%7."/>
      <w:lvlJc w:val="left"/>
      <w:pPr>
        <w:ind w:left="1020" w:hanging="360"/>
      </w:pPr>
    </w:lvl>
    <w:lvl w:ilvl="7" w:tplc="FF924524">
      <w:start w:val="1"/>
      <w:numFmt w:val="decimal"/>
      <w:lvlText w:val="%8."/>
      <w:lvlJc w:val="left"/>
      <w:pPr>
        <w:ind w:left="1020" w:hanging="360"/>
      </w:pPr>
    </w:lvl>
    <w:lvl w:ilvl="8" w:tplc="07ACAF8C">
      <w:start w:val="1"/>
      <w:numFmt w:val="decimal"/>
      <w:lvlText w:val="%9."/>
      <w:lvlJc w:val="left"/>
      <w:pPr>
        <w:ind w:left="1020" w:hanging="360"/>
      </w:pPr>
    </w:lvl>
  </w:abstractNum>
  <w:abstractNum w:abstractNumId="3" w15:restartNumberingAfterBreak="0">
    <w:nsid w:val="04724906"/>
    <w:multiLevelType w:val="multilevel"/>
    <w:tmpl w:val="7DEC549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04E733FF"/>
    <w:multiLevelType w:val="hybridMultilevel"/>
    <w:tmpl w:val="D5386DD2"/>
    <w:lvl w:ilvl="0" w:tplc="71761F9E">
      <w:start w:val="1"/>
      <w:numFmt w:val="decimal"/>
      <w:lvlText w:val="%1."/>
      <w:lvlJc w:val="left"/>
      <w:pPr>
        <w:ind w:left="1020" w:hanging="360"/>
      </w:pPr>
    </w:lvl>
    <w:lvl w:ilvl="1" w:tplc="37DA0144">
      <w:start w:val="1"/>
      <w:numFmt w:val="decimal"/>
      <w:lvlText w:val="%2."/>
      <w:lvlJc w:val="left"/>
      <w:pPr>
        <w:ind w:left="1020" w:hanging="360"/>
      </w:pPr>
    </w:lvl>
    <w:lvl w:ilvl="2" w:tplc="D4B858C0">
      <w:start w:val="1"/>
      <w:numFmt w:val="decimal"/>
      <w:lvlText w:val="%3."/>
      <w:lvlJc w:val="left"/>
      <w:pPr>
        <w:ind w:left="1020" w:hanging="360"/>
      </w:pPr>
    </w:lvl>
    <w:lvl w:ilvl="3" w:tplc="58947ED0">
      <w:start w:val="1"/>
      <w:numFmt w:val="decimal"/>
      <w:lvlText w:val="%4."/>
      <w:lvlJc w:val="left"/>
      <w:pPr>
        <w:ind w:left="1020" w:hanging="360"/>
      </w:pPr>
    </w:lvl>
    <w:lvl w:ilvl="4" w:tplc="6680A816">
      <w:start w:val="1"/>
      <w:numFmt w:val="decimal"/>
      <w:lvlText w:val="%5."/>
      <w:lvlJc w:val="left"/>
      <w:pPr>
        <w:ind w:left="1020" w:hanging="360"/>
      </w:pPr>
    </w:lvl>
    <w:lvl w:ilvl="5" w:tplc="E866103A">
      <w:start w:val="1"/>
      <w:numFmt w:val="decimal"/>
      <w:lvlText w:val="%6."/>
      <w:lvlJc w:val="left"/>
      <w:pPr>
        <w:ind w:left="1020" w:hanging="360"/>
      </w:pPr>
    </w:lvl>
    <w:lvl w:ilvl="6" w:tplc="C8C83EE6">
      <w:start w:val="1"/>
      <w:numFmt w:val="decimal"/>
      <w:lvlText w:val="%7."/>
      <w:lvlJc w:val="left"/>
      <w:pPr>
        <w:ind w:left="1020" w:hanging="360"/>
      </w:pPr>
    </w:lvl>
    <w:lvl w:ilvl="7" w:tplc="508EB96C">
      <w:start w:val="1"/>
      <w:numFmt w:val="decimal"/>
      <w:lvlText w:val="%8."/>
      <w:lvlJc w:val="left"/>
      <w:pPr>
        <w:ind w:left="1020" w:hanging="360"/>
      </w:pPr>
    </w:lvl>
    <w:lvl w:ilvl="8" w:tplc="07721C72">
      <w:start w:val="1"/>
      <w:numFmt w:val="decimal"/>
      <w:lvlText w:val="%9."/>
      <w:lvlJc w:val="left"/>
      <w:pPr>
        <w:ind w:left="1020" w:hanging="360"/>
      </w:pPr>
    </w:lvl>
  </w:abstractNum>
  <w:abstractNum w:abstractNumId="5" w15:restartNumberingAfterBreak="0">
    <w:nsid w:val="09D676DF"/>
    <w:multiLevelType w:val="hybridMultilevel"/>
    <w:tmpl w:val="1F489362"/>
    <w:lvl w:ilvl="0" w:tplc="597ECDB4">
      <w:start w:val="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0153FF"/>
    <w:multiLevelType w:val="hybridMultilevel"/>
    <w:tmpl w:val="599C26AC"/>
    <w:lvl w:ilvl="0" w:tplc="B8E6C05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555A23"/>
    <w:multiLevelType w:val="hybridMultilevel"/>
    <w:tmpl w:val="841EF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C37D5B"/>
    <w:multiLevelType w:val="hybridMultilevel"/>
    <w:tmpl w:val="696E3B62"/>
    <w:lvl w:ilvl="0" w:tplc="597ECDB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7C2D3B"/>
    <w:multiLevelType w:val="hybridMultilevel"/>
    <w:tmpl w:val="EC089F2A"/>
    <w:lvl w:ilvl="0" w:tplc="FEE8C736">
      <w:start w:val="3"/>
      <w:numFmt w:val="bullet"/>
      <w:lvlText w:val="-"/>
      <w:lvlJc w:val="left"/>
      <w:pPr>
        <w:ind w:left="720" w:hanging="360"/>
      </w:pPr>
      <w:rPr>
        <w:rFonts w:ascii="Calibri" w:hAnsi="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0B072F"/>
    <w:multiLevelType w:val="hybridMultilevel"/>
    <w:tmpl w:val="81F068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006E0A"/>
    <w:multiLevelType w:val="multilevel"/>
    <w:tmpl w:val="6FC8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552CA"/>
    <w:multiLevelType w:val="hybridMultilevel"/>
    <w:tmpl w:val="B686D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746121"/>
    <w:multiLevelType w:val="hybridMultilevel"/>
    <w:tmpl w:val="12B28786"/>
    <w:lvl w:ilvl="0" w:tplc="0A4C564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D14F58"/>
    <w:multiLevelType w:val="hybridMultilevel"/>
    <w:tmpl w:val="50240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6625338"/>
    <w:multiLevelType w:val="hybridMultilevel"/>
    <w:tmpl w:val="A4F02F92"/>
    <w:lvl w:ilvl="0" w:tplc="FFFFFFFF">
      <w:start w:val="3"/>
      <w:numFmt w:val="bullet"/>
      <w:lvlText w:val="-"/>
      <w:lvlJc w:val="left"/>
      <w:pPr>
        <w:ind w:left="360" w:hanging="360"/>
      </w:pPr>
      <w:rPr>
        <w:rFonts w:ascii="Calibri" w:hAnsi="Calibri"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7525C95"/>
    <w:multiLevelType w:val="hybridMultilevel"/>
    <w:tmpl w:val="FD809EB8"/>
    <w:lvl w:ilvl="0" w:tplc="0413000F">
      <w:start w:val="1"/>
      <w:numFmt w:val="decimal"/>
      <w:pStyle w:val="Kopvaninhoudsopgave"/>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8890878"/>
    <w:multiLevelType w:val="hybridMultilevel"/>
    <w:tmpl w:val="C736E792"/>
    <w:lvl w:ilvl="0" w:tplc="C978924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B90142B"/>
    <w:multiLevelType w:val="hybridMultilevel"/>
    <w:tmpl w:val="D5442C9A"/>
    <w:lvl w:ilvl="0" w:tplc="8996E30E">
      <w:start w:val="1"/>
      <w:numFmt w:val="decimal"/>
      <w:lvlText w:val="%1."/>
      <w:lvlJc w:val="left"/>
      <w:pPr>
        <w:ind w:left="1020" w:hanging="360"/>
      </w:pPr>
    </w:lvl>
    <w:lvl w:ilvl="1" w:tplc="2004997E">
      <w:start w:val="1"/>
      <w:numFmt w:val="decimal"/>
      <w:lvlText w:val="%2."/>
      <w:lvlJc w:val="left"/>
      <w:pPr>
        <w:ind w:left="1020" w:hanging="360"/>
      </w:pPr>
    </w:lvl>
    <w:lvl w:ilvl="2" w:tplc="070E2266">
      <w:start w:val="1"/>
      <w:numFmt w:val="decimal"/>
      <w:lvlText w:val="%3."/>
      <w:lvlJc w:val="left"/>
      <w:pPr>
        <w:ind w:left="1020" w:hanging="360"/>
      </w:pPr>
    </w:lvl>
    <w:lvl w:ilvl="3" w:tplc="21FE848E">
      <w:start w:val="1"/>
      <w:numFmt w:val="decimal"/>
      <w:lvlText w:val="%4."/>
      <w:lvlJc w:val="left"/>
      <w:pPr>
        <w:ind w:left="1020" w:hanging="360"/>
      </w:pPr>
    </w:lvl>
    <w:lvl w:ilvl="4" w:tplc="9D343C3E">
      <w:start w:val="1"/>
      <w:numFmt w:val="decimal"/>
      <w:lvlText w:val="%5."/>
      <w:lvlJc w:val="left"/>
      <w:pPr>
        <w:ind w:left="1020" w:hanging="360"/>
      </w:pPr>
    </w:lvl>
    <w:lvl w:ilvl="5" w:tplc="64ACAE2C">
      <w:start w:val="1"/>
      <w:numFmt w:val="decimal"/>
      <w:lvlText w:val="%6."/>
      <w:lvlJc w:val="left"/>
      <w:pPr>
        <w:ind w:left="1020" w:hanging="360"/>
      </w:pPr>
    </w:lvl>
    <w:lvl w:ilvl="6" w:tplc="656EC10A">
      <w:start w:val="1"/>
      <w:numFmt w:val="decimal"/>
      <w:lvlText w:val="%7."/>
      <w:lvlJc w:val="left"/>
      <w:pPr>
        <w:ind w:left="1020" w:hanging="360"/>
      </w:pPr>
    </w:lvl>
    <w:lvl w:ilvl="7" w:tplc="56D8171A">
      <w:start w:val="1"/>
      <w:numFmt w:val="decimal"/>
      <w:lvlText w:val="%8."/>
      <w:lvlJc w:val="left"/>
      <w:pPr>
        <w:ind w:left="1020" w:hanging="360"/>
      </w:pPr>
    </w:lvl>
    <w:lvl w:ilvl="8" w:tplc="92929828">
      <w:start w:val="1"/>
      <w:numFmt w:val="decimal"/>
      <w:lvlText w:val="%9."/>
      <w:lvlJc w:val="left"/>
      <w:pPr>
        <w:ind w:left="1020" w:hanging="360"/>
      </w:pPr>
    </w:lvl>
  </w:abstractNum>
  <w:abstractNum w:abstractNumId="19" w15:restartNumberingAfterBreak="0">
    <w:nsid w:val="1DFE572A"/>
    <w:multiLevelType w:val="hybridMultilevel"/>
    <w:tmpl w:val="D6AE7BE2"/>
    <w:lvl w:ilvl="0" w:tplc="BAF0003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F8862F5"/>
    <w:multiLevelType w:val="hybridMultilevel"/>
    <w:tmpl w:val="4F1EB20C"/>
    <w:lvl w:ilvl="0" w:tplc="EE76E2B6">
      <w:start w:val="3"/>
      <w:numFmt w:val="decimal"/>
      <w:lvlText w:val="%1."/>
      <w:lvlJc w:val="left"/>
      <w:pPr>
        <w:tabs>
          <w:tab w:val="num" w:pos="720"/>
        </w:tabs>
        <w:ind w:left="720" w:hanging="360"/>
      </w:pPr>
    </w:lvl>
    <w:lvl w:ilvl="1" w:tplc="EAAAF866" w:tentative="1">
      <w:start w:val="1"/>
      <w:numFmt w:val="decimal"/>
      <w:lvlText w:val="%2."/>
      <w:lvlJc w:val="left"/>
      <w:pPr>
        <w:tabs>
          <w:tab w:val="num" w:pos="1440"/>
        </w:tabs>
        <w:ind w:left="1440" w:hanging="360"/>
      </w:pPr>
    </w:lvl>
    <w:lvl w:ilvl="2" w:tplc="F6803258" w:tentative="1">
      <w:start w:val="1"/>
      <w:numFmt w:val="decimal"/>
      <w:lvlText w:val="%3."/>
      <w:lvlJc w:val="left"/>
      <w:pPr>
        <w:tabs>
          <w:tab w:val="num" w:pos="2160"/>
        </w:tabs>
        <w:ind w:left="2160" w:hanging="360"/>
      </w:pPr>
    </w:lvl>
    <w:lvl w:ilvl="3" w:tplc="BA76B062" w:tentative="1">
      <w:start w:val="1"/>
      <w:numFmt w:val="decimal"/>
      <w:lvlText w:val="%4."/>
      <w:lvlJc w:val="left"/>
      <w:pPr>
        <w:tabs>
          <w:tab w:val="num" w:pos="2880"/>
        </w:tabs>
        <w:ind w:left="2880" w:hanging="360"/>
      </w:pPr>
    </w:lvl>
    <w:lvl w:ilvl="4" w:tplc="4E323F06" w:tentative="1">
      <w:start w:val="1"/>
      <w:numFmt w:val="decimal"/>
      <w:lvlText w:val="%5."/>
      <w:lvlJc w:val="left"/>
      <w:pPr>
        <w:tabs>
          <w:tab w:val="num" w:pos="3600"/>
        </w:tabs>
        <w:ind w:left="3600" w:hanging="360"/>
      </w:pPr>
    </w:lvl>
    <w:lvl w:ilvl="5" w:tplc="312A858A" w:tentative="1">
      <w:start w:val="1"/>
      <w:numFmt w:val="decimal"/>
      <w:lvlText w:val="%6."/>
      <w:lvlJc w:val="left"/>
      <w:pPr>
        <w:tabs>
          <w:tab w:val="num" w:pos="4320"/>
        </w:tabs>
        <w:ind w:left="4320" w:hanging="360"/>
      </w:pPr>
    </w:lvl>
    <w:lvl w:ilvl="6" w:tplc="799E24CC" w:tentative="1">
      <w:start w:val="1"/>
      <w:numFmt w:val="decimal"/>
      <w:lvlText w:val="%7."/>
      <w:lvlJc w:val="left"/>
      <w:pPr>
        <w:tabs>
          <w:tab w:val="num" w:pos="5040"/>
        </w:tabs>
        <w:ind w:left="5040" w:hanging="360"/>
      </w:pPr>
    </w:lvl>
    <w:lvl w:ilvl="7" w:tplc="29A85596" w:tentative="1">
      <w:start w:val="1"/>
      <w:numFmt w:val="decimal"/>
      <w:lvlText w:val="%8."/>
      <w:lvlJc w:val="left"/>
      <w:pPr>
        <w:tabs>
          <w:tab w:val="num" w:pos="5760"/>
        </w:tabs>
        <w:ind w:left="5760" w:hanging="360"/>
      </w:pPr>
    </w:lvl>
    <w:lvl w:ilvl="8" w:tplc="DFBAA400" w:tentative="1">
      <w:start w:val="1"/>
      <w:numFmt w:val="decimal"/>
      <w:lvlText w:val="%9."/>
      <w:lvlJc w:val="left"/>
      <w:pPr>
        <w:tabs>
          <w:tab w:val="num" w:pos="6480"/>
        </w:tabs>
        <w:ind w:left="6480" w:hanging="360"/>
      </w:pPr>
    </w:lvl>
  </w:abstractNum>
  <w:abstractNum w:abstractNumId="21" w15:restartNumberingAfterBreak="0">
    <w:nsid w:val="254D2EBC"/>
    <w:multiLevelType w:val="hybridMultilevel"/>
    <w:tmpl w:val="32E6FA56"/>
    <w:lvl w:ilvl="0" w:tplc="568A6F94">
      <w:start w:val="1"/>
      <w:numFmt w:val="decimal"/>
      <w:lvlText w:val="%1)"/>
      <w:lvlJc w:val="left"/>
      <w:pPr>
        <w:ind w:left="720" w:hanging="360"/>
      </w:pPr>
    </w:lvl>
    <w:lvl w:ilvl="1" w:tplc="E62E047A">
      <w:start w:val="1"/>
      <w:numFmt w:val="decimal"/>
      <w:lvlText w:val="%2)"/>
      <w:lvlJc w:val="left"/>
      <w:pPr>
        <w:ind w:left="720" w:hanging="360"/>
      </w:pPr>
    </w:lvl>
    <w:lvl w:ilvl="2" w:tplc="1C7AC282">
      <w:start w:val="1"/>
      <w:numFmt w:val="decimal"/>
      <w:lvlText w:val="%3)"/>
      <w:lvlJc w:val="left"/>
      <w:pPr>
        <w:ind w:left="720" w:hanging="360"/>
      </w:pPr>
    </w:lvl>
    <w:lvl w:ilvl="3" w:tplc="8E26D324">
      <w:start w:val="1"/>
      <w:numFmt w:val="decimal"/>
      <w:lvlText w:val="%4)"/>
      <w:lvlJc w:val="left"/>
      <w:pPr>
        <w:ind w:left="720" w:hanging="360"/>
      </w:pPr>
    </w:lvl>
    <w:lvl w:ilvl="4" w:tplc="9EAC963C">
      <w:start w:val="1"/>
      <w:numFmt w:val="decimal"/>
      <w:lvlText w:val="%5)"/>
      <w:lvlJc w:val="left"/>
      <w:pPr>
        <w:ind w:left="720" w:hanging="360"/>
      </w:pPr>
    </w:lvl>
    <w:lvl w:ilvl="5" w:tplc="ECC4AFEE">
      <w:start w:val="1"/>
      <w:numFmt w:val="decimal"/>
      <w:lvlText w:val="%6)"/>
      <w:lvlJc w:val="left"/>
      <w:pPr>
        <w:ind w:left="720" w:hanging="360"/>
      </w:pPr>
    </w:lvl>
    <w:lvl w:ilvl="6" w:tplc="D242D56E">
      <w:start w:val="1"/>
      <w:numFmt w:val="decimal"/>
      <w:lvlText w:val="%7)"/>
      <w:lvlJc w:val="left"/>
      <w:pPr>
        <w:ind w:left="720" w:hanging="360"/>
      </w:pPr>
    </w:lvl>
    <w:lvl w:ilvl="7" w:tplc="61987440">
      <w:start w:val="1"/>
      <w:numFmt w:val="decimal"/>
      <w:lvlText w:val="%8)"/>
      <w:lvlJc w:val="left"/>
      <w:pPr>
        <w:ind w:left="720" w:hanging="360"/>
      </w:pPr>
    </w:lvl>
    <w:lvl w:ilvl="8" w:tplc="461AB5BC">
      <w:start w:val="1"/>
      <w:numFmt w:val="decimal"/>
      <w:lvlText w:val="%9)"/>
      <w:lvlJc w:val="left"/>
      <w:pPr>
        <w:ind w:left="720" w:hanging="360"/>
      </w:pPr>
    </w:lvl>
  </w:abstractNum>
  <w:abstractNum w:abstractNumId="22" w15:restartNumberingAfterBreak="0">
    <w:nsid w:val="2865717E"/>
    <w:multiLevelType w:val="hybridMultilevel"/>
    <w:tmpl w:val="7D1888FE"/>
    <w:lvl w:ilvl="0" w:tplc="E084A29A">
      <w:start w:val="1"/>
      <w:numFmt w:val="decimal"/>
      <w:lvlText w:val="%1."/>
      <w:lvlJc w:val="left"/>
      <w:pPr>
        <w:ind w:left="1020" w:hanging="360"/>
      </w:pPr>
    </w:lvl>
    <w:lvl w:ilvl="1" w:tplc="5E30C11C">
      <w:start w:val="1"/>
      <w:numFmt w:val="decimal"/>
      <w:lvlText w:val="%2."/>
      <w:lvlJc w:val="left"/>
      <w:pPr>
        <w:ind w:left="1020" w:hanging="360"/>
      </w:pPr>
    </w:lvl>
    <w:lvl w:ilvl="2" w:tplc="EC7E3D08">
      <w:start w:val="1"/>
      <w:numFmt w:val="decimal"/>
      <w:lvlText w:val="%3."/>
      <w:lvlJc w:val="left"/>
      <w:pPr>
        <w:ind w:left="1020" w:hanging="360"/>
      </w:pPr>
    </w:lvl>
    <w:lvl w:ilvl="3" w:tplc="D6D41C54">
      <w:start w:val="1"/>
      <w:numFmt w:val="decimal"/>
      <w:lvlText w:val="%4."/>
      <w:lvlJc w:val="left"/>
      <w:pPr>
        <w:ind w:left="1020" w:hanging="360"/>
      </w:pPr>
    </w:lvl>
    <w:lvl w:ilvl="4" w:tplc="4C1A001C">
      <w:start w:val="1"/>
      <w:numFmt w:val="decimal"/>
      <w:lvlText w:val="%5."/>
      <w:lvlJc w:val="left"/>
      <w:pPr>
        <w:ind w:left="1020" w:hanging="360"/>
      </w:pPr>
    </w:lvl>
    <w:lvl w:ilvl="5" w:tplc="8E362426">
      <w:start w:val="1"/>
      <w:numFmt w:val="decimal"/>
      <w:lvlText w:val="%6."/>
      <w:lvlJc w:val="left"/>
      <w:pPr>
        <w:ind w:left="1020" w:hanging="360"/>
      </w:pPr>
    </w:lvl>
    <w:lvl w:ilvl="6" w:tplc="471A11FC">
      <w:start w:val="1"/>
      <w:numFmt w:val="decimal"/>
      <w:lvlText w:val="%7."/>
      <w:lvlJc w:val="left"/>
      <w:pPr>
        <w:ind w:left="1020" w:hanging="360"/>
      </w:pPr>
    </w:lvl>
    <w:lvl w:ilvl="7" w:tplc="3484134C">
      <w:start w:val="1"/>
      <w:numFmt w:val="decimal"/>
      <w:lvlText w:val="%8."/>
      <w:lvlJc w:val="left"/>
      <w:pPr>
        <w:ind w:left="1020" w:hanging="360"/>
      </w:pPr>
    </w:lvl>
    <w:lvl w:ilvl="8" w:tplc="C2F23156">
      <w:start w:val="1"/>
      <w:numFmt w:val="decimal"/>
      <w:lvlText w:val="%9."/>
      <w:lvlJc w:val="left"/>
      <w:pPr>
        <w:ind w:left="1020" w:hanging="360"/>
      </w:pPr>
    </w:lvl>
  </w:abstractNum>
  <w:abstractNum w:abstractNumId="23" w15:restartNumberingAfterBreak="0">
    <w:nsid w:val="29210460"/>
    <w:multiLevelType w:val="multilevel"/>
    <w:tmpl w:val="FAF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82F3C"/>
    <w:multiLevelType w:val="hybridMultilevel"/>
    <w:tmpl w:val="B0264780"/>
    <w:lvl w:ilvl="0" w:tplc="7360B410">
      <w:start w:val="1"/>
      <w:numFmt w:val="decimal"/>
      <w:lvlText w:val="%1."/>
      <w:lvlJc w:val="left"/>
      <w:pPr>
        <w:ind w:left="360" w:hanging="360"/>
      </w:pPr>
    </w:lvl>
    <w:lvl w:ilvl="1" w:tplc="49B4FC9E">
      <w:start w:val="1"/>
      <w:numFmt w:val="lowerLetter"/>
      <w:lvlText w:val="%2."/>
      <w:lvlJc w:val="left"/>
      <w:pPr>
        <w:ind w:left="1080" w:hanging="360"/>
      </w:pPr>
    </w:lvl>
    <w:lvl w:ilvl="2" w:tplc="06369EE8">
      <w:start w:val="1"/>
      <w:numFmt w:val="lowerRoman"/>
      <w:lvlText w:val="%3."/>
      <w:lvlJc w:val="right"/>
      <w:pPr>
        <w:ind w:left="1800" w:hanging="180"/>
      </w:pPr>
    </w:lvl>
    <w:lvl w:ilvl="3" w:tplc="CB761C80">
      <w:start w:val="1"/>
      <w:numFmt w:val="decimal"/>
      <w:lvlText w:val="%4."/>
      <w:lvlJc w:val="left"/>
      <w:pPr>
        <w:ind w:left="2520" w:hanging="360"/>
      </w:pPr>
    </w:lvl>
    <w:lvl w:ilvl="4" w:tplc="AD54ED68">
      <w:start w:val="1"/>
      <w:numFmt w:val="lowerLetter"/>
      <w:lvlText w:val="%5."/>
      <w:lvlJc w:val="left"/>
      <w:pPr>
        <w:ind w:left="3240" w:hanging="360"/>
      </w:pPr>
    </w:lvl>
    <w:lvl w:ilvl="5" w:tplc="45C870A2">
      <w:start w:val="1"/>
      <w:numFmt w:val="lowerRoman"/>
      <w:lvlText w:val="%6."/>
      <w:lvlJc w:val="right"/>
      <w:pPr>
        <w:ind w:left="3960" w:hanging="180"/>
      </w:pPr>
    </w:lvl>
    <w:lvl w:ilvl="6" w:tplc="52D40CC6">
      <w:start w:val="1"/>
      <w:numFmt w:val="decimal"/>
      <w:lvlText w:val="%7."/>
      <w:lvlJc w:val="left"/>
      <w:pPr>
        <w:ind w:left="4680" w:hanging="360"/>
      </w:pPr>
    </w:lvl>
    <w:lvl w:ilvl="7" w:tplc="8ACADB64">
      <w:start w:val="1"/>
      <w:numFmt w:val="lowerLetter"/>
      <w:lvlText w:val="%8."/>
      <w:lvlJc w:val="left"/>
      <w:pPr>
        <w:ind w:left="5400" w:hanging="360"/>
      </w:pPr>
    </w:lvl>
    <w:lvl w:ilvl="8" w:tplc="432C4456">
      <w:start w:val="1"/>
      <w:numFmt w:val="lowerRoman"/>
      <w:lvlText w:val="%9."/>
      <w:lvlJc w:val="right"/>
      <w:pPr>
        <w:ind w:left="6120" w:hanging="180"/>
      </w:pPr>
    </w:lvl>
  </w:abstractNum>
  <w:abstractNum w:abstractNumId="25" w15:restartNumberingAfterBreak="0">
    <w:nsid w:val="2D54398C"/>
    <w:multiLevelType w:val="hybridMultilevel"/>
    <w:tmpl w:val="EC86660A"/>
    <w:lvl w:ilvl="0" w:tplc="F398ABE8">
      <w:start w:val="1"/>
      <w:numFmt w:val="bullet"/>
      <w:lvlText w:val=""/>
      <w:lvlJc w:val="left"/>
      <w:pPr>
        <w:ind w:left="1440" w:hanging="360"/>
      </w:pPr>
      <w:rPr>
        <w:rFonts w:ascii="Symbol" w:hAnsi="Symbol"/>
      </w:rPr>
    </w:lvl>
    <w:lvl w:ilvl="1" w:tplc="59767942">
      <w:start w:val="1"/>
      <w:numFmt w:val="bullet"/>
      <w:lvlText w:val=""/>
      <w:lvlJc w:val="left"/>
      <w:pPr>
        <w:ind w:left="1440" w:hanging="360"/>
      </w:pPr>
      <w:rPr>
        <w:rFonts w:ascii="Symbol" w:hAnsi="Symbol"/>
      </w:rPr>
    </w:lvl>
    <w:lvl w:ilvl="2" w:tplc="61961B24">
      <w:start w:val="1"/>
      <w:numFmt w:val="bullet"/>
      <w:lvlText w:val=""/>
      <w:lvlJc w:val="left"/>
      <w:pPr>
        <w:ind w:left="1440" w:hanging="360"/>
      </w:pPr>
      <w:rPr>
        <w:rFonts w:ascii="Symbol" w:hAnsi="Symbol"/>
      </w:rPr>
    </w:lvl>
    <w:lvl w:ilvl="3" w:tplc="98569624">
      <w:start w:val="1"/>
      <w:numFmt w:val="bullet"/>
      <w:lvlText w:val=""/>
      <w:lvlJc w:val="left"/>
      <w:pPr>
        <w:ind w:left="1440" w:hanging="360"/>
      </w:pPr>
      <w:rPr>
        <w:rFonts w:ascii="Symbol" w:hAnsi="Symbol"/>
      </w:rPr>
    </w:lvl>
    <w:lvl w:ilvl="4" w:tplc="5D1092A2">
      <w:start w:val="1"/>
      <w:numFmt w:val="bullet"/>
      <w:lvlText w:val=""/>
      <w:lvlJc w:val="left"/>
      <w:pPr>
        <w:ind w:left="1440" w:hanging="360"/>
      </w:pPr>
      <w:rPr>
        <w:rFonts w:ascii="Symbol" w:hAnsi="Symbol"/>
      </w:rPr>
    </w:lvl>
    <w:lvl w:ilvl="5" w:tplc="E0049F88">
      <w:start w:val="1"/>
      <w:numFmt w:val="bullet"/>
      <w:lvlText w:val=""/>
      <w:lvlJc w:val="left"/>
      <w:pPr>
        <w:ind w:left="1440" w:hanging="360"/>
      </w:pPr>
      <w:rPr>
        <w:rFonts w:ascii="Symbol" w:hAnsi="Symbol"/>
      </w:rPr>
    </w:lvl>
    <w:lvl w:ilvl="6" w:tplc="BA303E36">
      <w:start w:val="1"/>
      <w:numFmt w:val="bullet"/>
      <w:lvlText w:val=""/>
      <w:lvlJc w:val="left"/>
      <w:pPr>
        <w:ind w:left="1440" w:hanging="360"/>
      </w:pPr>
      <w:rPr>
        <w:rFonts w:ascii="Symbol" w:hAnsi="Symbol"/>
      </w:rPr>
    </w:lvl>
    <w:lvl w:ilvl="7" w:tplc="115AFAD6">
      <w:start w:val="1"/>
      <w:numFmt w:val="bullet"/>
      <w:lvlText w:val=""/>
      <w:lvlJc w:val="left"/>
      <w:pPr>
        <w:ind w:left="1440" w:hanging="360"/>
      </w:pPr>
      <w:rPr>
        <w:rFonts w:ascii="Symbol" w:hAnsi="Symbol"/>
      </w:rPr>
    </w:lvl>
    <w:lvl w:ilvl="8" w:tplc="8384DD3A">
      <w:start w:val="1"/>
      <w:numFmt w:val="bullet"/>
      <w:lvlText w:val=""/>
      <w:lvlJc w:val="left"/>
      <w:pPr>
        <w:ind w:left="1440" w:hanging="360"/>
      </w:pPr>
      <w:rPr>
        <w:rFonts w:ascii="Symbol" w:hAnsi="Symbol"/>
      </w:rPr>
    </w:lvl>
  </w:abstractNum>
  <w:abstractNum w:abstractNumId="26" w15:restartNumberingAfterBreak="0">
    <w:nsid w:val="2DA00478"/>
    <w:multiLevelType w:val="hybridMultilevel"/>
    <w:tmpl w:val="F52650C4"/>
    <w:lvl w:ilvl="0" w:tplc="4B52D82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2192928"/>
    <w:multiLevelType w:val="hybridMultilevel"/>
    <w:tmpl w:val="14C400E4"/>
    <w:lvl w:ilvl="0" w:tplc="0413000F">
      <w:start w:val="1"/>
      <w:numFmt w:val="decimal"/>
      <w:lvlText w:val="%1."/>
      <w:lvlJc w:val="left"/>
      <w:pPr>
        <w:ind w:left="644"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2662AB1"/>
    <w:multiLevelType w:val="hybridMultilevel"/>
    <w:tmpl w:val="70B2B5CA"/>
    <w:lvl w:ilvl="0" w:tplc="04130001">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B27580"/>
    <w:multiLevelType w:val="multilevel"/>
    <w:tmpl w:val="6074DE0C"/>
    <w:lvl w:ilvl="0">
      <w:start w:val="1"/>
      <w:numFmt w:val="decimal"/>
      <w:lvlText w:val="%1."/>
      <w:lvlJc w:val="left"/>
      <w:pPr>
        <w:ind w:left="720" w:hanging="360"/>
      </w:pPr>
    </w:lvl>
    <w:lvl w:ilvl="1">
      <w:start w:val="1"/>
      <w:numFmt w:val="decimal"/>
      <w:lvlText w:val="%1."/>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37C12B9A"/>
    <w:multiLevelType w:val="hybridMultilevel"/>
    <w:tmpl w:val="4BD48F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C804BBB"/>
    <w:multiLevelType w:val="hybridMultilevel"/>
    <w:tmpl w:val="19A2B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D1E746B"/>
    <w:multiLevelType w:val="hybridMultilevel"/>
    <w:tmpl w:val="4F1EB20C"/>
    <w:lvl w:ilvl="0" w:tplc="FFFFFFFF">
      <w:start w:val="3"/>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3" w15:restartNumberingAfterBreak="0">
    <w:nsid w:val="3E3C4A6B"/>
    <w:multiLevelType w:val="hybridMultilevel"/>
    <w:tmpl w:val="05E4631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F0A1340"/>
    <w:multiLevelType w:val="multilevel"/>
    <w:tmpl w:val="4D52C8CC"/>
    <w:lvl w:ilvl="0">
      <w:start w:val="11"/>
      <w:numFmt w:val="decimal"/>
      <w:lvlText w:val="%1"/>
      <w:lvlJc w:val="left"/>
      <w:pPr>
        <w:ind w:left="460" w:hanging="4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FB83DF7"/>
    <w:multiLevelType w:val="hybridMultilevel"/>
    <w:tmpl w:val="27149FF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1412699"/>
    <w:multiLevelType w:val="hybridMultilevel"/>
    <w:tmpl w:val="FBD6D122"/>
    <w:lvl w:ilvl="0" w:tplc="9B1AA4C2">
      <w:start w:val="1"/>
      <w:numFmt w:val="decimal"/>
      <w:lvlText w:val="%1)"/>
      <w:lvlJc w:val="left"/>
      <w:pPr>
        <w:ind w:left="1160" w:hanging="360"/>
      </w:pPr>
    </w:lvl>
    <w:lvl w:ilvl="1" w:tplc="4B404E1A">
      <w:start w:val="1"/>
      <w:numFmt w:val="decimal"/>
      <w:lvlText w:val="%2)"/>
      <w:lvlJc w:val="left"/>
      <w:pPr>
        <w:ind w:left="1160" w:hanging="360"/>
      </w:pPr>
    </w:lvl>
    <w:lvl w:ilvl="2" w:tplc="B9347AFA">
      <w:start w:val="1"/>
      <w:numFmt w:val="decimal"/>
      <w:lvlText w:val="%3)"/>
      <w:lvlJc w:val="left"/>
      <w:pPr>
        <w:ind w:left="1160" w:hanging="360"/>
      </w:pPr>
    </w:lvl>
    <w:lvl w:ilvl="3" w:tplc="5D6EA708">
      <w:start w:val="1"/>
      <w:numFmt w:val="decimal"/>
      <w:lvlText w:val="%4)"/>
      <w:lvlJc w:val="left"/>
      <w:pPr>
        <w:ind w:left="1160" w:hanging="360"/>
      </w:pPr>
    </w:lvl>
    <w:lvl w:ilvl="4" w:tplc="615CA3CA">
      <w:start w:val="1"/>
      <w:numFmt w:val="decimal"/>
      <w:lvlText w:val="%5)"/>
      <w:lvlJc w:val="left"/>
      <w:pPr>
        <w:ind w:left="1160" w:hanging="360"/>
      </w:pPr>
    </w:lvl>
    <w:lvl w:ilvl="5" w:tplc="E8F6BFAC">
      <w:start w:val="1"/>
      <w:numFmt w:val="decimal"/>
      <w:lvlText w:val="%6)"/>
      <w:lvlJc w:val="left"/>
      <w:pPr>
        <w:ind w:left="1160" w:hanging="360"/>
      </w:pPr>
    </w:lvl>
    <w:lvl w:ilvl="6" w:tplc="BEF69DE8">
      <w:start w:val="1"/>
      <w:numFmt w:val="decimal"/>
      <w:lvlText w:val="%7)"/>
      <w:lvlJc w:val="left"/>
      <w:pPr>
        <w:ind w:left="1160" w:hanging="360"/>
      </w:pPr>
    </w:lvl>
    <w:lvl w:ilvl="7" w:tplc="37C28F4C">
      <w:start w:val="1"/>
      <w:numFmt w:val="decimal"/>
      <w:lvlText w:val="%8)"/>
      <w:lvlJc w:val="left"/>
      <w:pPr>
        <w:ind w:left="1160" w:hanging="360"/>
      </w:pPr>
    </w:lvl>
    <w:lvl w:ilvl="8" w:tplc="B9BAC79A">
      <w:start w:val="1"/>
      <w:numFmt w:val="decimal"/>
      <w:lvlText w:val="%9)"/>
      <w:lvlJc w:val="left"/>
      <w:pPr>
        <w:ind w:left="1160" w:hanging="360"/>
      </w:pPr>
    </w:lvl>
  </w:abstractNum>
  <w:abstractNum w:abstractNumId="37" w15:restartNumberingAfterBreak="0">
    <w:nsid w:val="41CB586A"/>
    <w:multiLevelType w:val="hybridMultilevel"/>
    <w:tmpl w:val="8C842062"/>
    <w:lvl w:ilvl="0" w:tplc="10561D2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43402A1E"/>
    <w:multiLevelType w:val="multilevel"/>
    <w:tmpl w:val="19B8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FD60F6"/>
    <w:multiLevelType w:val="hybridMultilevel"/>
    <w:tmpl w:val="10528196"/>
    <w:lvl w:ilvl="0" w:tplc="D11CAE7A">
      <w:start w:val="1"/>
      <w:numFmt w:val="bullet"/>
      <w:lvlText w:val=""/>
      <w:lvlJc w:val="left"/>
      <w:pPr>
        <w:ind w:left="1440" w:hanging="360"/>
      </w:pPr>
      <w:rPr>
        <w:rFonts w:ascii="Symbol" w:hAnsi="Symbol"/>
      </w:rPr>
    </w:lvl>
    <w:lvl w:ilvl="1" w:tplc="F2240670">
      <w:start w:val="1"/>
      <w:numFmt w:val="bullet"/>
      <w:lvlText w:val=""/>
      <w:lvlJc w:val="left"/>
      <w:pPr>
        <w:ind w:left="1440" w:hanging="360"/>
      </w:pPr>
      <w:rPr>
        <w:rFonts w:ascii="Symbol" w:hAnsi="Symbol"/>
      </w:rPr>
    </w:lvl>
    <w:lvl w:ilvl="2" w:tplc="470884FC">
      <w:start w:val="1"/>
      <w:numFmt w:val="bullet"/>
      <w:lvlText w:val=""/>
      <w:lvlJc w:val="left"/>
      <w:pPr>
        <w:ind w:left="1440" w:hanging="360"/>
      </w:pPr>
      <w:rPr>
        <w:rFonts w:ascii="Symbol" w:hAnsi="Symbol"/>
      </w:rPr>
    </w:lvl>
    <w:lvl w:ilvl="3" w:tplc="2146E822">
      <w:start w:val="1"/>
      <w:numFmt w:val="bullet"/>
      <w:lvlText w:val=""/>
      <w:lvlJc w:val="left"/>
      <w:pPr>
        <w:ind w:left="1440" w:hanging="360"/>
      </w:pPr>
      <w:rPr>
        <w:rFonts w:ascii="Symbol" w:hAnsi="Symbol"/>
      </w:rPr>
    </w:lvl>
    <w:lvl w:ilvl="4" w:tplc="2524321A">
      <w:start w:val="1"/>
      <w:numFmt w:val="bullet"/>
      <w:lvlText w:val=""/>
      <w:lvlJc w:val="left"/>
      <w:pPr>
        <w:ind w:left="1440" w:hanging="360"/>
      </w:pPr>
      <w:rPr>
        <w:rFonts w:ascii="Symbol" w:hAnsi="Symbol"/>
      </w:rPr>
    </w:lvl>
    <w:lvl w:ilvl="5" w:tplc="83721B38">
      <w:start w:val="1"/>
      <w:numFmt w:val="bullet"/>
      <w:lvlText w:val=""/>
      <w:lvlJc w:val="left"/>
      <w:pPr>
        <w:ind w:left="1440" w:hanging="360"/>
      </w:pPr>
      <w:rPr>
        <w:rFonts w:ascii="Symbol" w:hAnsi="Symbol"/>
      </w:rPr>
    </w:lvl>
    <w:lvl w:ilvl="6" w:tplc="883CE0A4">
      <w:start w:val="1"/>
      <w:numFmt w:val="bullet"/>
      <w:lvlText w:val=""/>
      <w:lvlJc w:val="left"/>
      <w:pPr>
        <w:ind w:left="1440" w:hanging="360"/>
      </w:pPr>
      <w:rPr>
        <w:rFonts w:ascii="Symbol" w:hAnsi="Symbol"/>
      </w:rPr>
    </w:lvl>
    <w:lvl w:ilvl="7" w:tplc="B34AC5DC">
      <w:start w:val="1"/>
      <w:numFmt w:val="bullet"/>
      <w:lvlText w:val=""/>
      <w:lvlJc w:val="left"/>
      <w:pPr>
        <w:ind w:left="1440" w:hanging="360"/>
      </w:pPr>
      <w:rPr>
        <w:rFonts w:ascii="Symbol" w:hAnsi="Symbol"/>
      </w:rPr>
    </w:lvl>
    <w:lvl w:ilvl="8" w:tplc="0B60AE08">
      <w:start w:val="1"/>
      <w:numFmt w:val="bullet"/>
      <w:lvlText w:val=""/>
      <w:lvlJc w:val="left"/>
      <w:pPr>
        <w:ind w:left="1440" w:hanging="360"/>
      </w:pPr>
      <w:rPr>
        <w:rFonts w:ascii="Symbol" w:hAnsi="Symbol"/>
      </w:rPr>
    </w:lvl>
  </w:abstractNum>
  <w:abstractNum w:abstractNumId="40" w15:restartNumberingAfterBreak="0">
    <w:nsid w:val="44FE798A"/>
    <w:multiLevelType w:val="multilevel"/>
    <w:tmpl w:val="4DC616F0"/>
    <w:lvl w:ilvl="0">
      <w:start w:val="1"/>
      <w:numFmt w:val="decimal"/>
      <w:pStyle w:val="Kop3"/>
      <w:lvlText w:val="%1."/>
      <w:lvlJc w:val="left"/>
      <w:pPr>
        <w:ind w:left="720" w:hanging="360"/>
      </w:p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50B7B9D"/>
    <w:multiLevelType w:val="multilevel"/>
    <w:tmpl w:val="07E2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294C27"/>
    <w:multiLevelType w:val="hybridMultilevel"/>
    <w:tmpl w:val="80EEAF38"/>
    <w:lvl w:ilvl="0" w:tplc="A7D64288">
      <w:start w:val="1"/>
      <w:numFmt w:val="bullet"/>
      <w:lvlText w:val=""/>
      <w:lvlJc w:val="left"/>
      <w:pPr>
        <w:ind w:left="1440" w:hanging="360"/>
      </w:pPr>
      <w:rPr>
        <w:rFonts w:ascii="Symbol" w:hAnsi="Symbol"/>
      </w:rPr>
    </w:lvl>
    <w:lvl w:ilvl="1" w:tplc="B810B49A">
      <w:start w:val="1"/>
      <w:numFmt w:val="bullet"/>
      <w:lvlText w:val=""/>
      <w:lvlJc w:val="left"/>
      <w:pPr>
        <w:ind w:left="1440" w:hanging="360"/>
      </w:pPr>
      <w:rPr>
        <w:rFonts w:ascii="Symbol" w:hAnsi="Symbol"/>
      </w:rPr>
    </w:lvl>
    <w:lvl w:ilvl="2" w:tplc="0D9EAD82">
      <w:start w:val="1"/>
      <w:numFmt w:val="bullet"/>
      <w:lvlText w:val=""/>
      <w:lvlJc w:val="left"/>
      <w:pPr>
        <w:ind w:left="1440" w:hanging="360"/>
      </w:pPr>
      <w:rPr>
        <w:rFonts w:ascii="Symbol" w:hAnsi="Symbol"/>
      </w:rPr>
    </w:lvl>
    <w:lvl w:ilvl="3" w:tplc="C434AD5C">
      <w:start w:val="1"/>
      <w:numFmt w:val="bullet"/>
      <w:lvlText w:val=""/>
      <w:lvlJc w:val="left"/>
      <w:pPr>
        <w:ind w:left="1440" w:hanging="360"/>
      </w:pPr>
      <w:rPr>
        <w:rFonts w:ascii="Symbol" w:hAnsi="Symbol"/>
      </w:rPr>
    </w:lvl>
    <w:lvl w:ilvl="4" w:tplc="2D6E47E4">
      <w:start w:val="1"/>
      <w:numFmt w:val="bullet"/>
      <w:lvlText w:val=""/>
      <w:lvlJc w:val="left"/>
      <w:pPr>
        <w:ind w:left="1440" w:hanging="360"/>
      </w:pPr>
      <w:rPr>
        <w:rFonts w:ascii="Symbol" w:hAnsi="Symbol"/>
      </w:rPr>
    </w:lvl>
    <w:lvl w:ilvl="5" w:tplc="8C0066A6">
      <w:start w:val="1"/>
      <w:numFmt w:val="bullet"/>
      <w:lvlText w:val=""/>
      <w:lvlJc w:val="left"/>
      <w:pPr>
        <w:ind w:left="1440" w:hanging="360"/>
      </w:pPr>
      <w:rPr>
        <w:rFonts w:ascii="Symbol" w:hAnsi="Symbol"/>
      </w:rPr>
    </w:lvl>
    <w:lvl w:ilvl="6" w:tplc="72C455E6">
      <w:start w:val="1"/>
      <w:numFmt w:val="bullet"/>
      <w:lvlText w:val=""/>
      <w:lvlJc w:val="left"/>
      <w:pPr>
        <w:ind w:left="1440" w:hanging="360"/>
      </w:pPr>
      <w:rPr>
        <w:rFonts w:ascii="Symbol" w:hAnsi="Symbol"/>
      </w:rPr>
    </w:lvl>
    <w:lvl w:ilvl="7" w:tplc="B95EF202">
      <w:start w:val="1"/>
      <w:numFmt w:val="bullet"/>
      <w:lvlText w:val=""/>
      <w:lvlJc w:val="left"/>
      <w:pPr>
        <w:ind w:left="1440" w:hanging="360"/>
      </w:pPr>
      <w:rPr>
        <w:rFonts w:ascii="Symbol" w:hAnsi="Symbol"/>
      </w:rPr>
    </w:lvl>
    <w:lvl w:ilvl="8" w:tplc="DAE646F0">
      <w:start w:val="1"/>
      <w:numFmt w:val="bullet"/>
      <w:lvlText w:val=""/>
      <w:lvlJc w:val="left"/>
      <w:pPr>
        <w:ind w:left="1440" w:hanging="360"/>
      </w:pPr>
      <w:rPr>
        <w:rFonts w:ascii="Symbol" w:hAnsi="Symbol"/>
      </w:rPr>
    </w:lvl>
  </w:abstractNum>
  <w:abstractNum w:abstractNumId="43" w15:restartNumberingAfterBreak="0">
    <w:nsid w:val="47D04B7F"/>
    <w:multiLevelType w:val="hybridMultilevel"/>
    <w:tmpl w:val="FA1E0BBC"/>
    <w:lvl w:ilvl="0" w:tplc="9B5243D6">
      <w:start w:val="1"/>
      <w:numFmt w:val="decimal"/>
      <w:lvlText w:val="%1."/>
      <w:lvlJc w:val="left"/>
      <w:pPr>
        <w:ind w:left="1020" w:hanging="360"/>
      </w:pPr>
    </w:lvl>
    <w:lvl w:ilvl="1" w:tplc="C194D012">
      <w:start w:val="1"/>
      <w:numFmt w:val="decimal"/>
      <w:lvlText w:val="%2."/>
      <w:lvlJc w:val="left"/>
      <w:pPr>
        <w:ind w:left="1020" w:hanging="360"/>
      </w:pPr>
    </w:lvl>
    <w:lvl w:ilvl="2" w:tplc="032E69E0">
      <w:start w:val="1"/>
      <w:numFmt w:val="decimal"/>
      <w:lvlText w:val="%3."/>
      <w:lvlJc w:val="left"/>
      <w:pPr>
        <w:ind w:left="1020" w:hanging="360"/>
      </w:pPr>
    </w:lvl>
    <w:lvl w:ilvl="3" w:tplc="2810562A">
      <w:start w:val="1"/>
      <w:numFmt w:val="decimal"/>
      <w:lvlText w:val="%4."/>
      <w:lvlJc w:val="left"/>
      <w:pPr>
        <w:ind w:left="1020" w:hanging="360"/>
      </w:pPr>
    </w:lvl>
    <w:lvl w:ilvl="4" w:tplc="EE3C01A8">
      <w:start w:val="1"/>
      <w:numFmt w:val="decimal"/>
      <w:lvlText w:val="%5."/>
      <w:lvlJc w:val="left"/>
      <w:pPr>
        <w:ind w:left="1020" w:hanging="360"/>
      </w:pPr>
    </w:lvl>
    <w:lvl w:ilvl="5" w:tplc="F8128208">
      <w:start w:val="1"/>
      <w:numFmt w:val="decimal"/>
      <w:lvlText w:val="%6."/>
      <w:lvlJc w:val="left"/>
      <w:pPr>
        <w:ind w:left="1020" w:hanging="360"/>
      </w:pPr>
    </w:lvl>
    <w:lvl w:ilvl="6" w:tplc="08B455B0">
      <w:start w:val="1"/>
      <w:numFmt w:val="decimal"/>
      <w:lvlText w:val="%7."/>
      <w:lvlJc w:val="left"/>
      <w:pPr>
        <w:ind w:left="1020" w:hanging="360"/>
      </w:pPr>
    </w:lvl>
    <w:lvl w:ilvl="7" w:tplc="D1C2BF88">
      <w:start w:val="1"/>
      <w:numFmt w:val="decimal"/>
      <w:lvlText w:val="%8."/>
      <w:lvlJc w:val="left"/>
      <w:pPr>
        <w:ind w:left="1020" w:hanging="360"/>
      </w:pPr>
    </w:lvl>
    <w:lvl w:ilvl="8" w:tplc="5A8C05A4">
      <w:start w:val="1"/>
      <w:numFmt w:val="decimal"/>
      <w:lvlText w:val="%9."/>
      <w:lvlJc w:val="left"/>
      <w:pPr>
        <w:ind w:left="1020" w:hanging="360"/>
      </w:pPr>
    </w:lvl>
  </w:abstractNum>
  <w:abstractNum w:abstractNumId="44" w15:restartNumberingAfterBreak="0">
    <w:nsid w:val="48610568"/>
    <w:multiLevelType w:val="hybridMultilevel"/>
    <w:tmpl w:val="27543586"/>
    <w:lvl w:ilvl="0" w:tplc="E60A93F0">
      <w:start w:val="1"/>
      <w:numFmt w:val="decimal"/>
      <w:lvlText w:val="%1."/>
      <w:lvlJc w:val="left"/>
      <w:pPr>
        <w:ind w:left="1020" w:hanging="360"/>
      </w:pPr>
    </w:lvl>
    <w:lvl w:ilvl="1" w:tplc="F4ECA10A">
      <w:start w:val="1"/>
      <w:numFmt w:val="decimal"/>
      <w:lvlText w:val="%2."/>
      <w:lvlJc w:val="left"/>
      <w:pPr>
        <w:ind w:left="1020" w:hanging="360"/>
      </w:pPr>
    </w:lvl>
    <w:lvl w:ilvl="2" w:tplc="788E5BDE">
      <w:start w:val="1"/>
      <w:numFmt w:val="decimal"/>
      <w:lvlText w:val="%3."/>
      <w:lvlJc w:val="left"/>
      <w:pPr>
        <w:ind w:left="1020" w:hanging="360"/>
      </w:pPr>
    </w:lvl>
    <w:lvl w:ilvl="3" w:tplc="C8306CEC">
      <w:start w:val="1"/>
      <w:numFmt w:val="decimal"/>
      <w:lvlText w:val="%4."/>
      <w:lvlJc w:val="left"/>
      <w:pPr>
        <w:ind w:left="1020" w:hanging="360"/>
      </w:pPr>
    </w:lvl>
    <w:lvl w:ilvl="4" w:tplc="24CE3C74">
      <w:start w:val="1"/>
      <w:numFmt w:val="decimal"/>
      <w:lvlText w:val="%5."/>
      <w:lvlJc w:val="left"/>
      <w:pPr>
        <w:ind w:left="1020" w:hanging="360"/>
      </w:pPr>
    </w:lvl>
    <w:lvl w:ilvl="5" w:tplc="9DAE9814">
      <w:start w:val="1"/>
      <w:numFmt w:val="decimal"/>
      <w:lvlText w:val="%6."/>
      <w:lvlJc w:val="left"/>
      <w:pPr>
        <w:ind w:left="1020" w:hanging="360"/>
      </w:pPr>
    </w:lvl>
    <w:lvl w:ilvl="6" w:tplc="A8E269BE">
      <w:start w:val="1"/>
      <w:numFmt w:val="decimal"/>
      <w:lvlText w:val="%7."/>
      <w:lvlJc w:val="left"/>
      <w:pPr>
        <w:ind w:left="1020" w:hanging="360"/>
      </w:pPr>
    </w:lvl>
    <w:lvl w:ilvl="7" w:tplc="32F66B92">
      <w:start w:val="1"/>
      <w:numFmt w:val="decimal"/>
      <w:lvlText w:val="%8."/>
      <w:lvlJc w:val="left"/>
      <w:pPr>
        <w:ind w:left="1020" w:hanging="360"/>
      </w:pPr>
    </w:lvl>
    <w:lvl w:ilvl="8" w:tplc="1A164702">
      <w:start w:val="1"/>
      <w:numFmt w:val="decimal"/>
      <w:lvlText w:val="%9."/>
      <w:lvlJc w:val="left"/>
      <w:pPr>
        <w:ind w:left="1020" w:hanging="360"/>
      </w:pPr>
    </w:lvl>
  </w:abstractNum>
  <w:abstractNum w:abstractNumId="45" w15:restartNumberingAfterBreak="0">
    <w:nsid w:val="4D94760C"/>
    <w:multiLevelType w:val="multilevel"/>
    <w:tmpl w:val="BCAA4CE0"/>
    <w:lvl w:ilvl="0">
      <w:start w:val="1"/>
      <w:numFmt w:val="decimal"/>
      <w:pStyle w:val="Kop21"/>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DA44122"/>
    <w:multiLevelType w:val="hybridMultilevel"/>
    <w:tmpl w:val="566265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4FD904D5"/>
    <w:multiLevelType w:val="multilevel"/>
    <w:tmpl w:val="31F60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B7272C"/>
    <w:multiLevelType w:val="multilevel"/>
    <w:tmpl w:val="E29283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3E2520C"/>
    <w:multiLevelType w:val="hybridMultilevel"/>
    <w:tmpl w:val="B9708C18"/>
    <w:lvl w:ilvl="0" w:tplc="0BF655CA">
      <w:start w:val="1"/>
      <w:numFmt w:val="bullet"/>
      <w:lvlText w:val=""/>
      <w:lvlJc w:val="left"/>
      <w:pPr>
        <w:ind w:left="1440" w:hanging="360"/>
      </w:pPr>
      <w:rPr>
        <w:rFonts w:ascii="Symbol" w:hAnsi="Symbol"/>
      </w:rPr>
    </w:lvl>
    <w:lvl w:ilvl="1" w:tplc="886AC1A8">
      <w:start w:val="1"/>
      <w:numFmt w:val="bullet"/>
      <w:lvlText w:val=""/>
      <w:lvlJc w:val="left"/>
      <w:pPr>
        <w:ind w:left="1440" w:hanging="360"/>
      </w:pPr>
      <w:rPr>
        <w:rFonts w:ascii="Symbol" w:hAnsi="Symbol"/>
      </w:rPr>
    </w:lvl>
    <w:lvl w:ilvl="2" w:tplc="D6A86684">
      <w:start w:val="1"/>
      <w:numFmt w:val="bullet"/>
      <w:lvlText w:val=""/>
      <w:lvlJc w:val="left"/>
      <w:pPr>
        <w:ind w:left="1440" w:hanging="360"/>
      </w:pPr>
      <w:rPr>
        <w:rFonts w:ascii="Symbol" w:hAnsi="Symbol"/>
      </w:rPr>
    </w:lvl>
    <w:lvl w:ilvl="3" w:tplc="3E384A4C">
      <w:start w:val="1"/>
      <w:numFmt w:val="bullet"/>
      <w:lvlText w:val=""/>
      <w:lvlJc w:val="left"/>
      <w:pPr>
        <w:ind w:left="1440" w:hanging="360"/>
      </w:pPr>
      <w:rPr>
        <w:rFonts w:ascii="Symbol" w:hAnsi="Symbol"/>
      </w:rPr>
    </w:lvl>
    <w:lvl w:ilvl="4" w:tplc="A650FDA2">
      <w:start w:val="1"/>
      <w:numFmt w:val="bullet"/>
      <w:lvlText w:val=""/>
      <w:lvlJc w:val="left"/>
      <w:pPr>
        <w:ind w:left="1440" w:hanging="360"/>
      </w:pPr>
      <w:rPr>
        <w:rFonts w:ascii="Symbol" w:hAnsi="Symbol"/>
      </w:rPr>
    </w:lvl>
    <w:lvl w:ilvl="5" w:tplc="C2CECF80">
      <w:start w:val="1"/>
      <w:numFmt w:val="bullet"/>
      <w:lvlText w:val=""/>
      <w:lvlJc w:val="left"/>
      <w:pPr>
        <w:ind w:left="1440" w:hanging="360"/>
      </w:pPr>
      <w:rPr>
        <w:rFonts w:ascii="Symbol" w:hAnsi="Symbol"/>
      </w:rPr>
    </w:lvl>
    <w:lvl w:ilvl="6" w:tplc="1A824CF6">
      <w:start w:val="1"/>
      <w:numFmt w:val="bullet"/>
      <w:lvlText w:val=""/>
      <w:lvlJc w:val="left"/>
      <w:pPr>
        <w:ind w:left="1440" w:hanging="360"/>
      </w:pPr>
      <w:rPr>
        <w:rFonts w:ascii="Symbol" w:hAnsi="Symbol"/>
      </w:rPr>
    </w:lvl>
    <w:lvl w:ilvl="7" w:tplc="FE00DD4E">
      <w:start w:val="1"/>
      <w:numFmt w:val="bullet"/>
      <w:lvlText w:val=""/>
      <w:lvlJc w:val="left"/>
      <w:pPr>
        <w:ind w:left="1440" w:hanging="360"/>
      </w:pPr>
      <w:rPr>
        <w:rFonts w:ascii="Symbol" w:hAnsi="Symbol"/>
      </w:rPr>
    </w:lvl>
    <w:lvl w:ilvl="8" w:tplc="A9E4148C">
      <w:start w:val="1"/>
      <w:numFmt w:val="bullet"/>
      <w:lvlText w:val=""/>
      <w:lvlJc w:val="left"/>
      <w:pPr>
        <w:ind w:left="1440" w:hanging="360"/>
      </w:pPr>
      <w:rPr>
        <w:rFonts w:ascii="Symbol" w:hAnsi="Symbol"/>
      </w:rPr>
    </w:lvl>
  </w:abstractNum>
  <w:abstractNum w:abstractNumId="50" w15:restartNumberingAfterBreak="0">
    <w:nsid w:val="54A21B54"/>
    <w:multiLevelType w:val="hybridMultilevel"/>
    <w:tmpl w:val="BA38AE7A"/>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4572DA"/>
    <w:multiLevelType w:val="hybridMultilevel"/>
    <w:tmpl w:val="C3E84F3C"/>
    <w:lvl w:ilvl="0" w:tplc="030093D6">
      <w:start w:val="1"/>
      <w:numFmt w:val="bullet"/>
      <w:lvlText w:val=""/>
      <w:lvlJc w:val="left"/>
      <w:pPr>
        <w:ind w:left="1440" w:hanging="360"/>
      </w:pPr>
      <w:rPr>
        <w:rFonts w:ascii="Symbol" w:hAnsi="Symbol"/>
      </w:rPr>
    </w:lvl>
    <w:lvl w:ilvl="1" w:tplc="0E169C98">
      <w:start w:val="1"/>
      <w:numFmt w:val="bullet"/>
      <w:lvlText w:val=""/>
      <w:lvlJc w:val="left"/>
      <w:pPr>
        <w:ind w:left="1440" w:hanging="360"/>
      </w:pPr>
      <w:rPr>
        <w:rFonts w:ascii="Symbol" w:hAnsi="Symbol"/>
      </w:rPr>
    </w:lvl>
    <w:lvl w:ilvl="2" w:tplc="0EC620DE">
      <w:start w:val="1"/>
      <w:numFmt w:val="bullet"/>
      <w:lvlText w:val=""/>
      <w:lvlJc w:val="left"/>
      <w:pPr>
        <w:ind w:left="1440" w:hanging="360"/>
      </w:pPr>
      <w:rPr>
        <w:rFonts w:ascii="Symbol" w:hAnsi="Symbol"/>
      </w:rPr>
    </w:lvl>
    <w:lvl w:ilvl="3" w:tplc="3AE6D1D8">
      <w:start w:val="1"/>
      <w:numFmt w:val="bullet"/>
      <w:lvlText w:val=""/>
      <w:lvlJc w:val="left"/>
      <w:pPr>
        <w:ind w:left="1440" w:hanging="360"/>
      </w:pPr>
      <w:rPr>
        <w:rFonts w:ascii="Symbol" w:hAnsi="Symbol"/>
      </w:rPr>
    </w:lvl>
    <w:lvl w:ilvl="4" w:tplc="CCF8FCA8">
      <w:start w:val="1"/>
      <w:numFmt w:val="bullet"/>
      <w:lvlText w:val=""/>
      <w:lvlJc w:val="left"/>
      <w:pPr>
        <w:ind w:left="1440" w:hanging="360"/>
      </w:pPr>
      <w:rPr>
        <w:rFonts w:ascii="Symbol" w:hAnsi="Symbol"/>
      </w:rPr>
    </w:lvl>
    <w:lvl w:ilvl="5" w:tplc="46C2EE3E">
      <w:start w:val="1"/>
      <w:numFmt w:val="bullet"/>
      <w:lvlText w:val=""/>
      <w:lvlJc w:val="left"/>
      <w:pPr>
        <w:ind w:left="1440" w:hanging="360"/>
      </w:pPr>
      <w:rPr>
        <w:rFonts w:ascii="Symbol" w:hAnsi="Symbol"/>
      </w:rPr>
    </w:lvl>
    <w:lvl w:ilvl="6" w:tplc="5DFE4E5A">
      <w:start w:val="1"/>
      <w:numFmt w:val="bullet"/>
      <w:lvlText w:val=""/>
      <w:lvlJc w:val="left"/>
      <w:pPr>
        <w:ind w:left="1440" w:hanging="360"/>
      </w:pPr>
      <w:rPr>
        <w:rFonts w:ascii="Symbol" w:hAnsi="Symbol"/>
      </w:rPr>
    </w:lvl>
    <w:lvl w:ilvl="7" w:tplc="2990DF8C">
      <w:start w:val="1"/>
      <w:numFmt w:val="bullet"/>
      <w:lvlText w:val=""/>
      <w:lvlJc w:val="left"/>
      <w:pPr>
        <w:ind w:left="1440" w:hanging="360"/>
      </w:pPr>
      <w:rPr>
        <w:rFonts w:ascii="Symbol" w:hAnsi="Symbol"/>
      </w:rPr>
    </w:lvl>
    <w:lvl w:ilvl="8" w:tplc="9A0A0484">
      <w:start w:val="1"/>
      <w:numFmt w:val="bullet"/>
      <w:lvlText w:val=""/>
      <w:lvlJc w:val="left"/>
      <w:pPr>
        <w:ind w:left="1440" w:hanging="360"/>
      </w:pPr>
      <w:rPr>
        <w:rFonts w:ascii="Symbol" w:hAnsi="Symbol"/>
      </w:rPr>
    </w:lvl>
  </w:abstractNum>
  <w:abstractNum w:abstractNumId="52" w15:restartNumberingAfterBreak="0">
    <w:nsid w:val="578B34DC"/>
    <w:multiLevelType w:val="hybridMultilevel"/>
    <w:tmpl w:val="DD28C4B2"/>
    <w:lvl w:ilvl="0" w:tplc="FFFFFFFF">
      <w:start w:val="3"/>
      <w:numFmt w:val="bullet"/>
      <w:lvlText w:val="-"/>
      <w:lvlJc w:val="left"/>
      <w:pPr>
        <w:ind w:left="720" w:hanging="360"/>
      </w:pPr>
      <w:rPr>
        <w:rFonts w:ascii="Calibri" w:hAnsi="Calibri" w:hint="default"/>
        <w:b/>
      </w:rPr>
    </w:lvl>
    <w:lvl w:ilvl="1" w:tplc="0413000F">
      <w:start w:val="1"/>
      <w:numFmt w:val="decimal"/>
      <w:lvlText w:val="%2."/>
      <w:lvlJc w:val="left"/>
      <w:pPr>
        <w:ind w:left="1440" w:hanging="360"/>
      </w:pPr>
    </w:lvl>
    <w:lvl w:ilvl="2" w:tplc="47CCEE8A">
      <w:numFmt w:val="bullet"/>
      <w:lvlText w:val=""/>
      <w:lvlJc w:val="left"/>
      <w:pPr>
        <w:ind w:left="2160" w:hanging="360"/>
      </w:pPr>
      <w:rPr>
        <w:rFonts w:ascii="Wingdings" w:eastAsiaTheme="minorHAnsi" w:hAnsi="Wingdings" w:cstheme="minorBidi" w:hint="default"/>
        <w:b w:val="0"/>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9583B11"/>
    <w:multiLevelType w:val="hybridMultilevel"/>
    <w:tmpl w:val="85C69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A496FDD"/>
    <w:multiLevelType w:val="hybridMultilevel"/>
    <w:tmpl w:val="9F84253A"/>
    <w:lvl w:ilvl="0" w:tplc="0413000F">
      <w:start w:val="1"/>
      <w:numFmt w:val="decimal"/>
      <w:lvlText w:val="%1."/>
      <w:lvlJc w:val="left"/>
      <w:pPr>
        <w:tabs>
          <w:tab w:val="num" w:pos="720"/>
        </w:tabs>
        <w:ind w:left="720" w:hanging="360"/>
      </w:pPr>
      <w:rPr>
        <w:rFonts w:hint="default"/>
      </w:rPr>
    </w:lvl>
    <w:lvl w:ilvl="1" w:tplc="FFFFFFFF">
      <w:start w:val="1"/>
      <w:numFmt w:val="decimal"/>
      <w:lvlText w:val="%2."/>
      <w:lvlJc w:val="left"/>
      <w:pPr>
        <w:ind w:left="1440" w:hanging="360"/>
      </w:pPr>
      <w:rPr>
        <w:rFonts w:hint="default"/>
        <w:i/>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5" w15:restartNumberingAfterBreak="0">
    <w:nsid w:val="5EDC5F0A"/>
    <w:multiLevelType w:val="hybridMultilevel"/>
    <w:tmpl w:val="A404AB3A"/>
    <w:lvl w:ilvl="0" w:tplc="597ECDB4">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0B55179"/>
    <w:multiLevelType w:val="hybridMultilevel"/>
    <w:tmpl w:val="AE1A971C"/>
    <w:lvl w:ilvl="0" w:tplc="AA867866">
      <w:start w:val="1"/>
      <w:numFmt w:val="bullet"/>
      <w:lvlText w:val=""/>
      <w:lvlJc w:val="left"/>
      <w:pPr>
        <w:ind w:left="1440" w:hanging="360"/>
      </w:pPr>
      <w:rPr>
        <w:rFonts w:ascii="Symbol" w:hAnsi="Symbol"/>
      </w:rPr>
    </w:lvl>
    <w:lvl w:ilvl="1" w:tplc="5F1AC780">
      <w:start w:val="1"/>
      <w:numFmt w:val="bullet"/>
      <w:lvlText w:val=""/>
      <w:lvlJc w:val="left"/>
      <w:pPr>
        <w:ind w:left="1440" w:hanging="360"/>
      </w:pPr>
      <w:rPr>
        <w:rFonts w:ascii="Symbol" w:hAnsi="Symbol"/>
      </w:rPr>
    </w:lvl>
    <w:lvl w:ilvl="2" w:tplc="0F8CD6BE">
      <w:start w:val="1"/>
      <w:numFmt w:val="bullet"/>
      <w:lvlText w:val=""/>
      <w:lvlJc w:val="left"/>
      <w:pPr>
        <w:ind w:left="1440" w:hanging="360"/>
      </w:pPr>
      <w:rPr>
        <w:rFonts w:ascii="Symbol" w:hAnsi="Symbol"/>
      </w:rPr>
    </w:lvl>
    <w:lvl w:ilvl="3" w:tplc="E1E00270">
      <w:start w:val="1"/>
      <w:numFmt w:val="bullet"/>
      <w:lvlText w:val=""/>
      <w:lvlJc w:val="left"/>
      <w:pPr>
        <w:ind w:left="1440" w:hanging="360"/>
      </w:pPr>
      <w:rPr>
        <w:rFonts w:ascii="Symbol" w:hAnsi="Symbol"/>
      </w:rPr>
    </w:lvl>
    <w:lvl w:ilvl="4" w:tplc="CC64AA76">
      <w:start w:val="1"/>
      <w:numFmt w:val="bullet"/>
      <w:lvlText w:val=""/>
      <w:lvlJc w:val="left"/>
      <w:pPr>
        <w:ind w:left="1440" w:hanging="360"/>
      </w:pPr>
      <w:rPr>
        <w:rFonts w:ascii="Symbol" w:hAnsi="Symbol"/>
      </w:rPr>
    </w:lvl>
    <w:lvl w:ilvl="5" w:tplc="E20EDA9C">
      <w:start w:val="1"/>
      <w:numFmt w:val="bullet"/>
      <w:lvlText w:val=""/>
      <w:lvlJc w:val="left"/>
      <w:pPr>
        <w:ind w:left="1440" w:hanging="360"/>
      </w:pPr>
      <w:rPr>
        <w:rFonts w:ascii="Symbol" w:hAnsi="Symbol"/>
      </w:rPr>
    </w:lvl>
    <w:lvl w:ilvl="6" w:tplc="4DC6310C">
      <w:start w:val="1"/>
      <w:numFmt w:val="bullet"/>
      <w:lvlText w:val=""/>
      <w:lvlJc w:val="left"/>
      <w:pPr>
        <w:ind w:left="1440" w:hanging="360"/>
      </w:pPr>
      <w:rPr>
        <w:rFonts w:ascii="Symbol" w:hAnsi="Symbol"/>
      </w:rPr>
    </w:lvl>
    <w:lvl w:ilvl="7" w:tplc="E912F388">
      <w:start w:val="1"/>
      <w:numFmt w:val="bullet"/>
      <w:lvlText w:val=""/>
      <w:lvlJc w:val="left"/>
      <w:pPr>
        <w:ind w:left="1440" w:hanging="360"/>
      </w:pPr>
      <w:rPr>
        <w:rFonts w:ascii="Symbol" w:hAnsi="Symbol"/>
      </w:rPr>
    </w:lvl>
    <w:lvl w:ilvl="8" w:tplc="5BCAB994">
      <w:start w:val="1"/>
      <w:numFmt w:val="bullet"/>
      <w:lvlText w:val=""/>
      <w:lvlJc w:val="left"/>
      <w:pPr>
        <w:ind w:left="1440" w:hanging="360"/>
      </w:pPr>
      <w:rPr>
        <w:rFonts w:ascii="Symbol" w:hAnsi="Symbol"/>
      </w:rPr>
    </w:lvl>
  </w:abstractNum>
  <w:abstractNum w:abstractNumId="57" w15:restartNumberingAfterBreak="0">
    <w:nsid w:val="619154E2"/>
    <w:multiLevelType w:val="hybridMultilevel"/>
    <w:tmpl w:val="36EA21EC"/>
    <w:lvl w:ilvl="0" w:tplc="BEB829B6">
      <w:start w:val="1"/>
      <w:numFmt w:val="decimal"/>
      <w:lvlText w:val="%1."/>
      <w:lvlJc w:val="left"/>
      <w:pPr>
        <w:ind w:left="1020" w:hanging="360"/>
      </w:pPr>
    </w:lvl>
    <w:lvl w:ilvl="1" w:tplc="6EAE9B18">
      <w:start w:val="1"/>
      <w:numFmt w:val="decimal"/>
      <w:lvlText w:val="%2."/>
      <w:lvlJc w:val="left"/>
      <w:pPr>
        <w:ind w:left="1020" w:hanging="360"/>
      </w:pPr>
    </w:lvl>
    <w:lvl w:ilvl="2" w:tplc="59E87722">
      <w:start w:val="1"/>
      <w:numFmt w:val="decimal"/>
      <w:lvlText w:val="%3."/>
      <w:lvlJc w:val="left"/>
      <w:pPr>
        <w:ind w:left="1020" w:hanging="360"/>
      </w:pPr>
    </w:lvl>
    <w:lvl w:ilvl="3" w:tplc="D3609344">
      <w:start w:val="1"/>
      <w:numFmt w:val="decimal"/>
      <w:lvlText w:val="%4."/>
      <w:lvlJc w:val="left"/>
      <w:pPr>
        <w:ind w:left="1020" w:hanging="360"/>
      </w:pPr>
    </w:lvl>
    <w:lvl w:ilvl="4" w:tplc="1A407D44">
      <w:start w:val="1"/>
      <w:numFmt w:val="decimal"/>
      <w:lvlText w:val="%5."/>
      <w:lvlJc w:val="left"/>
      <w:pPr>
        <w:ind w:left="1020" w:hanging="360"/>
      </w:pPr>
    </w:lvl>
    <w:lvl w:ilvl="5" w:tplc="07E06C74">
      <w:start w:val="1"/>
      <w:numFmt w:val="decimal"/>
      <w:lvlText w:val="%6."/>
      <w:lvlJc w:val="left"/>
      <w:pPr>
        <w:ind w:left="1020" w:hanging="360"/>
      </w:pPr>
    </w:lvl>
    <w:lvl w:ilvl="6" w:tplc="08CCE972">
      <w:start w:val="1"/>
      <w:numFmt w:val="decimal"/>
      <w:lvlText w:val="%7."/>
      <w:lvlJc w:val="left"/>
      <w:pPr>
        <w:ind w:left="1020" w:hanging="360"/>
      </w:pPr>
    </w:lvl>
    <w:lvl w:ilvl="7" w:tplc="5E344DA2">
      <w:start w:val="1"/>
      <w:numFmt w:val="decimal"/>
      <w:lvlText w:val="%8."/>
      <w:lvlJc w:val="left"/>
      <w:pPr>
        <w:ind w:left="1020" w:hanging="360"/>
      </w:pPr>
    </w:lvl>
    <w:lvl w:ilvl="8" w:tplc="9440C3DC">
      <w:start w:val="1"/>
      <w:numFmt w:val="decimal"/>
      <w:lvlText w:val="%9."/>
      <w:lvlJc w:val="left"/>
      <w:pPr>
        <w:ind w:left="1020" w:hanging="360"/>
      </w:pPr>
    </w:lvl>
  </w:abstractNum>
  <w:abstractNum w:abstractNumId="58" w15:restartNumberingAfterBreak="0">
    <w:nsid w:val="65791377"/>
    <w:multiLevelType w:val="hybridMultilevel"/>
    <w:tmpl w:val="4F1EB20C"/>
    <w:lvl w:ilvl="0" w:tplc="FFFFFFFF">
      <w:start w:val="3"/>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9" w15:restartNumberingAfterBreak="0">
    <w:nsid w:val="65A41C09"/>
    <w:multiLevelType w:val="hybridMultilevel"/>
    <w:tmpl w:val="77BC035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65B93FAD"/>
    <w:multiLevelType w:val="hybridMultilevel"/>
    <w:tmpl w:val="41A49A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95E0CFA"/>
    <w:multiLevelType w:val="hybridMultilevel"/>
    <w:tmpl w:val="4CDC2D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9FF2B77"/>
    <w:multiLevelType w:val="hybridMultilevel"/>
    <w:tmpl w:val="63A42AFC"/>
    <w:lvl w:ilvl="0" w:tplc="8C6800F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A49531E"/>
    <w:multiLevelType w:val="hybridMultilevel"/>
    <w:tmpl w:val="B816DC08"/>
    <w:lvl w:ilvl="0" w:tplc="B598FEF6">
      <w:start w:val="1"/>
      <w:numFmt w:val="upperLetter"/>
      <w:pStyle w:val="Kop1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B492593"/>
    <w:multiLevelType w:val="hybridMultilevel"/>
    <w:tmpl w:val="6AB038F4"/>
    <w:lvl w:ilvl="0" w:tplc="844A8BA2">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E0930D5"/>
    <w:multiLevelType w:val="hybridMultilevel"/>
    <w:tmpl w:val="8222BD22"/>
    <w:lvl w:ilvl="0" w:tplc="B8E247C4">
      <w:start w:val="1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6" w15:restartNumberingAfterBreak="0">
    <w:nsid w:val="6E591294"/>
    <w:multiLevelType w:val="hybridMultilevel"/>
    <w:tmpl w:val="F8A6800A"/>
    <w:lvl w:ilvl="0" w:tplc="FFFFFFFF">
      <w:start w:val="3"/>
      <w:numFmt w:val="bullet"/>
      <w:lvlText w:val="-"/>
      <w:lvlJc w:val="left"/>
      <w:pPr>
        <w:ind w:left="360" w:hanging="360"/>
      </w:pPr>
      <w:rPr>
        <w:rFonts w:ascii="Calibri" w:hAnsi="Calibri"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6F78194A"/>
    <w:multiLevelType w:val="multilevel"/>
    <w:tmpl w:val="A858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635E4C"/>
    <w:multiLevelType w:val="hybridMultilevel"/>
    <w:tmpl w:val="497A27B2"/>
    <w:lvl w:ilvl="0" w:tplc="FFFFFFFF">
      <w:start w:val="1"/>
      <w:numFmt w:val="upperLetter"/>
      <w:lvlText w:val="%1."/>
      <w:lvlJc w:val="left"/>
      <w:pPr>
        <w:ind w:left="720" w:hanging="360"/>
      </w:pPr>
      <w:rPr>
        <w:rFonts w:hint="default"/>
      </w:r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446012A"/>
    <w:multiLevelType w:val="hybridMultilevel"/>
    <w:tmpl w:val="4008E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4D013FF"/>
    <w:multiLevelType w:val="hybridMultilevel"/>
    <w:tmpl w:val="B8F8AF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78632D28"/>
    <w:multiLevelType w:val="hybridMultilevel"/>
    <w:tmpl w:val="27E27ECA"/>
    <w:lvl w:ilvl="0" w:tplc="75D6FD54">
      <w:start w:val="1"/>
      <w:numFmt w:val="bullet"/>
      <w:lvlText w:val=""/>
      <w:lvlJc w:val="left"/>
      <w:pPr>
        <w:ind w:left="1440" w:hanging="360"/>
      </w:pPr>
      <w:rPr>
        <w:rFonts w:ascii="Symbol" w:hAnsi="Symbol"/>
      </w:rPr>
    </w:lvl>
    <w:lvl w:ilvl="1" w:tplc="3EBE8E9E">
      <w:start w:val="1"/>
      <w:numFmt w:val="bullet"/>
      <w:lvlText w:val=""/>
      <w:lvlJc w:val="left"/>
      <w:pPr>
        <w:ind w:left="1440" w:hanging="360"/>
      </w:pPr>
      <w:rPr>
        <w:rFonts w:ascii="Symbol" w:hAnsi="Symbol"/>
      </w:rPr>
    </w:lvl>
    <w:lvl w:ilvl="2" w:tplc="C0DAFFC2">
      <w:start w:val="1"/>
      <w:numFmt w:val="bullet"/>
      <w:lvlText w:val=""/>
      <w:lvlJc w:val="left"/>
      <w:pPr>
        <w:ind w:left="1440" w:hanging="360"/>
      </w:pPr>
      <w:rPr>
        <w:rFonts w:ascii="Symbol" w:hAnsi="Symbol"/>
      </w:rPr>
    </w:lvl>
    <w:lvl w:ilvl="3" w:tplc="3FC85B58">
      <w:start w:val="1"/>
      <w:numFmt w:val="bullet"/>
      <w:lvlText w:val=""/>
      <w:lvlJc w:val="left"/>
      <w:pPr>
        <w:ind w:left="1440" w:hanging="360"/>
      </w:pPr>
      <w:rPr>
        <w:rFonts w:ascii="Symbol" w:hAnsi="Symbol"/>
      </w:rPr>
    </w:lvl>
    <w:lvl w:ilvl="4" w:tplc="C5FE5562">
      <w:start w:val="1"/>
      <w:numFmt w:val="bullet"/>
      <w:lvlText w:val=""/>
      <w:lvlJc w:val="left"/>
      <w:pPr>
        <w:ind w:left="1440" w:hanging="360"/>
      </w:pPr>
      <w:rPr>
        <w:rFonts w:ascii="Symbol" w:hAnsi="Symbol"/>
      </w:rPr>
    </w:lvl>
    <w:lvl w:ilvl="5" w:tplc="F0688982">
      <w:start w:val="1"/>
      <w:numFmt w:val="bullet"/>
      <w:lvlText w:val=""/>
      <w:lvlJc w:val="left"/>
      <w:pPr>
        <w:ind w:left="1440" w:hanging="360"/>
      </w:pPr>
      <w:rPr>
        <w:rFonts w:ascii="Symbol" w:hAnsi="Symbol"/>
      </w:rPr>
    </w:lvl>
    <w:lvl w:ilvl="6" w:tplc="E4B48C96">
      <w:start w:val="1"/>
      <w:numFmt w:val="bullet"/>
      <w:lvlText w:val=""/>
      <w:lvlJc w:val="left"/>
      <w:pPr>
        <w:ind w:left="1440" w:hanging="360"/>
      </w:pPr>
      <w:rPr>
        <w:rFonts w:ascii="Symbol" w:hAnsi="Symbol"/>
      </w:rPr>
    </w:lvl>
    <w:lvl w:ilvl="7" w:tplc="BFC210F8">
      <w:start w:val="1"/>
      <w:numFmt w:val="bullet"/>
      <w:lvlText w:val=""/>
      <w:lvlJc w:val="left"/>
      <w:pPr>
        <w:ind w:left="1440" w:hanging="360"/>
      </w:pPr>
      <w:rPr>
        <w:rFonts w:ascii="Symbol" w:hAnsi="Symbol"/>
      </w:rPr>
    </w:lvl>
    <w:lvl w:ilvl="8" w:tplc="4656E8F6">
      <w:start w:val="1"/>
      <w:numFmt w:val="bullet"/>
      <w:lvlText w:val=""/>
      <w:lvlJc w:val="left"/>
      <w:pPr>
        <w:ind w:left="1440" w:hanging="360"/>
      </w:pPr>
      <w:rPr>
        <w:rFonts w:ascii="Symbol" w:hAnsi="Symbol"/>
      </w:rPr>
    </w:lvl>
  </w:abstractNum>
  <w:abstractNum w:abstractNumId="72" w15:restartNumberingAfterBreak="0">
    <w:nsid w:val="7C702728"/>
    <w:multiLevelType w:val="hybridMultilevel"/>
    <w:tmpl w:val="11C65C7C"/>
    <w:lvl w:ilvl="0" w:tplc="B8E6C05E">
      <w:numFmt w:val="bullet"/>
      <w:lvlText w:val="-"/>
      <w:lvlJc w:val="left"/>
      <w:pPr>
        <w:tabs>
          <w:tab w:val="num" w:pos="360"/>
        </w:tabs>
        <w:ind w:left="360" w:hanging="360"/>
      </w:pPr>
      <w:rPr>
        <w:rFonts w:ascii="Verdana" w:eastAsia="Times New Roman" w:hAnsi="Verdana" w:cs="Times New Roman" w:hint="default"/>
      </w:rPr>
    </w:lvl>
    <w:lvl w:ilvl="1" w:tplc="AD588824">
      <w:start w:val="1"/>
      <w:numFmt w:val="bullet"/>
      <w:lvlText w:val="o"/>
      <w:lvlJc w:val="left"/>
      <w:pPr>
        <w:tabs>
          <w:tab w:val="num" w:pos="1080"/>
        </w:tabs>
        <w:ind w:left="1080" w:hanging="360"/>
      </w:pPr>
      <w:rPr>
        <w:rFonts w:ascii="Courier New" w:hAnsi="Courier New" w:cs="Times New Roman" w:hint="default"/>
      </w:rPr>
    </w:lvl>
    <w:lvl w:ilvl="2" w:tplc="75C81388">
      <w:start w:val="1"/>
      <w:numFmt w:val="bullet"/>
      <w:lvlText w:val="o"/>
      <w:lvlJc w:val="left"/>
      <w:pPr>
        <w:tabs>
          <w:tab w:val="num" w:pos="1800"/>
        </w:tabs>
        <w:ind w:left="1800" w:hanging="360"/>
      </w:pPr>
      <w:rPr>
        <w:rFonts w:ascii="Courier New" w:hAnsi="Courier New" w:cs="Times New Roman" w:hint="default"/>
      </w:rPr>
    </w:lvl>
    <w:lvl w:ilvl="3" w:tplc="C1186C9A">
      <w:start w:val="1"/>
      <w:numFmt w:val="bullet"/>
      <w:lvlText w:val="o"/>
      <w:lvlJc w:val="left"/>
      <w:pPr>
        <w:tabs>
          <w:tab w:val="num" w:pos="2520"/>
        </w:tabs>
        <w:ind w:left="2520" w:hanging="360"/>
      </w:pPr>
      <w:rPr>
        <w:rFonts w:ascii="Courier New" w:hAnsi="Courier New" w:cs="Times New Roman" w:hint="default"/>
      </w:rPr>
    </w:lvl>
    <w:lvl w:ilvl="4" w:tplc="CD98F876">
      <w:start w:val="1"/>
      <w:numFmt w:val="bullet"/>
      <w:lvlText w:val="o"/>
      <w:lvlJc w:val="left"/>
      <w:pPr>
        <w:tabs>
          <w:tab w:val="num" w:pos="3240"/>
        </w:tabs>
        <w:ind w:left="3240" w:hanging="360"/>
      </w:pPr>
      <w:rPr>
        <w:rFonts w:ascii="Courier New" w:hAnsi="Courier New" w:cs="Times New Roman" w:hint="default"/>
      </w:rPr>
    </w:lvl>
    <w:lvl w:ilvl="5" w:tplc="7B2CC1A6">
      <w:start w:val="1"/>
      <w:numFmt w:val="bullet"/>
      <w:lvlText w:val="o"/>
      <w:lvlJc w:val="left"/>
      <w:pPr>
        <w:tabs>
          <w:tab w:val="num" w:pos="3960"/>
        </w:tabs>
        <w:ind w:left="3960" w:hanging="360"/>
      </w:pPr>
      <w:rPr>
        <w:rFonts w:ascii="Courier New" w:hAnsi="Courier New" w:cs="Times New Roman" w:hint="default"/>
      </w:rPr>
    </w:lvl>
    <w:lvl w:ilvl="6" w:tplc="B72207F4">
      <w:start w:val="1"/>
      <w:numFmt w:val="bullet"/>
      <w:lvlText w:val="o"/>
      <w:lvlJc w:val="left"/>
      <w:pPr>
        <w:tabs>
          <w:tab w:val="num" w:pos="4680"/>
        </w:tabs>
        <w:ind w:left="4680" w:hanging="360"/>
      </w:pPr>
      <w:rPr>
        <w:rFonts w:ascii="Courier New" w:hAnsi="Courier New" w:cs="Times New Roman" w:hint="default"/>
      </w:rPr>
    </w:lvl>
    <w:lvl w:ilvl="7" w:tplc="6AA84BEA">
      <w:start w:val="1"/>
      <w:numFmt w:val="bullet"/>
      <w:lvlText w:val="o"/>
      <w:lvlJc w:val="left"/>
      <w:pPr>
        <w:tabs>
          <w:tab w:val="num" w:pos="5400"/>
        </w:tabs>
        <w:ind w:left="5400" w:hanging="360"/>
      </w:pPr>
      <w:rPr>
        <w:rFonts w:ascii="Courier New" w:hAnsi="Courier New" w:cs="Times New Roman" w:hint="default"/>
      </w:rPr>
    </w:lvl>
    <w:lvl w:ilvl="8" w:tplc="D1068E3E">
      <w:start w:val="1"/>
      <w:numFmt w:val="bullet"/>
      <w:lvlText w:val="o"/>
      <w:lvlJc w:val="left"/>
      <w:pPr>
        <w:tabs>
          <w:tab w:val="num" w:pos="6120"/>
        </w:tabs>
        <w:ind w:left="6120" w:hanging="360"/>
      </w:pPr>
      <w:rPr>
        <w:rFonts w:ascii="Courier New" w:hAnsi="Courier New" w:cs="Times New Roman" w:hint="default"/>
      </w:rPr>
    </w:lvl>
  </w:abstractNum>
  <w:abstractNum w:abstractNumId="73" w15:restartNumberingAfterBreak="0">
    <w:nsid w:val="7DEF7C5D"/>
    <w:multiLevelType w:val="hybridMultilevel"/>
    <w:tmpl w:val="A4FE4158"/>
    <w:lvl w:ilvl="0" w:tplc="5CDA71BA">
      <w:start w:val="1"/>
      <w:numFmt w:val="decimal"/>
      <w:lvlText w:val="%1."/>
      <w:lvlJc w:val="left"/>
      <w:pPr>
        <w:ind w:left="1020" w:hanging="360"/>
      </w:pPr>
    </w:lvl>
    <w:lvl w:ilvl="1" w:tplc="5E848024">
      <w:start w:val="1"/>
      <w:numFmt w:val="decimal"/>
      <w:lvlText w:val="%2."/>
      <w:lvlJc w:val="left"/>
      <w:pPr>
        <w:ind w:left="1020" w:hanging="360"/>
      </w:pPr>
    </w:lvl>
    <w:lvl w:ilvl="2" w:tplc="7E4EFEFC">
      <w:start w:val="1"/>
      <w:numFmt w:val="decimal"/>
      <w:lvlText w:val="%3."/>
      <w:lvlJc w:val="left"/>
      <w:pPr>
        <w:ind w:left="1020" w:hanging="360"/>
      </w:pPr>
    </w:lvl>
    <w:lvl w:ilvl="3" w:tplc="D56AD014">
      <w:start w:val="1"/>
      <w:numFmt w:val="decimal"/>
      <w:lvlText w:val="%4."/>
      <w:lvlJc w:val="left"/>
      <w:pPr>
        <w:ind w:left="1020" w:hanging="360"/>
      </w:pPr>
    </w:lvl>
    <w:lvl w:ilvl="4" w:tplc="48BCCAF2">
      <w:start w:val="1"/>
      <w:numFmt w:val="decimal"/>
      <w:lvlText w:val="%5."/>
      <w:lvlJc w:val="left"/>
      <w:pPr>
        <w:ind w:left="1020" w:hanging="360"/>
      </w:pPr>
    </w:lvl>
    <w:lvl w:ilvl="5" w:tplc="5C7A27C6">
      <w:start w:val="1"/>
      <w:numFmt w:val="decimal"/>
      <w:lvlText w:val="%6."/>
      <w:lvlJc w:val="left"/>
      <w:pPr>
        <w:ind w:left="1020" w:hanging="360"/>
      </w:pPr>
    </w:lvl>
    <w:lvl w:ilvl="6" w:tplc="38822786">
      <w:start w:val="1"/>
      <w:numFmt w:val="decimal"/>
      <w:lvlText w:val="%7."/>
      <w:lvlJc w:val="left"/>
      <w:pPr>
        <w:ind w:left="1020" w:hanging="360"/>
      </w:pPr>
    </w:lvl>
    <w:lvl w:ilvl="7" w:tplc="940E49A6">
      <w:start w:val="1"/>
      <w:numFmt w:val="decimal"/>
      <w:lvlText w:val="%8."/>
      <w:lvlJc w:val="left"/>
      <w:pPr>
        <w:ind w:left="1020" w:hanging="360"/>
      </w:pPr>
    </w:lvl>
    <w:lvl w:ilvl="8" w:tplc="C4209830">
      <w:start w:val="1"/>
      <w:numFmt w:val="decimal"/>
      <w:lvlText w:val="%9."/>
      <w:lvlJc w:val="left"/>
      <w:pPr>
        <w:ind w:left="1020" w:hanging="360"/>
      </w:pPr>
    </w:lvl>
  </w:abstractNum>
  <w:num w:numId="1" w16cid:durableId="1088624226">
    <w:abstractNumId w:val="19"/>
  </w:num>
  <w:num w:numId="2" w16cid:durableId="556084954">
    <w:abstractNumId w:val="27"/>
  </w:num>
  <w:num w:numId="3" w16cid:durableId="1302614787">
    <w:abstractNumId w:val="60"/>
  </w:num>
  <w:num w:numId="4" w16cid:durableId="1667586855">
    <w:abstractNumId w:val="68"/>
  </w:num>
  <w:num w:numId="5" w16cid:durableId="1272778625">
    <w:abstractNumId w:val="7"/>
  </w:num>
  <w:num w:numId="6" w16cid:durableId="773325998">
    <w:abstractNumId w:val="59"/>
  </w:num>
  <w:num w:numId="7" w16cid:durableId="970015004">
    <w:abstractNumId w:val="52"/>
  </w:num>
  <w:num w:numId="8" w16cid:durableId="1591280295">
    <w:abstractNumId w:val="72"/>
  </w:num>
  <w:num w:numId="9" w16cid:durableId="376203163">
    <w:abstractNumId w:val="50"/>
  </w:num>
  <w:num w:numId="10" w16cid:durableId="511257989">
    <w:abstractNumId w:val="16"/>
  </w:num>
  <w:num w:numId="11" w16cid:durableId="1936132622">
    <w:abstractNumId w:val="63"/>
  </w:num>
  <w:num w:numId="12" w16cid:durableId="866210422">
    <w:abstractNumId w:val="45"/>
  </w:num>
  <w:num w:numId="13" w16cid:durableId="4427676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2635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8687422">
    <w:abstractNumId w:val="14"/>
  </w:num>
  <w:num w:numId="16" w16cid:durableId="223219452">
    <w:abstractNumId w:val="20"/>
  </w:num>
  <w:num w:numId="17" w16cid:durableId="1592422530">
    <w:abstractNumId w:val="41"/>
  </w:num>
  <w:num w:numId="18" w16cid:durableId="6061453">
    <w:abstractNumId w:val="38"/>
  </w:num>
  <w:num w:numId="19" w16cid:durableId="1696537826">
    <w:abstractNumId w:val="58"/>
  </w:num>
  <w:num w:numId="20" w16cid:durableId="2137332171">
    <w:abstractNumId w:val="32"/>
  </w:num>
  <w:num w:numId="21" w16cid:durableId="1953322543">
    <w:abstractNumId w:val="9"/>
  </w:num>
  <w:num w:numId="22" w16cid:durableId="195972113">
    <w:abstractNumId w:val="48"/>
  </w:num>
  <w:num w:numId="23" w16cid:durableId="682320414">
    <w:abstractNumId w:val="64"/>
  </w:num>
  <w:num w:numId="24" w16cid:durableId="1426608531">
    <w:abstractNumId w:val="40"/>
  </w:num>
  <w:num w:numId="25" w16cid:durableId="1328707935">
    <w:abstractNumId w:val="37"/>
  </w:num>
  <w:num w:numId="26" w16cid:durableId="1822037373">
    <w:abstractNumId w:val="18"/>
  </w:num>
  <w:num w:numId="27" w16cid:durableId="777330047">
    <w:abstractNumId w:val="31"/>
  </w:num>
  <w:num w:numId="28" w16cid:durableId="986281670">
    <w:abstractNumId w:val="51"/>
  </w:num>
  <w:num w:numId="29" w16cid:durableId="1041631791">
    <w:abstractNumId w:val="49"/>
  </w:num>
  <w:num w:numId="30" w16cid:durableId="1860583568">
    <w:abstractNumId w:val="42"/>
  </w:num>
  <w:num w:numId="31" w16cid:durableId="1537039295">
    <w:abstractNumId w:val="71"/>
  </w:num>
  <w:num w:numId="32" w16cid:durableId="2034917477">
    <w:abstractNumId w:val="39"/>
  </w:num>
  <w:num w:numId="33" w16cid:durableId="1483230771">
    <w:abstractNumId w:val="25"/>
  </w:num>
  <w:num w:numId="34" w16cid:durableId="2132360968">
    <w:abstractNumId w:val="0"/>
  </w:num>
  <w:num w:numId="35" w16cid:durableId="322664000">
    <w:abstractNumId w:val="28"/>
  </w:num>
  <w:num w:numId="36" w16cid:durableId="1629968275">
    <w:abstractNumId w:val="53"/>
  </w:num>
  <w:num w:numId="37" w16cid:durableId="910386781">
    <w:abstractNumId w:val="54"/>
  </w:num>
  <w:num w:numId="38" w16cid:durableId="2082095847">
    <w:abstractNumId w:val="56"/>
  </w:num>
  <w:num w:numId="39" w16cid:durableId="375618137">
    <w:abstractNumId w:val="33"/>
  </w:num>
  <w:num w:numId="40" w16cid:durableId="1306084823">
    <w:abstractNumId w:val="23"/>
  </w:num>
  <w:num w:numId="41" w16cid:durableId="612593211">
    <w:abstractNumId w:val="11"/>
  </w:num>
  <w:num w:numId="42" w16cid:durableId="479466829">
    <w:abstractNumId w:val="67"/>
  </w:num>
  <w:num w:numId="43" w16cid:durableId="1890996863">
    <w:abstractNumId w:val="43"/>
  </w:num>
  <w:num w:numId="44" w16cid:durableId="514853094">
    <w:abstractNumId w:val="2"/>
  </w:num>
  <w:num w:numId="45" w16cid:durableId="2066251553">
    <w:abstractNumId w:val="17"/>
  </w:num>
  <w:num w:numId="46" w16cid:durableId="1259829104">
    <w:abstractNumId w:val="44"/>
  </w:num>
  <w:num w:numId="47" w16cid:durableId="87040871">
    <w:abstractNumId w:val="1"/>
  </w:num>
  <w:num w:numId="48" w16cid:durableId="1651442308">
    <w:abstractNumId w:val="5"/>
  </w:num>
  <w:num w:numId="49" w16cid:durableId="1197043199">
    <w:abstractNumId w:val="69"/>
  </w:num>
  <w:num w:numId="50" w16cid:durableId="282157080">
    <w:abstractNumId w:val="8"/>
  </w:num>
  <w:num w:numId="51" w16cid:durableId="779956979">
    <w:abstractNumId w:val="55"/>
  </w:num>
  <w:num w:numId="52" w16cid:durableId="809059730">
    <w:abstractNumId w:val="57"/>
  </w:num>
  <w:num w:numId="53" w16cid:durableId="866606340">
    <w:abstractNumId w:val="47"/>
  </w:num>
  <w:num w:numId="54" w16cid:durableId="425155957">
    <w:abstractNumId w:val="22"/>
  </w:num>
  <w:num w:numId="55" w16cid:durableId="152113519">
    <w:abstractNumId w:val="12"/>
  </w:num>
  <w:num w:numId="56" w16cid:durableId="1423793969">
    <w:abstractNumId w:val="29"/>
  </w:num>
  <w:num w:numId="57" w16cid:durableId="20807131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7307139">
    <w:abstractNumId w:val="34"/>
  </w:num>
  <w:num w:numId="59" w16cid:durableId="1116371476">
    <w:abstractNumId w:val="30"/>
  </w:num>
  <w:num w:numId="60" w16cid:durableId="1995405433">
    <w:abstractNumId w:val="46"/>
  </w:num>
  <w:num w:numId="61" w16cid:durableId="1510370421">
    <w:abstractNumId w:val="4"/>
  </w:num>
  <w:num w:numId="62" w16cid:durableId="854077509">
    <w:abstractNumId w:val="10"/>
  </w:num>
  <w:num w:numId="63" w16cid:durableId="1522743723">
    <w:abstractNumId w:val="35"/>
  </w:num>
  <w:num w:numId="64" w16cid:durableId="686374210">
    <w:abstractNumId w:val="62"/>
  </w:num>
  <w:num w:numId="65" w16cid:durableId="574097171">
    <w:abstractNumId w:val="61"/>
  </w:num>
  <w:num w:numId="66" w16cid:durableId="1747143154">
    <w:abstractNumId w:val="73"/>
  </w:num>
  <w:num w:numId="67" w16cid:durableId="1190143664">
    <w:abstractNumId w:val="6"/>
  </w:num>
  <w:num w:numId="68" w16cid:durableId="1554145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1502330">
    <w:abstractNumId w:val="3"/>
  </w:num>
  <w:num w:numId="70" w16cid:durableId="214852420">
    <w:abstractNumId w:val="24"/>
  </w:num>
  <w:num w:numId="71" w16cid:durableId="1622685629">
    <w:abstractNumId w:val="13"/>
  </w:num>
  <w:num w:numId="72" w16cid:durableId="543639182">
    <w:abstractNumId w:val="70"/>
  </w:num>
  <w:num w:numId="73" w16cid:durableId="1969357327">
    <w:abstractNumId w:val="36"/>
  </w:num>
  <w:num w:numId="74" w16cid:durableId="1115250641">
    <w:abstractNumId w:val="21"/>
  </w:num>
  <w:num w:numId="75" w16cid:durableId="1367095589">
    <w:abstractNumId w:val="65"/>
  </w:num>
  <w:num w:numId="76" w16cid:durableId="440492969">
    <w:abstractNumId w:val="26"/>
  </w:num>
  <w:num w:numId="77" w16cid:durableId="1801921822">
    <w:abstractNumId w:val="15"/>
  </w:num>
  <w:num w:numId="78" w16cid:durableId="842089121">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6F950"/>
    <w:rsid w:val="00001170"/>
    <w:rsid w:val="00001D53"/>
    <w:rsid w:val="00004020"/>
    <w:rsid w:val="000058C6"/>
    <w:rsid w:val="00005DB7"/>
    <w:rsid w:val="000069E4"/>
    <w:rsid w:val="000106B9"/>
    <w:rsid w:val="00012245"/>
    <w:rsid w:val="000123B3"/>
    <w:rsid w:val="000134EE"/>
    <w:rsid w:val="000165BD"/>
    <w:rsid w:val="00020CA7"/>
    <w:rsid w:val="000230A2"/>
    <w:rsid w:val="00023420"/>
    <w:rsid w:val="0002512A"/>
    <w:rsid w:val="000251A3"/>
    <w:rsid w:val="000265DD"/>
    <w:rsid w:val="00027393"/>
    <w:rsid w:val="00030B16"/>
    <w:rsid w:val="00032F3C"/>
    <w:rsid w:val="00033F71"/>
    <w:rsid w:val="00035CFF"/>
    <w:rsid w:val="00037132"/>
    <w:rsid w:val="00037789"/>
    <w:rsid w:val="00040C9B"/>
    <w:rsid w:val="000425B5"/>
    <w:rsid w:val="00042C20"/>
    <w:rsid w:val="00042D7A"/>
    <w:rsid w:val="00043C84"/>
    <w:rsid w:val="000461C2"/>
    <w:rsid w:val="000465A7"/>
    <w:rsid w:val="000515C7"/>
    <w:rsid w:val="00051A6F"/>
    <w:rsid w:val="00055295"/>
    <w:rsid w:val="00055CDE"/>
    <w:rsid w:val="000604B6"/>
    <w:rsid w:val="00060652"/>
    <w:rsid w:val="000608E9"/>
    <w:rsid w:val="0006238D"/>
    <w:rsid w:val="000672D7"/>
    <w:rsid w:val="000705F3"/>
    <w:rsid w:val="00071942"/>
    <w:rsid w:val="000727BD"/>
    <w:rsid w:val="00072C66"/>
    <w:rsid w:val="00076372"/>
    <w:rsid w:val="00076589"/>
    <w:rsid w:val="000802C1"/>
    <w:rsid w:val="0008079D"/>
    <w:rsid w:val="00082183"/>
    <w:rsid w:val="0008353D"/>
    <w:rsid w:val="000842FC"/>
    <w:rsid w:val="00086E6A"/>
    <w:rsid w:val="00087BF4"/>
    <w:rsid w:val="0009169B"/>
    <w:rsid w:val="00094EBC"/>
    <w:rsid w:val="00095617"/>
    <w:rsid w:val="000A089B"/>
    <w:rsid w:val="000A0B71"/>
    <w:rsid w:val="000A0D91"/>
    <w:rsid w:val="000A3389"/>
    <w:rsid w:val="000A5CDA"/>
    <w:rsid w:val="000B0034"/>
    <w:rsid w:val="000B2526"/>
    <w:rsid w:val="000B28D9"/>
    <w:rsid w:val="000B3C58"/>
    <w:rsid w:val="000B7061"/>
    <w:rsid w:val="000B73AE"/>
    <w:rsid w:val="000C087C"/>
    <w:rsid w:val="000C0C6B"/>
    <w:rsid w:val="000C0F3A"/>
    <w:rsid w:val="000C3FED"/>
    <w:rsid w:val="000C49A3"/>
    <w:rsid w:val="000C5D2E"/>
    <w:rsid w:val="000C6A45"/>
    <w:rsid w:val="000D2132"/>
    <w:rsid w:val="000D33D1"/>
    <w:rsid w:val="000D40ED"/>
    <w:rsid w:val="000D7298"/>
    <w:rsid w:val="000E1A53"/>
    <w:rsid w:val="000E285A"/>
    <w:rsid w:val="000E28E6"/>
    <w:rsid w:val="000E36B3"/>
    <w:rsid w:val="000E3965"/>
    <w:rsid w:val="000E5DFD"/>
    <w:rsid w:val="000E650E"/>
    <w:rsid w:val="000E6723"/>
    <w:rsid w:val="000E75AF"/>
    <w:rsid w:val="000F2494"/>
    <w:rsid w:val="000F2504"/>
    <w:rsid w:val="000F37B6"/>
    <w:rsid w:val="000F4C42"/>
    <w:rsid w:val="000F4FD8"/>
    <w:rsid w:val="000F5A0E"/>
    <w:rsid w:val="00104484"/>
    <w:rsid w:val="00104524"/>
    <w:rsid w:val="00104BB6"/>
    <w:rsid w:val="00105C50"/>
    <w:rsid w:val="00107629"/>
    <w:rsid w:val="00107B5D"/>
    <w:rsid w:val="00111E48"/>
    <w:rsid w:val="00112122"/>
    <w:rsid w:val="0011677F"/>
    <w:rsid w:val="00121F56"/>
    <w:rsid w:val="001224B1"/>
    <w:rsid w:val="00123DB9"/>
    <w:rsid w:val="00124857"/>
    <w:rsid w:val="00124B06"/>
    <w:rsid w:val="00124ED2"/>
    <w:rsid w:val="00126DA0"/>
    <w:rsid w:val="001275C6"/>
    <w:rsid w:val="00127A7F"/>
    <w:rsid w:val="001311E8"/>
    <w:rsid w:val="00133A9E"/>
    <w:rsid w:val="0013561C"/>
    <w:rsid w:val="001406A5"/>
    <w:rsid w:val="00141126"/>
    <w:rsid w:val="00141A1C"/>
    <w:rsid w:val="00141B70"/>
    <w:rsid w:val="00142431"/>
    <w:rsid w:val="001448A0"/>
    <w:rsid w:val="00147404"/>
    <w:rsid w:val="0014741E"/>
    <w:rsid w:val="001512FA"/>
    <w:rsid w:val="00151431"/>
    <w:rsid w:val="00151D0D"/>
    <w:rsid w:val="00155386"/>
    <w:rsid w:val="00160A3A"/>
    <w:rsid w:val="00160BD0"/>
    <w:rsid w:val="0016299F"/>
    <w:rsid w:val="001631A8"/>
    <w:rsid w:val="00163F28"/>
    <w:rsid w:val="00164F3C"/>
    <w:rsid w:val="001666DC"/>
    <w:rsid w:val="00166B40"/>
    <w:rsid w:val="001671AE"/>
    <w:rsid w:val="00170519"/>
    <w:rsid w:val="0017150C"/>
    <w:rsid w:val="00173DC2"/>
    <w:rsid w:val="00175D32"/>
    <w:rsid w:val="0017639A"/>
    <w:rsid w:val="001770FE"/>
    <w:rsid w:val="00181A1E"/>
    <w:rsid w:val="00181BFF"/>
    <w:rsid w:val="00182F3D"/>
    <w:rsid w:val="00184570"/>
    <w:rsid w:val="00186368"/>
    <w:rsid w:val="00190ED6"/>
    <w:rsid w:val="00194655"/>
    <w:rsid w:val="001963A1"/>
    <w:rsid w:val="00197276"/>
    <w:rsid w:val="00197A7C"/>
    <w:rsid w:val="00197FC3"/>
    <w:rsid w:val="001A06E8"/>
    <w:rsid w:val="001A17A5"/>
    <w:rsid w:val="001A2A9A"/>
    <w:rsid w:val="001A323E"/>
    <w:rsid w:val="001A63C2"/>
    <w:rsid w:val="001A6BC6"/>
    <w:rsid w:val="001B2151"/>
    <w:rsid w:val="001B22D0"/>
    <w:rsid w:val="001B2F2D"/>
    <w:rsid w:val="001B32E3"/>
    <w:rsid w:val="001B5D08"/>
    <w:rsid w:val="001B7948"/>
    <w:rsid w:val="001C1165"/>
    <w:rsid w:val="001C1A44"/>
    <w:rsid w:val="001C212E"/>
    <w:rsid w:val="001C3B67"/>
    <w:rsid w:val="001C53C8"/>
    <w:rsid w:val="001C6FF9"/>
    <w:rsid w:val="001C7AB0"/>
    <w:rsid w:val="001D0785"/>
    <w:rsid w:val="001D0B6B"/>
    <w:rsid w:val="001D2B4E"/>
    <w:rsid w:val="001D7585"/>
    <w:rsid w:val="001E0AD5"/>
    <w:rsid w:val="001E1413"/>
    <w:rsid w:val="001E3341"/>
    <w:rsid w:val="001E339A"/>
    <w:rsid w:val="001E3BF7"/>
    <w:rsid w:val="001E45E4"/>
    <w:rsid w:val="001E4DC1"/>
    <w:rsid w:val="001E5C00"/>
    <w:rsid w:val="001E609C"/>
    <w:rsid w:val="001F136E"/>
    <w:rsid w:val="002018BB"/>
    <w:rsid w:val="0020799D"/>
    <w:rsid w:val="00210404"/>
    <w:rsid w:val="00210801"/>
    <w:rsid w:val="002125FD"/>
    <w:rsid w:val="00212E8C"/>
    <w:rsid w:val="00213D05"/>
    <w:rsid w:val="0021536A"/>
    <w:rsid w:val="002174D0"/>
    <w:rsid w:val="00220504"/>
    <w:rsid w:val="00220AB4"/>
    <w:rsid w:val="002243A2"/>
    <w:rsid w:val="00225F5D"/>
    <w:rsid w:val="00227599"/>
    <w:rsid w:val="00231141"/>
    <w:rsid w:val="0023176E"/>
    <w:rsid w:val="00232AAC"/>
    <w:rsid w:val="00234C0F"/>
    <w:rsid w:val="00235CF9"/>
    <w:rsid w:val="00242EB5"/>
    <w:rsid w:val="002431A2"/>
    <w:rsid w:val="00244733"/>
    <w:rsid w:val="0024501B"/>
    <w:rsid w:val="002470A4"/>
    <w:rsid w:val="0024713F"/>
    <w:rsid w:val="002521DC"/>
    <w:rsid w:val="00253356"/>
    <w:rsid w:val="002539A2"/>
    <w:rsid w:val="0025404E"/>
    <w:rsid w:val="00256431"/>
    <w:rsid w:val="00256712"/>
    <w:rsid w:val="00256C15"/>
    <w:rsid w:val="002613D2"/>
    <w:rsid w:val="0026163A"/>
    <w:rsid w:val="00264AE2"/>
    <w:rsid w:val="002650D1"/>
    <w:rsid w:val="00265320"/>
    <w:rsid w:val="00265E15"/>
    <w:rsid w:val="002669EF"/>
    <w:rsid w:val="00270CC6"/>
    <w:rsid w:val="00271F1C"/>
    <w:rsid w:val="00272089"/>
    <w:rsid w:val="00272ABE"/>
    <w:rsid w:val="00273EB4"/>
    <w:rsid w:val="002773B6"/>
    <w:rsid w:val="0028064D"/>
    <w:rsid w:val="002814E0"/>
    <w:rsid w:val="002822F2"/>
    <w:rsid w:val="0028264B"/>
    <w:rsid w:val="002832B5"/>
    <w:rsid w:val="00283FAA"/>
    <w:rsid w:val="0028463B"/>
    <w:rsid w:val="00284DA4"/>
    <w:rsid w:val="00290561"/>
    <w:rsid w:val="00290C16"/>
    <w:rsid w:val="0029114F"/>
    <w:rsid w:val="00293AB6"/>
    <w:rsid w:val="00294998"/>
    <w:rsid w:val="00297CB9"/>
    <w:rsid w:val="002A31A2"/>
    <w:rsid w:val="002A4C50"/>
    <w:rsid w:val="002A4E74"/>
    <w:rsid w:val="002A4FFC"/>
    <w:rsid w:val="002B0281"/>
    <w:rsid w:val="002B12F9"/>
    <w:rsid w:val="002B26AE"/>
    <w:rsid w:val="002B27C2"/>
    <w:rsid w:val="002B2986"/>
    <w:rsid w:val="002B4A7A"/>
    <w:rsid w:val="002B718C"/>
    <w:rsid w:val="002B7550"/>
    <w:rsid w:val="002B78F6"/>
    <w:rsid w:val="002C0458"/>
    <w:rsid w:val="002C09C6"/>
    <w:rsid w:val="002C0CC9"/>
    <w:rsid w:val="002C0DB8"/>
    <w:rsid w:val="002C31B8"/>
    <w:rsid w:val="002C50F2"/>
    <w:rsid w:val="002C5880"/>
    <w:rsid w:val="002C6DED"/>
    <w:rsid w:val="002D1D24"/>
    <w:rsid w:val="002D2FCB"/>
    <w:rsid w:val="002D4706"/>
    <w:rsid w:val="002D60E6"/>
    <w:rsid w:val="002D7068"/>
    <w:rsid w:val="002D7850"/>
    <w:rsid w:val="002D7C97"/>
    <w:rsid w:val="002D7E29"/>
    <w:rsid w:val="002D7E72"/>
    <w:rsid w:val="002E2F9F"/>
    <w:rsid w:val="002E35D9"/>
    <w:rsid w:val="002E4B50"/>
    <w:rsid w:val="002F584A"/>
    <w:rsid w:val="002F6CCF"/>
    <w:rsid w:val="0030046C"/>
    <w:rsid w:val="00301E81"/>
    <w:rsid w:val="003024B8"/>
    <w:rsid w:val="0030434F"/>
    <w:rsid w:val="00305351"/>
    <w:rsid w:val="003117C0"/>
    <w:rsid w:val="00314F5C"/>
    <w:rsid w:val="003154A8"/>
    <w:rsid w:val="00315B3A"/>
    <w:rsid w:val="00316725"/>
    <w:rsid w:val="00317272"/>
    <w:rsid w:val="00317962"/>
    <w:rsid w:val="00317E6B"/>
    <w:rsid w:val="00321958"/>
    <w:rsid w:val="00322898"/>
    <w:rsid w:val="00322BDE"/>
    <w:rsid w:val="00323079"/>
    <w:rsid w:val="00326C27"/>
    <w:rsid w:val="003270FC"/>
    <w:rsid w:val="003277B2"/>
    <w:rsid w:val="00332937"/>
    <w:rsid w:val="00334EF8"/>
    <w:rsid w:val="00335F81"/>
    <w:rsid w:val="00337162"/>
    <w:rsid w:val="0034214F"/>
    <w:rsid w:val="00342665"/>
    <w:rsid w:val="0034756F"/>
    <w:rsid w:val="0035093C"/>
    <w:rsid w:val="00351492"/>
    <w:rsid w:val="00354AB7"/>
    <w:rsid w:val="00360179"/>
    <w:rsid w:val="00361105"/>
    <w:rsid w:val="0036390F"/>
    <w:rsid w:val="0036584C"/>
    <w:rsid w:val="00367E2F"/>
    <w:rsid w:val="00371DE7"/>
    <w:rsid w:val="00372870"/>
    <w:rsid w:val="003746C0"/>
    <w:rsid w:val="003762EA"/>
    <w:rsid w:val="0037719E"/>
    <w:rsid w:val="00377C18"/>
    <w:rsid w:val="003901A0"/>
    <w:rsid w:val="0039091E"/>
    <w:rsid w:val="00390987"/>
    <w:rsid w:val="00390BFA"/>
    <w:rsid w:val="003911CC"/>
    <w:rsid w:val="00391D89"/>
    <w:rsid w:val="00392FDB"/>
    <w:rsid w:val="0039454E"/>
    <w:rsid w:val="0039687A"/>
    <w:rsid w:val="00396B5C"/>
    <w:rsid w:val="003A2327"/>
    <w:rsid w:val="003A29CA"/>
    <w:rsid w:val="003A4A05"/>
    <w:rsid w:val="003A557A"/>
    <w:rsid w:val="003A55E1"/>
    <w:rsid w:val="003A6411"/>
    <w:rsid w:val="003A7C37"/>
    <w:rsid w:val="003B0991"/>
    <w:rsid w:val="003B0C33"/>
    <w:rsid w:val="003B2697"/>
    <w:rsid w:val="003C0789"/>
    <w:rsid w:val="003C0AC9"/>
    <w:rsid w:val="003C29CA"/>
    <w:rsid w:val="003C6C94"/>
    <w:rsid w:val="003C7168"/>
    <w:rsid w:val="003D02B7"/>
    <w:rsid w:val="003D1CEE"/>
    <w:rsid w:val="003D371A"/>
    <w:rsid w:val="003D42DF"/>
    <w:rsid w:val="003D4650"/>
    <w:rsid w:val="003D50AC"/>
    <w:rsid w:val="003D6A99"/>
    <w:rsid w:val="003D7677"/>
    <w:rsid w:val="003E0505"/>
    <w:rsid w:val="003E1941"/>
    <w:rsid w:val="003E1E94"/>
    <w:rsid w:val="003E2632"/>
    <w:rsid w:val="003E4BF6"/>
    <w:rsid w:val="003E57C6"/>
    <w:rsid w:val="003E583B"/>
    <w:rsid w:val="003F1F8D"/>
    <w:rsid w:val="003F21A5"/>
    <w:rsid w:val="00403ADE"/>
    <w:rsid w:val="00404D90"/>
    <w:rsid w:val="00406753"/>
    <w:rsid w:val="00410784"/>
    <w:rsid w:val="00413FC2"/>
    <w:rsid w:val="00415C73"/>
    <w:rsid w:val="00416DC9"/>
    <w:rsid w:val="00417610"/>
    <w:rsid w:val="00417B95"/>
    <w:rsid w:val="00420D97"/>
    <w:rsid w:val="004234EE"/>
    <w:rsid w:val="00426882"/>
    <w:rsid w:val="00426ACF"/>
    <w:rsid w:val="00432BFC"/>
    <w:rsid w:val="0043376A"/>
    <w:rsid w:val="004350E1"/>
    <w:rsid w:val="00435B9A"/>
    <w:rsid w:val="00437AD3"/>
    <w:rsid w:val="00443EDB"/>
    <w:rsid w:val="00444407"/>
    <w:rsid w:val="00445213"/>
    <w:rsid w:val="00445CF8"/>
    <w:rsid w:val="00447009"/>
    <w:rsid w:val="00447810"/>
    <w:rsid w:val="00450797"/>
    <w:rsid w:val="00451929"/>
    <w:rsid w:val="00451B6B"/>
    <w:rsid w:val="004527B2"/>
    <w:rsid w:val="00453A7D"/>
    <w:rsid w:val="00454B02"/>
    <w:rsid w:val="0045627E"/>
    <w:rsid w:val="00456918"/>
    <w:rsid w:val="0046318B"/>
    <w:rsid w:val="00463CC5"/>
    <w:rsid w:val="0046662A"/>
    <w:rsid w:val="004669C0"/>
    <w:rsid w:val="0046734D"/>
    <w:rsid w:val="00467E7C"/>
    <w:rsid w:val="00471A30"/>
    <w:rsid w:val="00473C78"/>
    <w:rsid w:val="00474D45"/>
    <w:rsid w:val="0047581A"/>
    <w:rsid w:val="00476A0E"/>
    <w:rsid w:val="00477C8B"/>
    <w:rsid w:val="004842C2"/>
    <w:rsid w:val="0048437C"/>
    <w:rsid w:val="004847B2"/>
    <w:rsid w:val="00484C5F"/>
    <w:rsid w:val="00484D5C"/>
    <w:rsid w:val="00485340"/>
    <w:rsid w:val="00486EA2"/>
    <w:rsid w:val="00487223"/>
    <w:rsid w:val="004873F8"/>
    <w:rsid w:val="00487755"/>
    <w:rsid w:val="0048787E"/>
    <w:rsid w:val="00490024"/>
    <w:rsid w:val="00492F08"/>
    <w:rsid w:val="0049687A"/>
    <w:rsid w:val="00496BF4"/>
    <w:rsid w:val="00496E8E"/>
    <w:rsid w:val="00497CD6"/>
    <w:rsid w:val="004A0B2D"/>
    <w:rsid w:val="004A1B4C"/>
    <w:rsid w:val="004A267E"/>
    <w:rsid w:val="004A3F93"/>
    <w:rsid w:val="004A5DD0"/>
    <w:rsid w:val="004B0261"/>
    <w:rsid w:val="004B0D89"/>
    <w:rsid w:val="004B0FFF"/>
    <w:rsid w:val="004B3593"/>
    <w:rsid w:val="004B5706"/>
    <w:rsid w:val="004B7596"/>
    <w:rsid w:val="004B7B75"/>
    <w:rsid w:val="004C3F28"/>
    <w:rsid w:val="004C6A05"/>
    <w:rsid w:val="004C6D90"/>
    <w:rsid w:val="004D02DC"/>
    <w:rsid w:val="004D161A"/>
    <w:rsid w:val="004D347D"/>
    <w:rsid w:val="004D541A"/>
    <w:rsid w:val="004D6E19"/>
    <w:rsid w:val="004D75B4"/>
    <w:rsid w:val="004D7A19"/>
    <w:rsid w:val="004E017A"/>
    <w:rsid w:val="004E1E68"/>
    <w:rsid w:val="004E26EB"/>
    <w:rsid w:val="004E5D63"/>
    <w:rsid w:val="004E6184"/>
    <w:rsid w:val="004F0533"/>
    <w:rsid w:val="004F06A8"/>
    <w:rsid w:val="004F34CD"/>
    <w:rsid w:val="004F3575"/>
    <w:rsid w:val="004F48FC"/>
    <w:rsid w:val="004F655E"/>
    <w:rsid w:val="004F7BA5"/>
    <w:rsid w:val="004F7E08"/>
    <w:rsid w:val="005053B6"/>
    <w:rsid w:val="00505CAF"/>
    <w:rsid w:val="00506413"/>
    <w:rsid w:val="00506704"/>
    <w:rsid w:val="005069E2"/>
    <w:rsid w:val="00511E1D"/>
    <w:rsid w:val="005161C0"/>
    <w:rsid w:val="0052231E"/>
    <w:rsid w:val="00522587"/>
    <w:rsid w:val="00526326"/>
    <w:rsid w:val="00526784"/>
    <w:rsid w:val="00527D7A"/>
    <w:rsid w:val="00527FE3"/>
    <w:rsid w:val="00530CC4"/>
    <w:rsid w:val="00531155"/>
    <w:rsid w:val="00531FB3"/>
    <w:rsid w:val="005327BB"/>
    <w:rsid w:val="005343C9"/>
    <w:rsid w:val="00540F22"/>
    <w:rsid w:val="00542932"/>
    <w:rsid w:val="00542CA5"/>
    <w:rsid w:val="00542F74"/>
    <w:rsid w:val="0054363F"/>
    <w:rsid w:val="005445F3"/>
    <w:rsid w:val="0054497A"/>
    <w:rsid w:val="00544A93"/>
    <w:rsid w:val="005476A3"/>
    <w:rsid w:val="005511D9"/>
    <w:rsid w:val="00552F86"/>
    <w:rsid w:val="005536BB"/>
    <w:rsid w:val="005562C9"/>
    <w:rsid w:val="0057180B"/>
    <w:rsid w:val="00571BAF"/>
    <w:rsid w:val="005731D2"/>
    <w:rsid w:val="00573365"/>
    <w:rsid w:val="00574023"/>
    <w:rsid w:val="00580230"/>
    <w:rsid w:val="00582708"/>
    <w:rsid w:val="00582EFB"/>
    <w:rsid w:val="00583566"/>
    <w:rsid w:val="00584966"/>
    <w:rsid w:val="005877F7"/>
    <w:rsid w:val="005901BA"/>
    <w:rsid w:val="0059449F"/>
    <w:rsid w:val="00595DDB"/>
    <w:rsid w:val="00596C4A"/>
    <w:rsid w:val="00597241"/>
    <w:rsid w:val="00597346"/>
    <w:rsid w:val="005A0525"/>
    <w:rsid w:val="005A1899"/>
    <w:rsid w:val="005A1E80"/>
    <w:rsid w:val="005A28A5"/>
    <w:rsid w:val="005A73D4"/>
    <w:rsid w:val="005B076E"/>
    <w:rsid w:val="005B170D"/>
    <w:rsid w:val="005B38F9"/>
    <w:rsid w:val="005B3907"/>
    <w:rsid w:val="005B4448"/>
    <w:rsid w:val="005B4CB1"/>
    <w:rsid w:val="005B5C55"/>
    <w:rsid w:val="005C161C"/>
    <w:rsid w:val="005C2BD7"/>
    <w:rsid w:val="005C389D"/>
    <w:rsid w:val="005C3E28"/>
    <w:rsid w:val="005C46CB"/>
    <w:rsid w:val="005C47BC"/>
    <w:rsid w:val="005D07EC"/>
    <w:rsid w:val="005D0DEA"/>
    <w:rsid w:val="005D1948"/>
    <w:rsid w:val="005D5056"/>
    <w:rsid w:val="005D646D"/>
    <w:rsid w:val="005E2AF3"/>
    <w:rsid w:val="005E3513"/>
    <w:rsid w:val="005E507E"/>
    <w:rsid w:val="005E654B"/>
    <w:rsid w:val="005E6841"/>
    <w:rsid w:val="005E6E1B"/>
    <w:rsid w:val="005F0F70"/>
    <w:rsid w:val="005F16C9"/>
    <w:rsid w:val="005F1784"/>
    <w:rsid w:val="005F31A6"/>
    <w:rsid w:val="005F31AA"/>
    <w:rsid w:val="005F65B0"/>
    <w:rsid w:val="005F7B6F"/>
    <w:rsid w:val="00600F92"/>
    <w:rsid w:val="0060212F"/>
    <w:rsid w:val="00603820"/>
    <w:rsid w:val="00605031"/>
    <w:rsid w:val="006059DD"/>
    <w:rsid w:val="00607377"/>
    <w:rsid w:val="00610D48"/>
    <w:rsid w:val="00611532"/>
    <w:rsid w:val="00612227"/>
    <w:rsid w:val="00612383"/>
    <w:rsid w:val="006130E0"/>
    <w:rsid w:val="00615136"/>
    <w:rsid w:val="00615C5F"/>
    <w:rsid w:val="00616E24"/>
    <w:rsid w:val="0061727C"/>
    <w:rsid w:val="00621304"/>
    <w:rsid w:val="0062165B"/>
    <w:rsid w:val="00621F61"/>
    <w:rsid w:val="00622CB6"/>
    <w:rsid w:val="0062323E"/>
    <w:rsid w:val="0062371E"/>
    <w:rsid w:val="00630206"/>
    <w:rsid w:val="0063306A"/>
    <w:rsid w:val="00637815"/>
    <w:rsid w:val="006423F4"/>
    <w:rsid w:val="006428DF"/>
    <w:rsid w:val="00642FC5"/>
    <w:rsid w:val="00643E93"/>
    <w:rsid w:val="00647610"/>
    <w:rsid w:val="00650195"/>
    <w:rsid w:val="00650B7D"/>
    <w:rsid w:val="0065395F"/>
    <w:rsid w:val="00654E7C"/>
    <w:rsid w:val="006574FB"/>
    <w:rsid w:val="00657CCA"/>
    <w:rsid w:val="006618C0"/>
    <w:rsid w:val="00662579"/>
    <w:rsid w:val="006638C9"/>
    <w:rsid w:val="006646CF"/>
    <w:rsid w:val="00664F2B"/>
    <w:rsid w:val="00665468"/>
    <w:rsid w:val="0066639B"/>
    <w:rsid w:val="006663E8"/>
    <w:rsid w:val="00666BA0"/>
    <w:rsid w:val="00670975"/>
    <w:rsid w:val="00670D72"/>
    <w:rsid w:val="00671772"/>
    <w:rsid w:val="006751A8"/>
    <w:rsid w:val="0067608B"/>
    <w:rsid w:val="00676E2B"/>
    <w:rsid w:val="00680699"/>
    <w:rsid w:val="00680F65"/>
    <w:rsid w:val="00685E85"/>
    <w:rsid w:val="006868F4"/>
    <w:rsid w:val="00686AE4"/>
    <w:rsid w:val="00686BCF"/>
    <w:rsid w:val="00691C67"/>
    <w:rsid w:val="00691E8D"/>
    <w:rsid w:val="006928E4"/>
    <w:rsid w:val="00693640"/>
    <w:rsid w:val="006963E0"/>
    <w:rsid w:val="00696593"/>
    <w:rsid w:val="00696ACB"/>
    <w:rsid w:val="00697A1B"/>
    <w:rsid w:val="006A0BF6"/>
    <w:rsid w:val="006A1C80"/>
    <w:rsid w:val="006A452D"/>
    <w:rsid w:val="006A513E"/>
    <w:rsid w:val="006A5613"/>
    <w:rsid w:val="006B0906"/>
    <w:rsid w:val="006B2877"/>
    <w:rsid w:val="006B36EA"/>
    <w:rsid w:val="006B4E56"/>
    <w:rsid w:val="006B5AEC"/>
    <w:rsid w:val="006B5D01"/>
    <w:rsid w:val="006B6303"/>
    <w:rsid w:val="006C57F4"/>
    <w:rsid w:val="006C6F2F"/>
    <w:rsid w:val="006D076C"/>
    <w:rsid w:val="006D0FE1"/>
    <w:rsid w:val="006D1603"/>
    <w:rsid w:val="006D2F44"/>
    <w:rsid w:val="006D3599"/>
    <w:rsid w:val="006D75EF"/>
    <w:rsid w:val="006E01F9"/>
    <w:rsid w:val="006E08F4"/>
    <w:rsid w:val="006E220A"/>
    <w:rsid w:val="006E2678"/>
    <w:rsid w:val="006E2E3D"/>
    <w:rsid w:val="006E2F06"/>
    <w:rsid w:val="006E4536"/>
    <w:rsid w:val="006F175A"/>
    <w:rsid w:val="006F228C"/>
    <w:rsid w:val="006F2D2A"/>
    <w:rsid w:val="006F5C6D"/>
    <w:rsid w:val="0070065A"/>
    <w:rsid w:val="00700ACE"/>
    <w:rsid w:val="00701570"/>
    <w:rsid w:val="00702602"/>
    <w:rsid w:val="00706429"/>
    <w:rsid w:val="00710EEE"/>
    <w:rsid w:val="007117EC"/>
    <w:rsid w:val="00711A34"/>
    <w:rsid w:val="00714C19"/>
    <w:rsid w:val="00717107"/>
    <w:rsid w:val="00717B55"/>
    <w:rsid w:val="00720626"/>
    <w:rsid w:val="00722673"/>
    <w:rsid w:val="0072349E"/>
    <w:rsid w:val="007243F6"/>
    <w:rsid w:val="0072596E"/>
    <w:rsid w:val="00726D85"/>
    <w:rsid w:val="00727D43"/>
    <w:rsid w:val="007314A4"/>
    <w:rsid w:val="00731B11"/>
    <w:rsid w:val="00737B4F"/>
    <w:rsid w:val="00741EB0"/>
    <w:rsid w:val="00742D99"/>
    <w:rsid w:val="00742ED1"/>
    <w:rsid w:val="00743559"/>
    <w:rsid w:val="00743A10"/>
    <w:rsid w:val="00744CF9"/>
    <w:rsid w:val="00744E89"/>
    <w:rsid w:val="00745319"/>
    <w:rsid w:val="007454D6"/>
    <w:rsid w:val="00746E9A"/>
    <w:rsid w:val="00753449"/>
    <w:rsid w:val="007575A9"/>
    <w:rsid w:val="007615F2"/>
    <w:rsid w:val="0076183D"/>
    <w:rsid w:val="00762B19"/>
    <w:rsid w:val="007641B7"/>
    <w:rsid w:val="007645A5"/>
    <w:rsid w:val="007646DE"/>
    <w:rsid w:val="007649A0"/>
    <w:rsid w:val="00772E71"/>
    <w:rsid w:val="00773EC1"/>
    <w:rsid w:val="00776B5C"/>
    <w:rsid w:val="007805EC"/>
    <w:rsid w:val="00780951"/>
    <w:rsid w:val="00781AA8"/>
    <w:rsid w:val="00781E48"/>
    <w:rsid w:val="007824B9"/>
    <w:rsid w:val="007840B5"/>
    <w:rsid w:val="007870DA"/>
    <w:rsid w:val="00790570"/>
    <w:rsid w:val="00790F89"/>
    <w:rsid w:val="00795C73"/>
    <w:rsid w:val="00796FCF"/>
    <w:rsid w:val="007A0EBE"/>
    <w:rsid w:val="007A206A"/>
    <w:rsid w:val="007A20F5"/>
    <w:rsid w:val="007A30EB"/>
    <w:rsid w:val="007A3B73"/>
    <w:rsid w:val="007A407D"/>
    <w:rsid w:val="007A4913"/>
    <w:rsid w:val="007A6128"/>
    <w:rsid w:val="007B1DC3"/>
    <w:rsid w:val="007B1ED2"/>
    <w:rsid w:val="007B2EF4"/>
    <w:rsid w:val="007B3F46"/>
    <w:rsid w:val="007B582E"/>
    <w:rsid w:val="007C3F61"/>
    <w:rsid w:val="007C65DF"/>
    <w:rsid w:val="007C6E48"/>
    <w:rsid w:val="007D041A"/>
    <w:rsid w:val="007D05EA"/>
    <w:rsid w:val="007D1876"/>
    <w:rsid w:val="007D280C"/>
    <w:rsid w:val="007D28DB"/>
    <w:rsid w:val="007D5BF2"/>
    <w:rsid w:val="007D68B5"/>
    <w:rsid w:val="007D7E3A"/>
    <w:rsid w:val="007E00AE"/>
    <w:rsid w:val="007E1603"/>
    <w:rsid w:val="007E1867"/>
    <w:rsid w:val="007E2B11"/>
    <w:rsid w:val="007E42B1"/>
    <w:rsid w:val="007E4D67"/>
    <w:rsid w:val="007E6203"/>
    <w:rsid w:val="007E670C"/>
    <w:rsid w:val="007E7B51"/>
    <w:rsid w:val="007F1721"/>
    <w:rsid w:val="007F1C8A"/>
    <w:rsid w:val="007F414A"/>
    <w:rsid w:val="007F5144"/>
    <w:rsid w:val="007F6E7F"/>
    <w:rsid w:val="007F76BF"/>
    <w:rsid w:val="007F7EB8"/>
    <w:rsid w:val="00802540"/>
    <w:rsid w:val="008030C7"/>
    <w:rsid w:val="00804DF7"/>
    <w:rsid w:val="00805278"/>
    <w:rsid w:val="00806361"/>
    <w:rsid w:val="00811E32"/>
    <w:rsid w:val="008140AE"/>
    <w:rsid w:val="00815724"/>
    <w:rsid w:val="00815DF1"/>
    <w:rsid w:val="00816D59"/>
    <w:rsid w:val="00817438"/>
    <w:rsid w:val="008176E9"/>
    <w:rsid w:val="00817EC2"/>
    <w:rsid w:val="008207C3"/>
    <w:rsid w:val="008252B2"/>
    <w:rsid w:val="00826010"/>
    <w:rsid w:val="00831A9D"/>
    <w:rsid w:val="00831F13"/>
    <w:rsid w:val="00832B48"/>
    <w:rsid w:val="008335A3"/>
    <w:rsid w:val="00836A31"/>
    <w:rsid w:val="0083709A"/>
    <w:rsid w:val="00844A32"/>
    <w:rsid w:val="008453BD"/>
    <w:rsid w:val="00847C1D"/>
    <w:rsid w:val="0085318D"/>
    <w:rsid w:val="008543EE"/>
    <w:rsid w:val="00854B18"/>
    <w:rsid w:val="0085535B"/>
    <w:rsid w:val="00856375"/>
    <w:rsid w:val="008570E5"/>
    <w:rsid w:val="0086110A"/>
    <w:rsid w:val="00862626"/>
    <w:rsid w:val="00863C45"/>
    <w:rsid w:val="00864E24"/>
    <w:rsid w:val="00866C5A"/>
    <w:rsid w:val="00870B70"/>
    <w:rsid w:val="00872E0C"/>
    <w:rsid w:val="00872EAA"/>
    <w:rsid w:val="008760AE"/>
    <w:rsid w:val="0087630F"/>
    <w:rsid w:val="00877ABE"/>
    <w:rsid w:val="00882E65"/>
    <w:rsid w:val="008871E9"/>
    <w:rsid w:val="00887F41"/>
    <w:rsid w:val="008916C0"/>
    <w:rsid w:val="00892B1D"/>
    <w:rsid w:val="00893946"/>
    <w:rsid w:val="008958A4"/>
    <w:rsid w:val="00896822"/>
    <w:rsid w:val="008A467C"/>
    <w:rsid w:val="008A61BC"/>
    <w:rsid w:val="008B024F"/>
    <w:rsid w:val="008B105A"/>
    <w:rsid w:val="008B2F24"/>
    <w:rsid w:val="008B2F5C"/>
    <w:rsid w:val="008B4693"/>
    <w:rsid w:val="008B4F71"/>
    <w:rsid w:val="008B5F9D"/>
    <w:rsid w:val="008B7766"/>
    <w:rsid w:val="008C1CCD"/>
    <w:rsid w:val="008C248B"/>
    <w:rsid w:val="008C4877"/>
    <w:rsid w:val="008C4A5A"/>
    <w:rsid w:val="008C693E"/>
    <w:rsid w:val="008D133F"/>
    <w:rsid w:val="008D367D"/>
    <w:rsid w:val="008D468A"/>
    <w:rsid w:val="008D5AFE"/>
    <w:rsid w:val="008D7732"/>
    <w:rsid w:val="008E1B6A"/>
    <w:rsid w:val="008E1DF8"/>
    <w:rsid w:val="008E2C50"/>
    <w:rsid w:val="008E36AE"/>
    <w:rsid w:val="008E3EEC"/>
    <w:rsid w:val="008E3FDC"/>
    <w:rsid w:val="008E51F9"/>
    <w:rsid w:val="008E7E01"/>
    <w:rsid w:val="008F0B0D"/>
    <w:rsid w:val="008F1411"/>
    <w:rsid w:val="008F1B55"/>
    <w:rsid w:val="008F1C9C"/>
    <w:rsid w:val="008F4860"/>
    <w:rsid w:val="008F4A34"/>
    <w:rsid w:val="008F6F70"/>
    <w:rsid w:val="008F76E4"/>
    <w:rsid w:val="00902831"/>
    <w:rsid w:val="00902B01"/>
    <w:rsid w:val="00904ED0"/>
    <w:rsid w:val="0090593E"/>
    <w:rsid w:val="0090630A"/>
    <w:rsid w:val="0090676D"/>
    <w:rsid w:val="00910530"/>
    <w:rsid w:val="0091256B"/>
    <w:rsid w:val="009134FC"/>
    <w:rsid w:val="0091409D"/>
    <w:rsid w:val="00916DB3"/>
    <w:rsid w:val="009174C7"/>
    <w:rsid w:val="009177B8"/>
    <w:rsid w:val="00917B58"/>
    <w:rsid w:val="009216B7"/>
    <w:rsid w:val="00921B26"/>
    <w:rsid w:val="00922883"/>
    <w:rsid w:val="00926C02"/>
    <w:rsid w:val="00926F0B"/>
    <w:rsid w:val="00927FF7"/>
    <w:rsid w:val="00930252"/>
    <w:rsid w:val="00930CDC"/>
    <w:rsid w:val="00931236"/>
    <w:rsid w:val="0093179F"/>
    <w:rsid w:val="00931FB0"/>
    <w:rsid w:val="00933388"/>
    <w:rsid w:val="0094020F"/>
    <w:rsid w:val="009412F1"/>
    <w:rsid w:val="00941407"/>
    <w:rsid w:val="00941577"/>
    <w:rsid w:val="00942943"/>
    <w:rsid w:val="00943695"/>
    <w:rsid w:val="00943F3B"/>
    <w:rsid w:val="009451F4"/>
    <w:rsid w:val="00947C7A"/>
    <w:rsid w:val="00951D8E"/>
    <w:rsid w:val="00952795"/>
    <w:rsid w:val="00953482"/>
    <w:rsid w:val="009562F0"/>
    <w:rsid w:val="00956B49"/>
    <w:rsid w:val="00961846"/>
    <w:rsid w:val="00961BF9"/>
    <w:rsid w:val="00961EB0"/>
    <w:rsid w:val="00963467"/>
    <w:rsid w:val="00963C12"/>
    <w:rsid w:val="009653C2"/>
    <w:rsid w:val="00967BCA"/>
    <w:rsid w:val="00967F40"/>
    <w:rsid w:val="009720E2"/>
    <w:rsid w:val="00981872"/>
    <w:rsid w:val="00983670"/>
    <w:rsid w:val="009839B0"/>
    <w:rsid w:val="0098462F"/>
    <w:rsid w:val="00986F93"/>
    <w:rsid w:val="009874EC"/>
    <w:rsid w:val="0098792F"/>
    <w:rsid w:val="009906A1"/>
    <w:rsid w:val="00990E9E"/>
    <w:rsid w:val="009925A4"/>
    <w:rsid w:val="009932FE"/>
    <w:rsid w:val="0099480F"/>
    <w:rsid w:val="00996AFC"/>
    <w:rsid w:val="0099758A"/>
    <w:rsid w:val="009A3E02"/>
    <w:rsid w:val="009A3E05"/>
    <w:rsid w:val="009A4437"/>
    <w:rsid w:val="009A4526"/>
    <w:rsid w:val="009A51B3"/>
    <w:rsid w:val="009B0B05"/>
    <w:rsid w:val="009B2F77"/>
    <w:rsid w:val="009B7C3E"/>
    <w:rsid w:val="009C05AF"/>
    <w:rsid w:val="009C145D"/>
    <w:rsid w:val="009C45FE"/>
    <w:rsid w:val="009C68B0"/>
    <w:rsid w:val="009C7170"/>
    <w:rsid w:val="009C7B58"/>
    <w:rsid w:val="009D0249"/>
    <w:rsid w:val="009D109F"/>
    <w:rsid w:val="009D12CA"/>
    <w:rsid w:val="009D3D03"/>
    <w:rsid w:val="009D3D36"/>
    <w:rsid w:val="009D46DF"/>
    <w:rsid w:val="009D4FE5"/>
    <w:rsid w:val="009D5B97"/>
    <w:rsid w:val="009D6149"/>
    <w:rsid w:val="009D72F6"/>
    <w:rsid w:val="009E051C"/>
    <w:rsid w:val="009E1A35"/>
    <w:rsid w:val="009E293D"/>
    <w:rsid w:val="009E3BE6"/>
    <w:rsid w:val="009E7A20"/>
    <w:rsid w:val="009F051B"/>
    <w:rsid w:val="009F2B89"/>
    <w:rsid w:val="009F2EA8"/>
    <w:rsid w:val="009F5E45"/>
    <w:rsid w:val="009F6393"/>
    <w:rsid w:val="009F648E"/>
    <w:rsid w:val="009F73C2"/>
    <w:rsid w:val="00A02490"/>
    <w:rsid w:val="00A046ED"/>
    <w:rsid w:val="00A05997"/>
    <w:rsid w:val="00A11E9B"/>
    <w:rsid w:val="00A12DEF"/>
    <w:rsid w:val="00A15B8F"/>
    <w:rsid w:val="00A15F27"/>
    <w:rsid w:val="00A16AB3"/>
    <w:rsid w:val="00A17DF9"/>
    <w:rsid w:val="00A201F4"/>
    <w:rsid w:val="00A228D3"/>
    <w:rsid w:val="00A24F06"/>
    <w:rsid w:val="00A251B7"/>
    <w:rsid w:val="00A2561F"/>
    <w:rsid w:val="00A269E0"/>
    <w:rsid w:val="00A27C09"/>
    <w:rsid w:val="00A30089"/>
    <w:rsid w:val="00A3160D"/>
    <w:rsid w:val="00A32479"/>
    <w:rsid w:val="00A3297F"/>
    <w:rsid w:val="00A33A53"/>
    <w:rsid w:val="00A33E72"/>
    <w:rsid w:val="00A34081"/>
    <w:rsid w:val="00A34AA7"/>
    <w:rsid w:val="00A36A6D"/>
    <w:rsid w:val="00A404EA"/>
    <w:rsid w:val="00A405C4"/>
    <w:rsid w:val="00A412AA"/>
    <w:rsid w:val="00A4242A"/>
    <w:rsid w:val="00A429B2"/>
    <w:rsid w:val="00A43F9A"/>
    <w:rsid w:val="00A45EE8"/>
    <w:rsid w:val="00A4697F"/>
    <w:rsid w:val="00A50737"/>
    <w:rsid w:val="00A51B40"/>
    <w:rsid w:val="00A54C8B"/>
    <w:rsid w:val="00A55589"/>
    <w:rsid w:val="00A630BD"/>
    <w:rsid w:val="00A63D8B"/>
    <w:rsid w:val="00A6617D"/>
    <w:rsid w:val="00A661B6"/>
    <w:rsid w:val="00A664B8"/>
    <w:rsid w:val="00A66537"/>
    <w:rsid w:val="00A669B0"/>
    <w:rsid w:val="00A66BC0"/>
    <w:rsid w:val="00A67483"/>
    <w:rsid w:val="00A67E74"/>
    <w:rsid w:val="00A70577"/>
    <w:rsid w:val="00A71696"/>
    <w:rsid w:val="00A72383"/>
    <w:rsid w:val="00A73212"/>
    <w:rsid w:val="00A73F18"/>
    <w:rsid w:val="00A74302"/>
    <w:rsid w:val="00A748CB"/>
    <w:rsid w:val="00A75595"/>
    <w:rsid w:val="00A757AB"/>
    <w:rsid w:val="00A76DFA"/>
    <w:rsid w:val="00A8021F"/>
    <w:rsid w:val="00A817A0"/>
    <w:rsid w:val="00A84F84"/>
    <w:rsid w:val="00A8584C"/>
    <w:rsid w:val="00A868F3"/>
    <w:rsid w:val="00A86C39"/>
    <w:rsid w:val="00A8731F"/>
    <w:rsid w:val="00A90095"/>
    <w:rsid w:val="00A9280D"/>
    <w:rsid w:val="00A92B60"/>
    <w:rsid w:val="00A96408"/>
    <w:rsid w:val="00A96AE7"/>
    <w:rsid w:val="00AA1923"/>
    <w:rsid w:val="00AA3071"/>
    <w:rsid w:val="00AA6E27"/>
    <w:rsid w:val="00AC123F"/>
    <w:rsid w:val="00AC171F"/>
    <w:rsid w:val="00AC1D9B"/>
    <w:rsid w:val="00AC1FDD"/>
    <w:rsid w:val="00AC3EEA"/>
    <w:rsid w:val="00AC54A6"/>
    <w:rsid w:val="00AC5FE5"/>
    <w:rsid w:val="00AC6907"/>
    <w:rsid w:val="00AC69DB"/>
    <w:rsid w:val="00AC6E60"/>
    <w:rsid w:val="00AD0272"/>
    <w:rsid w:val="00AD59A3"/>
    <w:rsid w:val="00AE0661"/>
    <w:rsid w:val="00AE21F2"/>
    <w:rsid w:val="00AE57A6"/>
    <w:rsid w:val="00AE7D78"/>
    <w:rsid w:val="00AF187E"/>
    <w:rsid w:val="00AF3164"/>
    <w:rsid w:val="00AF3AD6"/>
    <w:rsid w:val="00AF4058"/>
    <w:rsid w:val="00AF40F0"/>
    <w:rsid w:val="00AF6A63"/>
    <w:rsid w:val="00B03B06"/>
    <w:rsid w:val="00B062D1"/>
    <w:rsid w:val="00B0658D"/>
    <w:rsid w:val="00B06EBB"/>
    <w:rsid w:val="00B07967"/>
    <w:rsid w:val="00B100F5"/>
    <w:rsid w:val="00B1484D"/>
    <w:rsid w:val="00B22EFB"/>
    <w:rsid w:val="00B24BA9"/>
    <w:rsid w:val="00B25CDC"/>
    <w:rsid w:val="00B26B81"/>
    <w:rsid w:val="00B26F39"/>
    <w:rsid w:val="00B27464"/>
    <w:rsid w:val="00B30F1B"/>
    <w:rsid w:val="00B32659"/>
    <w:rsid w:val="00B32D13"/>
    <w:rsid w:val="00B35515"/>
    <w:rsid w:val="00B40C3C"/>
    <w:rsid w:val="00B41E73"/>
    <w:rsid w:val="00B44210"/>
    <w:rsid w:val="00B45D4F"/>
    <w:rsid w:val="00B54BC0"/>
    <w:rsid w:val="00B566D3"/>
    <w:rsid w:val="00B5696C"/>
    <w:rsid w:val="00B57453"/>
    <w:rsid w:val="00B57F10"/>
    <w:rsid w:val="00B6102F"/>
    <w:rsid w:val="00B61ECA"/>
    <w:rsid w:val="00B6469F"/>
    <w:rsid w:val="00B64814"/>
    <w:rsid w:val="00B65136"/>
    <w:rsid w:val="00B65890"/>
    <w:rsid w:val="00B65DD7"/>
    <w:rsid w:val="00B666AA"/>
    <w:rsid w:val="00B71664"/>
    <w:rsid w:val="00B720A9"/>
    <w:rsid w:val="00B73C40"/>
    <w:rsid w:val="00B74E2F"/>
    <w:rsid w:val="00B77611"/>
    <w:rsid w:val="00B84D0D"/>
    <w:rsid w:val="00B85D13"/>
    <w:rsid w:val="00B92FCF"/>
    <w:rsid w:val="00B94454"/>
    <w:rsid w:val="00BA2318"/>
    <w:rsid w:val="00BA2736"/>
    <w:rsid w:val="00BA32F6"/>
    <w:rsid w:val="00BA3F5A"/>
    <w:rsid w:val="00BA4156"/>
    <w:rsid w:val="00BA4C70"/>
    <w:rsid w:val="00BA65EC"/>
    <w:rsid w:val="00BA7369"/>
    <w:rsid w:val="00BA76AE"/>
    <w:rsid w:val="00BB0141"/>
    <w:rsid w:val="00BB288F"/>
    <w:rsid w:val="00BB402F"/>
    <w:rsid w:val="00BB485A"/>
    <w:rsid w:val="00BB6F58"/>
    <w:rsid w:val="00BB733D"/>
    <w:rsid w:val="00BB7510"/>
    <w:rsid w:val="00BB7C23"/>
    <w:rsid w:val="00BC0F50"/>
    <w:rsid w:val="00BC62C8"/>
    <w:rsid w:val="00BC6CEF"/>
    <w:rsid w:val="00BD0755"/>
    <w:rsid w:val="00BD2093"/>
    <w:rsid w:val="00BD2BA8"/>
    <w:rsid w:val="00BD42D9"/>
    <w:rsid w:val="00BD62C4"/>
    <w:rsid w:val="00BD6776"/>
    <w:rsid w:val="00BD6C61"/>
    <w:rsid w:val="00BD77EE"/>
    <w:rsid w:val="00BE1A29"/>
    <w:rsid w:val="00BE2397"/>
    <w:rsid w:val="00BE3044"/>
    <w:rsid w:val="00BE3610"/>
    <w:rsid w:val="00BE472F"/>
    <w:rsid w:val="00BE4789"/>
    <w:rsid w:val="00BE47D9"/>
    <w:rsid w:val="00BE4CC1"/>
    <w:rsid w:val="00BE5C82"/>
    <w:rsid w:val="00BF0CCB"/>
    <w:rsid w:val="00BF160B"/>
    <w:rsid w:val="00BF1FD0"/>
    <w:rsid w:val="00BF5CBA"/>
    <w:rsid w:val="00BF63DB"/>
    <w:rsid w:val="00BF6C63"/>
    <w:rsid w:val="00BF79FB"/>
    <w:rsid w:val="00C0057B"/>
    <w:rsid w:val="00C04945"/>
    <w:rsid w:val="00C04DC0"/>
    <w:rsid w:val="00C051D9"/>
    <w:rsid w:val="00C066A8"/>
    <w:rsid w:val="00C078F8"/>
    <w:rsid w:val="00C07905"/>
    <w:rsid w:val="00C114D0"/>
    <w:rsid w:val="00C11BE1"/>
    <w:rsid w:val="00C125D9"/>
    <w:rsid w:val="00C12DA7"/>
    <w:rsid w:val="00C152F3"/>
    <w:rsid w:val="00C15925"/>
    <w:rsid w:val="00C15CF3"/>
    <w:rsid w:val="00C16490"/>
    <w:rsid w:val="00C17618"/>
    <w:rsid w:val="00C20005"/>
    <w:rsid w:val="00C24542"/>
    <w:rsid w:val="00C2695B"/>
    <w:rsid w:val="00C26A20"/>
    <w:rsid w:val="00C273E2"/>
    <w:rsid w:val="00C3519B"/>
    <w:rsid w:val="00C401E7"/>
    <w:rsid w:val="00C50687"/>
    <w:rsid w:val="00C54CC6"/>
    <w:rsid w:val="00C5500B"/>
    <w:rsid w:val="00C56276"/>
    <w:rsid w:val="00C566AC"/>
    <w:rsid w:val="00C56907"/>
    <w:rsid w:val="00C56F4C"/>
    <w:rsid w:val="00C61045"/>
    <w:rsid w:val="00C612D6"/>
    <w:rsid w:val="00C640D2"/>
    <w:rsid w:val="00C66E54"/>
    <w:rsid w:val="00C67BCB"/>
    <w:rsid w:val="00C749E7"/>
    <w:rsid w:val="00C76F31"/>
    <w:rsid w:val="00C774DB"/>
    <w:rsid w:val="00C8339C"/>
    <w:rsid w:val="00C8353A"/>
    <w:rsid w:val="00C84E7E"/>
    <w:rsid w:val="00C8572C"/>
    <w:rsid w:val="00C85C7F"/>
    <w:rsid w:val="00C8684C"/>
    <w:rsid w:val="00C87E26"/>
    <w:rsid w:val="00C90571"/>
    <w:rsid w:val="00C9209B"/>
    <w:rsid w:val="00C94FB8"/>
    <w:rsid w:val="00C96CD1"/>
    <w:rsid w:val="00CA0AA2"/>
    <w:rsid w:val="00CA0C0C"/>
    <w:rsid w:val="00CA18D6"/>
    <w:rsid w:val="00CA1F68"/>
    <w:rsid w:val="00CA36A2"/>
    <w:rsid w:val="00CA549A"/>
    <w:rsid w:val="00CB0139"/>
    <w:rsid w:val="00CB4D67"/>
    <w:rsid w:val="00CB5A26"/>
    <w:rsid w:val="00CB6991"/>
    <w:rsid w:val="00CB7038"/>
    <w:rsid w:val="00CB716E"/>
    <w:rsid w:val="00CB75D1"/>
    <w:rsid w:val="00CB7A3B"/>
    <w:rsid w:val="00CC0192"/>
    <w:rsid w:val="00CC0CBA"/>
    <w:rsid w:val="00CC17E7"/>
    <w:rsid w:val="00CC1BAC"/>
    <w:rsid w:val="00CC2370"/>
    <w:rsid w:val="00CC39C4"/>
    <w:rsid w:val="00CC408C"/>
    <w:rsid w:val="00CC6529"/>
    <w:rsid w:val="00CC7787"/>
    <w:rsid w:val="00CD03A5"/>
    <w:rsid w:val="00CD07E7"/>
    <w:rsid w:val="00CD0956"/>
    <w:rsid w:val="00CD20BF"/>
    <w:rsid w:val="00CD34D6"/>
    <w:rsid w:val="00CD3BAB"/>
    <w:rsid w:val="00CD5AB4"/>
    <w:rsid w:val="00CD683D"/>
    <w:rsid w:val="00CD7D7F"/>
    <w:rsid w:val="00CE03C7"/>
    <w:rsid w:val="00CE1182"/>
    <w:rsid w:val="00CE15DF"/>
    <w:rsid w:val="00CE1F27"/>
    <w:rsid w:val="00CE3D53"/>
    <w:rsid w:val="00CF0E82"/>
    <w:rsid w:val="00CF3010"/>
    <w:rsid w:val="00CF4F88"/>
    <w:rsid w:val="00CF56D0"/>
    <w:rsid w:val="00CF712B"/>
    <w:rsid w:val="00D00625"/>
    <w:rsid w:val="00D00C09"/>
    <w:rsid w:val="00D01A3B"/>
    <w:rsid w:val="00D0268B"/>
    <w:rsid w:val="00D02D8C"/>
    <w:rsid w:val="00D02DA9"/>
    <w:rsid w:val="00D0469E"/>
    <w:rsid w:val="00D05CC6"/>
    <w:rsid w:val="00D0667F"/>
    <w:rsid w:val="00D07E4C"/>
    <w:rsid w:val="00D10F54"/>
    <w:rsid w:val="00D11479"/>
    <w:rsid w:val="00D133D1"/>
    <w:rsid w:val="00D20CF7"/>
    <w:rsid w:val="00D22107"/>
    <w:rsid w:val="00D221FB"/>
    <w:rsid w:val="00D2432E"/>
    <w:rsid w:val="00D257B2"/>
    <w:rsid w:val="00D265BD"/>
    <w:rsid w:val="00D2737F"/>
    <w:rsid w:val="00D32457"/>
    <w:rsid w:val="00D3399C"/>
    <w:rsid w:val="00D33CBA"/>
    <w:rsid w:val="00D3470F"/>
    <w:rsid w:val="00D3570B"/>
    <w:rsid w:val="00D42ED8"/>
    <w:rsid w:val="00D4398B"/>
    <w:rsid w:val="00D45F9A"/>
    <w:rsid w:val="00D46534"/>
    <w:rsid w:val="00D46A98"/>
    <w:rsid w:val="00D46BCF"/>
    <w:rsid w:val="00D51A79"/>
    <w:rsid w:val="00D53102"/>
    <w:rsid w:val="00D536AE"/>
    <w:rsid w:val="00D545F8"/>
    <w:rsid w:val="00D559CD"/>
    <w:rsid w:val="00D56DFB"/>
    <w:rsid w:val="00D56E46"/>
    <w:rsid w:val="00D60B77"/>
    <w:rsid w:val="00D60C76"/>
    <w:rsid w:val="00D623C5"/>
    <w:rsid w:val="00D63CC6"/>
    <w:rsid w:val="00D6509F"/>
    <w:rsid w:val="00D65CE5"/>
    <w:rsid w:val="00D661E3"/>
    <w:rsid w:val="00D7030F"/>
    <w:rsid w:val="00D70505"/>
    <w:rsid w:val="00D731C5"/>
    <w:rsid w:val="00D7500B"/>
    <w:rsid w:val="00D80878"/>
    <w:rsid w:val="00D8098E"/>
    <w:rsid w:val="00D8217D"/>
    <w:rsid w:val="00D8373A"/>
    <w:rsid w:val="00D862DB"/>
    <w:rsid w:val="00D9004F"/>
    <w:rsid w:val="00D903B8"/>
    <w:rsid w:val="00D90B88"/>
    <w:rsid w:val="00D944A9"/>
    <w:rsid w:val="00D94A47"/>
    <w:rsid w:val="00D97E7C"/>
    <w:rsid w:val="00DA011F"/>
    <w:rsid w:val="00DA0B92"/>
    <w:rsid w:val="00DA1799"/>
    <w:rsid w:val="00DA3509"/>
    <w:rsid w:val="00DA58FA"/>
    <w:rsid w:val="00DB185B"/>
    <w:rsid w:val="00DB2C92"/>
    <w:rsid w:val="00DB4362"/>
    <w:rsid w:val="00DB71A0"/>
    <w:rsid w:val="00DC12C3"/>
    <w:rsid w:val="00DC1327"/>
    <w:rsid w:val="00DC1492"/>
    <w:rsid w:val="00DC34C6"/>
    <w:rsid w:val="00DC5163"/>
    <w:rsid w:val="00DD054C"/>
    <w:rsid w:val="00DD0679"/>
    <w:rsid w:val="00DD3BE1"/>
    <w:rsid w:val="00DD4F5D"/>
    <w:rsid w:val="00DD7803"/>
    <w:rsid w:val="00DE2067"/>
    <w:rsid w:val="00DE455F"/>
    <w:rsid w:val="00DE55CB"/>
    <w:rsid w:val="00DF085D"/>
    <w:rsid w:val="00DF09F2"/>
    <w:rsid w:val="00DF226D"/>
    <w:rsid w:val="00DF3909"/>
    <w:rsid w:val="00DF5FA5"/>
    <w:rsid w:val="00E00D62"/>
    <w:rsid w:val="00E01275"/>
    <w:rsid w:val="00E0164B"/>
    <w:rsid w:val="00E01F9A"/>
    <w:rsid w:val="00E02761"/>
    <w:rsid w:val="00E038FD"/>
    <w:rsid w:val="00E03C51"/>
    <w:rsid w:val="00E0425E"/>
    <w:rsid w:val="00E057B8"/>
    <w:rsid w:val="00E06483"/>
    <w:rsid w:val="00E06790"/>
    <w:rsid w:val="00E111BF"/>
    <w:rsid w:val="00E1224C"/>
    <w:rsid w:val="00E124EE"/>
    <w:rsid w:val="00E152CC"/>
    <w:rsid w:val="00E165FF"/>
    <w:rsid w:val="00E2108A"/>
    <w:rsid w:val="00E218C8"/>
    <w:rsid w:val="00E220E3"/>
    <w:rsid w:val="00E23605"/>
    <w:rsid w:val="00E23E1B"/>
    <w:rsid w:val="00E2454C"/>
    <w:rsid w:val="00E25760"/>
    <w:rsid w:val="00E25D46"/>
    <w:rsid w:val="00E26D1B"/>
    <w:rsid w:val="00E30CF3"/>
    <w:rsid w:val="00E43A50"/>
    <w:rsid w:val="00E44276"/>
    <w:rsid w:val="00E44467"/>
    <w:rsid w:val="00E452A2"/>
    <w:rsid w:val="00E4565B"/>
    <w:rsid w:val="00E45895"/>
    <w:rsid w:val="00E45D6A"/>
    <w:rsid w:val="00E472A4"/>
    <w:rsid w:val="00E514BE"/>
    <w:rsid w:val="00E52235"/>
    <w:rsid w:val="00E5232A"/>
    <w:rsid w:val="00E52807"/>
    <w:rsid w:val="00E52DC4"/>
    <w:rsid w:val="00E54192"/>
    <w:rsid w:val="00E544CC"/>
    <w:rsid w:val="00E54AEC"/>
    <w:rsid w:val="00E55036"/>
    <w:rsid w:val="00E5773D"/>
    <w:rsid w:val="00E57CB6"/>
    <w:rsid w:val="00E6226D"/>
    <w:rsid w:val="00E63CB2"/>
    <w:rsid w:val="00E67DBB"/>
    <w:rsid w:val="00E74580"/>
    <w:rsid w:val="00E74F98"/>
    <w:rsid w:val="00E7581D"/>
    <w:rsid w:val="00E75E6D"/>
    <w:rsid w:val="00E82DCC"/>
    <w:rsid w:val="00E90140"/>
    <w:rsid w:val="00E90542"/>
    <w:rsid w:val="00E94538"/>
    <w:rsid w:val="00E97214"/>
    <w:rsid w:val="00EA0D1B"/>
    <w:rsid w:val="00EA1343"/>
    <w:rsid w:val="00EA3689"/>
    <w:rsid w:val="00EA47A8"/>
    <w:rsid w:val="00EA5202"/>
    <w:rsid w:val="00EA52BD"/>
    <w:rsid w:val="00EA5915"/>
    <w:rsid w:val="00EA5986"/>
    <w:rsid w:val="00EA6183"/>
    <w:rsid w:val="00EB0EC7"/>
    <w:rsid w:val="00EB1CF8"/>
    <w:rsid w:val="00EB5684"/>
    <w:rsid w:val="00EB5DC8"/>
    <w:rsid w:val="00EB681B"/>
    <w:rsid w:val="00EC6161"/>
    <w:rsid w:val="00EC6AF0"/>
    <w:rsid w:val="00EC7CFD"/>
    <w:rsid w:val="00ED0260"/>
    <w:rsid w:val="00ED04DE"/>
    <w:rsid w:val="00ED2811"/>
    <w:rsid w:val="00ED3273"/>
    <w:rsid w:val="00ED3871"/>
    <w:rsid w:val="00ED3D1A"/>
    <w:rsid w:val="00ED54B2"/>
    <w:rsid w:val="00ED7E31"/>
    <w:rsid w:val="00EE2645"/>
    <w:rsid w:val="00EE2C25"/>
    <w:rsid w:val="00EE2F26"/>
    <w:rsid w:val="00EE684C"/>
    <w:rsid w:val="00EE69E4"/>
    <w:rsid w:val="00EE6CA8"/>
    <w:rsid w:val="00EF05FA"/>
    <w:rsid w:val="00EF1DA4"/>
    <w:rsid w:val="00EF2C12"/>
    <w:rsid w:val="00EF3C01"/>
    <w:rsid w:val="00EF48E9"/>
    <w:rsid w:val="00EF4D31"/>
    <w:rsid w:val="00EF52D0"/>
    <w:rsid w:val="00EF750E"/>
    <w:rsid w:val="00EF7ED1"/>
    <w:rsid w:val="00F00E5D"/>
    <w:rsid w:val="00F0304D"/>
    <w:rsid w:val="00F04C64"/>
    <w:rsid w:val="00F0551F"/>
    <w:rsid w:val="00F06766"/>
    <w:rsid w:val="00F06F3F"/>
    <w:rsid w:val="00F07DB9"/>
    <w:rsid w:val="00F1044F"/>
    <w:rsid w:val="00F10E32"/>
    <w:rsid w:val="00F115C3"/>
    <w:rsid w:val="00F128C7"/>
    <w:rsid w:val="00F1585A"/>
    <w:rsid w:val="00F16F90"/>
    <w:rsid w:val="00F17A56"/>
    <w:rsid w:val="00F20588"/>
    <w:rsid w:val="00F20CDC"/>
    <w:rsid w:val="00F22044"/>
    <w:rsid w:val="00F2248B"/>
    <w:rsid w:val="00F2403A"/>
    <w:rsid w:val="00F24A9D"/>
    <w:rsid w:val="00F3003E"/>
    <w:rsid w:val="00F301FE"/>
    <w:rsid w:val="00F32F02"/>
    <w:rsid w:val="00F330A6"/>
    <w:rsid w:val="00F34D68"/>
    <w:rsid w:val="00F40503"/>
    <w:rsid w:val="00F423EC"/>
    <w:rsid w:val="00F45DAA"/>
    <w:rsid w:val="00F47C2E"/>
    <w:rsid w:val="00F50212"/>
    <w:rsid w:val="00F508D1"/>
    <w:rsid w:val="00F50E44"/>
    <w:rsid w:val="00F52418"/>
    <w:rsid w:val="00F52DF2"/>
    <w:rsid w:val="00F53CD2"/>
    <w:rsid w:val="00F56F78"/>
    <w:rsid w:val="00F60347"/>
    <w:rsid w:val="00F60F68"/>
    <w:rsid w:val="00F62DAD"/>
    <w:rsid w:val="00F63F53"/>
    <w:rsid w:val="00F6552D"/>
    <w:rsid w:val="00F6592C"/>
    <w:rsid w:val="00F71B43"/>
    <w:rsid w:val="00F73217"/>
    <w:rsid w:val="00F73B9F"/>
    <w:rsid w:val="00F76535"/>
    <w:rsid w:val="00F81581"/>
    <w:rsid w:val="00F817F7"/>
    <w:rsid w:val="00F866EB"/>
    <w:rsid w:val="00F86961"/>
    <w:rsid w:val="00F912A2"/>
    <w:rsid w:val="00F9681C"/>
    <w:rsid w:val="00FA071A"/>
    <w:rsid w:val="00FA17FC"/>
    <w:rsid w:val="00FA1973"/>
    <w:rsid w:val="00FA1C40"/>
    <w:rsid w:val="00FA2740"/>
    <w:rsid w:val="00FA3E80"/>
    <w:rsid w:val="00FA44D5"/>
    <w:rsid w:val="00FA5C42"/>
    <w:rsid w:val="00FA67D6"/>
    <w:rsid w:val="00FA710E"/>
    <w:rsid w:val="00FB1F13"/>
    <w:rsid w:val="00FB2ABA"/>
    <w:rsid w:val="00FB2EA8"/>
    <w:rsid w:val="00FB477A"/>
    <w:rsid w:val="00FB55C0"/>
    <w:rsid w:val="00FB5E8C"/>
    <w:rsid w:val="00FB6173"/>
    <w:rsid w:val="00FB744B"/>
    <w:rsid w:val="00FC0A48"/>
    <w:rsid w:val="00FC2FFE"/>
    <w:rsid w:val="00FC3D14"/>
    <w:rsid w:val="00FC5CE7"/>
    <w:rsid w:val="00FD19D3"/>
    <w:rsid w:val="00FD2145"/>
    <w:rsid w:val="00FD3E37"/>
    <w:rsid w:val="00FD404A"/>
    <w:rsid w:val="00FD46D5"/>
    <w:rsid w:val="00FD4C4B"/>
    <w:rsid w:val="00FD5F25"/>
    <w:rsid w:val="00FD5F41"/>
    <w:rsid w:val="00FD76A1"/>
    <w:rsid w:val="00FD7A02"/>
    <w:rsid w:val="00FE03E7"/>
    <w:rsid w:val="00FE66D4"/>
    <w:rsid w:val="00FE6A32"/>
    <w:rsid w:val="00FE76D7"/>
    <w:rsid w:val="00FF0FF0"/>
    <w:rsid w:val="00FF1D75"/>
    <w:rsid w:val="00FF49EC"/>
    <w:rsid w:val="00FF7A80"/>
    <w:rsid w:val="00FF7E5F"/>
    <w:rsid w:val="061D5439"/>
    <w:rsid w:val="06E58213"/>
    <w:rsid w:val="08F9ACCF"/>
    <w:rsid w:val="0D754107"/>
    <w:rsid w:val="0F9BFB65"/>
    <w:rsid w:val="16B790C5"/>
    <w:rsid w:val="179B46D6"/>
    <w:rsid w:val="1967BBD1"/>
    <w:rsid w:val="1A4518EE"/>
    <w:rsid w:val="1F2E3E27"/>
    <w:rsid w:val="1FB64D14"/>
    <w:rsid w:val="1FF58287"/>
    <w:rsid w:val="21711FD7"/>
    <w:rsid w:val="2923B1C6"/>
    <w:rsid w:val="2A8F8F4D"/>
    <w:rsid w:val="2DAE60FA"/>
    <w:rsid w:val="305EE2BF"/>
    <w:rsid w:val="318DE9AE"/>
    <w:rsid w:val="32199CF9"/>
    <w:rsid w:val="33E4D354"/>
    <w:rsid w:val="3A615F33"/>
    <w:rsid w:val="3BCD64F3"/>
    <w:rsid w:val="3D617A9F"/>
    <w:rsid w:val="494E3130"/>
    <w:rsid w:val="4BD1E844"/>
    <w:rsid w:val="4C59DDE4"/>
    <w:rsid w:val="4D38CE98"/>
    <w:rsid w:val="50F53CD1"/>
    <w:rsid w:val="53C1A7B8"/>
    <w:rsid w:val="65C00C0F"/>
    <w:rsid w:val="6B7BCAD9"/>
    <w:rsid w:val="6C7A0A0D"/>
    <w:rsid w:val="7026F950"/>
    <w:rsid w:val="7B561DC7"/>
    <w:rsid w:val="7BE85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F950"/>
  <w15:chartTrackingRefBased/>
  <w15:docId w15:val="{F1F55F8A-6297-4B77-B047-7E29D46F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1"/>
    <w:autoRedefine/>
    <w:uiPriority w:val="9"/>
    <w:qFormat/>
    <w:rsid w:val="00F0551F"/>
    <w:pPr>
      <w:keepNext/>
      <w:keepLines/>
      <w:tabs>
        <w:tab w:val="left" w:pos="567"/>
        <w:tab w:val="left" w:pos="2835"/>
      </w:tabs>
      <w:spacing w:before="240" w:after="0"/>
      <w:outlineLvl w:val="0"/>
    </w:pPr>
    <w:rPr>
      <w:rFonts w:ascii="Verdana" w:eastAsia="Times New Roman" w:hAnsi="Verdana" w:cstheme="majorBidi"/>
      <w:b/>
      <w:sz w:val="18"/>
      <w:szCs w:val="32"/>
    </w:rPr>
  </w:style>
  <w:style w:type="paragraph" w:styleId="Kop2">
    <w:name w:val="heading 2"/>
    <w:basedOn w:val="Standaard"/>
    <w:next w:val="Standaard"/>
    <w:link w:val="Kop2Char"/>
    <w:uiPriority w:val="9"/>
    <w:unhideWhenUsed/>
    <w:qFormat/>
    <w:rsid w:val="00F0551F"/>
    <w:pPr>
      <w:keepNext/>
      <w:keepLines/>
      <w:spacing w:before="40" w:after="0"/>
      <w:outlineLvl w:val="1"/>
    </w:pPr>
    <w:rPr>
      <w:rFonts w:ascii="Verdana" w:eastAsia="Times New Roman" w:hAnsi="Verdana" w:cs="Times New Roman"/>
      <w:b/>
      <w:sz w:val="18"/>
      <w:szCs w:val="26"/>
    </w:rPr>
  </w:style>
  <w:style w:type="paragraph" w:styleId="Kop3">
    <w:name w:val="heading 3"/>
    <w:aliases w:val="Hoofdstukken MvT"/>
    <w:basedOn w:val="Standaard"/>
    <w:next w:val="Standaard"/>
    <w:link w:val="Kop3Char"/>
    <w:uiPriority w:val="9"/>
    <w:unhideWhenUsed/>
    <w:qFormat/>
    <w:rsid w:val="00F0551F"/>
    <w:pPr>
      <w:keepNext/>
      <w:keepLines/>
      <w:numPr>
        <w:numId w:val="68"/>
      </w:numPr>
      <w:spacing w:before="240" w:after="240"/>
      <w:outlineLvl w:val="2"/>
    </w:pPr>
    <w:rPr>
      <w:rFonts w:ascii="Verdana" w:eastAsia="Times New Roman" w:hAnsi="Verdana" w:cs="Times New Roman"/>
      <w:b/>
      <w:sz w:val="18"/>
      <w:szCs w:val="24"/>
    </w:rPr>
  </w:style>
  <w:style w:type="paragraph" w:styleId="Kop4">
    <w:name w:val="heading 4"/>
    <w:basedOn w:val="Standaard"/>
    <w:next w:val="Standaard"/>
    <w:link w:val="Kop4Char"/>
    <w:uiPriority w:val="9"/>
    <w:unhideWhenUsed/>
    <w:qFormat/>
    <w:rsid w:val="00F0551F"/>
    <w:pPr>
      <w:keepNext/>
      <w:keepLines/>
      <w:spacing w:before="40" w:after="0"/>
      <w:outlineLvl w:val="3"/>
    </w:pPr>
    <w:rPr>
      <w:rFonts w:ascii="Verdana" w:eastAsia="Times New Roman" w:hAnsi="Verdana" w:cs="Times New Roman"/>
      <w:b/>
      <w:i/>
      <w:sz w:val="18"/>
    </w:rPr>
  </w:style>
  <w:style w:type="paragraph" w:styleId="Kop5">
    <w:name w:val="heading 5"/>
    <w:basedOn w:val="Standaard"/>
    <w:next w:val="Standaard"/>
    <w:link w:val="Kop5Char"/>
    <w:uiPriority w:val="9"/>
    <w:semiHidden/>
    <w:unhideWhenUsed/>
    <w:qFormat/>
    <w:rsid w:val="004F0533"/>
    <w:pPr>
      <w:keepNext/>
      <w:keepLines/>
      <w:spacing w:before="40" w:after="0"/>
      <w:outlineLvl w:val="4"/>
    </w:pPr>
    <w:rPr>
      <w:rFonts w:ascii="Calibri Light" w:eastAsia="Times New Roman" w:hAnsi="Calibri Light" w:cs="Times New Roman"/>
      <w:i/>
      <w:iCs/>
      <w:color w:val="70AD47"/>
      <w:sz w:val="21"/>
      <w:szCs w:val="21"/>
    </w:rPr>
  </w:style>
  <w:style w:type="paragraph" w:styleId="Kop6">
    <w:name w:val="heading 6"/>
    <w:basedOn w:val="Standaard"/>
    <w:next w:val="Standaard"/>
    <w:link w:val="Kop6Char"/>
    <w:uiPriority w:val="9"/>
    <w:semiHidden/>
    <w:unhideWhenUsed/>
    <w:qFormat/>
    <w:rsid w:val="004F0533"/>
    <w:pPr>
      <w:keepNext/>
      <w:keepLines/>
      <w:spacing w:before="40" w:after="0"/>
      <w:outlineLvl w:val="5"/>
    </w:pPr>
    <w:rPr>
      <w:rFonts w:ascii="Calibri Light" w:eastAsia="Times New Roman" w:hAnsi="Calibri Light" w:cs="Times New Roman"/>
      <w:color w:val="70AD47"/>
      <w:sz w:val="21"/>
      <w:szCs w:val="21"/>
    </w:rPr>
  </w:style>
  <w:style w:type="paragraph" w:styleId="Kop7">
    <w:name w:val="heading 7"/>
    <w:basedOn w:val="Standaard"/>
    <w:next w:val="Standaard"/>
    <w:link w:val="Kop7Char"/>
    <w:uiPriority w:val="9"/>
    <w:semiHidden/>
    <w:unhideWhenUsed/>
    <w:qFormat/>
    <w:rsid w:val="004F0533"/>
    <w:pPr>
      <w:keepNext/>
      <w:keepLines/>
      <w:spacing w:before="40" w:after="0"/>
      <w:outlineLvl w:val="6"/>
    </w:pPr>
    <w:rPr>
      <w:rFonts w:ascii="Calibri Light" w:eastAsia="Times New Roman" w:hAnsi="Calibri Light" w:cs="Times New Roman"/>
      <w:b/>
      <w:bCs/>
      <w:color w:val="70AD47"/>
      <w:sz w:val="21"/>
      <w:szCs w:val="21"/>
    </w:rPr>
  </w:style>
  <w:style w:type="paragraph" w:styleId="Kop8">
    <w:name w:val="heading 8"/>
    <w:basedOn w:val="Standaard"/>
    <w:next w:val="Standaard"/>
    <w:link w:val="Kop8Char"/>
    <w:uiPriority w:val="9"/>
    <w:semiHidden/>
    <w:unhideWhenUsed/>
    <w:qFormat/>
    <w:rsid w:val="004F0533"/>
    <w:pPr>
      <w:keepNext/>
      <w:keepLines/>
      <w:spacing w:before="40" w:after="0"/>
      <w:outlineLvl w:val="7"/>
    </w:pPr>
    <w:rPr>
      <w:rFonts w:ascii="Calibri Light" w:eastAsia="Times New Roman" w:hAnsi="Calibri Light" w:cs="Times New Roman"/>
      <w:b/>
      <w:bCs/>
      <w:i/>
      <w:iCs/>
      <w:color w:val="70AD47"/>
      <w:sz w:val="20"/>
      <w:szCs w:val="20"/>
    </w:rPr>
  </w:style>
  <w:style w:type="paragraph" w:styleId="Kop9">
    <w:name w:val="heading 9"/>
    <w:basedOn w:val="Standaard"/>
    <w:next w:val="Standaard"/>
    <w:link w:val="Kop9Char"/>
    <w:uiPriority w:val="9"/>
    <w:semiHidden/>
    <w:unhideWhenUsed/>
    <w:qFormat/>
    <w:rsid w:val="004F0533"/>
    <w:pPr>
      <w:keepNext/>
      <w:keepLines/>
      <w:spacing w:before="40" w:after="0"/>
      <w:outlineLvl w:val="8"/>
    </w:pPr>
    <w:rPr>
      <w:rFonts w:ascii="Calibri Light" w:eastAsia="Times New Roman" w:hAnsi="Calibri Light" w:cs="Times New Roman"/>
      <w:i/>
      <w:iCs/>
      <w:color w:val="70AD47"/>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rsid w:val="006A0BF6"/>
    <w:pPr>
      <w:autoSpaceDN w:val="0"/>
      <w:spacing w:after="0" w:line="240" w:lineRule="auto"/>
      <w:textAlignment w:val="baseline"/>
    </w:pPr>
    <w:rPr>
      <w:rFonts w:ascii="Times New Roman" w:eastAsia="DejaVu Sans" w:hAnsi="Times New Roman" w:cs="Lohit Hindi"/>
      <w:sz w:val="20"/>
      <w:szCs w:val="20"/>
      <w:lang w:eastAsia="nl-NL"/>
    </w:rPr>
  </w:style>
  <w:style w:type="paragraph" w:customStyle="1" w:styleId="HBJZ-Kamerstukken-regelafstand138">
    <w:name w:val="HBJZ - Kamerstukken - regelafstand 13;8"/>
    <w:basedOn w:val="Standaard"/>
    <w:next w:val="Standaard"/>
    <w:rsid w:val="006A0BF6"/>
    <w:pPr>
      <w:autoSpaceDN w:val="0"/>
      <w:spacing w:after="0" w:line="276" w:lineRule="exact"/>
      <w:textAlignment w:val="baseline"/>
    </w:pPr>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6A0BF6"/>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VoettekstChar">
    <w:name w:val="Voettekst Char"/>
    <w:basedOn w:val="Standaardalinea-lettertype"/>
    <w:link w:val="Voettekst"/>
    <w:uiPriority w:val="99"/>
    <w:rsid w:val="006A0BF6"/>
    <w:rPr>
      <w:rFonts w:ascii="Verdana" w:eastAsia="DejaVu Sans" w:hAnsi="Verdana" w:cs="Lohit Hindi"/>
      <w:color w:val="000000"/>
      <w:sz w:val="18"/>
      <w:szCs w:val="18"/>
      <w:lang w:eastAsia="nl-NL"/>
    </w:rPr>
  </w:style>
  <w:style w:type="character" w:styleId="Verwijzingopmerking">
    <w:name w:val="annotation reference"/>
    <w:basedOn w:val="Standaardalinea-lettertype"/>
    <w:uiPriority w:val="99"/>
    <w:semiHidden/>
    <w:unhideWhenUsed/>
    <w:rsid w:val="006A0BF6"/>
    <w:rPr>
      <w:sz w:val="16"/>
      <w:szCs w:val="16"/>
    </w:rPr>
  </w:style>
  <w:style w:type="paragraph" w:styleId="Tekstopmerking">
    <w:name w:val="annotation text"/>
    <w:basedOn w:val="Standaard"/>
    <w:link w:val="TekstopmerkingChar"/>
    <w:uiPriority w:val="99"/>
    <w:unhideWhenUsed/>
    <w:rsid w:val="006A0BF6"/>
    <w:pPr>
      <w:spacing w:line="240" w:lineRule="auto"/>
    </w:pPr>
    <w:rPr>
      <w:sz w:val="20"/>
      <w:szCs w:val="20"/>
    </w:rPr>
  </w:style>
  <w:style w:type="character" w:customStyle="1" w:styleId="TekstopmerkingChar">
    <w:name w:val="Tekst opmerking Char"/>
    <w:basedOn w:val="Standaardalinea-lettertype"/>
    <w:link w:val="Tekstopmerking"/>
    <w:uiPriority w:val="99"/>
    <w:rsid w:val="006A0BF6"/>
    <w:rPr>
      <w:sz w:val="20"/>
      <w:szCs w:val="20"/>
    </w:rPr>
  </w:style>
  <w:style w:type="paragraph" w:styleId="Onderwerpvanopmerking">
    <w:name w:val="annotation subject"/>
    <w:basedOn w:val="Tekstopmerking"/>
    <w:next w:val="Tekstopmerking"/>
    <w:link w:val="OnderwerpvanopmerkingChar"/>
    <w:uiPriority w:val="99"/>
    <w:semiHidden/>
    <w:unhideWhenUsed/>
    <w:rsid w:val="006A0BF6"/>
    <w:rPr>
      <w:b/>
      <w:bCs/>
    </w:rPr>
  </w:style>
  <w:style w:type="character" w:customStyle="1" w:styleId="OnderwerpvanopmerkingChar">
    <w:name w:val="Onderwerp van opmerking Char"/>
    <w:basedOn w:val="TekstopmerkingChar"/>
    <w:link w:val="Onderwerpvanopmerking"/>
    <w:uiPriority w:val="99"/>
    <w:semiHidden/>
    <w:rsid w:val="006A0BF6"/>
    <w:rPr>
      <w:b/>
      <w:bCs/>
      <w:sz w:val="20"/>
      <w:szCs w:val="20"/>
    </w:rPr>
  </w:style>
  <w:style w:type="paragraph" w:styleId="Normaalweb">
    <w:name w:val="Normal (Web)"/>
    <w:basedOn w:val="Standaard"/>
    <w:uiPriority w:val="99"/>
    <w:unhideWhenUsed/>
    <w:rsid w:val="005B4448"/>
    <w:rPr>
      <w:rFonts w:ascii="Times New Roman" w:hAnsi="Times New Roman" w:cs="Times New Roman"/>
      <w:sz w:val="24"/>
      <w:szCs w:val="24"/>
    </w:rPr>
  </w:style>
  <w:style w:type="character" w:styleId="Hyperlink">
    <w:name w:val="Hyperlink"/>
    <w:basedOn w:val="Standaardalinea-lettertype"/>
    <w:uiPriority w:val="99"/>
    <w:unhideWhenUsed/>
    <w:rsid w:val="00BF0CCB"/>
    <w:rPr>
      <w:color w:val="0563C1" w:themeColor="hyperlink"/>
      <w:u w:val="single"/>
    </w:rPr>
  </w:style>
  <w:style w:type="character" w:styleId="Onopgelostemelding">
    <w:name w:val="Unresolved Mention"/>
    <w:basedOn w:val="Standaardalinea-lettertype"/>
    <w:uiPriority w:val="99"/>
    <w:semiHidden/>
    <w:unhideWhenUsed/>
    <w:rsid w:val="00BF0CCB"/>
    <w:rPr>
      <w:color w:val="605E5C"/>
      <w:shd w:val="clear" w:color="auto" w:fill="E1DFDD"/>
    </w:rPr>
  </w:style>
  <w:style w:type="paragraph" w:styleId="Lijstalinea">
    <w:name w:val="List Paragraph"/>
    <w:basedOn w:val="Standaard"/>
    <w:link w:val="LijstalineaChar"/>
    <w:uiPriority w:val="34"/>
    <w:qFormat/>
    <w:rsid w:val="00AF3AD6"/>
    <w:pPr>
      <w:ind w:left="720"/>
      <w:contextualSpacing/>
    </w:pPr>
  </w:style>
  <w:style w:type="paragraph" w:styleId="Koptekst">
    <w:name w:val="header"/>
    <w:basedOn w:val="Standaard"/>
    <w:link w:val="KoptekstChar"/>
    <w:uiPriority w:val="99"/>
    <w:unhideWhenUsed/>
    <w:rsid w:val="00595D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5DDB"/>
  </w:style>
  <w:style w:type="paragraph" w:styleId="Revisie">
    <w:name w:val="Revision"/>
    <w:hidden/>
    <w:uiPriority w:val="99"/>
    <w:semiHidden/>
    <w:rsid w:val="00D4398B"/>
    <w:pPr>
      <w:spacing w:after="0" w:line="240" w:lineRule="auto"/>
    </w:pPr>
  </w:style>
  <w:style w:type="paragraph" w:customStyle="1" w:styleId="Kop11">
    <w:name w:val="Kop 11"/>
    <w:basedOn w:val="Standaard"/>
    <w:next w:val="Standaard"/>
    <w:link w:val="Kop1Char"/>
    <w:uiPriority w:val="9"/>
    <w:qFormat/>
    <w:rsid w:val="004F0533"/>
    <w:pPr>
      <w:keepNext/>
      <w:keepLines/>
      <w:numPr>
        <w:numId w:val="11"/>
      </w:numPr>
      <w:spacing w:before="240" w:after="0" w:line="288" w:lineRule="auto"/>
      <w:outlineLvl w:val="0"/>
    </w:pPr>
    <w:rPr>
      <w:rFonts w:ascii="Calibri Light" w:eastAsia="Times New Roman" w:hAnsi="Calibri Light" w:cs="Times New Roman"/>
      <w:color w:val="2F5496"/>
      <w:sz w:val="32"/>
      <w:szCs w:val="32"/>
    </w:rPr>
  </w:style>
  <w:style w:type="paragraph" w:customStyle="1" w:styleId="Kop21">
    <w:name w:val="Kop 21"/>
    <w:basedOn w:val="Standaard"/>
    <w:next w:val="Standaard"/>
    <w:uiPriority w:val="9"/>
    <w:unhideWhenUsed/>
    <w:qFormat/>
    <w:rsid w:val="004F0533"/>
    <w:pPr>
      <w:keepNext/>
      <w:keepLines/>
      <w:numPr>
        <w:numId w:val="12"/>
      </w:numPr>
      <w:spacing w:before="40" w:after="0" w:line="288" w:lineRule="auto"/>
      <w:outlineLvl w:val="1"/>
    </w:pPr>
    <w:rPr>
      <w:rFonts w:ascii="Calibri Light" w:eastAsia="Times New Roman" w:hAnsi="Calibri Light" w:cs="Times New Roman"/>
      <w:color w:val="2F5496"/>
      <w:sz w:val="26"/>
      <w:szCs w:val="26"/>
    </w:rPr>
  </w:style>
  <w:style w:type="paragraph" w:customStyle="1" w:styleId="Kop31">
    <w:name w:val="Kop 31"/>
    <w:basedOn w:val="Standaard"/>
    <w:next w:val="Standaard"/>
    <w:uiPriority w:val="9"/>
    <w:unhideWhenUsed/>
    <w:qFormat/>
    <w:rsid w:val="004F0533"/>
    <w:pPr>
      <w:keepNext/>
      <w:keepLines/>
      <w:spacing w:before="80" w:after="120" w:line="240" w:lineRule="auto"/>
      <w:outlineLvl w:val="2"/>
    </w:pPr>
    <w:rPr>
      <w:rFonts w:ascii="Calibri Light" w:eastAsia="Times New Roman" w:hAnsi="Calibri Light" w:cs="Times New Roman"/>
      <w:b/>
      <w:i/>
      <w:sz w:val="24"/>
      <w:szCs w:val="24"/>
    </w:rPr>
  </w:style>
  <w:style w:type="paragraph" w:customStyle="1" w:styleId="Kop41">
    <w:name w:val="Kop 41"/>
    <w:basedOn w:val="Standaard"/>
    <w:next w:val="Standaard"/>
    <w:uiPriority w:val="9"/>
    <w:unhideWhenUsed/>
    <w:qFormat/>
    <w:rsid w:val="004F0533"/>
    <w:pPr>
      <w:keepNext/>
      <w:keepLines/>
      <w:spacing w:before="80" w:after="0" w:line="288" w:lineRule="auto"/>
      <w:outlineLvl w:val="3"/>
    </w:pPr>
    <w:rPr>
      <w:rFonts w:ascii="Calibri Light" w:eastAsia="Times New Roman" w:hAnsi="Calibri Light" w:cs="Times New Roman"/>
      <w:color w:val="70AD47"/>
      <w:sz w:val="21"/>
      <w:szCs w:val="21"/>
    </w:rPr>
  </w:style>
  <w:style w:type="paragraph" w:customStyle="1" w:styleId="Kop51">
    <w:name w:val="Kop 51"/>
    <w:basedOn w:val="Standaard"/>
    <w:next w:val="Standaard"/>
    <w:uiPriority w:val="9"/>
    <w:semiHidden/>
    <w:unhideWhenUsed/>
    <w:qFormat/>
    <w:rsid w:val="004F0533"/>
    <w:pPr>
      <w:keepNext/>
      <w:keepLines/>
      <w:spacing w:before="40" w:after="0" w:line="288" w:lineRule="auto"/>
      <w:outlineLvl w:val="4"/>
    </w:pPr>
    <w:rPr>
      <w:rFonts w:ascii="Calibri Light" w:eastAsia="Times New Roman" w:hAnsi="Calibri Light" w:cs="Times New Roman"/>
      <w:i/>
      <w:iCs/>
      <w:color w:val="70AD47"/>
      <w:sz w:val="21"/>
      <w:szCs w:val="21"/>
    </w:rPr>
  </w:style>
  <w:style w:type="paragraph" w:customStyle="1" w:styleId="Kop61">
    <w:name w:val="Kop 61"/>
    <w:basedOn w:val="Standaard"/>
    <w:next w:val="Standaard"/>
    <w:uiPriority w:val="9"/>
    <w:semiHidden/>
    <w:unhideWhenUsed/>
    <w:qFormat/>
    <w:rsid w:val="004F0533"/>
    <w:pPr>
      <w:keepNext/>
      <w:keepLines/>
      <w:spacing w:before="40" w:after="0" w:line="288" w:lineRule="auto"/>
      <w:outlineLvl w:val="5"/>
    </w:pPr>
    <w:rPr>
      <w:rFonts w:ascii="Calibri Light" w:eastAsia="Times New Roman" w:hAnsi="Calibri Light" w:cs="Times New Roman"/>
      <w:color w:val="70AD47"/>
      <w:sz w:val="21"/>
      <w:szCs w:val="21"/>
    </w:rPr>
  </w:style>
  <w:style w:type="paragraph" w:customStyle="1" w:styleId="Kop71">
    <w:name w:val="Kop 71"/>
    <w:basedOn w:val="Standaard"/>
    <w:next w:val="Standaard"/>
    <w:uiPriority w:val="9"/>
    <w:semiHidden/>
    <w:unhideWhenUsed/>
    <w:qFormat/>
    <w:rsid w:val="004F0533"/>
    <w:pPr>
      <w:keepNext/>
      <w:keepLines/>
      <w:spacing w:before="40" w:after="0" w:line="288" w:lineRule="auto"/>
      <w:outlineLvl w:val="6"/>
    </w:pPr>
    <w:rPr>
      <w:rFonts w:ascii="Calibri Light" w:eastAsia="Times New Roman" w:hAnsi="Calibri Light" w:cs="Times New Roman"/>
      <w:b/>
      <w:bCs/>
      <w:color w:val="70AD47"/>
      <w:sz w:val="21"/>
      <w:szCs w:val="21"/>
    </w:rPr>
  </w:style>
  <w:style w:type="paragraph" w:customStyle="1" w:styleId="Kop81">
    <w:name w:val="Kop 81"/>
    <w:basedOn w:val="Standaard"/>
    <w:next w:val="Standaard"/>
    <w:uiPriority w:val="9"/>
    <w:semiHidden/>
    <w:unhideWhenUsed/>
    <w:qFormat/>
    <w:rsid w:val="004F0533"/>
    <w:pPr>
      <w:keepNext/>
      <w:keepLines/>
      <w:spacing w:before="40" w:after="0" w:line="288" w:lineRule="auto"/>
      <w:outlineLvl w:val="7"/>
    </w:pPr>
    <w:rPr>
      <w:rFonts w:ascii="Calibri Light" w:eastAsia="Times New Roman" w:hAnsi="Calibri Light" w:cs="Times New Roman"/>
      <w:b/>
      <w:bCs/>
      <w:i/>
      <w:iCs/>
      <w:color w:val="70AD47"/>
      <w:sz w:val="20"/>
      <w:szCs w:val="20"/>
    </w:rPr>
  </w:style>
  <w:style w:type="paragraph" w:customStyle="1" w:styleId="Kop91">
    <w:name w:val="Kop 91"/>
    <w:basedOn w:val="Standaard"/>
    <w:next w:val="Standaard"/>
    <w:uiPriority w:val="9"/>
    <w:semiHidden/>
    <w:unhideWhenUsed/>
    <w:qFormat/>
    <w:rsid w:val="004F0533"/>
    <w:pPr>
      <w:keepNext/>
      <w:keepLines/>
      <w:spacing w:before="40" w:after="0" w:line="288" w:lineRule="auto"/>
      <w:outlineLvl w:val="8"/>
    </w:pPr>
    <w:rPr>
      <w:rFonts w:ascii="Calibri Light" w:eastAsia="Times New Roman" w:hAnsi="Calibri Light" w:cs="Times New Roman"/>
      <w:i/>
      <w:iCs/>
      <w:color w:val="70AD47"/>
      <w:sz w:val="20"/>
      <w:szCs w:val="20"/>
    </w:rPr>
  </w:style>
  <w:style w:type="numbering" w:customStyle="1" w:styleId="Geenlijst1">
    <w:name w:val="Geen lijst1"/>
    <w:next w:val="Geenlijst"/>
    <w:uiPriority w:val="99"/>
    <w:semiHidden/>
    <w:unhideWhenUsed/>
    <w:rsid w:val="004F0533"/>
  </w:style>
  <w:style w:type="character" w:customStyle="1" w:styleId="Kop2Char">
    <w:name w:val="Kop 2 Char"/>
    <w:basedOn w:val="Standaardalinea-lettertype"/>
    <w:link w:val="Kop2"/>
    <w:uiPriority w:val="9"/>
    <w:rsid w:val="00F0551F"/>
    <w:rPr>
      <w:rFonts w:ascii="Verdana" w:eastAsia="Times New Roman" w:hAnsi="Verdana" w:cs="Times New Roman"/>
      <w:b/>
      <w:sz w:val="18"/>
      <w:szCs w:val="26"/>
    </w:rPr>
  </w:style>
  <w:style w:type="character" w:customStyle="1" w:styleId="Kop1Char">
    <w:name w:val="Kop 1 Char"/>
    <w:basedOn w:val="Standaardalinea-lettertype"/>
    <w:link w:val="Kop11"/>
    <w:uiPriority w:val="9"/>
    <w:rsid w:val="004F0533"/>
    <w:rPr>
      <w:rFonts w:ascii="Calibri Light" w:eastAsia="Times New Roman" w:hAnsi="Calibri Light" w:cs="Times New Roman"/>
      <w:color w:val="2F5496"/>
      <w:sz w:val="32"/>
      <w:szCs w:val="32"/>
    </w:rPr>
  </w:style>
  <w:style w:type="paragraph" w:styleId="Geenafstand">
    <w:name w:val="No Spacing"/>
    <w:uiPriority w:val="1"/>
    <w:qFormat/>
    <w:rsid w:val="00F0551F"/>
    <w:pPr>
      <w:spacing w:after="0" w:line="240" w:lineRule="auto"/>
    </w:pPr>
    <w:rPr>
      <w:rFonts w:ascii="Verdana" w:eastAsia="Times New Roman" w:hAnsi="Verdana"/>
      <w:b/>
      <w:sz w:val="18"/>
      <w:szCs w:val="21"/>
    </w:rPr>
  </w:style>
  <w:style w:type="paragraph" w:styleId="Voetnoottekst">
    <w:name w:val="footnote text"/>
    <w:basedOn w:val="Standaard"/>
    <w:link w:val="VoetnoottekstChar"/>
    <w:uiPriority w:val="99"/>
    <w:semiHidden/>
    <w:unhideWhenUsed/>
    <w:rsid w:val="004F0533"/>
    <w:pPr>
      <w:spacing w:after="0" w:line="240" w:lineRule="auto"/>
    </w:pPr>
    <w:rPr>
      <w:rFonts w:ascii="Verdana" w:eastAsia="Calibri" w:hAnsi="Verdana" w:cs="Arial"/>
      <w:sz w:val="20"/>
      <w:szCs w:val="20"/>
      <w:lang w:val="en-US"/>
    </w:rPr>
  </w:style>
  <w:style w:type="character" w:customStyle="1" w:styleId="VoetnoottekstChar">
    <w:name w:val="Voetnoottekst Char"/>
    <w:basedOn w:val="Standaardalinea-lettertype"/>
    <w:link w:val="Voetnoottekst"/>
    <w:uiPriority w:val="99"/>
    <w:semiHidden/>
    <w:rsid w:val="004F0533"/>
    <w:rPr>
      <w:rFonts w:ascii="Verdana" w:eastAsia="Calibri" w:hAnsi="Verdana" w:cs="Arial"/>
      <w:sz w:val="20"/>
      <w:szCs w:val="20"/>
      <w:lang w:val="en-US"/>
    </w:rPr>
  </w:style>
  <w:style w:type="character" w:styleId="Voetnootmarkering">
    <w:name w:val="footnote reference"/>
    <w:basedOn w:val="Standaardalinea-lettertype"/>
    <w:uiPriority w:val="99"/>
    <w:semiHidden/>
    <w:unhideWhenUsed/>
    <w:rsid w:val="004F0533"/>
    <w:rPr>
      <w:vertAlign w:val="superscript"/>
    </w:rPr>
  </w:style>
  <w:style w:type="character" w:customStyle="1" w:styleId="GevolgdeHyperlink1">
    <w:name w:val="GevolgdeHyperlink1"/>
    <w:basedOn w:val="Standaardalinea-lettertype"/>
    <w:uiPriority w:val="99"/>
    <w:semiHidden/>
    <w:unhideWhenUsed/>
    <w:rsid w:val="004F0533"/>
    <w:rPr>
      <w:color w:val="954F72"/>
      <w:u w:val="single"/>
    </w:rPr>
  </w:style>
  <w:style w:type="character" w:customStyle="1" w:styleId="visually-hidden">
    <w:name w:val="visually-hidden"/>
    <w:basedOn w:val="Standaardalinea-lettertype"/>
    <w:rsid w:val="004F0533"/>
  </w:style>
  <w:style w:type="paragraph" w:customStyle="1" w:styleId="Pa13">
    <w:name w:val="Pa13"/>
    <w:basedOn w:val="Standaard"/>
    <w:next w:val="Standaard"/>
    <w:uiPriority w:val="99"/>
    <w:rsid w:val="004F0533"/>
    <w:pPr>
      <w:autoSpaceDE w:val="0"/>
      <w:autoSpaceDN w:val="0"/>
      <w:adjustRightInd w:val="0"/>
      <w:spacing w:after="0" w:line="181" w:lineRule="atLeast"/>
    </w:pPr>
    <w:rPr>
      <w:rFonts w:ascii="RijksoverheidSansText" w:eastAsia="Times New Roman" w:hAnsi="RijksoverheidSansText"/>
      <w:sz w:val="24"/>
      <w:szCs w:val="24"/>
    </w:rPr>
  </w:style>
  <w:style w:type="paragraph" w:styleId="Eindnoottekst">
    <w:name w:val="endnote text"/>
    <w:basedOn w:val="Standaard"/>
    <w:link w:val="EindnoottekstChar"/>
    <w:uiPriority w:val="99"/>
    <w:semiHidden/>
    <w:unhideWhenUsed/>
    <w:rsid w:val="004F0533"/>
    <w:pPr>
      <w:spacing w:after="0" w:line="240" w:lineRule="auto"/>
    </w:pPr>
    <w:rPr>
      <w:rFonts w:eastAsia="Times New Roman"/>
      <w:sz w:val="20"/>
      <w:szCs w:val="20"/>
    </w:rPr>
  </w:style>
  <w:style w:type="character" w:customStyle="1" w:styleId="EindnoottekstChar">
    <w:name w:val="Eindnoottekst Char"/>
    <w:basedOn w:val="Standaardalinea-lettertype"/>
    <w:link w:val="Eindnoottekst"/>
    <w:uiPriority w:val="99"/>
    <w:semiHidden/>
    <w:rsid w:val="004F0533"/>
    <w:rPr>
      <w:rFonts w:eastAsia="Times New Roman"/>
      <w:sz w:val="20"/>
      <w:szCs w:val="20"/>
    </w:rPr>
  </w:style>
  <w:style w:type="character" w:styleId="Eindnootmarkering">
    <w:name w:val="endnote reference"/>
    <w:basedOn w:val="Standaardalinea-lettertype"/>
    <w:uiPriority w:val="99"/>
    <w:semiHidden/>
    <w:unhideWhenUsed/>
    <w:rsid w:val="004F0533"/>
    <w:rPr>
      <w:vertAlign w:val="superscript"/>
    </w:rPr>
  </w:style>
  <w:style w:type="character" w:customStyle="1" w:styleId="Kop3Char">
    <w:name w:val="Kop 3 Char"/>
    <w:aliases w:val="Hoofdstukken MvT Char"/>
    <w:basedOn w:val="Standaardalinea-lettertype"/>
    <w:link w:val="Kop3"/>
    <w:uiPriority w:val="9"/>
    <w:rsid w:val="00F0551F"/>
    <w:rPr>
      <w:rFonts w:ascii="Verdana" w:eastAsia="Times New Roman" w:hAnsi="Verdana" w:cs="Times New Roman"/>
      <w:b/>
      <w:sz w:val="18"/>
      <w:szCs w:val="24"/>
    </w:rPr>
  </w:style>
  <w:style w:type="character" w:customStyle="1" w:styleId="Kop4Char">
    <w:name w:val="Kop 4 Char"/>
    <w:basedOn w:val="Standaardalinea-lettertype"/>
    <w:link w:val="Kop4"/>
    <w:uiPriority w:val="9"/>
    <w:rsid w:val="00F0551F"/>
    <w:rPr>
      <w:rFonts w:ascii="Verdana" w:eastAsia="Times New Roman" w:hAnsi="Verdana" w:cs="Times New Roman"/>
      <w:b/>
      <w:i/>
      <w:sz w:val="18"/>
    </w:rPr>
  </w:style>
  <w:style w:type="character" w:customStyle="1" w:styleId="Kop5Char">
    <w:name w:val="Kop 5 Char"/>
    <w:basedOn w:val="Standaardalinea-lettertype"/>
    <w:link w:val="Kop5"/>
    <w:uiPriority w:val="9"/>
    <w:semiHidden/>
    <w:rsid w:val="004F0533"/>
    <w:rPr>
      <w:rFonts w:ascii="Calibri Light" w:eastAsia="Times New Roman" w:hAnsi="Calibri Light" w:cs="Times New Roman"/>
      <w:i/>
      <w:iCs/>
      <w:color w:val="70AD47"/>
      <w:kern w:val="0"/>
      <w:sz w:val="21"/>
      <w:szCs w:val="21"/>
      <w14:ligatures w14:val="none"/>
    </w:rPr>
  </w:style>
  <w:style w:type="character" w:customStyle="1" w:styleId="Kop6Char">
    <w:name w:val="Kop 6 Char"/>
    <w:basedOn w:val="Standaardalinea-lettertype"/>
    <w:link w:val="Kop6"/>
    <w:uiPriority w:val="9"/>
    <w:semiHidden/>
    <w:rsid w:val="004F0533"/>
    <w:rPr>
      <w:rFonts w:ascii="Calibri Light" w:eastAsia="Times New Roman" w:hAnsi="Calibri Light" w:cs="Times New Roman"/>
      <w:color w:val="70AD47"/>
      <w:kern w:val="0"/>
      <w:sz w:val="21"/>
      <w:szCs w:val="21"/>
      <w14:ligatures w14:val="none"/>
    </w:rPr>
  </w:style>
  <w:style w:type="character" w:customStyle="1" w:styleId="Kop7Char">
    <w:name w:val="Kop 7 Char"/>
    <w:basedOn w:val="Standaardalinea-lettertype"/>
    <w:link w:val="Kop7"/>
    <w:uiPriority w:val="9"/>
    <w:semiHidden/>
    <w:rsid w:val="004F0533"/>
    <w:rPr>
      <w:rFonts w:ascii="Calibri Light" w:eastAsia="Times New Roman" w:hAnsi="Calibri Light" w:cs="Times New Roman"/>
      <w:b/>
      <w:bCs/>
      <w:color w:val="70AD47"/>
      <w:kern w:val="0"/>
      <w:sz w:val="21"/>
      <w:szCs w:val="21"/>
      <w14:ligatures w14:val="none"/>
    </w:rPr>
  </w:style>
  <w:style w:type="character" w:customStyle="1" w:styleId="Kop8Char">
    <w:name w:val="Kop 8 Char"/>
    <w:basedOn w:val="Standaardalinea-lettertype"/>
    <w:link w:val="Kop8"/>
    <w:uiPriority w:val="9"/>
    <w:semiHidden/>
    <w:rsid w:val="004F0533"/>
    <w:rPr>
      <w:rFonts w:ascii="Calibri Light" w:eastAsia="Times New Roman" w:hAnsi="Calibri Light" w:cs="Times New Roman"/>
      <w:b/>
      <w:bCs/>
      <w:i/>
      <w:iCs/>
      <w:color w:val="70AD47"/>
      <w:kern w:val="0"/>
      <w:sz w:val="20"/>
      <w:szCs w:val="20"/>
      <w14:ligatures w14:val="none"/>
    </w:rPr>
  </w:style>
  <w:style w:type="character" w:customStyle="1" w:styleId="Kop9Char">
    <w:name w:val="Kop 9 Char"/>
    <w:basedOn w:val="Standaardalinea-lettertype"/>
    <w:link w:val="Kop9"/>
    <w:uiPriority w:val="9"/>
    <w:semiHidden/>
    <w:rsid w:val="004F0533"/>
    <w:rPr>
      <w:rFonts w:ascii="Calibri Light" w:eastAsia="Times New Roman" w:hAnsi="Calibri Light" w:cs="Times New Roman"/>
      <w:i/>
      <w:iCs/>
      <w:color w:val="70AD47"/>
      <w:kern w:val="0"/>
      <w:sz w:val="20"/>
      <w:szCs w:val="20"/>
      <w14:ligatures w14:val="none"/>
    </w:rPr>
  </w:style>
  <w:style w:type="paragraph" w:customStyle="1" w:styleId="Bijschrift1">
    <w:name w:val="Bijschrift1"/>
    <w:basedOn w:val="Standaard"/>
    <w:next w:val="Standaard"/>
    <w:uiPriority w:val="35"/>
    <w:semiHidden/>
    <w:unhideWhenUsed/>
    <w:qFormat/>
    <w:rsid w:val="004F0533"/>
    <w:pPr>
      <w:spacing w:after="200" w:line="240" w:lineRule="auto"/>
    </w:pPr>
    <w:rPr>
      <w:rFonts w:eastAsia="Times New Roman"/>
      <w:b/>
      <w:bCs/>
      <w:smallCaps/>
      <w:color w:val="595959"/>
      <w:sz w:val="21"/>
      <w:szCs w:val="21"/>
    </w:rPr>
  </w:style>
  <w:style w:type="paragraph" w:customStyle="1" w:styleId="Titel1">
    <w:name w:val="Titel1"/>
    <w:basedOn w:val="Standaard"/>
    <w:next w:val="Standaard"/>
    <w:uiPriority w:val="10"/>
    <w:qFormat/>
    <w:rsid w:val="004F0533"/>
    <w:pPr>
      <w:spacing w:after="0" w:line="240" w:lineRule="auto"/>
      <w:contextualSpacing/>
    </w:pPr>
    <w:rPr>
      <w:rFonts w:ascii="Calibri Light" w:eastAsia="Times New Roman" w:hAnsi="Calibri Light" w:cs="Times New Roman"/>
      <w:color w:val="262626"/>
      <w:spacing w:val="-15"/>
      <w:sz w:val="96"/>
      <w:szCs w:val="96"/>
    </w:rPr>
  </w:style>
  <w:style w:type="character" w:customStyle="1" w:styleId="TitelChar">
    <w:name w:val="Titel Char"/>
    <w:basedOn w:val="Standaardalinea-lettertype"/>
    <w:link w:val="Titel"/>
    <w:uiPriority w:val="10"/>
    <w:rsid w:val="004F0533"/>
    <w:rPr>
      <w:rFonts w:ascii="Calibri Light" w:eastAsia="Times New Roman" w:hAnsi="Calibri Light" w:cs="Times New Roman"/>
      <w:color w:val="262626"/>
      <w:spacing w:val="-15"/>
      <w:kern w:val="0"/>
      <w:sz w:val="96"/>
      <w:szCs w:val="96"/>
      <w14:ligatures w14:val="none"/>
    </w:rPr>
  </w:style>
  <w:style w:type="paragraph" w:customStyle="1" w:styleId="Ondertitel1">
    <w:name w:val="Ondertitel1"/>
    <w:basedOn w:val="Standaard"/>
    <w:next w:val="Standaard"/>
    <w:uiPriority w:val="11"/>
    <w:qFormat/>
    <w:rsid w:val="004F0533"/>
    <w:pPr>
      <w:numPr>
        <w:ilvl w:val="1"/>
      </w:numPr>
      <w:spacing w:after="200" w:line="240" w:lineRule="auto"/>
    </w:pPr>
    <w:rPr>
      <w:rFonts w:ascii="Calibri Light" w:eastAsia="Times New Roman" w:hAnsi="Calibri Light" w:cs="Times New Roman"/>
      <w:sz w:val="30"/>
      <w:szCs w:val="30"/>
    </w:rPr>
  </w:style>
  <w:style w:type="character" w:customStyle="1" w:styleId="OndertitelChar">
    <w:name w:val="Ondertitel Char"/>
    <w:basedOn w:val="Standaardalinea-lettertype"/>
    <w:link w:val="Ondertitel"/>
    <w:uiPriority w:val="11"/>
    <w:rsid w:val="004F0533"/>
    <w:rPr>
      <w:rFonts w:ascii="Calibri Light" w:eastAsia="Times New Roman" w:hAnsi="Calibri Light" w:cs="Times New Roman"/>
      <w:kern w:val="0"/>
      <w:sz w:val="30"/>
      <w:szCs w:val="30"/>
      <w14:ligatures w14:val="none"/>
    </w:rPr>
  </w:style>
  <w:style w:type="character" w:styleId="Zwaar">
    <w:name w:val="Strong"/>
    <w:basedOn w:val="Standaardalinea-lettertype"/>
    <w:uiPriority w:val="22"/>
    <w:qFormat/>
    <w:rsid w:val="004F0533"/>
    <w:rPr>
      <w:b/>
      <w:bCs/>
    </w:rPr>
  </w:style>
  <w:style w:type="character" w:customStyle="1" w:styleId="Nadruk1">
    <w:name w:val="Nadruk1"/>
    <w:basedOn w:val="Standaardalinea-lettertype"/>
    <w:uiPriority w:val="20"/>
    <w:qFormat/>
    <w:rsid w:val="004F0533"/>
    <w:rPr>
      <w:i/>
      <w:iCs/>
      <w:color w:val="70AD47"/>
    </w:rPr>
  </w:style>
  <w:style w:type="paragraph" w:customStyle="1" w:styleId="Citaat1">
    <w:name w:val="Citaat1"/>
    <w:basedOn w:val="Standaard"/>
    <w:next w:val="Standaard"/>
    <w:uiPriority w:val="29"/>
    <w:qFormat/>
    <w:rsid w:val="004F0533"/>
    <w:pPr>
      <w:spacing w:before="160" w:after="200" w:line="288" w:lineRule="auto"/>
      <w:ind w:left="720" w:right="720"/>
      <w:jc w:val="center"/>
    </w:pPr>
    <w:rPr>
      <w:rFonts w:eastAsia="Times New Roman"/>
      <w:i/>
      <w:iCs/>
      <w:color w:val="262626"/>
      <w:sz w:val="21"/>
      <w:szCs w:val="21"/>
    </w:rPr>
  </w:style>
  <w:style w:type="character" w:customStyle="1" w:styleId="CitaatChar">
    <w:name w:val="Citaat Char"/>
    <w:basedOn w:val="Standaardalinea-lettertype"/>
    <w:link w:val="Citaat"/>
    <w:uiPriority w:val="29"/>
    <w:rsid w:val="004F0533"/>
    <w:rPr>
      <w:rFonts w:eastAsia="Times New Roman"/>
      <w:i/>
      <w:iCs/>
      <w:color w:val="262626"/>
      <w:kern w:val="0"/>
      <w:sz w:val="21"/>
      <w:szCs w:val="21"/>
      <w14:ligatures w14:val="none"/>
    </w:rPr>
  </w:style>
  <w:style w:type="paragraph" w:customStyle="1" w:styleId="Duidelijkcitaat1">
    <w:name w:val="Duidelijk citaat1"/>
    <w:basedOn w:val="Standaard"/>
    <w:next w:val="Standaard"/>
    <w:uiPriority w:val="30"/>
    <w:qFormat/>
    <w:rsid w:val="004F0533"/>
    <w:pPr>
      <w:spacing w:before="160" w:after="200" w:line="264" w:lineRule="auto"/>
      <w:ind w:left="720" w:right="720"/>
      <w:jc w:val="center"/>
    </w:pPr>
    <w:rPr>
      <w:rFonts w:ascii="Calibri Light" w:eastAsia="Times New Roman" w:hAnsi="Calibri Light" w:cs="Times New Roman"/>
      <w:i/>
      <w:iCs/>
      <w:color w:val="70AD47"/>
      <w:sz w:val="32"/>
      <w:szCs w:val="32"/>
    </w:rPr>
  </w:style>
  <w:style w:type="character" w:customStyle="1" w:styleId="DuidelijkcitaatChar">
    <w:name w:val="Duidelijk citaat Char"/>
    <w:basedOn w:val="Standaardalinea-lettertype"/>
    <w:link w:val="Duidelijkcitaat"/>
    <w:uiPriority w:val="30"/>
    <w:rsid w:val="004F0533"/>
    <w:rPr>
      <w:rFonts w:ascii="Calibri Light" w:eastAsia="Times New Roman" w:hAnsi="Calibri Light" w:cs="Times New Roman"/>
      <w:i/>
      <w:iCs/>
      <w:color w:val="70AD47"/>
      <w:kern w:val="0"/>
      <w:sz w:val="32"/>
      <w:szCs w:val="32"/>
      <w14:ligatures w14:val="none"/>
    </w:rPr>
  </w:style>
  <w:style w:type="character" w:styleId="Subtielebenadrukking">
    <w:name w:val="Subtle Emphasis"/>
    <w:basedOn w:val="Standaardalinea-lettertype"/>
    <w:uiPriority w:val="19"/>
    <w:qFormat/>
    <w:rsid w:val="004F0533"/>
    <w:rPr>
      <w:i/>
      <w:iCs/>
    </w:rPr>
  </w:style>
  <w:style w:type="character" w:styleId="Intensievebenadrukking">
    <w:name w:val="Intense Emphasis"/>
    <w:basedOn w:val="Standaardalinea-lettertype"/>
    <w:uiPriority w:val="21"/>
    <w:qFormat/>
    <w:rsid w:val="004F0533"/>
    <w:rPr>
      <w:b/>
      <w:bCs/>
      <w:i/>
      <w:iCs/>
    </w:rPr>
  </w:style>
  <w:style w:type="character" w:customStyle="1" w:styleId="Subtieleverwijzing1">
    <w:name w:val="Subtiele verwijzing1"/>
    <w:basedOn w:val="Standaardalinea-lettertype"/>
    <w:uiPriority w:val="31"/>
    <w:qFormat/>
    <w:rsid w:val="004F0533"/>
    <w:rPr>
      <w:smallCaps/>
      <w:color w:val="595959"/>
    </w:rPr>
  </w:style>
  <w:style w:type="character" w:customStyle="1" w:styleId="Intensieveverwijzing1">
    <w:name w:val="Intensieve verwijzing1"/>
    <w:basedOn w:val="Standaardalinea-lettertype"/>
    <w:uiPriority w:val="32"/>
    <w:qFormat/>
    <w:rsid w:val="004F0533"/>
    <w:rPr>
      <w:b/>
      <w:bCs/>
      <w:smallCaps/>
      <w:color w:val="70AD47"/>
    </w:rPr>
  </w:style>
  <w:style w:type="character" w:styleId="Titelvanboek">
    <w:name w:val="Book Title"/>
    <w:basedOn w:val="Standaardalinea-lettertype"/>
    <w:uiPriority w:val="33"/>
    <w:qFormat/>
    <w:rsid w:val="004F0533"/>
    <w:rPr>
      <w:b/>
      <w:bCs/>
      <w:caps w:val="0"/>
      <w:smallCaps/>
      <w:spacing w:val="7"/>
      <w:sz w:val="21"/>
      <w:szCs w:val="21"/>
    </w:rPr>
  </w:style>
  <w:style w:type="character" w:customStyle="1" w:styleId="Kop1Char1">
    <w:name w:val="Kop 1 Char1"/>
    <w:basedOn w:val="Standaardalinea-lettertype"/>
    <w:link w:val="Kop1"/>
    <w:uiPriority w:val="9"/>
    <w:rsid w:val="00F0551F"/>
    <w:rPr>
      <w:rFonts w:ascii="Verdana" w:eastAsia="Times New Roman" w:hAnsi="Verdana" w:cstheme="majorBidi"/>
      <w:b/>
      <w:sz w:val="18"/>
      <w:szCs w:val="32"/>
    </w:rPr>
  </w:style>
  <w:style w:type="paragraph" w:styleId="Kopvaninhoudsopgave">
    <w:name w:val="TOC Heading"/>
    <w:basedOn w:val="Kop1"/>
    <w:next w:val="Standaard"/>
    <w:uiPriority w:val="39"/>
    <w:unhideWhenUsed/>
    <w:qFormat/>
    <w:rsid w:val="004F0533"/>
    <w:pPr>
      <w:numPr>
        <w:numId w:val="10"/>
      </w:numPr>
      <w:spacing w:before="360" w:after="360" w:line="240" w:lineRule="auto"/>
      <w:ind w:left="644"/>
      <w:outlineLvl w:val="9"/>
    </w:pPr>
    <w:rPr>
      <w:b w:val="0"/>
      <w:sz w:val="28"/>
      <w:szCs w:val="40"/>
    </w:rPr>
  </w:style>
  <w:style w:type="paragraph" w:styleId="Inhopg1">
    <w:name w:val="toc 1"/>
    <w:basedOn w:val="Standaard"/>
    <w:next w:val="Standaard"/>
    <w:autoRedefine/>
    <w:uiPriority w:val="39"/>
    <w:unhideWhenUsed/>
    <w:rsid w:val="004F0533"/>
    <w:pPr>
      <w:tabs>
        <w:tab w:val="left" w:pos="720"/>
        <w:tab w:val="right" w:leader="dot" w:pos="9062"/>
      </w:tabs>
      <w:spacing w:after="100" w:line="240" w:lineRule="auto"/>
    </w:pPr>
    <w:rPr>
      <w:rFonts w:eastAsia="Times New Roman"/>
      <w:sz w:val="21"/>
      <w:szCs w:val="21"/>
    </w:rPr>
  </w:style>
  <w:style w:type="paragraph" w:styleId="Inhopg2">
    <w:name w:val="toc 2"/>
    <w:basedOn w:val="Standaard"/>
    <w:next w:val="Standaard"/>
    <w:autoRedefine/>
    <w:uiPriority w:val="39"/>
    <w:unhideWhenUsed/>
    <w:rsid w:val="004F0533"/>
    <w:pPr>
      <w:spacing w:after="100" w:line="288" w:lineRule="auto"/>
      <w:ind w:left="210"/>
    </w:pPr>
    <w:rPr>
      <w:rFonts w:eastAsia="Times New Roman"/>
      <w:sz w:val="21"/>
      <w:szCs w:val="21"/>
    </w:rPr>
  </w:style>
  <w:style w:type="paragraph" w:styleId="Inhopg3">
    <w:name w:val="toc 3"/>
    <w:basedOn w:val="Standaard"/>
    <w:next w:val="Standaard"/>
    <w:autoRedefine/>
    <w:uiPriority w:val="39"/>
    <w:unhideWhenUsed/>
    <w:rsid w:val="004F0533"/>
    <w:pPr>
      <w:spacing w:after="100" w:line="288" w:lineRule="auto"/>
      <w:ind w:left="420"/>
    </w:pPr>
    <w:rPr>
      <w:rFonts w:eastAsia="Times New Roman"/>
      <w:sz w:val="21"/>
      <w:szCs w:val="21"/>
    </w:rPr>
  </w:style>
  <w:style w:type="character" w:customStyle="1" w:styleId="Kop2Char1">
    <w:name w:val="Kop 2 Char1"/>
    <w:basedOn w:val="Standaardalinea-lettertype"/>
    <w:uiPriority w:val="9"/>
    <w:semiHidden/>
    <w:rsid w:val="004F0533"/>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4F0533"/>
    <w:rPr>
      <w:color w:val="954F72" w:themeColor="followedHyperlink"/>
      <w:u w:val="single"/>
    </w:rPr>
  </w:style>
  <w:style w:type="character" w:customStyle="1" w:styleId="Kop3Char1">
    <w:name w:val="Kop 3 Char1"/>
    <w:basedOn w:val="Standaardalinea-lettertype"/>
    <w:uiPriority w:val="9"/>
    <w:semiHidden/>
    <w:rsid w:val="004F0533"/>
    <w:rPr>
      <w:rFonts w:asciiTheme="majorHAnsi" w:eastAsiaTheme="majorEastAsia" w:hAnsiTheme="majorHAnsi" w:cstheme="majorBidi"/>
      <w:color w:val="1F3763" w:themeColor="accent1" w:themeShade="7F"/>
      <w:sz w:val="24"/>
      <w:szCs w:val="24"/>
    </w:rPr>
  </w:style>
  <w:style w:type="character" w:customStyle="1" w:styleId="Kop4Char1">
    <w:name w:val="Kop 4 Char1"/>
    <w:basedOn w:val="Standaardalinea-lettertype"/>
    <w:uiPriority w:val="9"/>
    <w:semiHidden/>
    <w:rsid w:val="004F0533"/>
    <w:rPr>
      <w:rFonts w:asciiTheme="majorHAnsi" w:eastAsiaTheme="majorEastAsia" w:hAnsiTheme="majorHAnsi" w:cstheme="majorBidi"/>
      <w:i/>
      <w:iCs/>
      <w:color w:val="2F5496" w:themeColor="accent1" w:themeShade="BF"/>
    </w:rPr>
  </w:style>
  <w:style w:type="character" w:customStyle="1" w:styleId="Kop5Char1">
    <w:name w:val="Kop 5 Char1"/>
    <w:basedOn w:val="Standaardalinea-lettertype"/>
    <w:uiPriority w:val="9"/>
    <w:semiHidden/>
    <w:rsid w:val="004F0533"/>
    <w:rPr>
      <w:rFonts w:asciiTheme="majorHAnsi" w:eastAsiaTheme="majorEastAsia" w:hAnsiTheme="majorHAnsi" w:cstheme="majorBidi"/>
      <w:color w:val="2F5496" w:themeColor="accent1" w:themeShade="BF"/>
    </w:rPr>
  </w:style>
  <w:style w:type="character" w:customStyle="1" w:styleId="Kop6Char1">
    <w:name w:val="Kop 6 Char1"/>
    <w:basedOn w:val="Standaardalinea-lettertype"/>
    <w:uiPriority w:val="9"/>
    <w:semiHidden/>
    <w:rsid w:val="004F0533"/>
    <w:rPr>
      <w:rFonts w:asciiTheme="majorHAnsi" w:eastAsiaTheme="majorEastAsia" w:hAnsiTheme="majorHAnsi" w:cstheme="majorBidi"/>
      <w:color w:val="1F3763" w:themeColor="accent1" w:themeShade="7F"/>
    </w:rPr>
  </w:style>
  <w:style w:type="character" w:customStyle="1" w:styleId="Kop7Char1">
    <w:name w:val="Kop 7 Char1"/>
    <w:basedOn w:val="Standaardalinea-lettertype"/>
    <w:uiPriority w:val="9"/>
    <w:semiHidden/>
    <w:rsid w:val="004F0533"/>
    <w:rPr>
      <w:rFonts w:asciiTheme="majorHAnsi" w:eastAsiaTheme="majorEastAsia" w:hAnsiTheme="majorHAnsi" w:cstheme="majorBidi"/>
      <w:i/>
      <w:iCs/>
      <w:color w:val="1F3763" w:themeColor="accent1" w:themeShade="7F"/>
    </w:rPr>
  </w:style>
  <w:style w:type="character" w:customStyle="1" w:styleId="Kop8Char1">
    <w:name w:val="Kop 8 Char1"/>
    <w:basedOn w:val="Standaardalinea-lettertype"/>
    <w:uiPriority w:val="9"/>
    <w:semiHidden/>
    <w:rsid w:val="004F0533"/>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4F0533"/>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4F0533"/>
    <w:pPr>
      <w:spacing w:after="0" w:line="240" w:lineRule="auto"/>
      <w:contextualSpacing/>
    </w:pPr>
    <w:rPr>
      <w:rFonts w:ascii="Calibri Light" w:eastAsia="Times New Roman" w:hAnsi="Calibri Light" w:cs="Times New Roman"/>
      <w:color w:val="262626"/>
      <w:spacing w:val="-15"/>
      <w:sz w:val="96"/>
      <w:szCs w:val="96"/>
    </w:rPr>
  </w:style>
  <w:style w:type="character" w:customStyle="1" w:styleId="TitelChar1">
    <w:name w:val="Titel Char1"/>
    <w:basedOn w:val="Standaardalinea-lettertype"/>
    <w:uiPriority w:val="10"/>
    <w:rsid w:val="004F05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533"/>
    <w:pPr>
      <w:numPr>
        <w:ilvl w:val="1"/>
      </w:numPr>
    </w:pPr>
    <w:rPr>
      <w:rFonts w:ascii="Calibri Light" w:eastAsia="Times New Roman" w:hAnsi="Calibri Light" w:cs="Times New Roman"/>
      <w:sz w:val="30"/>
      <w:szCs w:val="30"/>
    </w:rPr>
  </w:style>
  <w:style w:type="character" w:customStyle="1" w:styleId="OndertitelChar1">
    <w:name w:val="Ondertitel Char1"/>
    <w:basedOn w:val="Standaardalinea-lettertype"/>
    <w:uiPriority w:val="11"/>
    <w:rsid w:val="004F0533"/>
    <w:rPr>
      <w:rFonts w:eastAsiaTheme="minorEastAsia"/>
      <w:color w:val="5A5A5A" w:themeColor="text1" w:themeTint="A5"/>
      <w:spacing w:val="15"/>
    </w:rPr>
  </w:style>
  <w:style w:type="character" w:styleId="Nadruk">
    <w:name w:val="Emphasis"/>
    <w:basedOn w:val="Standaardalinea-lettertype"/>
    <w:uiPriority w:val="20"/>
    <w:qFormat/>
    <w:rsid w:val="004F0533"/>
    <w:rPr>
      <w:i/>
      <w:iCs/>
    </w:rPr>
  </w:style>
  <w:style w:type="paragraph" w:styleId="Citaat">
    <w:name w:val="Quote"/>
    <w:basedOn w:val="Standaard"/>
    <w:next w:val="Standaard"/>
    <w:link w:val="CitaatChar"/>
    <w:uiPriority w:val="29"/>
    <w:qFormat/>
    <w:rsid w:val="004F0533"/>
    <w:pPr>
      <w:spacing w:before="200"/>
      <w:ind w:left="864" w:right="864"/>
      <w:jc w:val="center"/>
    </w:pPr>
    <w:rPr>
      <w:rFonts w:eastAsia="Times New Roman"/>
      <w:i/>
      <w:iCs/>
      <w:color w:val="262626"/>
      <w:sz w:val="21"/>
      <w:szCs w:val="21"/>
    </w:rPr>
  </w:style>
  <w:style w:type="character" w:customStyle="1" w:styleId="CitaatChar1">
    <w:name w:val="Citaat Char1"/>
    <w:basedOn w:val="Standaardalinea-lettertype"/>
    <w:uiPriority w:val="29"/>
    <w:rsid w:val="004F0533"/>
    <w:rPr>
      <w:i/>
      <w:iCs/>
      <w:color w:val="404040" w:themeColor="text1" w:themeTint="BF"/>
    </w:rPr>
  </w:style>
  <w:style w:type="paragraph" w:styleId="Duidelijkcitaat">
    <w:name w:val="Intense Quote"/>
    <w:basedOn w:val="Standaard"/>
    <w:next w:val="Standaard"/>
    <w:link w:val="DuidelijkcitaatChar"/>
    <w:uiPriority w:val="30"/>
    <w:qFormat/>
    <w:rsid w:val="004F0533"/>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i/>
      <w:iCs/>
      <w:color w:val="70AD47"/>
      <w:sz w:val="32"/>
      <w:szCs w:val="32"/>
    </w:rPr>
  </w:style>
  <w:style w:type="character" w:customStyle="1" w:styleId="DuidelijkcitaatChar1">
    <w:name w:val="Duidelijk citaat Char1"/>
    <w:basedOn w:val="Standaardalinea-lettertype"/>
    <w:uiPriority w:val="30"/>
    <w:rsid w:val="004F0533"/>
    <w:rPr>
      <w:i/>
      <w:iCs/>
      <w:color w:val="4472C4" w:themeColor="accent1"/>
    </w:rPr>
  </w:style>
  <w:style w:type="character" w:styleId="Subtieleverwijzing">
    <w:name w:val="Subtle Reference"/>
    <w:basedOn w:val="Standaardalinea-lettertype"/>
    <w:uiPriority w:val="31"/>
    <w:qFormat/>
    <w:rsid w:val="004F0533"/>
    <w:rPr>
      <w:smallCaps/>
      <w:color w:val="5A5A5A" w:themeColor="text1" w:themeTint="A5"/>
    </w:rPr>
  </w:style>
  <w:style w:type="character" w:styleId="Intensieveverwijzing">
    <w:name w:val="Intense Reference"/>
    <w:basedOn w:val="Standaardalinea-lettertype"/>
    <w:uiPriority w:val="32"/>
    <w:qFormat/>
    <w:rsid w:val="004F0533"/>
    <w:rPr>
      <w:b/>
      <w:bCs/>
      <w:smallCaps/>
      <w:color w:val="4472C4" w:themeColor="accent1"/>
      <w:spacing w:val="5"/>
    </w:rPr>
  </w:style>
  <w:style w:type="paragraph" w:customStyle="1" w:styleId="labeled">
    <w:name w:val="labeled"/>
    <w:basedOn w:val="Standaard"/>
    <w:rsid w:val="003D50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3D50AC"/>
  </w:style>
  <w:style w:type="paragraph" w:customStyle="1" w:styleId="al">
    <w:name w:val="al"/>
    <w:basedOn w:val="Standaard"/>
    <w:rsid w:val="003D50A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top">
    <w:name w:val="mtop"/>
    <w:basedOn w:val="Standaard"/>
    <w:rsid w:val="001E334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1">
    <w:name w:val="Tabelraster1"/>
    <w:basedOn w:val="Standaardtabel"/>
    <w:uiPriority w:val="39"/>
    <w:rsid w:val="000425B5"/>
    <w:pPr>
      <w:spacing w:after="0" w:line="240" w:lineRule="auto"/>
    </w:pPr>
    <w:rPr>
      <w:rFonts w:ascii="Calibri" w:eastAsia="Verdana" w:hAnsi="Calibri" w:cs="Times New Roman"/>
      <w:spacing w:val="-10"/>
      <w:kern w:val="28"/>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E0AD5"/>
    <w:rPr>
      <w:color w:val="666666"/>
    </w:rPr>
  </w:style>
  <w:style w:type="character" w:customStyle="1" w:styleId="LijstalineaChar">
    <w:name w:val="Lijstalinea Char"/>
    <w:basedOn w:val="Standaardalinea-lettertype"/>
    <w:link w:val="Lijstalinea"/>
    <w:uiPriority w:val="34"/>
    <w:rsid w:val="00023420"/>
  </w:style>
  <w:style w:type="table" w:styleId="Tabelraster">
    <w:name w:val="Table Grid"/>
    <w:basedOn w:val="Standaardtabel"/>
    <w:uiPriority w:val="39"/>
    <w:rsid w:val="00E25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9270">
      <w:bodyDiv w:val="1"/>
      <w:marLeft w:val="0"/>
      <w:marRight w:val="0"/>
      <w:marTop w:val="0"/>
      <w:marBottom w:val="0"/>
      <w:divBdr>
        <w:top w:val="none" w:sz="0" w:space="0" w:color="auto"/>
        <w:left w:val="none" w:sz="0" w:space="0" w:color="auto"/>
        <w:bottom w:val="none" w:sz="0" w:space="0" w:color="auto"/>
        <w:right w:val="none" w:sz="0" w:space="0" w:color="auto"/>
      </w:divBdr>
    </w:div>
    <w:div w:id="27683106">
      <w:bodyDiv w:val="1"/>
      <w:marLeft w:val="0"/>
      <w:marRight w:val="0"/>
      <w:marTop w:val="0"/>
      <w:marBottom w:val="0"/>
      <w:divBdr>
        <w:top w:val="none" w:sz="0" w:space="0" w:color="auto"/>
        <w:left w:val="none" w:sz="0" w:space="0" w:color="auto"/>
        <w:bottom w:val="none" w:sz="0" w:space="0" w:color="auto"/>
        <w:right w:val="none" w:sz="0" w:space="0" w:color="auto"/>
      </w:divBdr>
    </w:div>
    <w:div w:id="50619793">
      <w:bodyDiv w:val="1"/>
      <w:marLeft w:val="0"/>
      <w:marRight w:val="0"/>
      <w:marTop w:val="0"/>
      <w:marBottom w:val="0"/>
      <w:divBdr>
        <w:top w:val="none" w:sz="0" w:space="0" w:color="auto"/>
        <w:left w:val="none" w:sz="0" w:space="0" w:color="auto"/>
        <w:bottom w:val="none" w:sz="0" w:space="0" w:color="auto"/>
        <w:right w:val="none" w:sz="0" w:space="0" w:color="auto"/>
      </w:divBdr>
    </w:div>
    <w:div w:id="56978000">
      <w:bodyDiv w:val="1"/>
      <w:marLeft w:val="0"/>
      <w:marRight w:val="0"/>
      <w:marTop w:val="0"/>
      <w:marBottom w:val="0"/>
      <w:divBdr>
        <w:top w:val="none" w:sz="0" w:space="0" w:color="auto"/>
        <w:left w:val="none" w:sz="0" w:space="0" w:color="auto"/>
        <w:bottom w:val="none" w:sz="0" w:space="0" w:color="auto"/>
        <w:right w:val="none" w:sz="0" w:space="0" w:color="auto"/>
      </w:divBdr>
    </w:div>
    <w:div w:id="77022514">
      <w:bodyDiv w:val="1"/>
      <w:marLeft w:val="0"/>
      <w:marRight w:val="0"/>
      <w:marTop w:val="0"/>
      <w:marBottom w:val="0"/>
      <w:divBdr>
        <w:top w:val="none" w:sz="0" w:space="0" w:color="auto"/>
        <w:left w:val="none" w:sz="0" w:space="0" w:color="auto"/>
        <w:bottom w:val="none" w:sz="0" w:space="0" w:color="auto"/>
        <w:right w:val="none" w:sz="0" w:space="0" w:color="auto"/>
      </w:divBdr>
    </w:div>
    <w:div w:id="92821740">
      <w:bodyDiv w:val="1"/>
      <w:marLeft w:val="0"/>
      <w:marRight w:val="0"/>
      <w:marTop w:val="0"/>
      <w:marBottom w:val="0"/>
      <w:divBdr>
        <w:top w:val="none" w:sz="0" w:space="0" w:color="auto"/>
        <w:left w:val="none" w:sz="0" w:space="0" w:color="auto"/>
        <w:bottom w:val="none" w:sz="0" w:space="0" w:color="auto"/>
        <w:right w:val="none" w:sz="0" w:space="0" w:color="auto"/>
      </w:divBdr>
    </w:div>
    <w:div w:id="103618139">
      <w:bodyDiv w:val="1"/>
      <w:marLeft w:val="0"/>
      <w:marRight w:val="0"/>
      <w:marTop w:val="0"/>
      <w:marBottom w:val="0"/>
      <w:divBdr>
        <w:top w:val="none" w:sz="0" w:space="0" w:color="auto"/>
        <w:left w:val="none" w:sz="0" w:space="0" w:color="auto"/>
        <w:bottom w:val="none" w:sz="0" w:space="0" w:color="auto"/>
        <w:right w:val="none" w:sz="0" w:space="0" w:color="auto"/>
      </w:divBdr>
    </w:div>
    <w:div w:id="108665878">
      <w:bodyDiv w:val="1"/>
      <w:marLeft w:val="0"/>
      <w:marRight w:val="0"/>
      <w:marTop w:val="0"/>
      <w:marBottom w:val="0"/>
      <w:divBdr>
        <w:top w:val="none" w:sz="0" w:space="0" w:color="auto"/>
        <w:left w:val="none" w:sz="0" w:space="0" w:color="auto"/>
        <w:bottom w:val="none" w:sz="0" w:space="0" w:color="auto"/>
        <w:right w:val="none" w:sz="0" w:space="0" w:color="auto"/>
      </w:divBdr>
    </w:div>
    <w:div w:id="128937728">
      <w:bodyDiv w:val="1"/>
      <w:marLeft w:val="0"/>
      <w:marRight w:val="0"/>
      <w:marTop w:val="0"/>
      <w:marBottom w:val="0"/>
      <w:divBdr>
        <w:top w:val="none" w:sz="0" w:space="0" w:color="auto"/>
        <w:left w:val="none" w:sz="0" w:space="0" w:color="auto"/>
        <w:bottom w:val="none" w:sz="0" w:space="0" w:color="auto"/>
        <w:right w:val="none" w:sz="0" w:space="0" w:color="auto"/>
      </w:divBdr>
    </w:div>
    <w:div w:id="132479762">
      <w:bodyDiv w:val="1"/>
      <w:marLeft w:val="0"/>
      <w:marRight w:val="0"/>
      <w:marTop w:val="0"/>
      <w:marBottom w:val="0"/>
      <w:divBdr>
        <w:top w:val="none" w:sz="0" w:space="0" w:color="auto"/>
        <w:left w:val="none" w:sz="0" w:space="0" w:color="auto"/>
        <w:bottom w:val="none" w:sz="0" w:space="0" w:color="auto"/>
        <w:right w:val="none" w:sz="0" w:space="0" w:color="auto"/>
      </w:divBdr>
    </w:div>
    <w:div w:id="170143574">
      <w:bodyDiv w:val="1"/>
      <w:marLeft w:val="0"/>
      <w:marRight w:val="0"/>
      <w:marTop w:val="0"/>
      <w:marBottom w:val="0"/>
      <w:divBdr>
        <w:top w:val="none" w:sz="0" w:space="0" w:color="auto"/>
        <w:left w:val="none" w:sz="0" w:space="0" w:color="auto"/>
        <w:bottom w:val="none" w:sz="0" w:space="0" w:color="auto"/>
        <w:right w:val="none" w:sz="0" w:space="0" w:color="auto"/>
      </w:divBdr>
    </w:div>
    <w:div w:id="172258998">
      <w:bodyDiv w:val="1"/>
      <w:marLeft w:val="0"/>
      <w:marRight w:val="0"/>
      <w:marTop w:val="0"/>
      <w:marBottom w:val="0"/>
      <w:divBdr>
        <w:top w:val="none" w:sz="0" w:space="0" w:color="auto"/>
        <w:left w:val="none" w:sz="0" w:space="0" w:color="auto"/>
        <w:bottom w:val="none" w:sz="0" w:space="0" w:color="auto"/>
        <w:right w:val="none" w:sz="0" w:space="0" w:color="auto"/>
      </w:divBdr>
    </w:div>
    <w:div w:id="175199049">
      <w:bodyDiv w:val="1"/>
      <w:marLeft w:val="0"/>
      <w:marRight w:val="0"/>
      <w:marTop w:val="0"/>
      <w:marBottom w:val="0"/>
      <w:divBdr>
        <w:top w:val="none" w:sz="0" w:space="0" w:color="auto"/>
        <w:left w:val="none" w:sz="0" w:space="0" w:color="auto"/>
        <w:bottom w:val="none" w:sz="0" w:space="0" w:color="auto"/>
        <w:right w:val="none" w:sz="0" w:space="0" w:color="auto"/>
      </w:divBdr>
    </w:div>
    <w:div w:id="178811134">
      <w:bodyDiv w:val="1"/>
      <w:marLeft w:val="0"/>
      <w:marRight w:val="0"/>
      <w:marTop w:val="0"/>
      <w:marBottom w:val="0"/>
      <w:divBdr>
        <w:top w:val="none" w:sz="0" w:space="0" w:color="auto"/>
        <w:left w:val="none" w:sz="0" w:space="0" w:color="auto"/>
        <w:bottom w:val="none" w:sz="0" w:space="0" w:color="auto"/>
        <w:right w:val="none" w:sz="0" w:space="0" w:color="auto"/>
      </w:divBdr>
    </w:div>
    <w:div w:id="202790077">
      <w:bodyDiv w:val="1"/>
      <w:marLeft w:val="0"/>
      <w:marRight w:val="0"/>
      <w:marTop w:val="0"/>
      <w:marBottom w:val="0"/>
      <w:divBdr>
        <w:top w:val="none" w:sz="0" w:space="0" w:color="auto"/>
        <w:left w:val="none" w:sz="0" w:space="0" w:color="auto"/>
        <w:bottom w:val="none" w:sz="0" w:space="0" w:color="auto"/>
        <w:right w:val="none" w:sz="0" w:space="0" w:color="auto"/>
      </w:divBdr>
    </w:div>
    <w:div w:id="233509752">
      <w:bodyDiv w:val="1"/>
      <w:marLeft w:val="0"/>
      <w:marRight w:val="0"/>
      <w:marTop w:val="0"/>
      <w:marBottom w:val="0"/>
      <w:divBdr>
        <w:top w:val="none" w:sz="0" w:space="0" w:color="auto"/>
        <w:left w:val="none" w:sz="0" w:space="0" w:color="auto"/>
        <w:bottom w:val="none" w:sz="0" w:space="0" w:color="auto"/>
        <w:right w:val="none" w:sz="0" w:space="0" w:color="auto"/>
      </w:divBdr>
    </w:div>
    <w:div w:id="267273784">
      <w:bodyDiv w:val="1"/>
      <w:marLeft w:val="0"/>
      <w:marRight w:val="0"/>
      <w:marTop w:val="0"/>
      <w:marBottom w:val="0"/>
      <w:divBdr>
        <w:top w:val="none" w:sz="0" w:space="0" w:color="auto"/>
        <w:left w:val="none" w:sz="0" w:space="0" w:color="auto"/>
        <w:bottom w:val="none" w:sz="0" w:space="0" w:color="auto"/>
        <w:right w:val="none" w:sz="0" w:space="0" w:color="auto"/>
      </w:divBdr>
    </w:div>
    <w:div w:id="273680106">
      <w:bodyDiv w:val="1"/>
      <w:marLeft w:val="0"/>
      <w:marRight w:val="0"/>
      <w:marTop w:val="0"/>
      <w:marBottom w:val="0"/>
      <w:divBdr>
        <w:top w:val="none" w:sz="0" w:space="0" w:color="auto"/>
        <w:left w:val="none" w:sz="0" w:space="0" w:color="auto"/>
        <w:bottom w:val="none" w:sz="0" w:space="0" w:color="auto"/>
        <w:right w:val="none" w:sz="0" w:space="0" w:color="auto"/>
      </w:divBdr>
    </w:div>
    <w:div w:id="277756406">
      <w:bodyDiv w:val="1"/>
      <w:marLeft w:val="0"/>
      <w:marRight w:val="0"/>
      <w:marTop w:val="0"/>
      <w:marBottom w:val="0"/>
      <w:divBdr>
        <w:top w:val="none" w:sz="0" w:space="0" w:color="auto"/>
        <w:left w:val="none" w:sz="0" w:space="0" w:color="auto"/>
        <w:bottom w:val="none" w:sz="0" w:space="0" w:color="auto"/>
        <w:right w:val="none" w:sz="0" w:space="0" w:color="auto"/>
      </w:divBdr>
    </w:div>
    <w:div w:id="288829086">
      <w:bodyDiv w:val="1"/>
      <w:marLeft w:val="0"/>
      <w:marRight w:val="0"/>
      <w:marTop w:val="0"/>
      <w:marBottom w:val="0"/>
      <w:divBdr>
        <w:top w:val="none" w:sz="0" w:space="0" w:color="auto"/>
        <w:left w:val="none" w:sz="0" w:space="0" w:color="auto"/>
        <w:bottom w:val="none" w:sz="0" w:space="0" w:color="auto"/>
        <w:right w:val="none" w:sz="0" w:space="0" w:color="auto"/>
      </w:divBdr>
    </w:div>
    <w:div w:id="304699624">
      <w:bodyDiv w:val="1"/>
      <w:marLeft w:val="0"/>
      <w:marRight w:val="0"/>
      <w:marTop w:val="0"/>
      <w:marBottom w:val="0"/>
      <w:divBdr>
        <w:top w:val="none" w:sz="0" w:space="0" w:color="auto"/>
        <w:left w:val="none" w:sz="0" w:space="0" w:color="auto"/>
        <w:bottom w:val="none" w:sz="0" w:space="0" w:color="auto"/>
        <w:right w:val="none" w:sz="0" w:space="0" w:color="auto"/>
      </w:divBdr>
    </w:div>
    <w:div w:id="368381290">
      <w:bodyDiv w:val="1"/>
      <w:marLeft w:val="0"/>
      <w:marRight w:val="0"/>
      <w:marTop w:val="0"/>
      <w:marBottom w:val="0"/>
      <w:divBdr>
        <w:top w:val="none" w:sz="0" w:space="0" w:color="auto"/>
        <w:left w:val="none" w:sz="0" w:space="0" w:color="auto"/>
        <w:bottom w:val="none" w:sz="0" w:space="0" w:color="auto"/>
        <w:right w:val="none" w:sz="0" w:space="0" w:color="auto"/>
      </w:divBdr>
    </w:div>
    <w:div w:id="391580854">
      <w:bodyDiv w:val="1"/>
      <w:marLeft w:val="0"/>
      <w:marRight w:val="0"/>
      <w:marTop w:val="0"/>
      <w:marBottom w:val="0"/>
      <w:divBdr>
        <w:top w:val="none" w:sz="0" w:space="0" w:color="auto"/>
        <w:left w:val="none" w:sz="0" w:space="0" w:color="auto"/>
        <w:bottom w:val="none" w:sz="0" w:space="0" w:color="auto"/>
        <w:right w:val="none" w:sz="0" w:space="0" w:color="auto"/>
      </w:divBdr>
    </w:div>
    <w:div w:id="393815011">
      <w:bodyDiv w:val="1"/>
      <w:marLeft w:val="0"/>
      <w:marRight w:val="0"/>
      <w:marTop w:val="0"/>
      <w:marBottom w:val="0"/>
      <w:divBdr>
        <w:top w:val="none" w:sz="0" w:space="0" w:color="auto"/>
        <w:left w:val="none" w:sz="0" w:space="0" w:color="auto"/>
        <w:bottom w:val="none" w:sz="0" w:space="0" w:color="auto"/>
        <w:right w:val="none" w:sz="0" w:space="0" w:color="auto"/>
      </w:divBdr>
    </w:div>
    <w:div w:id="409500767">
      <w:bodyDiv w:val="1"/>
      <w:marLeft w:val="0"/>
      <w:marRight w:val="0"/>
      <w:marTop w:val="0"/>
      <w:marBottom w:val="0"/>
      <w:divBdr>
        <w:top w:val="none" w:sz="0" w:space="0" w:color="auto"/>
        <w:left w:val="none" w:sz="0" w:space="0" w:color="auto"/>
        <w:bottom w:val="none" w:sz="0" w:space="0" w:color="auto"/>
        <w:right w:val="none" w:sz="0" w:space="0" w:color="auto"/>
      </w:divBdr>
    </w:div>
    <w:div w:id="418327767">
      <w:bodyDiv w:val="1"/>
      <w:marLeft w:val="0"/>
      <w:marRight w:val="0"/>
      <w:marTop w:val="0"/>
      <w:marBottom w:val="0"/>
      <w:divBdr>
        <w:top w:val="none" w:sz="0" w:space="0" w:color="auto"/>
        <w:left w:val="none" w:sz="0" w:space="0" w:color="auto"/>
        <w:bottom w:val="none" w:sz="0" w:space="0" w:color="auto"/>
        <w:right w:val="none" w:sz="0" w:space="0" w:color="auto"/>
      </w:divBdr>
    </w:div>
    <w:div w:id="453063664">
      <w:bodyDiv w:val="1"/>
      <w:marLeft w:val="0"/>
      <w:marRight w:val="0"/>
      <w:marTop w:val="0"/>
      <w:marBottom w:val="0"/>
      <w:divBdr>
        <w:top w:val="none" w:sz="0" w:space="0" w:color="auto"/>
        <w:left w:val="none" w:sz="0" w:space="0" w:color="auto"/>
        <w:bottom w:val="none" w:sz="0" w:space="0" w:color="auto"/>
        <w:right w:val="none" w:sz="0" w:space="0" w:color="auto"/>
      </w:divBdr>
    </w:div>
    <w:div w:id="480735243">
      <w:bodyDiv w:val="1"/>
      <w:marLeft w:val="0"/>
      <w:marRight w:val="0"/>
      <w:marTop w:val="0"/>
      <w:marBottom w:val="0"/>
      <w:divBdr>
        <w:top w:val="none" w:sz="0" w:space="0" w:color="auto"/>
        <w:left w:val="none" w:sz="0" w:space="0" w:color="auto"/>
        <w:bottom w:val="none" w:sz="0" w:space="0" w:color="auto"/>
        <w:right w:val="none" w:sz="0" w:space="0" w:color="auto"/>
      </w:divBdr>
    </w:div>
    <w:div w:id="481821919">
      <w:bodyDiv w:val="1"/>
      <w:marLeft w:val="0"/>
      <w:marRight w:val="0"/>
      <w:marTop w:val="0"/>
      <w:marBottom w:val="0"/>
      <w:divBdr>
        <w:top w:val="none" w:sz="0" w:space="0" w:color="auto"/>
        <w:left w:val="none" w:sz="0" w:space="0" w:color="auto"/>
        <w:bottom w:val="none" w:sz="0" w:space="0" w:color="auto"/>
        <w:right w:val="none" w:sz="0" w:space="0" w:color="auto"/>
      </w:divBdr>
    </w:div>
    <w:div w:id="497038088">
      <w:bodyDiv w:val="1"/>
      <w:marLeft w:val="0"/>
      <w:marRight w:val="0"/>
      <w:marTop w:val="0"/>
      <w:marBottom w:val="0"/>
      <w:divBdr>
        <w:top w:val="none" w:sz="0" w:space="0" w:color="auto"/>
        <w:left w:val="none" w:sz="0" w:space="0" w:color="auto"/>
        <w:bottom w:val="none" w:sz="0" w:space="0" w:color="auto"/>
        <w:right w:val="none" w:sz="0" w:space="0" w:color="auto"/>
      </w:divBdr>
    </w:div>
    <w:div w:id="509832376">
      <w:bodyDiv w:val="1"/>
      <w:marLeft w:val="0"/>
      <w:marRight w:val="0"/>
      <w:marTop w:val="0"/>
      <w:marBottom w:val="0"/>
      <w:divBdr>
        <w:top w:val="none" w:sz="0" w:space="0" w:color="auto"/>
        <w:left w:val="none" w:sz="0" w:space="0" w:color="auto"/>
        <w:bottom w:val="none" w:sz="0" w:space="0" w:color="auto"/>
        <w:right w:val="none" w:sz="0" w:space="0" w:color="auto"/>
      </w:divBdr>
    </w:div>
    <w:div w:id="530412392">
      <w:bodyDiv w:val="1"/>
      <w:marLeft w:val="0"/>
      <w:marRight w:val="0"/>
      <w:marTop w:val="0"/>
      <w:marBottom w:val="0"/>
      <w:divBdr>
        <w:top w:val="none" w:sz="0" w:space="0" w:color="auto"/>
        <w:left w:val="none" w:sz="0" w:space="0" w:color="auto"/>
        <w:bottom w:val="none" w:sz="0" w:space="0" w:color="auto"/>
        <w:right w:val="none" w:sz="0" w:space="0" w:color="auto"/>
      </w:divBdr>
    </w:div>
    <w:div w:id="538008651">
      <w:bodyDiv w:val="1"/>
      <w:marLeft w:val="0"/>
      <w:marRight w:val="0"/>
      <w:marTop w:val="0"/>
      <w:marBottom w:val="0"/>
      <w:divBdr>
        <w:top w:val="none" w:sz="0" w:space="0" w:color="auto"/>
        <w:left w:val="none" w:sz="0" w:space="0" w:color="auto"/>
        <w:bottom w:val="none" w:sz="0" w:space="0" w:color="auto"/>
        <w:right w:val="none" w:sz="0" w:space="0" w:color="auto"/>
      </w:divBdr>
    </w:div>
    <w:div w:id="572741345">
      <w:bodyDiv w:val="1"/>
      <w:marLeft w:val="0"/>
      <w:marRight w:val="0"/>
      <w:marTop w:val="0"/>
      <w:marBottom w:val="0"/>
      <w:divBdr>
        <w:top w:val="none" w:sz="0" w:space="0" w:color="auto"/>
        <w:left w:val="none" w:sz="0" w:space="0" w:color="auto"/>
        <w:bottom w:val="none" w:sz="0" w:space="0" w:color="auto"/>
        <w:right w:val="none" w:sz="0" w:space="0" w:color="auto"/>
      </w:divBdr>
    </w:div>
    <w:div w:id="595940253">
      <w:bodyDiv w:val="1"/>
      <w:marLeft w:val="0"/>
      <w:marRight w:val="0"/>
      <w:marTop w:val="0"/>
      <w:marBottom w:val="0"/>
      <w:divBdr>
        <w:top w:val="none" w:sz="0" w:space="0" w:color="auto"/>
        <w:left w:val="none" w:sz="0" w:space="0" w:color="auto"/>
        <w:bottom w:val="none" w:sz="0" w:space="0" w:color="auto"/>
        <w:right w:val="none" w:sz="0" w:space="0" w:color="auto"/>
      </w:divBdr>
    </w:div>
    <w:div w:id="615327929">
      <w:bodyDiv w:val="1"/>
      <w:marLeft w:val="0"/>
      <w:marRight w:val="0"/>
      <w:marTop w:val="0"/>
      <w:marBottom w:val="0"/>
      <w:divBdr>
        <w:top w:val="none" w:sz="0" w:space="0" w:color="auto"/>
        <w:left w:val="none" w:sz="0" w:space="0" w:color="auto"/>
        <w:bottom w:val="none" w:sz="0" w:space="0" w:color="auto"/>
        <w:right w:val="none" w:sz="0" w:space="0" w:color="auto"/>
      </w:divBdr>
    </w:div>
    <w:div w:id="622925516">
      <w:bodyDiv w:val="1"/>
      <w:marLeft w:val="0"/>
      <w:marRight w:val="0"/>
      <w:marTop w:val="0"/>
      <w:marBottom w:val="0"/>
      <w:divBdr>
        <w:top w:val="none" w:sz="0" w:space="0" w:color="auto"/>
        <w:left w:val="none" w:sz="0" w:space="0" w:color="auto"/>
        <w:bottom w:val="none" w:sz="0" w:space="0" w:color="auto"/>
        <w:right w:val="none" w:sz="0" w:space="0" w:color="auto"/>
      </w:divBdr>
    </w:div>
    <w:div w:id="635064694">
      <w:bodyDiv w:val="1"/>
      <w:marLeft w:val="0"/>
      <w:marRight w:val="0"/>
      <w:marTop w:val="0"/>
      <w:marBottom w:val="0"/>
      <w:divBdr>
        <w:top w:val="none" w:sz="0" w:space="0" w:color="auto"/>
        <w:left w:val="none" w:sz="0" w:space="0" w:color="auto"/>
        <w:bottom w:val="none" w:sz="0" w:space="0" w:color="auto"/>
        <w:right w:val="none" w:sz="0" w:space="0" w:color="auto"/>
      </w:divBdr>
    </w:div>
    <w:div w:id="655888023">
      <w:bodyDiv w:val="1"/>
      <w:marLeft w:val="0"/>
      <w:marRight w:val="0"/>
      <w:marTop w:val="0"/>
      <w:marBottom w:val="0"/>
      <w:divBdr>
        <w:top w:val="none" w:sz="0" w:space="0" w:color="auto"/>
        <w:left w:val="none" w:sz="0" w:space="0" w:color="auto"/>
        <w:bottom w:val="none" w:sz="0" w:space="0" w:color="auto"/>
        <w:right w:val="none" w:sz="0" w:space="0" w:color="auto"/>
      </w:divBdr>
    </w:div>
    <w:div w:id="664675139">
      <w:bodyDiv w:val="1"/>
      <w:marLeft w:val="0"/>
      <w:marRight w:val="0"/>
      <w:marTop w:val="0"/>
      <w:marBottom w:val="0"/>
      <w:divBdr>
        <w:top w:val="none" w:sz="0" w:space="0" w:color="auto"/>
        <w:left w:val="none" w:sz="0" w:space="0" w:color="auto"/>
        <w:bottom w:val="none" w:sz="0" w:space="0" w:color="auto"/>
        <w:right w:val="none" w:sz="0" w:space="0" w:color="auto"/>
      </w:divBdr>
    </w:div>
    <w:div w:id="699478349">
      <w:bodyDiv w:val="1"/>
      <w:marLeft w:val="0"/>
      <w:marRight w:val="0"/>
      <w:marTop w:val="0"/>
      <w:marBottom w:val="0"/>
      <w:divBdr>
        <w:top w:val="none" w:sz="0" w:space="0" w:color="auto"/>
        <w:left w:val="none" w:sz="0" w:space="0" w:color="auto"/>
        <w:bottom w:val="none" w:sz="0" w:space="0" w:color="auto"/>
        <w:right w:val="none" w:sz="0" w:space="0" w:color="auto"/>
      </w:divBdr>
    </w:div>
    <w:div w:id="711731968">
      <w:bodyDiv w:val="1"/>
      <w:marLeft w:val="0"/>
      <w:marRight w:val="0"/>
      <w:marTop w:val="0"/>
      <w:marBottom w:val="0"/>
      <w:divBdr>
        <w:top w:val="none" w:sz="0" w:space="0" w:color="auto"/>
        <w:left w:val="none" w:sz="0" w:space="0" w:color="auto"/>
        <w:bottom w:val="none" w:sz="0" w:space="0" w:color="auto"/>
        <w:right w:val="none" w:sz="0" w:space="0" w:color="auto"/>
      </w:divBdr>
    </w:div>
    <w:div w:id="739718517">
      <w:bodyDiv w:val="1"/>
      <w:marLeft w:val="0"/>
      <w:marRight w:val="0"/>
      <w:marTop w:val="0"/>
      <w:marBottom w:val="0"/>
      <w:divBdr>
        <w:top w:val="none" w:sz="0" w:space="0" w:color="auto"/>
        <w:left w:val="none" w:sz="0" w:space="0" w:color="auto"/>
        <w:bottom w:val="none" w:sz="0" w:space="0" w:color="auto"/>
        <w:right w:val="none" w:sz="0" w:space="0" w:color="auto"/>
      </w:divBdr>
    </w:div>
    <w:div w:id="745539107">
      <w:bodyDiv w:val="1"/>
      <w:marLeft w:val="0"/>
      <w:marRight w:val="0"/>
      <w:marTop w:val="0"/>
      <w:marBottom w:val="0"/>
      <w:divBdr>
        <w:top w:val="none" w:sz="0" w:space="0" w:color="auto"/>
        <w:left w:val="none" w:sz="0" w:space="0" w:color="auto"/>
        <w:bottom w:val="none" w:sz="0" w:space="0" w:color="auto"/>
        <w:right w:val="none" w:sz="0" w:space="0" w:color="auto"/>
      </w:divBdr>
    </w:div>
    <w:div w:id="751241827">
      <w:bodyDiv w:val="1"/>
      <w:marLeft w:val="0"/>
      <w:marRight w:val="0"/>
      <w:marTop w:val="0"/>
      <w:marBottom w:val="0"/>
      <w:divBdr>
        <w:top w:val="none" w:sz="0" w:space="0" w:color="auto"/>
        <w:left w:val="none" w:sz="0" w:space="0" w:color="auto"/>
        <w:bottom w:val="none" w:sz="0" w:space="0" w:color="auto"/>
        <w:right w:val="none" w:sz="0" w:space="0" w:color="auto"/>
      </w:divBdr>
    </w:div>
    <w:div w:id="753626125">
      <w:bodyDiv w:val="1"/>
      <w:marLeft w:val="0"/>
      <w:marRight w:val="0"/>
      <w:marTop w:val="0"/>
      <w:marBottom w:val="0"/>
      <w:divBdr>
        <w:top w:val="none" w:sz="0" w:space="0" w:color="auto"/>
        <w:left w:val="none" w:sz="0" w:space="0" w:color="auto"/>
        <w:bottom w:val="none" w:sz="0" w:space="0" w:color="auto"/>
        <w:right w:val="none" w:sz="0" w:space="0" w:color="auto"/>
      </w:divBdr>
    </w:div>
    <w:div w:id="785192947">
      <w:bodyDiv w:val="1"/>
      <w:marLeft w:val="0"/>
      <w:marRight w:val="0"/>
      <w:marTop w:val="0"/>
      <w:marBottom w:val="0"/>
      <w:divBdr>
        <w:top w:val="none" w:sz="0" w:space="0" w:color="auto"/>
        <w:left w:val="none" w:sz="0" w:space="0" w:color="auto"/>
        <w:bottom w:val="none" w:sz="0" w:space="0" w:color="auto"/>
        <w:right w:val="none" w:sz="0" w:space="0" w:color="auto"/>
      </w:divBdr>
    </w:div>
    <w:div w:id="804346632">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
    <w:div w:id="839390881">
      <w:bodyDiv w:val="1"/>
      <w:marLeft w:val="0"/>
      <w:marRight w:val="0"/>
      <w:marTop w:val="0"/>
      <w:marBottom w:val="0"/>
      <w:divBdr>
        <w:top w:val="none" w:sz="0" w:space="0" w:color="auto"/>
        <w:left w:val="none" w:sz="0" w:space="0" w:color="auto"/>
        <w:bottom w:val="none" w:sz="0" w:space="0" w:color="auto"/>
        <w:right w:val="none" w:sz="0" w:space="0" w:color="auto"/>
      </w:divBdr>
    </w:div>
    <w:div w:id="842017495">
      <w:bodyDiv w:val="1"/>
      <w:marLeft w:val="0"/>
      <w:marRight w:val="0"/>
      <w:marTop w:val="0"/>
      <w:marBottom w:val="0"/>
      <w:divBdr>
        <w:top w:val="none" w:sz="0" w:space="0" w:color="auto"/>
        <w:left w:val="none" w:sz="0" w:space="0" w:color="auto"/>
        <w:bottom w:val="none" w:sz="0" w:space="0" w:color="auto"/>
        <w:right w:val="none" w:sz="0" w:space="0" w:color="auto"/>
      </w:divBdr>
    </w:div>
    <w:div w:id="844780529">
      <w:bodyDiv w:val="1"/>
      <w:marLeft w:val="0"/>
      <w:marRight w:val="0"/>
      <w:marTop w:val="0"/>
      <w:marBottom w:val="0"/>
      <w:divBdr>
        <w:top w:val="none" w:sz="0" w:space="0" w:color="auto"/>
        <w:left w:val="none" w:sz="0" w:space="0" w:color="auto"/>
        <w:bottom w:val="none" w:sz="0" w:space="0" w:color="auto"/>
        <w:right w:val="none" w:sz="0" w:space="0" w:color="auto"/>
      </w:divBdr>
    </w:div>
    <w:div w:id="847139049">
      <w:bodyDiv w:val="1"/>
      <w:marLeft w:val="0"/>
      <w:marRight w:val="0"/>
      <w:marTop w:val="0"/>
      <w:marBottom w:val="0"/>
      <w:divBdr>
        <w:top w:val="none" w:sz="0" w:space="0" w:color="auto"/>
        <w:left w:val="none" w:sz="0" w:space="0" w:color="auto"/>
        <w:bottom w:val="none" w:sz="0" w:space="0" w:color="auto"/>
        <w:right w:val="none" w:sz="0" w:space="0" w:color="auto"/>
      </w:divBdr>
    </w:div>
    <w:div w:id="875848519">
      <w:bodyDiv w:val="1"/>
      <w:marLeft w:val="0"/>
      <w:marRight w:val="0"/>
      <w:marTop w:val="0"/>
      <w:marBottom w:val="0"/>
      <w:divBdr>
        <w:top w:val="none" w:sz="0" w:space="0" w:color="auto"/>
        <w:left w:val="none" w:sz="0" w:space="0" w:color="auto"/>
        <w:bottom w:val="none" w:sz="0" w:space="0" w:color="auto"/>
        <w:right w:val="none" w:sz="0" w:space="0" w:color="auto"/>
      </w:divBdr>
    </w:div>
    <w:div w:id="907572578">
      <w:bodyDiv w:val="1"/>
      <w:marLeft w:val="0"/>
      <w:marRight w:val="0"/>
      <w:marTop w:val="0"/>
      <w:marBottom w:val="0"/>
      <w:divBdr>
        <w:top w:val="none" w:sz="0" w:space="0" w:color="auto"/>
        <w:left w:val="none" w:sz="0" w:space="0" w:color="auto"/>
        <w:bottom w:val="none" w:sz="0" w:space="0" w:color="auto"/>
        <w:right w:val="none" w:sz="0" w:space="0" w:color="auto"/>
      </w:divBdr>
    </w:div>
    <w:div w:id="912737649">
      <w:bodyDiv w:val="1"/>
      <w:marLeft w:val="0"/>
      <w:marRight w:val="0"/>
      <w:marTop w:val="0"/>
      <w:marBottom w:val="0"/>
      <w:divBdr>
        <w:top w:val="none" w:sz="0" w:space="0" w:color="auto"/>
        <w:left w:val="none" w:sz="0" w:space="0" w:color="auto"/>
        <w:bottom w:val="none" w:sz="0" w:space="0" w:color="auto"/>
        <w:right w:val="none" w:sz="0" w:space="0" w:color="auto"/>
      </w:divBdr>
    </w:div>
    <w:div w:id="922879662">
      <w:bodyDiv w:val="1"/>
      <w:marLeft w:val="0"/>
      <w:marRight w:val="0"/>
      <w:marTop w:val="0"/>
      <w:marBottom w:val="0"/>
      <w:divBdr>
        <w:top w:val="none" w:sz="0" w:space="0" w:color="auto"/>
        <w:left w:val="none" w:sz="0" w:space="0" w:color="auto"/>
        <w:bottom w:val="none" w:sz="0" w:space="0" w:color="auto"/>
        <w:right w:val="none" w:sz="0" w:space="0" w:color="auto"/>
      </w:divBdr>
    </w:div>
    <w:div w:id="943459988">
      <w:bodyDiv w:val="1"/>
      <w:marLeft w:val="0"/>
      <w:marRight w:val="0"/>
      <w:marTop w:val="0"/>
      <w:marBottom w:val="0"/>
      <w:divBdr>
        <w:top w:val="none" w:sz="0" w:space="0" w:color="auto"/>
        <w:left w:val="none" w:sz="0" w:space="0" w:color="auto"/>
        <w:bottom w:val="none" w:sz="0" w:space="0" w:color="auto"/>
        <w:right w:val="none" w:sz="0" w:space="0" w:color="auto"/>
      </w:divBdr>
    </w:div>
    <w:div w:id="945890550">
      <w:bodyDiv w:val="1"/>
      <w:marLeft w:val="0"/>
      <w:marRight w:val="0"/>
      <w:marTop w:val="0"/>
      <w:marBottom w:val="0"/>
      <w:divBdr>
        <w:top w:val="none" w:sz="0" w:space="0" w:color="auto"/>
        <w:left w:val="none" w:sz="0" w:space="0" w:color="auto"/>
        <w:bottom w:val="none" w:sz="0" w:space="0" w:color="auto"/>
        <w:right w:val="none" w:sz="0" w:space="0" w:color="auto"/>
      </w:divBdr>
    </w:div>
    <w:div w:id="955647454">
      <w:bodyDiv w:val="1"/>
      <w:marLeft w:val="0"/>
      <w:marRight w:val="0"/>
      <w:marTop w:val="0"/>
      <w:marBottom w:val="0"/>
      <w:divBdr>
        <w:top w:val="none" w:sz="0" w:space="0" w:color="auto"/>
        <w:left w:val="none" w:sz="0" w:space="0" w:color="auto"/>
        <w:bottom w:val="none" w:sz="0" w:space="0" w:color="auto"/>
        <w:right w:val="none" w:sz="0" w:space="0" w:color="auto"/>
      </w:divBdr>
    </w:div>
    <w:div w:id="969895213">
      <w:bodyDiv w:val="1"/>
      <w:marLeft w:val="0"/>
      <w:marRight w:val="0"/>
      <w:marTop w:val="0"/>
      <w:marBottom w:val="0"/>
      <w:divBdr>
        <w:top w:val="none" w:sz="0" w:space="0" w:color="auto"/>
        <w:left w:val="none" w:sz="0" w:space="0" w:color="auto"/>
        <w:bottom w:val="none" w:sz="0" w:space="0" w:color="auto"/>
        <w:right w:val="none" w:sz="0" w:space="0" w:color="auto"/>
      </w:divBdr>
    </w:div>
    <w:div w:id="1020856615">
      <w:bodyDiv w:val="1"/>
      <w:marLeft w:val="0"/>
      <w:marRight w:val="0"/>
      <w:marTop w:val="0"/>
      <w:marBottom w:val="0"/>
      <w:divBdr>
        <w:top w:val="none" w:sz="0" w:space="0" w:color="auto"/>
        <w:left w:val="none" w:sz="0" w:space="0" w:color="auto"/>
        <w:bottom w:val="none" w:sz="0" w:space="0" w:color="auto"/>
        <w:right w:val="none" w:sz="0" w:space="0" w:color="auto"/>
      </w:divBdr>
    </w:div>
    <w:div w:id="1033994055">
      <w:bodyDiv w:val="1"/>
      <w:marLeft w:val="0"/>
      <w:marRight w:val="0"/>
      <w:marTop w:val="0"/>
      <w:marBottom w:val="0"/>
      <w:divBdr>
        <w:top w:val="none" w:sz="0" w:space="0" w:color="auto"/>
        <w:left w:val="none" w:sz="0" w:space="0" w:color="auto"/>
        <w:bottom w:val="none" w:sz="0" w:space="0" w:color="auto"/>
        <w:right w:val="none" w:sz="0" w:space="0" w:color="auto"/>
      </w:divBdr>
    </w:div>
    <w:div w:id="1045375772">
      <w:bodyDiv w:val="1"/>
      <w:marLeft w:val="0"/>
      <w:marRight w:val="0"/>
      <w:marTop w:val="0"/>
      <w:marBottom w:val="0"/>
      <w:divBdr>
        <w:top w:val="none" w:sz="0" w:space="0" w:color="auto"/>
        <w:left w:val="none" w:sz="0" w:space="0" w:color="auto"/>
        <w:bottom w:val="none" w:sz="0" w:space="0" w:color="auto"/>
        <w:right w:val="none" w:sz="0" w:space="0" w:color="auto"/>
      </w:divBdr>
    </w:div>
    <w:div w:id="1050031186">
      <w:bodyDiv w:val="1"/>
      <w:marLeft w:val="0"/>
      <w:marRight w:val="0"/>
      <w:marTop w:val="0"/>
      <w:marBottom w:val="0"/>
      <w:divBdr>
        <w:top w:val="none" w:sz="0" w:space="0" w:color="auto"/>
        <w:left w:val="none" w:sz="0" w:space="0" w:color="auto"/>
        <w:bottom w:val="none" w:sz="0" w:space="0" w:color="auto"/>
        <w:right w:val="none" w:sz="0" w:space="0" w:color="auto"/>
      </w:divBdr>
    </w:div>
    <w:div w:id="1056129024">
      <w:bodyDiv w:val="1"/>
      <w:marLeft w:val="0"/>
      <w:marRight w:val="0"/>
      <w:marTop w:val="0"/>
      <w:marBottom w:val="0"/>
      <w:divBdr>
        <w:top w:val="none" w:sz="0" w:space="0" w:color="auto"/>
        <w:left w:val="none" w:sz="0" w:space="0" w:color="auto"/>
        <w:bottom w:val="none" w:sz="0" w:space="0" w:color="auto"/>
        <w:right w:val="none" w:sz="0" w:space="0" w:color="auto"/>
      </w:divBdr>
    </w:div>
    <w:div w:id="1065225476">
      <w:bodyDiv w:val="1"/>
      <w:marLeft w:val="0"/>
      <w:marRight w:val="0"/>
      <w:marTop w:val="0"/>
      <w:marBottom w:val="0"/>
      <w:divBdr>
        <w:top w:val="none" w:sz="0" w:space="0" w:color="auto"/>
        <w:left w:val="none" w:sz="0" w:space="0" w:color="auto"/>
        <w:bottom w:val="none" w:sz="0" w:space="0" w:color="auto"/>
        <w:right w:val="none" w:sz="0" w:space="0" w:color="auto"/>
      </w:divBdr>
    </w:div>
    <w:div w:id="1084491713">
      <w:bodyDiv w:val="1"/>
      <w:marLeft w:val="0"/>
      <w:marRight w:val="0"/>
      <w:marTop w:val="0"/>
      <w:marBottom w:val="0"/>
      <w:divBdr>
        <w:top w:val="none" w:sz="0" w:space="0" w:color="auto"/>
        <w:left w:val="none" w:sz="0" w:space="0" w:color="auto"/>
        <w:bottom w:val="none" w:sz="0" w:space="0" w:color="auto"/>
        <w:right w:val="none" w:sz="0" w:space="0" w:color="auto"/>
      </w:divBdr>
    </w:div>
    <w:div w:id="1105422710">
      <w:bodyDiv w:val="1"/>
      <w:marLeft w:val="0"/>
      <w:marRight w:val="0"/>
      <w:marTop w:val="0"/>
      <w:marBottom w:val="0"/>
      <w:divBdr>
        <w:top w:val="none" w:sz="0" w:space="0" w:color="auto"/>
        <w:left w:val="none" w:sz="0" w:space="0" w:color="auto"/>
        <w:bottom w:val="none" w:sz="0" w:space="0" w:color="auto"/>
        <w:right w:val="none" w:sz="0" w:space="0" w:color="auto"/>
      </w:divBdr>
    </w:div>
    <w:div w:id="1108432746">
      <w:bodyDiv w:val="1"/>
      <w:marLeft w:val="0"/>
      <w:marRight w:val="0"/>
      <w:marTop w:val="0"/>
      <w:marBottom w:val="0"/>
      <w:divBdr>
        <w:top w:val="none" w:sz="0" w:space="0" w:color="auto"/>
        <w:left w:val="none" w:sz="0" w:space="0" w:color="auto"/>
        <w:bottom w:val="none" w:sz="0" w:space="0" w:color="auto"/>
        <w:right w:val="none" w:sz="0" w:space="0" w:color="auto"/>
      </w:divBdr>
    </w:div>
    <w:div w:id="1111709067">
      <w:bodyDiv w:val="1"/>
      <w:marLeft w:val="0"/>
      <w:marRight w:val="0"/>
      <w:marTop w:val="0"/>
      <w:marBottom w:val="0"/>
      <w:divBdr>
        <w:top w:val="none" w:sz="0" w:space="0" w:color="auto"/>
        <w:left w:val="none" w:sz="0" w:space="0" w:color="auto"/>
        <w:bottom w:val="none" w:sz="0" w:space="0" w:color="auto"/>
        <w:right w:val="none" w:sz="0" w:space="0" w:color="auto"/>
      </w:divBdr>
    </w:div>
    <w:div w:id="1122847486">
      <w:bodyDiv w:val="1"/>
      <w:marLeft w:val="0"/>
      <w:marRight w:val="0"/>
      <w:marTop w:val="0"/>
      <w:marBottom w:val="0"/>
      <w:divBdr>
        <w:top w:val="none" w:sz="0" w:space="0" w:color="auto"/>
        <w:left w:val="none" w:sz="0" w:space="0" w:color="auto"/>
        <w:bottom w:val="none" w:sz="0" w:space="0" w:color="auto"/>
        <w:right w:val="none" w:sz="0" w:space="0" w:color="auto"/>
      </w:divBdr>
    </w:div>
    <w:div w:id="1133669764">
      <w:bodyDiv w:val="1"/>
      <w:marLeft w:val="0"/>
      <w:marRight w:val="0"/>
      <w:marTop w:val="0"/>
      <w:marBottom w:val="0"/>
      <w:divBdr>
        <w:top w:val="none" w:sz="0" w:space="0" w:color="auto"/>
        <w:left w:val="none" w:sz="0" w:space="0" w:color="auto"/>
        <w:bottom w:val="none" w:sz="0" w:space="0" w:color="auto"/>
        <w:right w:val="none" w:sz="0" w:space="0" w:color="auto"/>
      </w:divBdr>
    </w:div>
    <w:div w:id="1136606239">
      <w:bodyDiv w:val="1"/>
      <w:marLeft w:val="0"/>
      <w:marRight w:val="0"/>
      <w:marTop w:val="0"/>
      <w:marBottom w:val="0"/>
      <w:divBdr>
        <w:top w:val="none" w:sz="0" w:space="0" w:color="auto"/>
        <w:left w:val="none" w:sz="0" w:space="0" w:color="auto"/>
        <w:bottom w:val="none" w:sz="0" w:space="0" w:color="auto"/>
        <w:right w:val="none" w:sz="0" w:space="0" w:color="auto"/>
      </w:divBdr>
    </w:div>
    <w:div w:id="1219437013">
      <w:bodyDiv w:val="1"/>
      <w:marLeft w:val="0"/>
      <w:marRight w:val="0"/>
      <w:marTop w:val="0"/>
      <w:marBottom w:val="0"/>
      <w:divBdr>
        <w:top w:val="none" w:sz="0" w:space="0" w:color="auto"/>
        <w:left w:val="none" w:sz="0" w:space="0" w:color="auto"/>
        <w:bottom w:val="none" w:sz="0" w:space="0" w:color="auto"/>
        <w:right w:val="none" w:sz="0" w:space="0" w:color="auto"/>
      </w:divBdr>
    </w:div>
    <w:div w:id="1227497446">
      <w:bodyDiv w:val="1"/>
      <w:marLeft w:val="0"/>
      <w:marRight w:val="0"/>
      <w:marTop w:val="0"/>
      <w:marBottom w:val="0"/>
      <w:divBdr>
        <w:top w:val="none" w:sz="0" w:space="0" w:color="auto"/>
        <w:left w:val="none" w:sz="0" w:space="0" w:color="auto"/>
        <w:bottom w:val="none" w:sz="0" w:space="0" w:color="auto"/>
        <w:right w:val="none" w:sz="0" w:space="0" w:color="auto"/>
      </w:divBdr>
    </w:div>
    <w:div w:id="1260141698">
      <w:bodyDiv w:val="1"/>
      <w:marLeft w:val="0"/>
      <w:marRight w:val="0"/>
      <w:marTop w:val="0"/>
      <w:marBottom w:val="0"/>
      <w:divBdr>
        <w:top w:val="none" w:sz="0" w:space="0" w:color="auto"/>
        <w:left w:val="none" w:sz="0" w:space="0" w:color="auto"/>
        <w:bottom w:val="none" w:sz="0" w:space="0" w:color="auto"/>
        <w:right w:val="none" w:sz="0" w:space="0" w:color="auto"/>
      </w:divBdr>
    </w:div>
    <w:div w:id="1260799166">
      <w:bodyDiv w:val="1"/>
      <w:marLeft w:val="0"/>
      <w:marRight w:val="0"/>
      <w:marTop w:val="0"/>
      <w:marBottom w:val="0"/>
      <w:divBdr>
        <w:top w:val="none" w:sz="0" w:space="0" w:color="auto"/>
        <w:left w:val="none" w:sz="0" w:space="0" w:color="auto"/>
        <w:bottom w:val="none" w:sz="0" w:space="0" w:color="auto"/>
        <w:right w:val="none" w:sz="0" w:space="0" w:color="auto"/>
      </w:divBdr>
    </w:div>
    <w:div w:id="1269657130">
      <w:bodyDiv w:val="1"/>
      <w:marLeft w:val="0"/>
      <w:marRight w:val="0"/>
      <w:marTop w:val="0"/>
      <w:marBottom w:val="0"/>
      <w:divBdr>
        <w:top w:val="none" w:sz="0" w:space="0" w:color="auto"/>
        <w:left w:val="none" w:sz="0" w:space="0" w:color="auto"/>
        <w:bottom w:val="none" w:sz="0" w:space="0" w:color="auto"/>
        <w:right w:val="none" w:sz="0" w:space="0" w:color="auto"/>
      </w:divBdr>
    </w:div>
    <w:div w:id="1275674309">
      <w:bodyDiv w:val="1"/>
      <w:marLeft w:val="0"/>
      <w:marRight w:val="0"/>
      <w:marTop w:val="0"/>
      <w:marBottom w:val="0"/>
      <w:divBdr>
        <w:top w:val="none" w:sz="0" w:space="0" w:color="auto"/>
        <w:left w:val="none" w:sz="0" w:space="0" w:color="auto"/>
        <w:bottom w:val="none" w:sz="0" w:space="0" w:color="auto"/>
        <w:right w:val="none" w:sz="0" w:space="0" w:color="auto"/>
      </w:divBdr>
    </w:div>
    <w:div w:id="1280260310">
      <w:bodyDiv w:val="1"/>
      <w:marLeft w:val="0"/>
      <w:marRight w:val="0"/>
      <w:marTop w:val="0"/>
      <w:marBottom w:val="0"/>
      <w:divBdr>
        <w:top w:val="none" w:sz="0" w:space="0" w:color="auto"/>
        <w:left w:val="none" w:sz="0" w:space="0" w:color="auto"/>
        <w:bottom w:val="none" w:sz="0" w:space="0" w:color="auto"/>
        <w:right w:val="none" w:sz="0" w:space="0" w:color="auto"/>
      </w:divBdr>
    </w:div>
    <w:div w:id="1299066689">
      <w:bodyDiv w:val="1"/>
      <w:marLeft w:val="0"/>
      <w:marRight w:val="0"/>
      <w:marTop w:val="0"/>
      <w:marBottom w:val="0"/>
      <w:divBdr>
        <w:top w:val="none" w:sz="0" w:space="0" w:color="auto"/>
        <w:left w:val="none" w:sz="0" w:space="0" w:color="auto"/>
        <w:bottom w:val="none" w:sz="0" w:space="0" w:color="auto"/>
        <w:right w:val="none" w:sz="0" w:space="0" w:color="auto"/>
      </w:divBdr>
    </w:div>
    <w:div w:id="1311977725">
      <w:bodyDiv w:val="1"/>
      <w:marLeft w:val="0"/>
      <w:marRight w:val="0"/>
      <w:marTop w:val="0"/>
      <w:marBottom w:val="0"/>
      <w:divBdr>
        <w:top w:val="none" w:sz="0" w:space="0" w:color="auto"/>
        <w:left w:val="none" w:sz="0" w:space="0" w:color="auto"/>
        <w:bottom w:val="none" w:sz="0" w:space="0" w:color="auto"/>
        <w:right w:val="none" w:sz="0" w:space="0" w:color="auto"/>
      </w:divBdr>
    </w:div>
    <w:div w:id="1324700296">
      <w:bodyDiv w:val="1"/>
      <w:marLeft w:val="0"/>
      <w:marRight w:val="0"/>
      <w:marTop w:val="0"/>
      <w:marBottom w:val="0"/>
      <w:divBdr>
        <w:top w:val="none" w:sz="0" w:space="0" w:color="auto"/>
        <w:left w:val="none" w:sz="0" w:space="0" w:color="auto"/>
        <w:bottom w:val="none" w:sz="0" w:space="0" w:color="auto"/>
        <w:right w:val="none" w:sz="0" w:space="0" w:color="auto"/>
      </w:divBdr>
    </w:div>
    <w:div w:id="1326667921">
      <w:bodyDiv w:val="1"/>
      <w:marLeft w:val="0"/>
      <w:marRight w:val="0"/>
      <w:marTop w:val="0"/>
      <w:marBottom w:val="0"/>
      <w:divBdr>
        <w:top w:val="none" w:sz="0" w:space="0" w:color="auto"/>
        <w:left w:val="none" w:sz="0" w:space="0" w:color="auto"/>
        <w:bottom w:val="none" w:sz="0" w:space="0" w:color="auto"/>
        <w:right w:val="none" w:sz="0" w:space="0" w:color="auto"/>
      </w:divBdr>
    </w:div>
    <w:div w:id="1330400493">
      <w:bodyDiv w:val="1"/>
      <w:marLeft w:val="0"/>
      <w:marRight w:val="0"/>
      <w:marTop w:val="0"/>
      <w:marBottom w:val="0"/>
      <w:divBdr>
        <w:top w:val="none" w:sz="0" w:space="0" w:color="auto"/>
        <w:left w:val="none" w:sz="0" w:space="0" w:color="auto"/>
        <w:bottom w:val="none" w:sz="0" w:space="0" w:color="auto"/>
        <w:right w:val="none" w:sz="0" w:space="0" w:color="auto"/>
      </w:divBdr>
    </w:div>
    <w:div w:id="1331174000">
      <w:bodyDiv w:val="1"/>
      <w:marLeft w:val="0"/>
      <w:marRight w:val="0"/>
      <w:marTop w:val="0"/>
      <w:marBottom w:val="0"/>
      <w:divBdr>
        <w:top w:val="none" w:sz="0" w:space="0" w:color="auto"/>
        <w:left w:val="none" w:sz="0" w:space="0" w:color="auto"/>
        <w:bottom w:val="none" w:sz="0" w:space="0" w:color="auto"/>
        <w:right w:val="none" w:sz="0" w:space="0" w:color="auto"/>
      </w:divBdr>
    </w:div>
    <w:div w:id="1410346318">
      <w:bodyDiv w:val="1"/>
      <w:marLeft w:val="0"/>
      <w:marRight w:val="0"/>
      <w:marTop w:val="0"/>
      <w:marBottom w:val="0"/>
      <w:divBdr>
        <w:top w:val="none" w:sz="0" w:space="0" w:color="auto"/>
        <w:left w:val="none" w:sz="0" w:space="0" w:color="auto"/>
        <w:bottom w:val="none" w:sz="0" w:space="0" w:color="auto"/>
        <w:right w:val="none" w:sz="0" w:space="0" w:color="auto"/>
      </w:divBdr>
    </w:div>
    <w:div w:id="1416435158">
      <w:bodyDiv w:val="1"/>
      <w:marLeft w:val="0"/>
      <w:marRight w:val="0"/>
      <w:marTop w:val="0"/>
      <w:marBottom w:val="0"/>
      <w:divBdr>
        <w:top w:val="none" w:sz="0" w:space="0" w:color="auto"/>
        <w:left w:val="none" w:sz="0" w:space="0" w:color="auto"/>
        <w:bottom w:val="none" w:sz="0" w:space="0" w:color="auto"/>
        <w:right w:val="none" w:sz="0" w:space="0" w:color="auto"/>
      </w:divBdr>
    </w:div>
    <w:div w:id="1417744663">
      <w:bodyDiv w:val="1"/>
      <w:marLeft w:val="0"/>
      <w:marRight w:val="0"/>
      <w:marTop w:val="0"/>
      <w:marBottom w:val="0"/>
      <w:divBdr>
        <w:top w:val="none" w:sz="0" w:space="0" w:color="auto"/>
        <w:left w:val="none" w:sz="0" w:space="0" w:color="auto"/>
        <w:bottom w:val="none" w:sz="0" w:space="0" w:color="auto"/>
        <w:right w:val="none" w:sz="0" w:space="0" w:color="auto"/>
      </w:divBdr>
    </w:div>
    <w:div w:id="1422795001">
      <w:bodyDiv w:val="1"/>
      <w:marLeft w:val="0"/>
      <w:marRight w:val="0"/>
      <w:marTop w:val="0"/>
      <w:marBottom w:val="0"/>
      <w:divBdr>
        <w:top w:val="none" w:sz="0" w:space="0" w:color="auto"/>
        <w:left w:val="none" w:sz="0" w:space="0" w:color="auto"/>
        <w:bottom w:val="none" w:sz="0" w:space="0" w:color="auto"/>
        <w:right w:val="none" w:sz="0" w:space="0" w:color="auto"/>
      </w:divBdr>
    </w:div>
    <w:div w:id="1459298258">
      <w:bodyDiv w:val="1"/>
      <w:marLeft w:val="0"/>
      <w:marRight w:val="0"/>
      <w:marTop w:val="0"/>
      <w:marBottom w:val="0"/>
      <w:divBdr>
        <w:top w:val="none" w:sz="0" w:space="0" w:color="auto"/>
        <w:left w:val="none" w:sz="0" w:space="0" w:color="auto"/>
        <w:bottom w:val="none" w:sz="0" w:space="0" w:color="auto"/>
        <w:right w:val="none" w:sz="0" w:space="0" w:color="auto"/>
      </w:divBdr>
    </w:div>
    <w:div w:id="1505127913">
      <w:bodyDiv w:val="1"/>
      <w:marLeft w:val="0"/>
      <w:marRight w:val="0"/>
      <w:marTop w:val="0"/>
      <w:marBottom w:val="0"/>
      <w:divBdr>
        <w:top w:val="none" w:sz="0" w:space="0" w:color="auto"/>
        <w:left w:val="none" w:sz="0" w:space="0" w:color="auto"/>
        <w:bottom w:val="none" w:sz="0" w:space="0" w:color="auto"/>
        <w:right w:val="none" w:sz="0" w:space="0" w:color="auto"/>
      </w:divBdr>
    </w:div>
    <w:div w:id="1526601484">
      <w:bodyDiv w:val="1"/>
      <w:marLeft w:val="0"/>
      <w:marRight w:val="0"/>
      <w:marTop w:val="0"/>
      <w:marBottom w:val="0"/>
      <w:divBdr>
        <w:top w:val="none" w:sz="0" w:space="0" w:color="auto"/>
        <w:left w:val="none" w:sz="0" w:space="0" w:color="auto"/>
        <w:bottom w:val="none" w:sz="0" w:space="0" w:color="auto"/>
        <w:right w:val="none" w:sz="0" w:space="0" w:color="auto"/>
      </w:divBdr>
    </w:div>
    <w:div w:id="1532958705">
      <w:bodyDiv w:val="1"/>
      <w:marLeft w:val="0"/>
      <w:marRight w:val="0"/>
      <w:marTop w:val="0"/>
      <w:marBottom w:val="0"/>
      <w:divBdr>
        <w:top w:val="none" w:sz="0" w:space="0" w:color="auto"/>
        <w:left w:val="none" w:sz="0" w:space="0" w:color="auto"/>
        <w:bottom w:val="none" w:sz="0" w:space="0" w:color="auto"/>
        <w:right w:val="none" w:sz="0" w:space="0" w:color="auto"/>
      </w:divBdr>
    </w:div>
    <w:div w:id="1567715554">
      <w:bodyDiv w:val="1"/>
      <w:marLeft w:val="0"/>
      <w:marRight w:val="0"/>
      <w:marTop w:val="0"/>
      <w:marBottom w:val="0"/>
      <w:divBdr>
        <w:top w:val="none" w:sz="0" w:space="0" w:color="auto"/>
        <w:left w:val="none" w:sz="0" w:space="0" w:color="auto"/>
        <w:bottom w:val="none" w:sz="0" w:space="0" w:color="auto"/>
        <w:right w:val="none" w:sz="0" w:space="0" w:color="auto"/>
      </w:divBdr>
    </w:div>
    <w:div w:id="1580556374">
      <w:bodyDiv w:val="1"/>
      <w:marLeft w:val="0"/>
      <w:marRight w:val="0"/>
      <w:marTop w:val="0"/>
      <w:marBottom w:val="0"/>
      <w:divBdr>
        <w:top w:val="none" w:sz="0" w:space="0" w:color="auto"/>
        <w:left w:val="none" w:sz="0" w:space="0" w:color="auto"/>
        <w:bottom w:val="none" w:sz="0" w:space="0" w:color="auto"/>
        <w:right w:val="none" w:sz="0" w:space="0" w:color="auto"/>
      </w:divBdr>
    </w:div>
    <w:div w:id="1581600799">
      <w:bodyDiv w:val="1"/>
      <w:marLeft w:val="0"/>
      <w:marRight w:val="0"/>
      <w:marTop w:val="0"/>
      <w:marBottom w:val="0"/>
      <w:divBdr>
        <w:top w:val="none" w:sz="0" w:space="0" w:color="auto"/>
        <w:left w:val="none" w:sz="0" w:space="0" w:color="auto"/>
        <w:bottom w:val="none" w:sz="0" w:space="0" w:color="auto"/>
        <w:right w:val="none" w:sz="0" w:space="0" w:color="auto"/>
      </w:divBdr>
    </w:div>
    <w:div w:id="1623221840">
      <w:bodyDiv w:val="1"/>
      <w:marLeft w:val="0"/>
      <w:marRight w:val="0"/>
      <w:marTop w:val="0"/>
      <w:marBottom w:val="0"/>
      <w:divBdr>
        <w:top w:val="none" w:sz="0" w:space="0" w:color="auto"/>
        <w:left w:val="none" w:sz="0" w:space="0" w:color="auto"/>
        <w:bottom w:val="none" w:sz="0" w:space="0" w:color="auto"/>
        <w:right w:val="none" w:sz="0" w:space="0" w:color="auto"/>
      </w:divBdr>
    </w:div>
    <w:div w:id="1628855831">
      <w:bodyDiv w:val="1"/>
      <w:marLeft w:val="0"/>
      <w:marRight w:val="0"/>
      <w:marTop w:val="0"/>
      <w:marBottom w:val="0"/>
      <w:divBdr>
        <w:top w:val="none" w:sz="0" w:space="0" w:color="auto"/>
        <w:left w:val="none" w:sz="0" w:space="0" w:color="auto"/>
        <w:bottom w:val="none" w:sz="0" w:space="0" w:color="auto"/>
        <w:right w:val="none" w:sz="0" w:space="0" w:color="auto"/>
      </w:divBdr>
    </w:div>
    <w:div w:id="1663503747">
      <w:bodyDiv w:val="1"/>
      <w:marLeft w:val="0"/>
      <w:marRight w:val="0"/>
      <w:marTop w:val="0"/>
      <w:marBottom w:val="0"/>
      <w:divBdr>
        <w:top w:val="none" w:sz="0" w:space="0" w:color="auto"/>
        <w:left w:val="none" w:sz="0" w:space="0" w:color="auto"/>
        <w:bottom w:val="none" w:sz="0" w:space="0" w:color="auto"/>
        <w:right w:val="none" w:sz="0" w:space="0" w:color="auto"/>
      </w:divBdr>
    </w:div>
    <w:div w:id="1681197767">
      <w:bodyDiv w:val="1"/>
      <w:marLeft w:val="0"/>
      <w:marRight w:val="0"/>
      <w:marTop w:val="0"/>
      <w:marBottom w:val="0"/>
      <w:divBdr>
        <w:top w:val="none" w:sz="0" w:space="0" w:color="auto"/>
        <w:left w:val="none" w:sz="0" w:space="0" w:color="auto"/>
        <w:bottom w:val="none" w:sz="0" w:space="0" w:color="auto"/>
        <w:right w:val="none" w:sz="0" w:space="0" w:color="auto"/>
      </w:divBdr>
    </w:div>
    <w:div w:id="1683429868">
      <w:bodyDiv w:val="1"/>
      <w:marLeft w:val="0"/>
      <w:marRight w:val="0"/>
      <w:marTop w:val="0"/>
      <w:marBottom w:val="0"/>
      <w:divBdr>
        <w:top w:val="none" w:sz="0" w:space="0" w:color="auto"/>
        <w:left w:val="none" w:sz="0" w:space="0" w:color="auto"/>
        <w:bottom w:val="none" w:sz="0" w:space="0" w:color="auto"/>
        <w:right w:val="none" w:sz="0" w:space="0" w:color="auto"/>
      </w:divBdr>
    </w:div>
    <w:div w:id="1684865796">
      <w:bodyDiv w:val="1"/>
      <w:marLeft w:val="0"/>
      <w:marRight w:val="0"/>
      <w:marTop w:val="0"/>
      <w:marBottom w:val="0"/>
      <w:divBdr>
        <w:top w:val="none" w:sz="0" w:space="0" w:color="auto"/>
        <w:left w:val="none" w:sz="0" w:space="0" w:color="auto"/>
        <w:bottom w:val="none" w:sz="0" w:space="0" w:color="auto"/>
        <w:right w:val="none" w:sz="0" w:space="0" w:color="auto"/>
      </w:divBdr>
    </w:div>
    <w:div w:id="1705012372">
      <w:bodyDiv w:val="1"/>
      <w:marLeft w:val="0"/>
      <w:marRight w:val="0"/>
      <w:marTop w:val="0"/>
      <w:marBottom w:val="0"/>
      <w:divBdr>
        <w:top w:val="none" w:sz="0" w:space="0" w:color="auto"/>
        <w:left w:val="none" w:sz="0" w:space="0" w:color="auto"/>
        <w:bottom w:val="none" w:sz="0" w:space="0" w:color="auto"/>
        <w:right w:val="none" w:sz="0" w:space="0" w:color="auto"/>
      </w:divBdr>
    </w:div>
    <w:div w:id="1783568363">
      <w:bodyDiv w:val="1"/>
      <w:marLeft w:val="0"/>
      <w:marRight w:val="0"/>
      <w:marTop w:val="0"/>
      <w:marBottom w:val="0"/>
      <w:divBdr>
        <w:top w:val="none" w:sz="0" w:space="0" w:color="auto"/>
        <w:left w:val="none" w:sz="0" w:space="0" w:color="auto"/>
        <w:bottom w:val="none" w:sz="0" w:space="0" w:color="auto"/>
        <w:right w:val="none" w:sz="0" w:space="0" w:color="auto"/>
      </w:divBdr>
    </w:div>
    <w:div w:id="1793859833">
      <w:bodyDiv w:val="1"/>
      <w:marLeft w:val="0"/>
      <w:marRight w:val="0"/>
      <w:marTop w:val="0"/>
      <w:marBottom w:val="0"/>
      <w:divBdr>
        <w:top w:val="none" w:sz="0" w:space="0" w:color="auto"/>
        <w:left w:val="none" w:sz="0" w:space="0" w:color="auto"/>
        <w:bottom w:val="none" w:sz="0" w:space="0" w:color="auto"/>
        <w:right w:val="none" w:sz="0" w:space="0" w:color="auto"/>
      </w:divBdr>
    </w:div>
    <w:div w:id="1800873784">
      <w:bodyDiv w:val="1"/>
      <w:marLeft w:val="0"/>
      <w:marRight w:val="0"/>
      <w:marTop w:val="0"/>
      <w:marBottom w:val="0"/>
      <w:divBdr>
        <w:top w:val="none" w:sz="0" w:space="0" w:color="auto"/>
        <w:left w:val="none" w:sz="0" w:space="0" w:color="auto"/>
        <w:bottom w:val="none" w:sz="0" w:space="0" w:color="auto"/>
        <w:right w:val="none" w:sz="0" w:space="0" w:color="auto"/>
      </w:divBdr>
    </w:div>
    <w:div w:id="1816407100">
      <w:bodyDiv w:val="1"/>
      <w:marLeft w:val="0"/>
      <w:marRight w:val="0"/>
      <w:marTop w:val="0"/>
      <w:marBottom w:val="0"/>
      <w:divBdr>
        <w:top w:val="none" w:sz="0" w:space="0" w:color="auto"/>
        <w:left w:val="none" w:sz="0" w:space="0" w:color="auto"/>
        <w:bottom w:val="none" w:sz="0" w:space="0" w:color="auto"/>
        <w:right w:val="none" w:sz="0" w:space="0" w:color="auto"/>
      </w:divBdr>
    </w:div>
    <w:div w:id="1835953724">
      <w:bodyDiv w:val="1"/>
      <w:marLeft w:val="0"/>
      <w:marRight w:val="0"/>
      <w:marTop w:val="0"/>
      <w:marBottom w:val="0"/>
      <w:divBdr>
        <w:top w:val="none" w:sz="0" w:space="0" w:color="auto"/>
        <w:left w:val="none" w:sz="0" w:space="0" w:color="auto"/>
        <w:bottom w:val="none" w:sz="0" w:space="0" w:color="auto"/>
        <w:right w:val="none" w:sz="0" w:space="0" w:color="auto"/>
      </w:divBdr>
    </w:div>
    <w:div w:id="1839225590">
      <w:bodyDiv w:val="1"/>
      <w:marLeft w:val="0"/>
      <w:marRight w:val="0"/>
      <w:marTop w:val="0"/>
      <w:marBottom w:val="0"/>
      <w:divBdr>
        <w:top w:val="none" w:sz="0" w:space="0" w:color="auto"/>
        <w:left w:val="none" w:sz="0" w:space="0" w:color="auto"/>
        <w:bottom w:val="none" w:sz="0" w:space="0" w:color="auto"/>
        <w:right w:val="none" w:sz="0" w:space="0" w:color="auto"/>
      </w:divBdr>
    </w:div>
    <w:div w:id="1845170916">
      <w:bodyDiv w:val="1"/>
      <w:marLeft w:val="0"/>
      <w:marRight w:val="0"/>
      <w:marTop w:val="0"/>
      <w:marBottom w:val="0"/>
      <w:divBdr>
        <w:top w:val="none" w:sz="0" w:space="0" w:color="auto"/>
        <w:left w:val="none" w:sz="0" w:space="0" w:color="auto"/>
        <w:bottom w:val="none" w:sz="0" w:space="0" w:color="auto"/>
        <w:right w:val="none" w:sz="0" w:space="0" w:color="auto"/>
      </w:divBdr>
    </w:div>
    <w:div w:id="1851988143">
      <w:bodyDiv w:val="1"/>
      <w:marLeft w:val="0"/>
      <w:marRight w:val="0"/>
      <w:marTop w:val="0"/>
      <w:marBottom w:val="0"/>
      <w:divBdr>
        <w:top w:val="none" w:sz="0" w:space="0" w:color="auto"/>
        <w:left w:val="none" w:sz="0" w:space="0" w:color="auto"/>
        <w:bottom w:val="none" w:sz="0" w:space="0" w:color="auto"/>
        <w:right w:val="none" w:sz="0" w:space="0" w:color="auto"/>
      </w:divBdr>
    </w:div>
    <w:div w:id="1853062992">
      <w:bodyDiv w:val="1"/>
      <w:marLeft w:val="0"/>
      <w:marRight w:val="0"/>
      <w:marTop w:val="0"/>
      <w:marBottom w:val="0"/>
      <w:divBdr>
        <w:top w:val="none" w:sz="0" w:space="0" w:color="auto"/>
        <w:left w:val="none" w:sz="0" w:space="0" w:color="auto"/>
        <w:bottom w:val="none" w:sz="0" w:space="0" w:color="auto"/>
        <w:right w:val="none" w:sz="0" w:space="0" w:color="auto"/>
      </w:divBdr>
    </w:div>
    <w:div w:id="1907567243">
      <w:bodyDiv w:val="1"/>
      <w:marLeft w:val="0"/>
      <w:marRight w:val="0"/>
      <w:marTop w:val="0"/>
      <w:marBottom w:val="0"/>
      <w:divBdr>
        <w:top w:val="none" w:sz="0" w:space="0" w:color="auto"/>
        <w:left w:val="none" w:sz="0" w:space="0" w:color="auto"/>
        <w:bottom w:val="none" w:sz="0" w:space="0" w:color="auto"/>
        <w:right w:val="none" w:sz="0" w:space="0" w:color="auto"/>
      </w:divBdr>
    </w:div>
    <w:div w:id="1941647442">
      <w:bodyDiv w:val="1"/>
      <w:marLeft w:val="0"/>
      <w:marRight w:val="0"/>
      <w:marTop w:val="0"/>
      <w:marBottom w:val="0"/>
      <w:divBdr>
        <w:top w:val="none" w:sz="0" w:space="0" w:color="auto"/>
        <w:left w:val="none" w:sz="0" w:space="0" w:color="auto"/>
        <w:bottom w:val="none" w:sz="0" w:space="0" w:color="auto"/>
        <w:right w:val="none" w:sz="0" w:space="0" w:color="auto"/>
      </w:divBdr>
    </w:div>
    <w:div w:id="1943680620">
      <w:bodyDiv w:val="1"/>
      <w:marLeft w:val="0"/>
      <w:marRight w:val="0"/>
      <w:marTop w:val="0"/>
      <w:marBottom w:val="0"/>
      <w:divBdr>
        <w:top w:val="none" w:sz="0" w:space="0" w:color="auto"/>
        <w:left w:val="none" w:sz="0" w:space="0" w:color="auto"/>
        <w:bottom w:val="none" w:sz="0" w:space="0" w:color="auto"/>
        <w:right w:val="none" w:sz="0" w:space="0" w:color="auto"/>
      </w:divBdr>
    </w:div>
    <w:div w:id="1946648096">
      <w:bodyDiv w:val="1"/>
      <w:marLeft w:val="0"/>
      <w:marRight w:val="0"/>
      <w:marTop w:val="0"/>
      <w:marBottom w:val="0"/>
      <w:divBdr>
        <w:top w:val="none" w:sz="0" w:space="0" w:color="auto"/>
        <w:left w:val="none" w:sz="0" w:space="0" w:color="auto"/>
        <w:bottom w:val="none" w:sz="0" w:space="0" w:color="auto"/>
        <w:right w:val="none" w:sz="0" w:space="0" w:color="auto"/>
      </w:divBdr>
    </w:div>
    <w:div w:id="1959097446">
      <w:bodyDiv w:val="1"/>
      <w:marLeft w:val="0"/>
      <w:marRight w:val="0"/>
      <w:marTop w:val="0"/>
      <w:marBottom w:val="0"/>
      <w:divBdr>
        <w:top w:val="none" w:sz="0" w:space="0" w:color="auto"/>
        <w:left w:val="none" w:sz="0" w:space="0" w:color="auto"/>
        <w:bottom w:val="none" w:sz="0" w:space="0" w:color="auto"/>
        <w:right w:val="none" w:sz="0" w:space="0" w:color="auto"/>
      </w:divBdr>
    </w:div>
    <w:div w:id="1976720839">
      <w:bodyDiv w:val="1"/>
      <w:marLeft w:val="0"/>
      <w:marRight w:val="0"/>
      <w:marTop w:val="0"/>
      <w:marBottom w:val="0"/>
      <w:divBdr>
        <w:top w:val="none" w:sz="0" w:space="0" w:color="auto"/>
        <w:left w:val="none" w:sz="0" w:space="0" w:color="auto"/>
        <w:bottom w:val="none" w:sz="0" w:space="0" w:color="auto"/>
        <w:right w:val="none" w:sz="0" w:space="0" w:color="auto"/>
      </w:divBdr>
    </w:div>
    <w:div w:id="1978532404">
      <w:bodyDiv w:val="1"/>
      <w:marLeft w:val="0"/>
      <w:marRight w:val="0"/>
      <w:marTop w:val="0"/>
      <w:marBottom w:val="0"/>
      <w:divBdr>
        <w:top w:val="none" w:sz="0" w:space="0" w:color="auto"/>
        <w:left w:val="none" w:sz="0" w:space="0" w:color="auto"/>
        <w:bottom w:val="none" w:sz="0" w:space="0" w:color="auto"/>
        <w:right w:val="none" w:sz="0" w:space="0" w:color="auto"/>
      </w:divBdr>
    </w:div>
    <w:div w:id="2021663347">
      <w:bodyDiv w:val="1"/>
      <w:marLeft w:val="0"/>
      <w:marRight w:val="0"/>
      <w:marTop w:val="0"/>
      <w:marBottom w:val="0"/>
      <w:divBdr>
        <w:top w:val="none" w:sz="0" w:space="0" w:color="auto"/>
        <w:left w:val="none" w:sz="0" w:space="0" w:color="auto"/>
        <w:bottom w:val="none" w:sz="0" w:space="0" w:color="auto"/>
        <w:right w:val="none" w:sz="0" w:space="0" w:color="auto"/>
      </w:divBdr>
    </w:div>
    <w:div w:id="2045404749">
      <w:bodyDiv w:val="1"/>
      <w:marLeft w:val="0"/>
      <w:marRight w:val="0"/>
      <w:marTop w:val="0"/>
      <w:marBottom w:val="0"/>
      <w:divBdr>
        <w:top w:val="none" w:sz="0" w:space="0" w:color="auto"/>
        <w:left w:val="none" w:sz="0" w:space="0" w:color="auto"/>
        <w:bottom w:val="none" w:sz="0" w:space="0" w:color="auto"/>
        <w:right w:val="none" w:sz="0" w:space="0" w:color="auto"/>
      </w:divBdr>
    </w:div>
    <w:div w:id="2045863143">
      <w:bodyDiv w:val="1"/>
      <w:marLeft w:val="0"/>
      <w:marRight w:val="0"/>
      <w:marTop w:val="0"/>
      <w:marBottom w:val="0"/>
      <w:divBdr>
        <w:top w:val="none" w:sz="0" w:space="0" w:color="auto"/>
        <w:left w:val="none" w:sz="0" w:space="0" w:color="auto"/>
        <w:bottom w:val="none" w:sz="0" w:space="0" w:color="auto"/>
        <w:right w:val="none" w:sz="0" w:space="0" w:color="auto"/>
      </w:divBdr>
    </w:div>
    <w:div w:id="2051031572">
      <w:bodyDiv w:val="1"/>
      <w:marLeft w:val="0"/>
      <w:marRight w:val="0"/>
      <w:marTop w:val="0"/>
      <w:marBottom w:val="0"/>
      <w:divBdr>
        <w:top w:val="none" w:sz="0" w:space="0" w:color="auto"/>
        <w:left w:val="none" w:sz="0" w:space="0" w:color="auto"/>
        <w:bottom w:val="none" w:sz="0" w:space="0" w:color="auto"/>
        <w:right w:val="none" w:sz="0" w:space="0" w:color="auto"/>
      </w:divBdr>
    </w:div>
    <w:div w:id="2077625321">
      <w:bodyDiv w:val="1"/>
      <w:marLeft w:val="0"/>
      <w:marRight w:val="0"/>
      <w:marTop w:val="0"/>
      <w:marBottom w:val="0"/>
      <w:divBdr>
        <w:top w:val="none" w:sz="0" w:space="0" w:color="auto"/>
        <w:left w:val="none" w:sz="0" w:space="0" w:color="auto"/>
        <w:bottom w:val="none" w:sz="0" w:space="0" w:color="auto"/>
        <w:right w:val="none" w:sz="0" w:space="0" w:color="auto"/>
      </w:divBdr>
    </w:div>
    <w:div w:id="2089615445">
      <w:bodyDiv w:val="1"/>
      <w:marLeft w:val="0"/>
      <w:marRight w:val="0"/>
      <w:marTop w:val="0"/>
      <w:marBottom w:val="0"/>
      <w:divBdr>
        <w:top w:val="none" w:sz="0" w:space="0" w:color="auto"/>
        <w:left w:val="none" w:sz="0" w:space="0" w:color="auto"/>
        <w:bottom w:val="none" w:sz="0" w:space="0" w:color="auto"/>
        <w:right w:val="none" w:sz="0" w:space="0" w:color="auto"/>
      </w:divBdr>
    </w:div>
    <w:div w:id="2091654155">
      <w:bodyDiv w:val="1"/>
      <w:marLeft w:val="0"/>
      <w:marRight w:val="0"/>
      <w:marTop w:val="0"/>
      <w:marBottom w:val="0"/>
      <w:divBdr>
        <w:top w:val="none" w:sz="0" w:space="0" w:color="auto"/>
        <w:left w:val="none" w:sz="0" w:space="0" w:color="auto"/>
        <w:bottom w:val="none" w:sz="0" w:space="0" w:color="auto"/>
        <w:right w:val="none" w:sz="0" w:space="0" w:color="auto"/>
      </w:divBdr>
    </w:div>
    <w:div w:id="2095934209">
      <w:bodyDiv w:val="1"/>
      <w:marLeft w:val="0"/>
      <w:marRight w:val="0"/>
      <w:marTop w:val="0"/>
      <w:marBottom w:val="0"/>
      <w:divBdr>
        <w:top w:val="none" w:sz="0" w:space="0" w:color="auto"/>
        <w:left w:val="none" w:sz="0" w:space="0" w:color="auto"/>
        <w:bottom w:val="none" w:sz="0" w:space="0" w:color="auto"/>
        <w:right w:val="none" w:sz="0" w:space="0" w:color="auto"/>
      </w:divBdr>
    </w:div>
    <w:div w:id="21436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rijkswaterstaat.nl/open-overheid/@269293/inkopen-mki-gww-evaluatie-actie-agenda/" TargetMode="External"/><Relationship Id="rId2" Type="http://schemas.openxmlformats.org/officeDocument/2006/relationships/hyperlink" Target="https://www.rijksoverheid.nl/documenten/rapporten/2024/02/13/bijlage-3-rapport-dwingende-mki-in-de-gww-effecten-en-varianten" TargetMode="External"/><Relationship Id="rId1" Type="http://schemas.openxmlformats.org/officeDocument/2006/relationships/hyperlink" Target="https://www.rijksoverheid.nl/documenten/rapporten/2024/02/13/bijlage-4-rapport-toepassingsgebied-dwingende-mki-in-de-g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51</ap:Pages>
  <ap:Words>22665</ap:Words>
  <ap:Characters>124662</ap:Characters>
  <ap:DocSecurity>0</ap:DocSecurity>
  <ap:Lines>1038</ap:Lines>
  <ap:Paragraphs>294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2025-05-14T18:20:00.0000000Z</lastPrinted>
  <dcterms:created xsi:type="dcterms:W3CDTF">2026-07-07T10:22:00.0000000Z</dcterms:created>
  <dcterms:modified xsi:type="dcterms:W3CDTF">2026-07-07T10:44:00.0000000Z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SharedWithUsers">
    <vt:lpwstr>17;#Hunnik, H.W. (Wilma) van (Rijksmedewerker);#29;#Bruin, G.J. (Gerard) (Rijksmedewerker)</vt:lpwstr>
  </property>
  <property fmtid="{D5CDD505-2E9C-101B-9397-08002B2CF9AE}" pid="4" name="MediaServiceImageTags">
    <vt:lpwstr/>
  </property>
</Properties>
</file>