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2026Z16283</w:t>
        <w:br/>
      </w:r>
      <w:proofErr w:type="spellEnd"/>
    </w:p>
    <w:p>
      <w:pPr>
        <w:pStyle w:val="Normal"/>
        <w:rPr>
          <w:b w:val="1"/>
          <w:bCs w:val="1"/>
        </w:rPr>
      </w:pPr>
      <w:r w:rsidR="250AE766">
        <w:rPr>
          <w:b w:val="0"/>
          <w:bCs w:val="0"/>
        </w:rPr>
        <w:t>(ingezonden 16 juli 2026)</w:t>
        <w:br/>
      </w:r>
    </w:p>
    <w:p>
      <w:r>
        <w:t xml:space="preserve">Vragen van het lid Bolhuis (PRO) aan de staatssecretaris van Defensie over het artikel ‘Defensie wil gouden aandeel in fabrikant van dronesoftware’.</w:t>
      </w:r>
      <w:r>
        <w:br/>
      </w:r>
    </w:p>
    <w:p>
      <w:r>
        <w:t xml:space="preserve">1. Bent u bekend met het artikel ‘Defensie wil gouden aandeel in fabrikant van dronesoftware?’ 1)</w:t>
      </w:r>
      <w:r>
        <w:br/>
      </w:r>
    </w:p>
    <w:p>
      <w:r>
        <w:t xml:space="preserve">2. Welk formeel afwegingskader heeft u gevolgd leidende tot uw besluit om met Intelic een optie tot een gouden aandeel in de samenwerkingsovereenkomst op te nemen? Kunt u het gehanteerde afwegingskader en uw antwoorden op bijhorende kernvragen delen met de Kamer? Zo nee, waarom niet?</w:t>
      </w:r>
      <w:r>
        <w:br/>
      </w:r>
    </w:p>
    <w:p>
      <w:r>
        <w:t xml:space="preserve">3. In hoeverre zijn de Comptabiliteitswet, de ‘Nota Deelnemingenbeleid Rijksoverheid 2022’ en het ‘Handboek aangaan deelnemingen’ zoals gepubliceerd door het ministerie van Financiën 2), gevolgd bij uw besluit om zorgvuldigheid te waarborgen? Op welke onderdelen is hiervan afgeweken en waarom?</w:t>
      </w:r>
      <w:r>
        <w:br/>
      </w:r>
    </w:p>
    <w:p>
      <w:r>
        <w:t xml:space="preserve">4. Wordt er gewerkt aan een gedeeld formeel afwegingskader door de ministeries van Defensie, Financiën en Economische Zaken voor toekomstige besluiten over strategische deelnemingen in de Nederlandse Defensie en Technologische Industriële Basis (NLDTIB)? Zo nee, waarom niet, en kunt u hier opdracht toe geven? Zo ja, wanneer wordt dit afwegingskader naar met de Kamer gedeeld?</w:t>
      </w:r>
      <w:r>
        <w:br/>
      </w:r>
    </w:p>
    <w:p>
      <w:r>
        <w:t xml:space="preserve">5. Kunt u uw uitspraak in het artikel dat een daadwerkelijk gouden aandeel "een hele procedure” is, waarbij het ministerie van Financiën betrokken is en goedkeuring van het parlement nodig is nader duiden? Is de minister van Financiën betrokken geweest in deze besluitvorming tot een optie op een gouden aandeel bij Intelic?</w:t>
      </w:r>
      <w:r>
        <w:br/>
      </w:r>
    </w:p>
    <w:p>
      <w:r>
        <w:t xml:space="preserve">6. Heeft u vooraf juridisch advies verkregen over de effectiviteit en rechtmatigheid van deze optie op een gouden aandeel in Intelic, en/of op een daadwerkelijk gouden aandeel in de toekomst? Zo ja, kunt u de inhoud van dit advies delen met de Kamer?  </w:t>
      </w:r>
      <w:r>
        <w:br/>
      </w:r>
    </w:p>
    <w:p>
      <w:r>
        <w:t xml:space="preserve">7. Heeft u vooraf overleg gevoerd met de Europese Commissie en wat is het standpunt van de Commissie, aangezien in het verleden de gouden aandelen bij KPN en TPG zijn verboden?</w:t>
      </w:r>
      <w:r>
        <w:br/>
      </w:r>
    </w:p>
    <w:p>
      <w:r>
        <w:t xml:space="preserve">8. Kunt u de ambtelijke beslisnota naar de Kamer sturen die gevolgd is ten behoeve van dit besluit om een optie op een gouden aandeel af te spreken met Intelic dan wel een daadwerkelijk gouden aandeel te gaan nemen? </w:t>
      </w:r>
      <w:r>
        <w:br/>
      </w:r>
    </w:p>
    <w:p>
      <w:r>
        <w:t xml:space="preserve">9. Kunt u de definitie van een gouden aandeel specificeren? Wat valt er onder ‘strategische besluiten’ door Intelic, waarvoor het ministerie van Defensie voortaan eerst toestemming moet verlenen en behelst dit ook een vetorecht? Kunt u nader uiteenzetten hoe dit zal verschillen van de huidige situatie?</w:t>
      </w:r>
      <w:r>
        <w:br/>
      </w:r>
    </w:p>
    <w:p>
      <w:r>
        <w:t xml:space="preserve">1) iBestuur, 3 juli 2026, Defensie wil gouden aandeel in fabrikant van dronesoftware</w:t>
      </w:r>
      <w:r>
        <w:br/>
      </w:r>
    </w:p>
    <w:p>
      <w:r>
        <w:t xml:space="preserve">2) Open overheid, 17 februari 2026, Open overheid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