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7667B565" w14:textId="77777777">
      <w:pPr>
        <w:rPr>
          <w:lang w:val="en-US"/>
        </w:rPr>
      </w:pPr>
      <w:bookmarkStart w:name="bmkMinuut" w:id="0"/>
      <w:bookmarkEnd w:id="0"/>
    </w:p>
    <w:p w:rsidR="00A97BB8" w:rsidP="00A97BB8" w:rsidRDefault="00A97BB8" w14:paraId="03A6ED6A" w14:textId="77777777">
      <w:pPr>
        <w:rPr>
          <w:lang w:val="en-US"/>
        </w:rPr>
      </w:pPr>
    </w:p>
    <w:p w:rsidRPr="00A97BB8" w:rsidR="00A97BB8" w:rsidP="00A97BB8" w:rsidRDefault="008617F6" w14:paraId="35EEA997"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035F1" w:rsidTr="001E7B11" w14:paraId="5BA2349B" w14:textId="77777777">
        <w:tc>
          <w:tcPr>
            <w:tcW w:w="3510" w:type="dxa"/>
          </w:tcPr>
          <w:p w:rsidR="0075628C" w:rsidP="001E7B11" w:rsidRDefault="0075628C" w14:paraId="1FECD488" w14:textId="77777777"/>
        </w:tc>
      </w:tr>
    </w:tbl>
    <w:p w:rsidR="003502AE" w:rsidP="003502AE" w:rsidRDefault="003502AE" w14:paraId="78C8F7E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A47903" w:rsidR="00EF53E6" w:rsidP="00EF53E6" w:rsidRDefault="008617F6" w14:paraId="50DBFBDD" w14:textId="77777777">
      <w:pPr>
        <w:suppressAutoHyphens/>
        <w:outlineLvl w:val="0"/>
        <w:rPr>
          <w:szCs w:val="18"/>
        </w:rPr>
      </w:pPr>
      <w:r w:rsidRPr="00A47903">
        <w:rPr>
          <w:szCs w:val="18"/>
        </w:rPr>
        <w:t>De Voorzitter van de Tweede Kamer</w:t>
      </w:r>
    </w:p>
    <w:p w:rsidRPr="00A47903" w:rsidR="00EF53E6" w:rsidP="00EF53E6" w:rsidRDefault="008617F6" w14:paraId="225A331D" w14:textId="77777777">
      <w:pPr>
        <w:suppressAutoHyphens/>
        <w:rPr>
          <w:szCs w:val="18"/>
          <w:lang w:val="de-DE"/>
        </w:rPr>
      </w:pPr>
      <w:r w:rsidRPr="00A47903">
        <w:rPr>
          <w:szCs w:val="18"/>
          <w:lang w:val="de-DE"/>
        </w:rPr>
        <w:t xml:space="preserve">der </w:t>
      </w:r>
      <w:proofErr w:type="spellStart"/>
      <w:r w:rsidRPr="00A47903">
        <w:rPr>
          <w:szCs w:val="18"/>
          <w:lang w:val="de-DE"/>
        </w:rPr>
        <w:t>Staten-Generaal</w:t>
      </w:r>
      <w:proofErr w:type="spellEnd"/>
    </w:p>
    <w:p w:rsidRPr="00A47903" w:rsidR="00EF53E6" w:rsidP="00EF53E6" w:rsidRDefault="008617F6" w14:paraId="7967B39A" w14:textId="77777777">
      <w:pPr>
        <w:suppressAutoHyphens/>
        <w:rPr>
          <w:szCs w:val="18"/>
          <w:lang w:val="de-DE"/>
        </w:rPr>
      </w:pPr>
      <w:r w:rsidRPr="00A47903">
        <w:rPr>
          <w:szCs w:val="18"/>
          <w:lang w:val="de-DE"/>
        </w:rPr>
        <w:t>Postbus 20018</w:t>
      </w:r>
    </w:p>
    <w:p w:rsidRPr="00EF53E6" w:rsidR="003502AE" w:rsidP="00EF53E6" w:rsidRDefault="008617F6" w14:paraId="1A621382" w14:textId="77777777">
      <w:pPr>
        <w:suppressAutoHyphens/>
        <w:rPr>
          <w:szCs w:val="18"/>
          <w:lang w:val="de-DE"/>
        </w:rPr>
      </w:pPr>
      <w:r w:rsidRPr="00A47903">
        <w:rPr>
          <w:szCs w:val="18"/>
          <w:lang w:val="de-DE"/>
        </w:rPr>
        <w:t>2500 EA DEN HAAG</w:t>
      </w:r>
    </w:p>
    <w:p w:rsidRPr="00A9391D" w:rsidR="00A97BB8" w:rsidP="00A97BB8" w:rsidRDefault="00A97BB8" w14:paraId="3F931FBE" w14:textId="77777777">
      <w:pPr>
        <w:rPr>
          <w:lang w:val="de-DE"/>
        </w:rPr>
      </w:pPr>
    </w:p>
    <w:p w:rsidRPr="00A9391D" w:rsidR="00C04DE9" w:rsidP="00A97BB8" w:rsidRDefault="00C04DE9" w14:paraId="0A359ABD" w14:textId="77777777">
      <w:pPr>
        <w:rPr>
          <w:lang w:val="de-DE"/>
        </w:rPr>
      </w:pPr>
    </w:p>
    <w:p w:rsidRPr="00A9391D" w:rsidR="00A97BB8" w:rsidP="00A97BB8" w:rsidRDefault="00A97BB8" w14:paraId="457DE88D" w14:textId="77777777">
      <w:pPr>
        <w:rPr>
          <w:lang w:val="de-DE"/>
        </w:rPr>
      </w:pPr>
    </w:p>
    <w:p w:rsidRPr="00A9391D" w:rsidR="00054C93" w:rsidP="00005041" w:rsidRDefault="00054C93" w14:paraId="0A4F434A" w14:textId="77777777">
      <w:pPr>
        <w:tabs>
          <w:tab w:val="left" w:pos="737"/>
        </w:tabs>
        <w:outlineLvl w:val="0"/>
        <w:rPr>
          <w:lang w:val="de-DE"/>
        </w:rPr>
      </w:pPr>
    </w:p>
    <w:p w:rsidRPr="00A9391D" w:rsidR="00054C93" w:rsidP="00005041" w:rsidRDefault="00054C93" w14:paraId="1DD52E19" w14:textId="77777777">
      <w:pPr>
        <w:tabs>
          <w:tab w:val="left" w:pos="737"/>
        </w:tabs>
        <w:outlineLvl w:val="0"/>
        <w:rPr>
          <w:lang w:val="de-DE"/>
        </w:rPr>
      </w:pPr>
    </w:p>
    <w:p w:rsidRPr="00A9391D" w:rsidR="009E59AE" w:rsidP="00005041" w:rsidRDefault="009E59AE" w14:paraId="1656421C" w14:textId="77777777">
      <w:pPr>
        <w:tabs>
          <w:tab w:val="left" w:pos="737"/>
        </w:tabs>
        <w:outlineLvl w:val="0"/>
        <w:rPr>
          <w:lang w:val="de-DE"/>
        </w:rPr>
      </w:pPr>
    </w:p>
    <w:p w:rsidRPr="00A9391D" w:rsidR="00516695" w:rsidP="00005041" w:rsidRDefault="008617F6" w14:paraId="0632FB86" w14:textId="6AAE4BAD">
      <w:pPr>
        <w:tabs>
          <w:tab w:val="left" w:pos="737"/>
        </w:tabs>
        <w:outlineLvl w:val="0"/>
        <w:rPr>
          <w:lang w:val="de-DE"/>
        </w:rPr>
      </w:pPr>
      <w:r w:rsidRPr="00A9391D">
        <w:rPr>
          <w:lang w:val="de-DE"/>
        </w:rPr>
        <w:t>Datum</w:t>
      </w:r>
      <w:r w:rsidRPr="00A9391D" w:rsidR="00682AC0">
        <w:rPr>
          <w:lang w:val="de-DE"/>
        </w:rPr>
        <w:tab/>
      </w:r>
      <w:r w:rsidR="0041587D">
        <w:rPr>
          <w:lang w:val="de-DE"/>
        </w:rPr>
        <w:t xml:space="preserve">16 </w:t>
      </w:r>
      <w:proofErr w:type="spellStart"/>
      <w:r w:rsidR="0041587D">
        <w:rPr>
          <w:lang w:val="de-DE"/>
        </w:rPr>
        <w:t>juli</w:t>
      </w:r>
      <w:proofErr w:type="spellEnd"/>
      <w:r w:rsidR="0041587D">
        <w:rPr>
          <w:lang w:val="de-DE"/>
        </w:rPr>
        <w:t xml:space="preserve"> 2026</w:t>
      </w:r>
    </w:p>
    <w:p w:rsidRPr="007539FC" w:rsidR="00005041" w:rsidP="007D37BF" w:rsidRDefault="008617F6" w14:paraId="6CE804DD" w14:textId="3EAA399B">
      <w:pPr>
        <w:tabs>
          <w:tab w:val="left" w:pos="737"/>
        </w:tabs>
        <w:ind w:left="735" w:hanging="735"/>
        <w:outlineLvl w:val="0"/>
      </w:pPr>
      <w:r>
        <w:t xml:space="preserve">Betreft </w:t>
      </w:r>
      <w:r w:rsidR="007D37BF">
        <w:tab/>
      </w:r>
      <w:r>
        <w:t xml:space="preserve">inzake </w:t>
      </w:r>
      <w:r w:rsidR="005212B5">
        <w:t xml:space="preserve">voor het zomerreces met de fabrikant van </w:t>
      </w:r>
      <w:proofErr w:type="spellStart"/>
      <w:r w:rsidR="005212B5">
        <w:t>Voxzogo</w:t>
      </w:r>
      <w:proofErr w:type="spellEnd"/>
      <w:r w:rsidR="005212B5">
        <w:t xml:space="preserve"> om tafel gaan om te komen tot indiening van het dossier bij het Zorginstituut</w:t>
      </w:r>
    </w:p>
    <w:p w:rsidR="00EF53E6" w:rsidP="004542AB" w:rsidRDefault="007D37BF" w14:paraId="1C0F938A" w14:textId="2370B478">
      <w:r>
        <w:tab/>
      </w:r>
    </w:p>
    <w:p w:rsidR="00EF53E6" w:rsidP="004542AB" w:rsidRDefault="00EF53E6" w14:paraId="1C9BD559" w14:textId="77777777"/>
    <w:p w:rsidR="00EF53E6" w:rsidP="004542AB" w:rsidRDefault="00EF53E6" w14:paraId="2154845C" w14:textId="77777777"/>
    <w:p w:rsidR="004542AB" w:rsidP="004542AB" w:rsidRDefault="008617F6" w14:paraId="42668CC5" w14:textId="77777777">
      <w:r>
        <w:t>Geachte voorzitter,</w:t>
      </w:r>
    </w:p>
    <w:p w:rsidR="004542AB" w:rsidP="004542AB" w:rsidRDefault="004542AB" w14:paraId="7333491D" w14:textId="77777777"/>
    <w:p w:rsidR="00F17FC9" w:rsidP="00F61EF0" w:rsidRDefault="008617F6" w14:paraId="1188DECA" w14:textId="77777777">
      <w:pPr>
        <w:spacing w:line="240" w:lineRule="exact"/>
      </w:pPr>
      <w:r>
        <w:t>Zoals toegezegd in het tweeminutendebat Pallas van 2 juli 2026,</w:t>
      </w:r>
      <w:r w:rsidR="004D425E">
        <w:t xml:space="preserve"> informeert</w:t>
      </w:r>
      <w:r>
        <w:t xml:space="preserve"> </w:t>
      </w:r>
      <w:r w:rsidR="004D425E">
        <w:t>het kabinet</w:t>
      </w:r>
      <w:r>
        <w:t xml:space="preserve"> de Kamer hierbij over de reactie van de leverancier van</w:t>
      </w:r>
      <w:r w:rsidR="00684E20">
        <w:t xml:space="preserve"> het geneesmiddel</w:t>
      </w:r>
      <w:r>
        <w:t xml:space="preserve"> </w:t>
      </w:r>
      <w:proofErr w:type="spellStart"/>
      <w:r>
        <w:t>Voxzogo</w:t>
      </w:r>
      <w:proofErr w:type="spellEnd"/>
      <w:r>
        <w:t xml:space="preserve">, </w:t>
      </w:r>
      <w:proofErr w:type="spellStart"/>
      <w:r>
        <w:t>Bio</w:t>
      </w:r>
      <w:r w:rsidR="00726215">
        <w:t>M</w:t>
      </w:r>
      <w:r>
        <w:t>arin</w:t>
      </w:r>
      <w:proofErr w:type="spellEnd"/>
      <w:r>
        <w:t xml:space="preserve">, op de oproep </w:t>
      </w:r>
      <w:r w:rsidR="00726215">
        <w:t xml:space="preserve">vanuit het ministerie van VWS </w:t>
      </w:r>
      <w:r>
        <w:t>om</w:t>
      </w:r>
      <w:r w:rsidR="004D425E">
        <w:t xml:space="preserve"> het</w:t>
      </w:r>
      <w:r>
        <w:t xml:space="preserve"> besluit om </w:t>
      </w:r>
      <w:r w:rsidR="00684E20">
        <w:t xml:space="preserve">voor </w:t>
      </w:r>
      <w:proofErr w:type="spellStart"/>
      <w:r w:rsidR="00684E20">
        <w:t>Voxzogo</w:t>
      </w:r>
      <w:proofErr w:type="spellEnd"/>
      <w:r w:rsidR="00684E20">
        <w:t xml:space="preserve"> </w:t>
      </w:r>
      <w:r>
        <w:t>geen vergoedingsdossier in te dienen te heroverwegen</w:t>
      </w:r>
      <w:r w:rsidR="00726215">
        <w:t>.</w:t>
      </w:r>
      <w:r>
        <w:t xml:space="preserve"> Dit naar aanleiding van de aangenomen motie </w:t>
      </w:r>
      <w:proofErr w:type="spellStart"/>
      <w:r>
        <w:t>Maeijer</w:t>
      </w:r>
      <w:proofErr w:type="spellEnd"/>
      <w:r>
        <w:t xml:space="preserve"> van 18 juni jl. die het kabinet hierom verzocht</w:t>
      </w:r>
      <w:r>
        <w:rPr>
          <w:rStyle w:val="Voetnootmarkering"/>
        </w:rPr>
        <w:footnoteReference w:id="1"/>
      </w:r>
      <w:r>
        <w:t>.</w:t>
      </w:r>
    </w:p>
    <w:p w:rsidR="00F17FC9" w:rsidP="00F61EF0" w:rsidRDefault="00F17FC9" w14:paraId="4AD7AB99" w14:textId="77777777">
      <w:pPr>
        <w:spacing w:line="240" w:lineRule="exact"/>
      </w:pPr>
    </w:p>
    <w:p w:rsidR="004542AB" w:rsidP="00F61EF0" w:rsidRDefault="008617F6" w14:paraId="4EDED99C" w14:textId="77777777">
      <w:pPr>
        <w:spacing w:line="240" w:lineRule="exact"/>
      </w:pPr>
      <w:r>
        <w:t xml:space="preserve">De leverancier </w:t>
      </w:r>
      <w:r w:rsidR="00B66C42">
        <w:t xml:space="preserve">heeft </w:t>
      </w:r>
      <w:r w:rsidR="00726215">
        <w:t>gereageerd door te berichten</w:t>
      </w:r>
      <w:r w:rsidR="00B66C42">
        <w:t xml:space="preserve"> dat </w:t>
      </w:r>
      <w:r w:rsidR="00592DC4">
        <w:t>hij</w:t>
      </w:r>
      <w:r w:rsidR="00B66C42">
        <w:t xml:space="preserve"> </w:t>
      </w:r>
      <w:r w:rsidR="00705DFE">
        <w:t>“</w:t>
      </w:r>
      <w:r w:rsidR="00B66C42">
        <w:t xml:space="preserve">de reguliere </w:t>
      </w:r>
      <w:r w:rsidR="00592DC4">
        <w:t>vergoedingsroute</w:t>
      </w:r>
      <w:r w:rsidRPr="00B66C42" w:rsidR="00B66C42">
        <w:t xml:space="preserve"> een </w:t>
      </w:r>
      <w:r w:rsidR="00592DC4">
        <w:t xml:space="preserve">te </w:t>
      </w:r>
      <w:r w:rsidRPr="00B66C42" w:rsidR="00B66C42">
        <w:t>restrictief kader</w:t>
      </w:r>
      <w:r w:rsidR="00705DFE">
        <w:t>”</w:t>
      </w:r>
      <w:r w:rsidRPr="00B66C42" w:rsidR="00B66C42">
        <w:t xml:space="preserve"> </w:t>
      </w:r>
      <w:r w:rsidR="00592DC4">
        <w:t>vindt omdat deze “</w:t>
      </w:r>
      <w:r w:rsidRPr="00B66C42" w:rsidR="00B66C42">
        <w:t>de meerwaarde van behandelingen voor kinderen met zeldzame genetische aandoeningen, zoals achondroplasie, aanzienlijk onderschat</w:t>
      </w:r>
      <w:r w:rsidR="00592DC4">
        <w:t>”</w:t>
      </w:r>
      <w:r w:rsidRPr="00B66C42" w:rsidR="00B66C42">
        <w:t>.</w:t>
      </w:r>
      <w:r w:rsidR="00592DC4">
        <w:t xml:space="preserve"> </w:t>
      </w:r>
      <w:r w:rsidR="005D3413">
        <w:t>Volgens</w:t>
      </w:r>
      <w:r w:rsidRPr="00B66C42" w:rsidR="00B66C42">
        <w:t xml:space="preserve"> </w:t>
      </w:r>
      <w:proofErr w:type="spellStart"/>
      <w:r w:rsidRPr="00B66C42" w:rsidR="00B66C42">
        <w:t>BioMarin</w:t>
      </w:r>
      <w:proofErr w:type="spellEnd"/>
      <w:r w:rsidRPr="00B66C42" w:rsidR="00B66C42">
        <w:t xml:space="preserve"> </w:t>
      </w:r>
      <w:r w:rsidR="005D3413">
        <w:t xml:space="preserve">is dit de reden </w:t>
      </w:r>
      <w:r w:rsidRPr="00B66C42" w:rsidR="00B66C42">
        <w:t xml:space="preserve">om </w:t>
      </w:r>
      <w:r w:rsidR="00726215">
        <w:t xml:space="preserve">te besluiten om </w:t>
      </w:r>
      <w:r w:rsidRPr="00B66C42" w:rsidR="00B66C42">
        <w:t xml:space="preserve">op dit moment geen vergoedingsaanvraag voor </w:t>
      </w:r>
      <w:proofErr w:type="spellStart"/>
      <w:r w:rsidRPr="00B66C42" w:rsidR="00B66C42">
        <w:t>V</w:t>
      </w:r>
      <w:r w:rsidR="00592DC4">
        <w:t>oxzogo</w:t>
      </w:r>
      <w:proofErr w:type="spellEnd"/>
      <w:r w:rsidRPr="00B66C42" w:rsidR="00B66C42">
        <w:t xml:space="preserve"> in Nederland in te dienen.</w:t>
      </w:r>
      <w:r>
        <w:t xml:space="preserve"> </w:t>
      </w:r>
    </w:p>
    <w:p w:rsidR="00592DC4" w:rsidP="00F61EF0" w:rsidRDefault="00592DC4" w14:paraId="564F0505" w14:textId="77777777">
      <w:pPr>
        <w:spacing w:line="240" w:lineRule="exact"/>
      </w:pPr>
    </w:p>
    <w:p w:rsidR="00F423B4" w:rsidP="00F61EF0" w:rsidRDefault="008617F6" w14:paraId="3080785E" w14:textId="77777777">
      <w:pPr>
        <w:spacing w:line="240" w:lineRule="exact"/>
      </w:pPr>
      <w:proofErr w:type="spellStart"/>
      <w:r>
        <w:t>BioMarin</w:t>
      </w:r>
      <w:proofErr w:type="spellEnd"/>
      <w:r w:rsidRPr="00F423B4">
        <w:t xml:space="preserve"> </w:t>
      </w:r>
      <w:r>
        <w:t>stelt</w:t>
      </w:r>
      <w:r w:rsidRPr="00F423B4">
        <w:t xml:space="preserve"> </w:t>
      </w:r>
      <w:r>
        <w:t xml:space="preserve">dat hij in gesprekken met het Zorginstituut </w:t>
      </w:r>
      <w:r w:rsidRPr="00F423B4">
        <w:t xml:space="preserve">relevante onderzoeksresultaten </w:t>
      </w:r>
      <w:r>
        <w:t xml:space="preserve">heeft </w:t>
      </w:r>
      <w:r w:rsidRPr="00F423B4">
        <w:t>gedeeld</w:t>
      </w:r>
      <w:r>
        <w:t>, die zouden aan</w:t>
      </w:r>
      <w:r w:rsidRPr="00F423B4">
        <w:t xml:space="preserve">tonen dat </w:t>
      </w:r>
      <w:proofErr w:type="spellStart"/>
      <w:r w:rsidRPr="00F423B4">
        <w:t>V</w:t>
      </w:r>
      <w:r>
        <w:t>oxzogo</w:t>
      </w:r>
      <w:proofErr w:type="spellEnd"/>
      <w:r w:rsidRPr="00F423B4">
        <w:t xml:space="preserve"> </w:t>
      </w:r>
      <w:r>
        <w:t>“</w:t>
      </w:r>
      <w:r w:rsidRPr="00F423B4">
        <w:t xml:space="preserve">bijdraagt </w:t>
      </w:r>
      <w:r w:rsidRPr="00F423B4">
        <w:rPr>
          <w:rFonts w:ascii="Arial" w:hAnsi="Arial" w:cs="Arial"/>
        </w:rPr>
        <w:t>​​</w:t>
      </w:r>
      <w:r w:rsidRPr="00F423B4">
        <w:t>aan de algehele gezondheid en het welzijn – waaronder verbeteringen in lichaamsverhoudingen en levenskwaliteit</w:t>
      </w:r>
      <w:r>
        <w:t>”, van patiënten met achondroplasie.</w:t>
      </w:r>
      <w:r w:rsidRPr="00F423B4">
        <w:t xml:space="preserve"> </w:t>
      </w:r>
      <w:r w:rsidR="00705DFE">
        <w:t>Dat kan zo zijn, m</w:t>
      </w:r>
      <w:r>
        <w:t xml:space="preserve">aar zonder dossier kan </w:t>
      </w:r>
      <w:r w:rsidR="00A637A2">
        <w:t xml:space="preserve">het Zorginstituut niet </w:t>
      </w:r>
      <w:r>
        <w:t>beoordel</w:t>
      </w:r>
      <w:r w:rsidR="00A637A2">
        <w:t>en</w:t>
      </w:r>
      <w:r>
        <w:t xml:space="preserve"> of de aannames en probabilistische analyses </w:t>
      </w:r>
      <w:r w:rsidR="00A637A2">
        <w:t xml:space="preserve">van </w:t>
      </w:r>
      <w:proofErr w:type="spellStart"/>
      <w:r w:rsidR="00A637A2">
        <w:t>BioMarin</w:t>
      </w:r>
      <w:proofErr w:type="spellEnd"/>
      <w:r w:rsidR="00A637A2">
        <w:t xml:space="preserve"> </w:t>
      </w:r>
      <w:r>
        <w:t>standhouden.</w:t>
      </w:r>
      <w:r w:rsidRPr="00F423B4">
        <w:t xml:space="preserve"> </w:t>
      </w:r>
      <w:r w:rsidR="004D425E">
        <w:t>Het kabinet</w:t>
      </w:r>
      <w:r>
        <w:t xml:space="preserve"> he</w:t>
      </w:r>
      <w:r w:rsidR="004D425E">
        <w:t>eft</w:t>
      </w:r>
      <w:r>
        <w:t xml:space="preserve"> al eerder gezegd het frustrerend </w:t>
      </w:r>
      <w:r w:rsidR="004D425E">
        <w:t>te v</w:t>
      </w:r>
      <w:r>
        <w:t>ind</w:t>
      </w:r>
      <w:r w:rsidR="004D425E">
        <w:t>en</w:t>
      </w:r>
      <w:r>
        <w:t xml:space="preserve"> dat de stellingname van </w:t>
      </w:r>
      <w:proofErr w:type="spellStart"/>
      <w:r>
        <w:t>BioMarin</w:t>
      </w:r>
      <w:proofErr w:type="spellEnd"/>
      <w:r>
        <w:t xml:space="preserve"> over de onderwaardering die het gevolg zou zijn van het Nederlandse vergoedingssysteem nu niet getoetst kan worden. </w:t>
      </w:r>
      <w:r w:rsidRPr="00175DD0" w:rsidR="005D3413">
        <w:t>Het kabinet heeft begrepen dat in de landen waar een kosteneffectiviteitsanalyse is uitgevoerd als onderdeel van de zogenoemde Health Technology Assessment (HTA), de kosteneffectiviteit (zeer) ongunstig is beoordeeld. Dit heeft in deze landen gevolgen gehad voor de besluitvorming over vergoeding.</w:t>
      </w:r>
    </w:p>
    <w:p w:rsidR="005D3413" w:rsidP="00F61EF0" w:rsidRDefault="005D3413" w14:paraId="4B968909" w14:textId="77777777">
      <w:pPr>
        <w:spacing w:line="240" w:lineRule="exact"/>
      </w:pPr>
    </w:p>
    <w:p w:rsidR="00DB1277" w:rsidP="00F61EF0" w:rsidRDefault="008617F6" w14:paraId="691404C5" w14:textId="77777777">
      <w:pPr>
        <w:spacing w:line="240" w:lineRule="exact"/>
      </w:pPr>
      <w:r>
        <w:br w:type="column"/>
      </w:r>
      <w:r w:rsidR="00003962">
        <w:lastRenderedPageBreak/>
        <w:t>Het kabinet</w:t>
      </w:r>
      <w:r w:rsidR="00A637A2">
        <w:t xml:space="preserve"> waardeer</w:t>
      </w:r>
      <w:r w:rsidR="00003962">
        <w:t>t</w:t>
      </w:r>
      <w:r w:rsidR="00A637A2">
        <w:t xml:space="preserve"> de aanhoudende aandacht van de Kamer voor deze casus, maar </w:t>
      </w:r>
      <w:r w:rsidR="00003962">
        <w:t>het kabinet</w:t>
      </w:r>
      <w:r w:rsidR="00592DC4">
        <w:t xml:space="preserve"> stel</w:t>
      </w:r>
      <w:r w:rsidR="00003962">
        <w:t>t</w:t>
      </w:r>
      <w:r w:rsidR="00592DC4">
        <w:t xml:space="preserve"> vast dat </w:t>
      </w:r>
      <w:r w:rsidR="00684E20">
        <w:t>de leverancier</w:t>
      </w:r>
      <w:r w:rsidR="00726215">
        <w:t xml:space="preserve"> helaas</w:t>
      </w:r>
      <w:r w:rsidR="00684E20">
        <w:t xml:space="preserve"> </w:t>
      </w:r>
      <w:r w:rsidR="00A637A2">
        <w:t xml:space="preserve">toch </w:t>
      </w:r>
      <w:r w:rsidR="00684E20">
        <w:t xml:space="preserve">bij zijn eerdere standpunt blijft en niet verder inzicht biedt in zijn beweegredenen. </w:t>
      </w:r>
      <w:r w:rsidR="00A637A2">
        <w:t>D</w:t>
      </w:r>
      <w:r>
        <w:t xml:space="preserve">it betekent dat er geen vergoeding mogelijk is van </w:t>
      </w:r>
      <w:proofErr w:type="spellStart"/>
      <w:r>
        <w:t>Voxzogo</w:t>
      </w:r>
      <w:proofErr w:type="spellEnd"/>
      <w:r>
        <w:t>. Deze situatie</w:t>
      </w:r>
      <w:r w:rsidR="00A637A2">
        <w:t xml:space="preserve"> is uitermate teleurstellend</w:t>
      </w:r>
      <w:r>
        <w:t xml:space="preserve">, met name voor patiënten met achondroplasie (en hun </w:t>
      </w:r>
      <w:r w:rsidR="00B73E7A">
        <w:t>naasten</w:t>
      </w:r>
      <w:r>
        <w:t>), die nu geen behandelmogelijkheid hebbe</w:t>
      </w:r>
      <w:r w:rsidR="00F423B4">
        <w:t>n in Nederland.</w:t>
      </w:r>
      <w:r>
        <w:t xml:space="preserve"> </w:t>
      </w:r>
    </w:p>
    <w:p w:rsidR="004542AB" w:rsidP="00F61EF0" w:rsidRDefault="004542AB" w14:paraId="4007E5FD" w14:textId="77777777">
      <w:pPr>
        <w:spacing w:line="240" w:lineRule="exact"/>
      </w:pPr>
    </w:p>
    <w:p w:rsidR="00A637A2" w:rsidP="00F61EF0" w:rsidRDefault="008617F6" w14:paraId="0A0EEE62" w14:textId="17B57681">
      <w:pPr>
        <w:pStyle w:val="Huisstijl-Aanhef"/>
        <w:spacing w:before="0" w:after="0"/>
        <w:rPr>
          <w:bCs/>
        </w:rPr>
      </w:pPr>
      <w:r>
        <w:t xml:space="preserve">Hoezeer </w:t>
      </w:r>
      <w:r w:rsidR="00003962">
        <w:t>het kabinet</w:t>
      </w:r>
      <w:r>
        <w:t xml:space="preserve"> </w:t>
      </w:r>
      <w:r w:rsidRPr="00F61EF0">
        <w:rPr>
          <w:szCs w:val="18"/>
        </w:rPr>
        <w:t>ook meeleef</w:t>
      </w:r>
      <w:r w:rsidRPr="00F61EF0" w:rsidR="00003962">
        <w:rPr>
          <w:szCs w:val="18"/>
        </w:rPr>
        <w:t>t</w:t>
      </w:r>
      <w:r w:rsidRPr="00F61EF0">
        <w:rPr>
          <w:szCs w:val="18"/>
        </w:rPr>
        <w:t xml:space="preserve"> met deze patiënten, wijs</w:t>
      </w:r>
      <w:r w:rsidRPr="00F61EF0" w:rsidR="00003962">
        <w:rPr>
          <w:szCs w:val="18"/>
        </w:rPr>
        <w:t xml:space="preserve">t het kabinet </w:t>
      </w:r>
      <w:r w:rsidRPr="00F61EF0">
        <w:rPr>
          <w:szCs w:val="18"/>
        </w:rPr>
        <w:t xml:space="preserve">tenslotte nog op het volgende. </w:t>
      </w:r>
      <w:r w:rsidR="005D3413">
        <w:rPr>
          <w:szCs w:val="18"/>
        </w:rPr>
        <w:t>D</w:t>
      </w:r>
      <w:r w:rsidRPr="003E2247" w:rsidR="00F61EF0">
        <w:rPr>
          <w:rFonts w:cs="Calibri"/>
          <w:szCs w:val="18"/>
        </w:rPr>
        <w:t>e pakketcriteria, zoals stand wetenschap en praktijk (effectiviteit) en kosteneffectiviteit</w:t>
      </w:r>
      <w:r w:rsidR="001776A0">
        <w:rPr>
          <w:rFonts w:cs="Calibri"/>
          <w:szCs w:val="18"/>
        </w:rPr>
        <w:t>,</w:t>
      </w:r>
      <w:r w:rsidRPr="003E2247" w:rsidR="00F61EF0">
        <w:rPr>
          <w:rFonts w:cs="Calibri"/>
          <w:szCs w:val="18"/>
        </w:rPr>
        <w:t xml:space="preserve"> </w:t>
      </w:r>
      <w:r w:rsidR="005D3413">
        <w:rPr>
          <w:rFonts w:cs="Calibri"/>
          <w:szCs w:val="18"/>
        </w:rPr>
        <w:t xml:space="preserve">zijn </w:t>
      </w:r>
      <w:r w:rsidRPr="003E2247" w:rsidR="00F61EF0">
        <w:rPr>
          <w:rFonts w:cs="Calibri"/>
          <w:szCs w:val="18"/>
        </w:rPr>
        <w:t>er niet voor niets</w:t>
      </w:r>
      <w:r w:rsidR="003E2247">
        <w:rPr>
          <w:rFonts w:cs="Calibri"/>
          <w:szCs w:val="18"/>
        </w:rPr>
        <w:t xml:space="preserve">. </w:t>
      </w:r>
      <w:r w:rsidRPr="003E2247" w:rsidR="003E2247">
        <w:rPr>
          <w:rFonts w:cs="Calibri"/>
          <w:szCs w:val="18"/>
        </w:rPr>
        <w:t xml:space="preserve">Uit oogpunt van consistent pakketbeheer, dat erop gericht is om de (uiteindelijk) gelimiteerde financiële middelen zo rechtvaardig mogelijk te verdelen over </w:t>
      </w:r>
      <w:r w:rsidRPr="003E2247" w:rsidR="003E2247">
        <w:rPr>
          <w:rFonts w:cs="Calibri"/>
          <w:i/>
          <w:iCs/>
          <w:szCs w:val="18"/>
        </w:rPr>
        <w:t>alle</w:t>
      </w:r>
      <w:r w:rsidRPr="003E2247" w:rsidR="003E2247">
        <w:rPr>
          <w:rFonts w:cs="Calibri"/>
          <w:szCs w:val="18"/>
        </w:rPr>
        <w:t xml:space="preserve"> patiënten, waarbij de gezondheidswinst in verhouding tot de (meer)kosten centraal staat, kan</w:t>
      </w:r>
      <w:r w:rsidR="003E2247">
        <w:rPr>
          <w:rFonts w:cs="Calibri"/>
          <w:szCs w:val="18"/>
        </w:rPr>
        <w:t xml:space="preserve"> het kabinet daarop</w:t>
      </w:r>
      <w:r w:rsidRPr="003E2247" w:rsidR="003E2247">
        <w:rPr>
          <w:rFonts w:cs="Calibri"/>
          <w:szCs w:val="18"/>
        </w:rPr>
        <w:t xml:space="preserve"> geen uitzonderingen maken.</w:t>
      </w:r>
      <w:r w:rsidR="003E2247">
        <w:rPr>
          <w:rFonts w:cs="Calibri"/>
          <w:szCs w:val="18"/>
        </w:rPr>
        <w:t xml:space="preserve"> </w:t>
      </w:r>
      <w:r w:rsidR="001776A0">
        <w:rPr>
          <w:rFonts w:cs="Calibri"/>
          <w:szCs w:val="18"/>
        </w:rPr>
        <w:t xml:space="preserve">Als we voor </w:t>
      </w:r>
      <w:proofErr w:type="spellStart"/>
      <w:r w:rsidR="001776A0">
        <w:rPr>
          <w:rFonts w:cs="Calibri"/>
          <w:szCs w:val="18"/>
        </w:rPr>
        <w:t>Voxzogo</w:t>
      </w:r>
      <w:proofErr w:type="spellEnd"/>
      <w:r w:rsidR="001776A0">
        <w:rPr>
          <w:rFonts w:cs="Calibri"/>
          <w:szCs w:val="18"/>
        </w:rPr>
        <w:t xml:space="preserve"> een uitzondering zouden maken, moeten we dat </w:t>
      </w:r>
      <w:r w:rsidR="005D3413">
        <w:rPr>
          <w:rFonts w:cs="Calibri"/>
          <w:szCs w:val="18"/>
        </w:rPr>
        <w:t xml:space="preserve">immers </w:t>
      </w:r>
      <w:r w:rsidR="001776A0">
        <w:rPr>
          <w:rFonts w:cs="Calibri"/>
          <w:szCs w:val="18"/>
        </w:rPr>
        <w:t>ook voor andere</w:t>
      </w:r>
      <w:r w:rsidR="005D3413">
        <w:rPr>
          <w:rFonts w:cs="Calibri"/>
          <w:szCs w:val="18"/>
        </w:rPr>
        <w:t>, vergelijkbare</w:t>
      </w:r>
      <w:r w:rsidR="001776A0">
        <w:rPr>
          <w:rFonts w:cs="Calibri"/>
          <w:szCs w:val="18"/>
        </w:rPr>
        <w:t xml:space="preserve"> middelen doen.</w:t>
      </w:r>
      <w:r w:rsidR="005D3413">
        <w:rPr>
          <w:rFonts w:cs="Calibri"/>
          <w:szCs w:val="18"/>
        </w:rPr>
        <w:t xml:space="preserve"> </w:t>
      </w:r>
      <w:r w:rsidR="00447EE4">
        <w:rPr>
          <w:rFonts w:cs="Calibri"/>
          <w:szCs w:val="18"/>
        </w:rPr>
        <w:t>H</w:t>
      </w:r>
      <w:r w:rsidRPr="00447EE4" w:rsidR="00447EE4">
        <w:rPr>
          <w:rFonts w:eastAsia="Times New Roman" w:cs="Times New Roman"/>
          <w:bCs/>
          <w:color w:val="000000"/>
        </w:rPr>
        <w:t xml:space="preserve">et is </w:t>
      </w:r>
      <w:r w:rsidR="00447EE4">
        <w:rPr>
          <w:rFonts w:eastAsia="Times New Roman" w:cs="Times New Roman"/>
          <w:bCs/>
          <w:color w:val="000000"/>
        </w:rPr>
        <w:t xml:space="preserve">immers en gelukkig </w:t>
      </w:r>
      <w:r w:rsidRPr="00447EE4" w:rsidR="00447EE4">
        <w:rPr>
          <w:rFonts w:eastAsia="Times New Roman" w:cs="Times New Roman"/>
          <w:bCs/>
          <w:color w:val="000000"/>
        </w:rPr>
        <w:t xml:space="preserve">niet zo dat de ene patiëntengroep meer waard wordt geacht dan de andere, maar wel dat de ene behandeling meer waard is dan de andere – afhankelijk van de gezondheidswinst die de behandeling biedt in verhouding tot de kosten. Het kabinet vindt het niet uit te leggen aan </w:t>
      </w:r>
      <w:r w:rsidRPr="00447EE4" w:rsidR="00447EE4">
        <w:rPr>
          <w:rFonts w:eastAsia="Times New Roman" w:cs="Times New Roman"/>
          <w:bCs/>
          <w:i/>
          <w:iCs/>
          <w:color w:val="000000"/>
        </w:rPr>
        <w:t>alle</w:t>
      </w:r>
      <w:r w:rsidRPr="00447EE4" w:rsidR="00447EE4">
        <w:rPr>
          <w:rFonts w:eastAsia="Times New Roman" w:cs="Times New Roman"/>
          <w:bCs/>
          <w:color w:val="000000"/>
        </w:rPr>
        <w:t xml:space="preserve"> huidige en toekomstige patiënten, die ook premiebetalers zijn, als het besluit een duur middel met een beperkte of zeer onzekere kosteneffectiviteit zonder meer te vergoeden, of uitzonderingen te maken die de juridische houdbaarheid van het hele stelsel op de tocht zetten. Dan riskeren we dat we de solidariteit uithollen die het fundament vormt van het basispakket van de zorgverzekering.</w:t>
      </w:r>
    </w:p>
    <w:p w:rsidR="001776A0" w:rsidP="00F61EF0" w:rsidRDefault="001776A0" w14:paraId="79DBE669" w14:textId="77777777">
      <w:pPr>
        <w:pStyle w:val="Huisstijl-Aanhef"/>
        <w:spacing w:before="0" w:after="0"/>
        <w:rPr>
          <w:bCs/>
        </w:rPr>
      </w:pPr>
    </w:p>
    <w:p w:rsidRPr="003E2247" w:rsidR="001776A0" w:rsidP="00F61EF0" w:rsidRDefault="008617F6" w14:paraId="04234EEC" w14:textId="77777777">
      <w:pPr>
        <w:pStyle w:val="Huisstijl-Aanhef"/>
        <w:spacing w:before="0" w:after="0"/>
        <w:rPr>
          <w:rFonts w:cs="Calibri"/>
          <w:szCs w:val="18"/>
        </w:rPr>
      </w:pPr>
      <w:r>
        <w:rPr>
          <w:bCs/>
        </w:rPr>
        <w:t>Het kabinet sluit af met de hoop uit te spreken dat andere geneesmiddelen voor de behandeling van achondroplasie snel kunnen worden toegelaten tot de markt en dat de leveranciers van deze middelen snel, dat kan ook al in een zogeheten parallelle procedure</w:t>
      </w:r>
      <w:r>
        <w:rPr>
          <w:rStyle w:val="Voetnootmarkering"/>
          <w:bCs/>
        </w:rPr>
        <w:footnoteReference w:id="2"/>
      </w:r>
      <w:r>
        <w:rPr>
          <w:bCs/>
        </w:rPr>
        <w:t xml:space="preserve">, een vergoedingsdossier indienen bij het Zorginstituut. </w:t>
      </w:r>
    </w:p>
    <w:p w:rsidR="00A637A2" w:rsidP="004542AB" w:rsidRDefault="00A637A2" w14:paraId="5997621D" w14:textId="77777777"/>
    <w:p w:rsidR="004542AB" w:rsidP="004542AB" w:rsidRDefault="008617F6" w14:paraId="1F9BDD16" w14:textId="77777777">
      <w:r>
        <w:t>Hoogachtend,</w:t>
      </w:r>
    </w:p>
    <w:p w:rsidR="004542AB" w:rsidP="004542AB" w:rsidRDefault="004542AB" w14:paraId="397D53B5" w14:textId="77777777"/>
    <w:p w:rsidR="007D37BF" w:rsidP="003502AE" w:rsidRDefault="008617F6" w14:paraId="5B535FE3"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3502AE" w:rsidRDefault="008617F6" w14:paraId="180121DF" w14:textId="35C82C2C">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7E7D16B0" w14:textId="77777777">
      <w:pPr>
        <w:widowControl w:val="0"/>
        <w:suppressAutoHyphens/>
        <w:autoSpaceDN w:val="0"/>
        <w:textAlignment w:val="baseline"/>
        <w:rPr>
          <w:rFonts w:cs="Lohit Hindi"/>
          <w:kern w:val="3"/>
          <w:szCs w:val="18"/>
          <w:lang w:eastAsia="zh-CN" w:bidi="hi-IN"/>
        </w:rPr>
      </w:pPr>
      <w:bookmarkStart w:name="bmkHandtekening" w:id="1"/>
    </w:p>
    <w:bookmarkEnd w:id="1"/>
    <w:p w:rsidR="007D37BF" w:rsidP="003502AE" w:rsidRDefault="008617F6" w14:paraId="12AE9EE2" w14:textId="77777777">
      <w:pPr>
        <w:widowControl w:val="0"/>
        <w:suppressAutoHyphens/>
        <w:autoSpaceDN w:val="0"/>
        <w:textAlignment w:val="baseline"/>
      </w:pPr>
      <w:r>
        <w:cr/>
      </w:r>
    </w:p>
    <w:p w:rsidRPr="003502AE" w:rsidR="003502AE" w:rsidP="003502AE" w:rsidRDefault="008617F6" w14:paraId="1FDC645C" w14:textId="28926161">
      <w:pPr>
        <w:widowControl w:val="0"/>
        <w:suppressAutoHyphens/>
        <w:autoSpaceDN w:val="0"/>
        <w:textAlignment w:val="baseline"/>
        <w:rPr>
          <w:rFonts w:cs="Lohit Hindi"/>
          <w:kern w:val="3"/>
          <w:szCs w:val="18"/>
          <w:lang w:eastAsia="zh-CN" w:bidi="hi-IN"/>
        </w:rPr>
      </w:pPr>
      <w:r>
        <w:cr/>
      </w:r>
    </w:p>
    <w:p w:rsidR="003502AE" w:rsidP="003502AE" w:rsidRDefault="008617F6" w14:paraId="6502F22A" w14:textId="77777777">
      <w:pPr>
        <w:rPr>
          <w:rFonts w:cs="Lohit Hindi"/>
          <w:kern w:val="3"/>
          <w:szCs w:val="24"/>
          <w:lang w:eastAsia="zh-CN" w:bidi="hi-IN"/>
        </w:rPr>
      </w:pPr>
      <w:r>
        <w:rPr>
          <w:rFonts w:cs="Lohit Hindi"/>
          <w:kern w:val="3"/>
          <w:szCs w:val="24"/>
          <w:lang w:eastAsia="zh-CN" w:bidi="hi-IN"/>
        </w:rPr>
        <w:t>Sophie Hermans</w:t>
      </w:r>
    </w:p>
    <w:p w:rsidR="005212B5" w:rsidP="003502AE" w:rsidRDefault="005212B5" w14:paraId="3D111FCE"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EB76" w14:textId="77777777" w:rsidR="00CF60A6" w:rsidRDefault="00CF60A6">
      <w:pPr>
        <w:spacing w:line="240" w:lineRule="auto"/>
      </w:pPr>
      <w:r>
        <w:separator/>
      </w:r>
    </w:p>
  </w:endnote>
  <w:endnote w:type="continuationSeparator" w:id="0">
    <w:p w14:paraId="40FBBE33" w14:textId="77777777" w:rsidR="00CF60A6" w:rsidRDefault="00CF6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DEBC" w14:textId="77777777" w:rsidR="00CF60A6" w:rsidRDefault="00CF60A6">
      <w:pPr>
        <w:spacing w:line="240" w:lineRule="auto"/>
      </w:pPr>
      <w:r>
        <w:separator/>
      </w:r>
    </w:p>
  </w:footnote>
  <w:footnote w:type="continuationSeparator" w:id="0">
    <w:p w14:paraId="705463EC" w14:textId="77777777" w:rsidR="00CF60A6" w:rsidRDefault="00CF60A6">
      <w:pPr>
        <w:spacing w:line="240" w:lineRule="auto"/>
      </w:pPr>
      <w:r>
        <w:continuationSeparator/>
      </w:r>
    </w:p>
  </w:footnote>
  <w:footnote w:id="1">
    <w:p w14:paraId="1DDAC1AB" w14:textId="77777777" w:rsidR="00003962" w:rsidRPr="00EF53E6" w:rsidRDefault="008617F6">
      <w:pPr>
        <w:pStyle w:val="Voetnoottekst"/>
        <w:rPr>
          <w:sz w:val="13"/>
          <w:szCs w:val="13"/>
        </w:rPr>
      </w:pPr>
      <w:r w:rsidRPr="00EF53E6">
        <w:rPr>
          <w:rStyle w:val="Voetnootmarkering"/>
          <w:sz w:val="13"/>
          <w:szCs w:val="13"/>
        </w:rPr>
        <w:footnoteRef/>
      </w:r>
      <w:r w:rsidRPr="00EF53E6">
        <w:rPr>
          <w:sz w:val="13"/>
          <w:szCs w:val="13"/>
        </w:rPr>
        <w:t xml:space="preserve"> Zie Kamerstukken 29689, nr. 1338.</w:t>
      </w:r>
    </w:p>
  </w:footnote>
  <w:footnote w:id="2">
    <w:p w14:paraId="6C447FA8" w14:textId="77777777" w:rsidR="001776A0" w:rsidRPr="00EF53E6" w:rsidRDefault="008617F6">
      <w:pPr>
        <w:pStyle w:val="Voetnoottekst"/>
        <w:rPr>
          <w:sz w:val="13"/>
          <w:szCs w:val="13"/>
        </w:rPr>
      </w:pPr>
      <w:r w:rsidRPr="00EF53E6">
        <w:rPr>
          <w:rStyle w:val="Voetnootmarkering"/>
          <w:sz w:val="13"/>
          <w:szCs w:val="13"/>
        </w:rPr>
        <w:footnoteRef/>
      </w:r>
      <w:r w:rsidRPr="00EF53E6">
        <w:rPr>
          <w:sz w:val="13"/>
          <w:szCs w:val="13"/>
        </w:rPr>
        <w:t xml:space="preserve"> </w:t>
      </w:r>
      <w:hyperlink r:id="rId1" w:history="1">
        <w:r w:rsidR="001776A0" w:rsidRPr="00EF53E6">
          <w:rPr>
            <w:rStyle w:val="Hyperlink"/>
            <w:sz w:val="13"/>
            <w:szCs w:val="13"/>
          </w:rPr>
          <w:t>https://www.zorginstituutnederland.nl/wat-wij-doen/werkwijzen-en-procedures/adviseren-over-en-verduidelijken-van-het-basispakket-aan-zorg/beoordeling-van-geneesmiddelen/parallelle-procedure</w:t>
        </w:r>
      </w:hyperlink>
      <w:r w:rsidRPr="00EF53E6">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295B" w14:textId="77777777" w:rsidR="00830438" w:rsidRDefault="008617F6">
    <w:pPr>
      <w:pStyle w:val="Koptekst"/>
    </w:pPr>
    <w:r>
      <w:rPr>
        <w:noProof/>
      </w:rPr>
      <w:pict w14:anchorId="7AC4A87C">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73220E19" w14:textId="77777777" w:rsidR="00830438" w:rsidRDefault="008617F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3CF32E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DF04" w14:textId="77777777" w:rsidR="00830438" w:rsidRDefault="008617F6" w:rsidP="00536636">
    <w:pPr>
      <w:pStyle w:val="Koptekst"/>
    </w:pPr>
    <w:r>
      <w:rPr>
        <w:noProof/>
      </w:rPr>
      <w:pict w14:anchorId="658092D5">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67B14DD1" w14:textId="77777777" w:rsidR="00830438" w:rsidRDefault="008617F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108DE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325F65F5" w14:textId="77777777" w:rsidR="00830438" w:rsidRDefault="00830438" w:rsidP="00536636">
    <w:pPr>
      <w:pStyle w:val="Koptekst"/>
    </w:pPr>
  </w:p>
  <w:p w14:paraId="10D7491D" w14:textId="77777777" w:rsidR="00830438" w:rsidRPr="00536636" w:rsidRDefault="008617F6" w:rsidP="00536636">
    <w:pPr>
      <w:pStyle w:val="Koptekst"/>
    </w:pPr>
    <w:r>
      <w:rPr>
        <w:noProof/>
        <w:lang w:val="en-US" w:eastAsia="en-US"/>
      </w:rPr>
      <w:pict w14:anchorId="2E6CC553">
        <v:shape id="_x0000_s3076" type="#_x0000_t202" style="position:absolute;margin-left:388.1pt;margin-top:89.5pt;width:99.5pt;height:632.75pt;z-index:251657216;mso-position-horizontal-relative:margin" filled="f" stroked="f">
          <v:textbox inset="0,42.52pt,0,0">
            <w:txbxContent>
              <w:p w14:paraId="4BF6C141" w14:textId="77777777" w:rsidR="00830438" w:rsidRPr="006D7336" w:rsidRDefault="008617F6" w:rsidP="00536636">
                <w:pPr>
                  <w:pStyle w:val="Afzendgegevens"/>
                  <w:rPr>
                    <w:b/>
                  </w:rPr>
                </w:pPr>
                <w:r w:rsidRPr="006D7336">
                  <w:rPr>
                    <w:b/>
                  </w:rPr>
                  <w:t>Bezoekadres</w:t>
                </w:r>
              </w:p>
              <w:p w14:paraId="5460B3B4" w14:textId="77777777" w:rsidR="00830438" w:rsidRDefault="008617F6" w:rsidP="00536636">
                <w:pPr>
                  <w:pStyle w:val="Afzendgegevens"/>
                </w:pPr>
                <w:r>
                  <w:t>Parnassusplein 5</w:t>
                </w:r>
              </w:p>
              <w:p w14:paraId="1CDAD91C" w14:textId="77777777" w:rsidR="00830438" w:rsidRDefault="008617F6" w:rsidP="0051346F">
                <w:pPr>
                  <w:pStyle w:val="Afzendgegevens"/>
                </w:pPr>
                <w:r>
                  <w:t>25</w:t>
                </w:r>
                <w:r w:rsidR="00144715">
                  <w:t>11</w:t>
                </w:r>
                <w:r>
                  <w:t xml:space="preserve"> </w:t>
                </w:r>
                <w:r w:rsidR="00144715">
                  <w:t xml:space="preserve">VX </w:t>
                </w:r>
                <w:r w:rsidR="005C61EB">
                  <w:t xml:space="preserve"> </w:t>
                </w:r>
                <w:r>
                  <w:t>Den Haag</w:t>
                </w:r>
              </w:p>
              <w:p w14:paraId="12C7BD0C" w14:textId="77777777" w:rsidR="00830438" w:rsidRDefault="008617F6" w:rsidP="00536636">
                <w:pPr>
                  <w:pStyle w:val="Afzendgegevens"/>
                  <w:tabs>
                    <w:tab w:val="left" w:pos="170"/>
                  </w:tabs>
                </w:pPr>
                <w:r>
                  <w:t>T</w:t>
                </w:r>
                <w:r>
                  <w:tab/>
                  <w:t>070 340 79 11</w:t>
                </w:r>
              </w:p>
              <w:p w14:paraId="13AC3FD7" w14:textId="77777777" w:rsidR="00830438" w:rsidRDefault="008617F6" w:rsidP="00536636">
                <w:pPr>
                  <w:pStyle w:val="Afzendgegevens"/>
                  <w:tabs>
                    <w:tab w:val="left" w:pos="170"/>
                  </w:tabs>
                </w:pPr>
                <w:r>
                  <w:t>F</w:t>
                </w:r>
                <w:r>
                  <w:tab/>
                  <w:t>070 340 78 34</w:t>
                </w:r>
              </w:p>
              <w:p w14:paraId="5219E3B6" w14:textId="77777777" w:rsidR="00830438" w:rsidRDefault="008617F6" w:rsidP="00536636">
                <w:pPr>
                  <w:pStyle w:val="Afzendgegevens"/>
                </w:pPr>
                <w:r>
                  <w:t>www.rijksoverheid.nl</w:t>
                </w:r>
              </w:p>
              <w:p w14:paraId="46419755" w14:textId="77777777" w:rsidR="00830438" w:rsidRDefault="00830438" w:rsidP="00536636">
                <w:pPr>
                  <w:pStyle w:val="Afzendgegevenswitregel2"/>
                </w:pPr>
              </w:p>
              <w:p w14:paraId="5D576607" w14:textId="77777777" w:rsidR="00830438" w:rsidRPr="006D7336" w:rsidRDefault="008617F6" w:rsidP="00005041">
                <w:pPr>
                  <w:pStyle w:val="Afzendgegevens"/>
                  <w:rPr>
                    <w:b/>
                  </w:rPr>
                </w:pPr>
                <w:r w:rsidRPr="006D7336">
                  <w:rPr>
                    <w:b/>
                  </w:rPr>
                  <w:t>Ons kenmerk</w:t>
                </w:r>
              </w:p>
              <w:p w14:paraId="7CF205B0" w14:textId="77777777" w:rsidR="00830438" w:rsidRDefault="008617F6" w:rsidP="00005041">
                <w:pPr>
                  <w:pStyle w:val="Afzendgegevens"/>
                </w:pPr>
                <w:r>
                  <w:t>4476394-1101045-GMT</w:t>
                </w:r>
              </w:p>
              <w:p w14:paraId="6BD12766" w14:textId="77777777" w:rsidR="0012322E" w:rsidRDefault="0012322E" w:rsidP="0012322E">
                <w:pPr>
                  <w:pStyle w:val="Afzendgegevens"/>
                </w:pPr>
              </w:p>
              <w:p w14:paraId="51E154A3" w14:textId="77777777" w:rsidR="00830438" w:rsidRDefault="00830438" w:rsidP="00384D72">
                <w:pPr>
                  <w:pStyle w:val="Afzendgegevens"/>
                </w:pPr>
              </w:p>
              <w:p w14:paraId="4C78D04C" w14:textId="77777777" w:rsidR="0012322E" w:rsidRDefault="0012322E" w:rsidP="00384D72">
                <w:pPr>
                  <w:pStyle w:val="Afzendgegevens"/>
                </w:pPr>
              </w:p>
              <w:p w14:paraId="51DBE0B4" w14:textId="77777777" w:rsidR="00830438" w:rsidRPr="00C45528" w:rsidRDefault="008617F6"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47830839">
    <w:abstractNumId w:val="9"/>
  </w:num>
  <w:num w:numId="2" w16cid:durableId="451049333">
    <w:abstractNumId w:val="12"/>
  </w:num>
  <w:num w:numId="3" w16cid:durableId="249120030">
    <w:abstractNumId w:val="7"/>
  </w:num>
  <w:num w:numId="4" w16cid:durableId="746147004">
    <w:abstractNumId w:val="6"/>
  </w:num>
  <w:num w:numId="5" w16cid:durableId="1308779842">
    <w:abstractNumId w:val="5"/>
  </w:num>
  <w:num w:numId="6" w16cid:durableId="1800998583">
    <w:abstractNumId w:val="4"/>
  </w:num>
  <w:num w:numId="7" w16cid:durableId="672146034">
    <w:abstractNumId w:val="8"/>
  </w:num>
  <w:num w:numId="8" w16cid:durableId="24260725">
    <w:abstractNumId w:val="3"/>
  </w:num>
  <w:num w:numId="9" w16cid:durableId="2088962240">
    <w:abstractNumId w:val="2"/>
  </w:num>
  <w:num w:numId="10" w16cid:durableId="394744043">
    <w:abstractNumId w:val="1"/>
  </w:num>
  <w:num w:numId="11" w16cid:durableId="613370776">
    <w:abstractNumId w:val="0"/>
  </w:num>
  <w:num w:numId="12" w16cid:durableId="1329671457">
    <w:abstractNumId w:val="13"/>
  </w:num>
  <w:num w:numId="13" w16cid:durableId="1962876517">
    <w:abstractNumId w:val="14"/>
  </w:num>
  <w:num w:numId="14" w16cid:durableId="1162427240">
    <w:abstractNumId w:val="10"/>
  </w:num>
  <w:num w:numId="15" w16cid:durableId="1711685075">
    <w:abstractNumId w:val="15"/>
  </w:num>
  <w:num w:numId="16" w16cid:durableId="924261529">
    <w:abstractNumId w:val="15"/>
  </w:num>
  <w:num w:numId="17" w16cid:durableId="2015953081">
    <w:abstractNumId w:val="15"/>
  </w:num>
  <w:num w:numId="18" w16cid:durableId="666711796">
    <w:abstractNumId w:val="11"/>
  </w:num>
  <w:num w:numId="19" w16cid:durableId="193881629">
    <w:abstractNumId w:val="11"/>
  </w:num>
  <w:num w:numId="20" w16cid:durableId="38213293">
    <w:abstractNumId w:val="11"/>
  </w:num>
  <w:num w:numId="21" w16cid:durableId="1896046975">
    <w:abstractNumId w:val="12"/>
  </w:num>
  <w:num w:numId="22" w16cid:durableId="1843667295">
    <w:abstractNumId w:val="7"/>
  </w:num>
  <w:num w:numId="23" w16cid:durableId="1699577206">
    <w:abstractNumId w:val="6"/>
  </w:num>
  <w:num w:numId="24" w16cid:durableId="470250683">
    <w:abstractNumId w:val="10"/>
  </w:num>
  <w:num w:numId="25" w16cid:durableId="716127827">
    <w:abstractNumId w:val="12"/>
  </w:num>
  <w:num w:numId="26" w16cid:durableId="1696618842">
    <w:abstractNumId w:val="7"/>
  </w:num>
  <w:num w:numId="27" w16cid:durableId="98187090">
    <w:abstractNumId w:val="6"/>
  </w:num>
  <w:num w:numId="28" w16cid:durableId="80418647">
    <w:abstractNumId w:val="16"/>
  </w:num>
  <w:num w:numId="29" w16cid:durableId="1107770696">
    <w:abstractNumId w:val="16"/>
  </w:num>
  <w:num w:numId="30" w16cid:durableId="1593783997">
    <w:abstractNumId w:val="16"/>
  </w:num>
  <w:num w:numId="31" w16cid:durableId="234556732">
    <w:abstractNumId w:val="16"/>
  </w:num>
  <w:num w:numId="32" w16cid:durableId="1135560755">
    <w:abstractNumId w:val="14"/>
  </w:num>
  <w:num w:numId="33" w16cid:durableId="540631157">
    <w:abstractNumId w:val="14"/>
  </w:num>
  <w:num w:numId="34" w16cid:durableId="1082489473">
    <w:abstractNumId w:val="14"/>
  </w:num>
  <w:num w:numId="35" w16cid:durableId="571157935">
    <w:abstractNumId w:val="11"/>
  </w:num>
  <w:num w:numId="36" w16cid:durableId="97606389">
    <w:abstractNumId w:val="11"/>
  </w:num>
  <w:num w:numId="37" w16cid:durableId="1072311012">
    <w:abstractNumId w:val="11"/>
  </w:num>
  <w:num w:numId="38" w16cid:durableId="638389513">
    <w:abstractNumId w:val="12"/>
  </w:num>
  <w:num w:numId="39" w16cid:durableId="2098746937">
    <w:abstractNumId w:val="7"/>
  </w:num>
  <w:num w:numId="40" w16cid:durableId="786773059">
    <w:abstractNumId w:val="6"/>
  </w:num>
  <w:num w:numId="41" w16cid:durableId="1757821171">
    <w:abstractNumId w:val="5"/>
  </w:num>
  <w:num w:numId="42" w16cid:durableId="774011857">
    <w:abstractNumId w:val="4"/>
  </w:num>
  <w:num w:numId="43" w16cid:durableId="1667509798">
    <w:abstractNumId w:val="16"/>
  </w:num>
  <w:num w:numId="44" w16cid:durableId="185487171">
    <w:abstractNumId w:val="16"/>
  </w:num>
  <w:num w:numId="45" w16cid:durableId="1923565688">
    <w:abstractNumId w:val="16"/>
  </w:num>
  <w:num w:numId="46" w16cid:durableId="1202747293">
    <w:abstractNumId w:val="16"/>
  </w:num>
  <w:num w:numId="47" w16cid:durableId="153788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3962"/>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219C"/>
    <w:rsid w:val="000E4C38"/>
    <w:rsid w:val="000F262C"/>
    <w:rsid w:val="000F4685"/>
    <w:rsid w:val="00106D6E"/>
    <w:rsid w:val="00111ABC"/>
    <w:rsid w:val="00115F29"/>
    <w:rsid w:val="0012322E"/>
    <w:rsid w:val="00126768"/>
    <w:rsid w:val="00132B19"/>
    <w:rsid w:val="00142461"/>
    <w:rsid w:val="00143453"/>
    <w:rsid w:val="00144715"/>
    <w:rsid w:val="001456A9"/>
    <w:rsid w:val="00160FE0"/>
    <w:rsid w:val="0017019F"/>
    <w:rsid w:val="001751C3"/>
    <w:rsid w:val="00175DD0"/>
    <w:rsid w:val="001776A0"/>
    <w:rsid w:val="00195B45"/>
    <w:rsid w:val="001B69D3"/>
    <w:rsid w:val="001C1B88"/>
    <w:rsid w:val="001D5CE1"/>
    <w:rsid w:val="001E4AA7"/>
    <w:rsid w:val="001E7B11"/>
    <w:rsid w:val="001F4FDF"/>
    <w:rsid w:val="00207873"/>
    <w:rsid w:val="00213634"/>
    <w:rsid w:val="0022547F"/>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E2247"/>
    <w:rsid w:val="003E25EC"/>
    <w:rsid w:val="003F281F"/>
    <w:rsid w:val="0041587D"/>
    <w:rsid w:val="00423F87"/>
    <w:rsid w:val="00433227"/>
    <w:rsid w:val="00442544"/>
    <w:rsid w:val="00447EB8"/>
    <w:rsid w:val="00447EE4"/>
    <w:rsid w:val="004542AB"/>
    <w:rsid w:val="00472D0A"/>
    <w:rsid w:val="0047594C"/>
    <w:rsid w:val="0048542D"/>
    <w:rsid w:val="00494227"/>
    <w:rsid w:val="004B5A41"/>
    <w:rsid w:val="004C28CC"/>
    <w:rsid w:val="004C30B5"/>
    <w:rsid w:val="004D3EE4"/>
    <w:rsid w:val="004D425E"/>
    <w:rsid w:val="004D506C"/>
    <w:rsid w:val="004D782C"/>
    <w:rsid w:val="004E2A1A"/>
    <w:rsid w:val="004F4498"/>
    <w:rsid w:val="0051346F"/>
    <w:rsid w:val="00516263"/>
    <w:rsid w:val="00516695"/>
    <w:rsid w:val="005212B5"/>
    <w:rsid w:val="005352CF"/>
    <w:rsid w:val="00536636"/>
    <w:rsid w:val="00547739"/>
    <w:rsid w:val="00547FE6"/>
    <w:rsid w:val="00567AB5"/>
    <w:rsid w:val="00581D53"/>
    <w:rsid w:val="00586002"/>
    <w:rsid w:val="00592DC4"/>
    <w:rsid w:val="005A668A"/>
    <w:rsid w:val="005C55B1"/>
    <w:rsid w:val="005C61EB"/>
    <w:rsid w:val="005D3413"/>
    <w:rsid w:val="00635330"/>
    <w:rsid w:val="0065343A"/>
    <w:rsid w:val="00662198"/>
    <w:rsid w:val="00670F32"/>
    <w:rsid w:val="0067640E"/>
    <w:rsid w:val="00682AC0"/>
    <w:rsid w:val="00684E20"/>
    <w:rsid w:val="006C0CC8"/>
    <w:rsid w:val="006D6512"/>
    <w:rsid w:val="006D7336"/>
    <w:rsid w:val="006E1A46"/>
    <w:rsid w:val="006F0AEE"/>
    <w:rsid w:val="006F73B7"/>
    <w:rsid w:val="00705DFE"/>
    <w:rsid w:val="00726215"/>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04C5"/>
    <w:rsid w:val="007D37BF"/>
    <w:rsid w:val="007D6882"/>
    <w:rsid w:val="007E13A5"/>
    <w:rsid w:val="007E5B79"/>
    <w:rsid w:val="007F5AEE"/>
    <w:rsid w:val="007F63F2"/>
    <w:rsid w:val="00803C7D"/>
    <w:rsid w:val="00814714"/>
    <w:rsid w:val="00830438"/>
    <w:rsid w:val="008537C9"/>
    <w:rsid w:val="008617F6"/>
    <w:rsid w:val="00861D19"/>
    <w:rsid w:val="008637B7"/>
    <w:rsid w:val="008729DD"/>
    <w:rsid w:val="00881A5B"/>
    <w:rsid w:val="00891202"/>
    <w:rsid w:val="008931EC"/>
    <w:rsid w:val="008B36E3"/>
    <w:rsid w:val="009071A4"/>
    <w:rsid w:val="00907302"/>
    <w:rsid w:val="00920DD6"/>
    <w:rsid w:val="0093416E"/>
    <w:rsid w:val="009608D3"/>
    <w:rsid w:val="009615EB"/>
    <w:rsid w:val="00963E22"/>
    <w:rsid w:val="0096635E"/>
    <w:rsid w:val="0097481D"/>
    <w:rsid w:val="009932FB"/>
    <w:rsid w:val="009945B3"/>
    <w:rsid w:val="009B7B79"/>
    <w:rsid w:val="009D469E"/>
    <w:rsid w:val="009D54A9"/>
    <w:rsid w:val="009E49D6"/>
    <w:rsid w:val="009E59AE"/>
    <w:rsid w:val="00A0092D"/>
    <w:rsid w:val="00A00C1B"/>
    <w:rsid w:val="00A11E19"/>
    <w:rsid w:val="00A420CE"/>
    <w:rsid w:val="00A46115"/>
    <w:rsid w:val="00A47903"/>
    <w:rsid w:val="00A637A2"/>
    <w:rsid w:val="00A75276"/>
    <w:rsid w:val="00A85416"/>
    <w:rsid w:val="00A902DB"/>
    <w:rsid w:val="00A9391D"/>
    <w:rsid w:val="00A95AF0"/>
    <w:rsid w:val="00A97BB8"/>
    <w:rsid w:val="00AB0B6F"/>
    <w:rsid w:val="00AB33BE"/>
    <w:rsid w:val="00AB4A9A"/>
    <w:rsid w:val="00AB4AB7"/>
    <w:rsid w:val="00AB6116"/>
    <w:rsid w:val="00AC1B4F"/>
    <w:rsid w:val="00AC3430"/>
    <w:rsid w:val="00AE5E7A"/>
    <w:rsid w:val="00AE7E55"/>
    <w:rsid w:val="00AF35D8"/>
    <w:rsid w:val="00B02455"/>
    <w:rsid w:val="00B035F1"/>
    <w:rsid w:val="00B40935"/>
    <w:rsid w:val="00B42A63"/>
    <w:rsid w:val="00B45DDD"/>
    <w:rsid w:val="00B4655F"/>
    <w:rsid w:val="00B478A6"/>
    <w:rsid w:val="00B53439"/>
    <w:rsid w:val="00B54A56"/>
    <w:rsid w:val="00B55170"/>
    <w:rsid w:val="00B5555C"/>
    <w:rsid w:val="00B65DEA"/>
    <w:rsid w:val="00B66C42"/>
    <w:rsid w:val="00B73E7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5749A"/>
    <w:rsid w:val="00C638EB"/>
    <w:rsid w:val="00C70223"/>
    <w:rsid w:val="00C742D7"/>
    <w:rsid w:val="00C87B4D"/>
    <w:rsid w:val="00C9417E"/>
    <w:rsid w:val="00C94191"/>
    <w:rsid w:val="00CA481F"/>
    <w:rsid w:val="00CA76AB"/>
    <w:rsid w:val="00CB09AE"/>
    <w:rsid w:val="00CD04DD"/>
    <w:rsid w:val="00CF60A6"/>
    <w:rsid w:val="00D057BA"/>
    <w:rsid w:val="00D10638"/>
    <w:rsid w:val="00D12650"/>
    <w:rsid w:val="00D376E1"/>
    <w:rsid w:val="00D50897"/>
    <w:rsid w:val="00D744AD"/>
    <w:rsid w:val="00D77A4C"/>
    <w:rsid w:val="00D81FF9"/>
    <w:rsid w:val="00D87848"/>
    <w:rsid w:val="00D91799"/>
    <w:rsid w:val="00D97A0B"/>
    <w:rsid w:val="00DB1277"/>
    <w:rsid w:val="00DB211D"/>
    <w:rsid w:val="00DC7090"/>
    <w:rsid w:val="00DD127F"/>
    <w:rsid w:val="00DD536E"/>
    <w:rsid w:val="00DE3C6C"/>
    <w:rsid w:val="00DF0B4E"/>
    <w:rsid w:val="00E00E6C"/>
    <w:rsid w:val="00E20396"/>
    <w:rsid w:val="00E3247D"/>
    <w:rsid w:val="00E46900"/>
    <w:rsid w:val="00E57FE4"/>
    <w:rsid w:val="00E736D3"/>
    <w:rsid w:val="00EB11C1"/>
    <w:rsid w:val="00EB2F0F"/>
    <w:rsid w:val="00EB49A6"/>
    <w:rsid w:val="00EE6EBB"/>
    <w:rsid w:val="00EF53E6"/>
    <w:rsid w:val="00F01F8C"/>
    <w:rsid w:val="00F10705"/>
    <w:rsid w:val="00F15E23"/>
    <w:rsid w:val="00F17FC9"/>
    <w:rsid w:val="00F306B5"/>
    <w:rsid w:val="00F3128D"/>
    <w:rsid w:val="00F32278"/>
    <w:rsid w:val="00F35583"/>
    <w:rsid w:val="00F36B68"/>
    <w:rsid w:val="00F423B4"/>
    <w:rsid w:val="00F46DEC"/>
    <w:rsid w:val="00F61EF0"/>
    <w:rsid w:val="00F71053"/>
    <w:rsid w:val="00F84971"/>
    <w:rsid w:val="00F86048"/>
    <w:rsid w:val="00F96B86"/>
    <w:rsid w:val="00FA5C0E"/>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3BCE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Aanhef">
    <w:name w:val="Huisstijl - Aanhef"/>
    <w:basedOn w:val="Standaard"/>
    <w:rsid w:val="00003962"/>
    <w:pPr>
      <w:widowControl w:val="0"/>
      <w:suppressAutoHyphens/>
      <w:autoSpaceDN w:val="0"/>
      <w:spacing w:before="100" w:after="240" w:line="240" w:lineRule="exact"/>
      <w:textAlignment w:val="baseline"/>
    </w:pPr>
    <w:rPr>
      <w:rFonts w:eastAsia="DejaVu Sans" w:cs="Lohit Hindi"/>
      <w:kern w:val="3"/>
      <w:szCs w:val="24"/>
      <w:lang w:eastAsia="zh-CN" w:bidi="hi-IN"/>
    </w:rPr>
  </w:style>
  <w:style w:type="character" w:customStyle="1" w:styleId="VoetnoottekstChar">
    <w:name w:val="Voetnoottekst Char"/>
    <w:link w:val="Voetnoottekst"/>
    <w:uiPriority w:val="99"/>
    <w:semiHidden/>
    <w:rsid w:val="00003962"/>
    <w:rPr>
      <w:rFonts w:ascii="Verdana" w:hAnsi="Verdana"/>
      <w:sz w:val="18"/>
    </w:rPr>
  </w:style>
  <w:style w:type="character" w:styleId="Voetnootmarkering">
    <w:name w:val="footnote reference"/>
    <w:uiPriority w:val="99"/>
    <w:semiHidden/>
    <w:unhideWhenUsed/>
    <w:rsid w:val="00003962"/>
    <w:rPr>
      <w:vertAlign w:val="superscript"/>
    </w:rPr>
  </w:style>
  <w:style w:type="character" w:styleId="Hyperlink">
    <w:name w:val="Hyperlink"/>
    <w:unhideWhenUsed/>
    <w:rsid w:val="001776A0"/>
    <w:rPr>
      <w:color w:val="0000FF"/>
      <w:u w:val="single"/>
    </w:rPr>
  </w:style>
  <w:style w:type="character" w:styleId="Onopgelostemelding">
    <w:name w:val="Unresolved Mention"/>
    <w:uiPriority w:val="99"/>
    <w:semiHidden/>
    <w:unhideWhenUsed/>
    <w:rsid w:val="00177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wat-wij-doen/werkwijzen-en-procedures/adviseren-over-en-verduidelijken-van-het-basispakket-aan-zorg/beoordeling-van-geneesmiddelen/parallelle-procedu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628</ap:Words>
  <ap:Characters>3637</ap:Characters>
  <ap:DocSecurity>0</ap:DocSecurity>
  <ap:Lines>30</ap:Lines>
  <ap:Paragraphs>8</ap:Paragraphs>
  <ap:ScaleCrop>false</ap:ScaleCrop>
  <ap:LinksUpToDate>false</ap:LinksUpToDate>
  <ap:CharactersWithSpaces>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2026-07-16T12:34:00.0000000Z</dcterms:created>
  <dcterms:modified xsi:type="dcterms:W3CDTF">2026-07-16T12:34:00.0000000Z</dcterms:modified>
  <dc:creator/>
  <dc:description>------------------------</dc:description>
  <dc:subject/>
  <dc:title/>
  <keywords/>
  <version/>
  <category/>
</coreProperties>
</file>