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7FF8" w:rsidP="007A70F1" w:rsidRDefault="00F97FF8" w14:paraId="2DBF8663" w14:textId="77777777">
      <w:pPr>
        <w:spacing w:line="276" w:lineRule="auto"/>
      </w:pPr>
    </w:p>
    <w:p w:rsidR="001E1426" w:rsidP="007A70F1" w:rsidRDefault="00370545" w14:paraId="0A5253C3" w14:textId="4E47A631">
      <w:pPr>
        <w:spacing w:line="276" w:lineRule="auto"/>
      </w:pPr>
      <w:r>
        <w:t>Geachte voorzitter,</w:t>
      </w:r>
    </w:p>
    <w:p w:rsidRPr="00370545" w:rsidR="00370545" w:rsidP="007A70F1" w:rsidRDefault="00370545" w14:paraId="1C03D8B5" w14:textId="77777777">
      <w:pPr>
        <w:spacing w:line="276" w:lineRule="auto"/>
      </w:pPr>
    </w:p>
    <w:p w:rsidRPr="00370545" w:rsidR="00370545" w:rsidP="007A70F1" w:rsidRDefault="00370545" w14:paraId="5A9D5F16" w14:textId="77777777">
      <w:pPr>
        <w:spacing w:line="276" w:lineRule="auto"/>
        <w:rPr>
          <w:bCs/>
          <w:iCs/>
        </w:rPr>
      </w:pPr>
      <w:r w:rsidRPr="00370545">
        <w:rPr>
          <w:bCs/>
          <w:iCs/>
        </w:rPr>
        <w:t>Op 24 juli zal in New York een Speciale Zitting plaatsvinden van de Vergadering van verdragspartijen bij het Statuut van Rome (</w:t>
      </w:r>
      <w:r w:rsidRPr="00370545">
        <w:rPr>
          <w:bCs/>
          <w:i/>
          <w:iCs/>
        </w:rPr>
        <w:t xml:space="preserve">Assembly of </w:t>
      </w:r>
      <w:proofErr w:type="spellStart"/>
      <w:r w:rsidRPr="00370545">
        <w:rPr>
          <w:bCs/>
          <w:i/>
          <w:iCs/>
        </w:rPr>
        <w:t>States</w:t>
      </w:r>
      <w:proofErr w:type="spellEnd"/>
      <w:r w:rsidRPr="00370545">
        <w:rPr>
          <w:bCs/>
          <w:i/>
          <w:iCs/>
        </w:rPr>
        <w:t xml:space="preserve"> </w:t>
      </w:r>
      <w:proofErr w:type="spellStart"/>
      <w:r w:rsidRPr="00370545">
        <w:rPr>
          <w:bCs/>
          <w:i/>
          <w:iCs/>
        </w:rPr>
        <w:t>Parties</w:t>
      </w:r>
      <w:proofErr w:type="spellEnd"/>
      <w:r w:rsidRPr="00370545">
        <w:rPr>
          <w:bCs/>
          <w:iCs/>
        </w:rPr>
        <w:t>, ASP) inzake het Internationaal Strafhof (ISH). Middels deze brief informeert het kabinet u over deze Speciale Zitting, waarin de ASP een beslissing zal moeten nemen over de vraag of de hoofdaanklager van het ISH, Karim Khan, uit zijn ambt dient te worden ontzet op grond van artikel 46 van het Statuut van Rome.</w:t>
      </w:r>
    </w:p>
    <w:p w:rsidR="00F97FF8" w:rsidP="007A70F1" w:rsidRDefault="00F97FF8" w14:paraId="011236CD" w14:textId="77777777">
      <w:pPr>
        <w:spacing w:line="276" w:lineRule="auto"/>
        <w:rPr>
          <w:b/>
          <w:bCs/>
          <w:iCs/>
        </w:rPr>
      </w:pPr>
    </w:p>
    <w:p w:rsidRPr="00370545" w:rsidR="00370545" w:rsidP="007A70F1" w:rsidRDefault="00370545" w14:paraId="0AC7CA3A" w14:textId="63A30C0D">
      <w:pPr>
        <w:spacing w:line="276" w:lineRule="auto"/>
        <w:rPr>
          <w:b/>
          <w:bCs/>
          <w:iCs/>
        </w:rPr>
      </w:pPr>
      <w:r w:rsidRPr="00370545">
        <w:rPr>
          <w:b/>
          <w:bCs/>
          <w:iCs/>
        </w:rPr>
        <w:t>Inleiding</w:t>
      </w:r>
    </w:p>
    <w:p w:rsidR="00370545" w:rsidP="007A70F1" w:rsidRDefault="00370545" w14:paraId="2DA5D17D" w14:textId="683E582E">
      <w:pPr>
        <w:spacing w:line="276" w:lineRule="auto"/>
        <w:rPr>
          <w:bCs/>
          <w:iCs/>
        </w:rPr>
      </w:pPr>
      <w:r w:rsidRPr="00370545">
        <w:rPr>
          <w:bCs/>
          <w:iCs/>
        </w:rPr>
        <w:t xml:space="preserve">Op 8 juni 2026 heeft het Bureau van de ASP – waar 21 van de 125 verdragspartijen zitting in hebben en dat tijdens de </w:t>
      </w:r>
      <w:proofErr w:type="spellStart"/>
      <w:r w:rsidRPr="00370545">
        <w:rPr>
          <w:bCs/>
          <w:iCs/>
        </w:rPr>
        <w:t>inter-sessionele</w:t>
      </w:r>
      <w:proofErr w:type="spellEnd"/>
      <w:r w:rsidRPr="00370545">
        <w:rPr>
          <w:bCs/>
          <w:iCs/>
        </w:rPr>
        <w:t xml:space="preserve"> periodes fungeert als het besluitvormingsorgaan van de ASP – met gekwalificeerde meerderheid een beslissing genomen over de tuchtprocedure tegen Aanklager Khan.</w:t>
      </w:r>
      <w:r w:rsidRPr="00370545">
        <w:rPr>
          <w:bCs/>
          <w:iCs/>
          <w:vertAlign w:val="superscript"/>
        </w:rPr>
        <w:footnoteReference w:id="1"/>
      </w:r>
      <w:r w:rsidRPr="00370545">
        <w:rPr>
          <w:bCs/>
          <w:iCs/>
        </w:rPr>
        <w:t xml:space="preserve"> Het Bureau heeft de tuchtprocedure doorverwezen naar de ASP en de ASP aanbevolen om de Aanklager uit zijn ambt te ontzetten. Daarnaast heeft het Bureau besloten om de Aanklager met onmiddellijke ingang te schorsen in afwachting van de definitieve beslissing van de ASP, die uiteindelijk de bevoegde besluitvormer is t.a.v. een eventuele ontzetting uit het ambt. </w:t>
      </w:r>
    </w:p>
    <w:p w:rsidRPr="00370545" w:rsidR="00F97FF8" w:rsidP="007A70F1" w:rsidRDefault="00F97FF8" w14:paraId="568912CC" w14:textId="77777777">
      <w:pPr>
        <w:spacing w:line="276" w:lineRule="auto"/>
        <w:ind w:firstLine="708"/>
        <w:rPr>
          <w:bCs/>
          <w:iCs/>
        </w:rPr>
      </w:pPr>
    </w:p>
    <w:p w:rsidRPr="00370545" w:rsidR="00370545" w:rsidP="007A70F1" w:rsidRDefault="00196586" w14:paraId="532F30D5" w14:textId="29F6187F">
      <w:pPr>
        <w:spacing w:line="276" w:lineRule="auto"/>
        <w:rPr>
          <w:bCs/>
          <w:iCs/>
        </w:rPr>
      </w:pPr>
      <w:r>
        <w:rPr>
          <w:bCs/>
          <w:iCs/>
        </w:rPr>
        <w:t>Het besluit</w:t>
      </w:r>
      <w:r w:rsidRPr="00370545" w:rsidR="00370545">
        <w:rPr>
          <w:bCs/>
          <w:iCs/>
        </w:rPr>
        <w:t xml:space="preserve"> van het Bureau </w:t>
      </w:r>
      <w:r>
        <w:rPr>
          <w:bCs/>
          <w:iCs/>
        </w:rPr>
        <w:t>i</w:t>
      </w:r>
      <w:r w:rsidRPr="00370545" w:rsidR="00370545">
        <w:rPr>
          <w:bCs/>
          <w:iCs/>
        </w:rPr>
        <w:t xml:space="preserve">s gebaseerd op het rapport van een onderzoek dat is uitgevoerd door de </w:t>
      </w:r>
      <w:r w:rsidRPr="00370545" w:rsidR="00370545">
        <w:rPr>
          <w:bCs/>
          <w:i/>
        </w:rPr>
        <w:t xml:space="preserve">Office of </w:t>
      </w:r>
      <w:proofErr w:type="spellStart"/>
      <w:r w:rsidRPr="00370545" w:rsidR="00370545">
        <w:rPr>
          <w:bCs/>
          <w:i/>
        </w:rPr>
        <w:t>Internal</w:t>
      </w:r>
      <w:proofErr w:type="spellEnd"/>
      <w:r w:rsidRPr="00370545" w:rsidR="00370545">
        <w:rPr>
          <w:bCs/>
          <w:i/>
        </w:rPr>
        <w:t xml:space="preserve"> </w:t>
      </w:r>
      <w:proofErr w:type="spellStart"/>
      <w:r w:rsidRPr="00370545" w:rsidR="00370545">
        <w:rPr>
          <w:bCs/>
          <w:i/>
        </w:rPr>
        <w:t>Oversight</w:t>
      </w:r>
      <w:proofErr w:type="spellEnd"/>
      <w:r w:rsidRPr="00370545" w:rsidR="00370545">
        <w:rPr>
          <w:bCs/>
          <w:i/>
        </w:rPr>
        <w:t xml:space="preserve"> Services</w:t>
      </w:r>
      <w:r w:rsidRPr="00370545" w:rsidR="00370545">
        <w:rPr>
          <w:bCs/>
          <w:iCs/>
        </w:rPr>
        <w:t xml:space="preserve"> van de Verenigde Naties (OIOS), </w:t>
      </w:r>
      <w:r w:rsidR="00692E43">
        <w:rPr>
          <w:bCs/>
          <w:iCs/>
        </w:rPr>
        <w:t>de</w:t>
      </w:r>
      <w:r w:rsidRPr="00370545" w:rsidR="00370545">
        <w:rPr>
          <w:bCs/>
          <w:iCs/>
        </w:rPr>
        <w:t xml:space="preserve"> onderliggende </w:t>
      </w:r>
      <w:r w:rsidRPr="00A1257A" w:rsidR="00637FD2">
        <w:rPr>
          <w:bCs/>
          <w:iCs/>
        </w:rPr>
        <w:t>stukken</w:t>
      </w:r>
      <w:r w:rsidRPr="00A1257A" w:rsidR="00370545">
        <w:rPr>
          <w:bCs/>
          <w:iCs/>
        </w:rPr>
        <w:t xml:space="preserve">, het advies van een </w:t>
      </w:r>
      <w:r w:rsidRPr="00A1257A" w:rsidR="00370545">
        <w:rPr>
          <w:bCs/>
          <w:i/>
        </w:rPr>
        <w:t>ad hoc</w:t>
      </w:r>
      <w:r w:rsidRPr="00A1257A" w:rsidR="00370545">
        <w:rPr>
          <w:bCs/>
          <w:iCs/>
        </w:rPr>
        <w:t xml:space="preserve"> panel van externe rechters en schriftelijke verklaringen die tijdens de procedure zijn ingediend. Zowel de beslissing van het Bureau als de genoemde documenten zijn vertrouwelijk. Net als overige verdragspartijen die geen zitting hebben in het Bureau van de ASP heeft</w:t>
      </w:r>
      <w:r w:rsidRPr="00370545" w:rsidR="00370545">
        <w:rPr>
          <w:bCs/>
          <w:iCs/>
        </w:rPr>
        <w:t xml:space="preserve"> Nederland deze vertrouwelijke documenten van 8 t/m 22 juni in tranches ontvangen. In verband met de </w:t>
      </w:r>
      <w:r w:rsidR="00A1257A">
        <w:rPr>
          <w:bCs/>
          <w:iCs/>
        </w:rPr>
        <w:t xml:space="preserve">door het Bureau opgelegde </w:t>
      </w:r>
      <w:r w:rsidRPr="00370545" w:rsidR="00370545">
        <w:rPr>
          <w:bCs/>
          <w:iCs/>
        </w:rPr>
        <w:lastRenderedPageBreak/>
        <w:t>vertrouwelijkheid van deze documenten, de integriteit van de nog lopende tuchtprocedure en de eerbiediging van de privacy en de rechten van alle betrokken partijen, kan het kabinet</w:t>
      </w:r>
      <w:r>
        <w:rPr>
          <w:bCs/>
          <w:iCs/>
        </w:rPr>
        <w:t xml:space="preserve"> </w:t>
      </w:r>
      <w:r w:rsidRPr="00370545" w:rsidR="00370545">
        <w:rPr>
          <w:bCs/>
          <w:iCs/>
        </w:rPr>
        <w:t xml:space="preserve">geen uitspraken doen over de inhoud van deze documenten. </w:t>
      </w:r>
    </w:p>
    <w:p w:rsidR="00F97FF8" w:rsidP="007A70F1" w:rsidRDefault="00F97FF8" w14:paraId="00BB4D2B" w14:textId="77777777">
      <w:pPr>
        <w:spacing w:line="276" w:lineRule="auto"/>
        <w:rPr>
          <w:b/>
          <w:iCs/>
        </w:rPr>
      </w:pPr>
    </w:p>
    <w:p w:rsidRPr="00370545" w:rsidR="00370545" w:rsidP="007A70F1" w:rsidRDefault="00370545" w14:paraId="547139F0" w14:textId="32CD156A">
      <w:pPr>
        <w:spacing w:line="276" w:lineRule="auto"/>
        <w:rPr>
          <w:b/>
          <w:iCs/>
        </w:rPr>
      </w:pPr>
      <w:r w:rsidRPr="00370545">
        <w:rPr>
          <w:b/>
          <w:iCs/>
        </w:rPr>
        <w:t>Voorafgaande procedure</w:t>
      </w:r>
    </w:p>
    <w:p w:rsidR="00370545" w:rsidP="007A70F1" w:rsidRDefault="00370545" w14:paraId="271DBCF5" w14:textId="65CAB273">
      <w:pPr>
        <w:spacing w:line="276" w:lineRule="auto"/>
        <w:rPr>
          <w:bCs/>
          <w:iCs/>
        </w:rPr>
      </w:pPr>
      <w:r w:rsidRPr="00370545">
        <w:rPr>
          <w:bCs/>
          <w:iCs/>
        </w:rPr>
        <w:t xml:space="preserve">Op 8 november 2024 heeft de President van de ASP, na overleg met het Bureau, OIOS verzocht om onafhankelijk onderzoek te verrichten naar mogelijk wangedrag van </w:t>
      </w:r>
      <w:r w:rsidR="00196586">
        <w:rPr>
          <w:bCs/>
          <w:iCs/>
        </w:rPr>
        <w:t xml:space="preserve">de </w:t>
      </w:r>
      <w:r w:rsidRPr="00370545">
        <w:rPr>
          <w:bCs/>
          <w:iCs/>
        </w:rPr>
        <w:t>Aanklager.</w:t>
      </w:r>
      <w:r w:rsidRPr="00370545">
        <w:t xml:space="preserve"> OIOS heeft zich daarbij primair gericht op de aantijgingen van wangedrag</w:t>
      </w:r>
      <w:r w:rsidR="00005E36">
        <w:t>, waaronder seksueel wangedrag,</w:t>
      </w:r>
      <w:r w:rsidR="00E04674">
        <w:t xml:space="preserve"> </w:t>
      </w:r>
      <w:r w:rsidRPr="00370545">
        <w:t xml:space="preserve">in de periode maart 2023 t/m april 2024. </w:t>
      </w:r>
      <w:r w:rsidR="007236DC">
        <w:rPr>
          <w:bCs/>
          <w:iCs/>
        </w:rPr>
        <w:t xml:space="preserve">Op 16 mei 2025 </w:t>
      </w:r>
      <w:r w:rsidRPr="00370545">
        <w:rPr>
          <w:bCs/>
          <w:iCs/>
        </w:rPr>
        <w:t xml:space="preserve">is Aanklager </w:t>
      </w:r>
      <w:r w:rsidR="006244C0">
        <w:rPr>
          <w:bCs/>
          <w:iCs/>
        </w:rPr>
        <w:t xml:space="preserve">Khan </w:t>
      </w:r>
      <w:r w:rsidR="007236DC">
        <w:rPr>
          <w:bCs/>
          <w:iCs/>
        </w:rPr>
        <w:t xml:space="preserve">in verband met het onderzoek </w:t>
      </w:r>
      <w:r w:rsidRPr="00370545">
        <w:rPr>
          <w:bCs/>
          <w:iCs/>
        </w:rPr>
        <w:t>met administratief verlof gegaan. Sindsdien wordt de leiding over het Parket</w:t>
      </w:r>
      <w:r w:rsidR="006244C0">
        <w:rPr>
          <w:bCs/>
          <w:iCs/>
        </w:rPr>
        <w:t xml:space="preserve"> van de Aanklager</w:t>
      </w:r>
      <w:r w:rsidRPr="00370545">
        <w:rPr>
          <w:bCs/>
          <w:iCs/>
        </w:rPr>
        <w:t xml:space="preserve"> tijdelijk </w:t>
      </w:r>
      <w:r w:rsidR="00637FD2">
        <w:rPr>
          <w:bCs/>
          <w:iCs/>
        </w:rPr>
        <w:t>waar</w:t>
      </w:r>
      <w:r w:rsidRPr="00370545">
        <w:rPr>
          <w:bCs/>
          <w:iCs/>
        </w:rPr>
        <w:t>genomen door de twee plaatsvervangende Aanklagers.</w:t>
      </w:r>
    </w:p>
    <w:p w:rsidR="001B21E4" w:rsidP="007A70F1" w:rsidRDefault="001B21E4" w14:paraId="514FB12E" w14:textId="77777777">
      <w:pPr>
        <w:spacing w:line="276" w:lineRule="auto"/>
      </w:pPr>
    </w:p>
    <w:p w:rsidRPr="00370545" w:rsidR="00370545" w:rsidP="007A70F1" w:rsidRDefault="00370545" w14:paraId="41BF49AA" w14:textId="611687D7">
      <w:pPr>
        <w:spacing w:line="276" w:lineRule="auto"/>
        <w:rPr>
          <w:bCs/>
          <w:iCs/>
        </w:rPr>
      </w:pPr>
      <w:r w:rsidRPr="00370545">
        <w:rPr>
          <w:bCs/>
          <w:iCs/>
        </w:rPr>
        <w:t>Op 10 december 2025</w:t>
      </w:r>
      <w:r w:rsidRPr="00370545" w:rsidDel="007F0D99">
        <w:rPr>
          <w:bCs/>
          <w:iCs/>
        </w:rPr>
        <w:t xml:space="preserve"> </w:t>
      </w:r>
      <w:r w:rsidRPr="00370545">
        <w:rPr>
          <w:bCs/>
          <w:iCs/>
        </w:rPr>
        <w:t xml:space="preserve">heeft OIOS zijn onderzoeksrapport gedeeld met de President van de ASP. Vervolgens is dit rapport voorgelegd aan een door het Bureau van de ASP ingesteld </w:t>
      </w:r>
      <w:r w:rsidRPr="00370545">
        <w:rPr>
          <w:bCs/>
          <w:i/>
          <w:iCs/>
        </w:rPr>
        <w:t>ad hoc</w:t>
      </w:r>
      <w:r w:rsidRPr="00370545">
        <w:rPr>
          <w:bCs/>
          <w:iCs/>
        </w:rPr>
        <w:t xml:space="preserve"> panel van drie </w:t>
      </w:r>
      <w:r w:rsidRPr="00A1257A">
        <w:rPr>
          <w:bCs/>
          <w:iCs/>
        </w:rPr>
        <w:t xml:space="preserve">externe </w:t>
      </w:r>
      <w:r w:rsidRPr="00A1257A" w:rsidR="0013621F">
        <w:rPr>
          <w:bCs/>
          <w:iCs/>
        </w:rPr>
        <w:t>niet aan het I</w:t>
      </w:r>
      <w:r w:rsidR="00953375">
        <w:rPr>
          <w:bCs/>
          <w:iCs/>
        </w:rPr>
        <w:t>SH</w:t>
      </w:r>
      <w:r w:rsidRPr="00A1257A" w:rsidR="0013621F">
        <w:rPr>
          <w:bCs/>
          <w:iCs/>
        </w:rPr>
        <w:t xml:space="preserve"> gelieerde </w:t>
      </w:r>
      <w:r w:rsidRPr="00A1257A">
        <w:rPr>
          <w:bCs/>
          <w:iCs/>
        </w:rPr>
        <w:t xml:space="preserve">rechters met het verzoek om advies uit te brengen over de juridische kwalificatie van de bevindingen van het OIOS-onderzoek. Het </w:t>
      </w:r>
      <w:r w:rsidRPr="00A1257A">
        <w:rPr>
          <w:bCs/>
          <w:i/>
          <w:iCs/>
        </w:rPr>
        <w:t>ad hoc</w:t>
      </w:r>
      <w:r w:rsidRPr="00A1257A">
        <w:rPr>
          <w:bCs/>
          <w:iCs/>
        </w:rPr>
        <w:t xml:space="preserve"> panel</w:t>
      </w:r>
      <w:r w:rsidRPr="00370545">
        <w:rPr>
          <w:bCs/>
          <w:iCs/>
        </w:rPr>
        <w:t xml:space="preserve"> heeft op 9 maart 2026 een advies uitgebracht. De Aanklager en </w:t>
      </w:r>
      <w:r w:rsidR="00F75674">
        <w:rPr>
          <w:bCs/>
          <w:iCs/>
        </w:rPr>
        <w:t>de klager</w:t>
      </w:r>
      <w:r w:rsidRPr="00370545">
        <w:rPr>
          <w:bCs/>
          <w:iCs/>
        </w:rPr>
        <w:t xml:space="preserve"> zijn daarna in de gelegenheid gesteld om te reageren op het OIOS-rapport en het advies van het </w:t>
      </w:r>
      <w:r w:rsidRPr="00370545">
        <w:rPr>
          <w:bCs/>
          <w:i/>
        </w:rPr>
        <w:t>ad hoc</w:t>
      </w:r>
      <w:r w:rsidRPr="00370545">
        <w:rPr>
          <w:bCs/>
          <w:iCs/>
        </w:rPr>
        <w:t xml:space="preserve"> panel. Vervolgens heeft het Bureau van de ASP op 8 juni 2026 </w:t>
      </w:r>
      <w:r w:rsidRPr="00370545" w:rsidDel="007F0D99">
        <w:rPr>
          <w:bCs/>
          <w:iCs/>
        </w:rPr>
        <w:t xml:space="preserve">met gekwalificeerde meerderheid </w:t>
      </w:r>
      <w:r w:rsidRPr="00370545">
        <w:rPr>
          <w:bCs/>
          <w:iCs/>
        </w:rPr>
        <w:t xml:space="preserve">besloten om de tuchtprocedure door te verwijzen naar de ASP, </w:t>
      </w:r>
      <w:r w:rsidR="00692E43">
        <w:rPr>
          <w:bCs/>
          <w:iCs/>
        </w:rPr>
        <w:t>met</w:t>
      </w:r>
      <w:r w:rsidRPr="00370545">
        <w:rPr>
          <w:bCs/>
          <w:iCs/>
        </w:rPr>
        <w:t xml:space="preserve"> de aan</w:t>
      </w:r>
      <w:r w:rsidR="00103073">
        <w:rPr>
          <w:bCs/>
          <w:iCs/>
        </w:rPr>
        <w:t>bev</w:t>
      </w:r>
      <w:r w:rsidR="00692E43">
        <w:rPr>
          <w:bCs/>
          <w:iCs/>
        </w:rPr>
        <w:t>eling</w:t>
      </w:r>
      <w:r w:rsidR="00103073">
        <w:rPr>
          <w:bCs/>
          <w:iCs/>
        </w:rPr>
        <w:t xml:space="preserve"> </w:t>
      </w:r>
      <w:r w:rsidRPr="00370545">
        <w:rPr>
          <w:bCs/>
          <w:iCs/>
        </w:rPr>
        <w:t>om de Aanklager uit zijn ambt te ontzetten</w:t>
      </w:r>
      <w:r w:rsidR="00692E43">
        <w:rPr>
          <w:bCs/>
          <w:iCs/>
        </w:rPr>
        <w:t>,</w:t>
      </w:r>
      <w:r w:rsidRPr="00370545">
        <w:rPr>
          <w:bCs/>
          <w:iCs/>
        </w:rPr>
        <w:t xml:space="preserve"> en om de Aanklager met onmiddellijke ingang te schorsen in afwachting van de definitieve beslissing van de ASP. </w:t>
      </w:r>
    </w:p>
    <w:p w:rsidR="00F97FF8" w:rsidP="007A70F1" w:rsidRDefault="00F97FF8" w14:paraId="15927086" w14:textId="77777777">
      <w:pPr>
        <w:spacing w:line="276" w:lineRule="auto"/>
        <w:rPr>
          <w:b/>
          <w:iCs/>
        </w:rPr>
      </w:pPr>
    </w:p>
    <w:p w:rsidRPr="00370545" w:rsidR="00370545" w:rsidP="007A70F1" w:rsidRDefault="00370545" w14:paraId="6279D0F4" w14:textId="2C8C1871">
      <w:pPr>
        <w:spacing w:line="276" w:lineRule="auto"/>
        <w:rPr>
          <w:b/>
          <w:iCs/>
        </w:rPr>
      </w:pPr>
      <w:r w:rsidRPr="00370545">
        <w:rPr>
          <w:b/>
          <w:iCs/>
        </w:rPr>
        <w:t>Juridisch raamwerk</w:t>
      </w:r>
    </w:p>
    <w:p w:rsidR="00370545" w:rsidP="007A70F1" w:rsidRDefault="00370545" w14:paraId="76520471" w14:textId="7C09F81B">
      <w:pPr>
        <w:spacing w:line="276" w:lineRule="auto"/>
        <w:rPr>
          <w:bCs/>
          <w:iCs/>
        </w:rPr>
      </w:pPr>
      <w:r w:rsidRPr="00370545">
        <w:rPr>
          <w:bCs/>
          <w:iCs/>
        </w:rPr>
        <w:t xml:space="preserve">Artikel 46 van het Statuut van Rome voorziet in drie </w:t>
      </w:r>
      <w:r w:rsidR="00637FD2">
        <w:rPr>
          <w:bCs/>
          <w:iCs/>
        </w:rPr>
        <w:t>verschillende</w:t>
      </w:r>
      <w:r w:rsidRPr="00370545">
        <w:rPr>
          <w:bCs/>
          <w:iCs/>
        </w:rPr>
        <w:t xml:space="preserve"> gronden om de Aanklager uit zijn ambt te ontzetten: (1) ernstig wangedrag, (2) ernstige schending van zijn plichten onder het Statuut van Rome, of (3) het niet in staat zijn om de krachtens het Statuut van Rome vereiste taken uit te oefenen. De eerste twee gronden worden nader uitgewerkt in </w:t>
      </w:r>
      <w:proofErr w:type="spellStart"/>
      <w:r w:rsidRPr="00370545">
        <w:rPr>
          <w:bCs/>
          <w:i/>
        </w:rPr>
        <w:t>Rule</w:t>
      </w:r>
      <w:proofErr w:type="spellEnd"/>
      <w:r w:rsidRPr="00370545">
        <w:rPr>
          <w:bCs/>
          <w:i/>
        </w:rPr>
        <w:t xml:space="preserve"> </w:t>
      </w:r>
      <w:r w:rsidRPr="00370545">
        <w:rPr>
          <w:bCs/>
          <w:iCs/>
        </w:rPr>
        <w:t xml:space="preserve">24 van de </w:t>
      </w:r>
      <w:r w:rsidRPr="00370545">
        <w:rPr>
          <w:bCs/>
          <w:i/>
        </w:rPr>
        <w:t xml:space="preserve">Rules of Procedure </w:t>
      </w:r>
      <w:proofErr w:type="spellStart"/>
      <w:r w:rsidRPr="00370545">
        <w:rPr>
          <w:bCs/>
          <w:i/>
        </w:rPr>
        <w:t>and</w:t>
      </w:r>
      <w:proofErr w:type="spellEnd"/>
      <w:r w:rsidRPr="00370545">
        <w:rPr>
          <w:bCs/>
          <w:i/>
        </w:rPr>
        <w:t xml:space="preserve"> </w:t>
      </w:r>
      <w:proofErr w:type="spellStart"/>
      <w:r w:rsidRPr="00370545">
        <w:rPr>
          <w:bCs/>
          <w:i/>
        </w:rPr>
        <w:t>Evidence</w:t>
      </w:r>
      <w:proofErr w:type="spellEnd"/>
      <w:r w:rsidRPr="00370545">
        <w:rPr>
          <w:bCs/>
          <w:iCs/>
        </w:rPr>
        <w:t xml:space="preserve">. Zo maakt </w:t>
      </w:r>
      <w:r w:rsidR="00637FD2">
        <w:rPr>
          <w:bCs/>
          <w:iCs/>
        </w:rPr>
        <w:t xml:space="preserve">deze regel </w:t>
      </w:r>
      <w:r w:rsidRPr="00370545">
        <w:rPr>
          <w:bCs/>
          <w:iCs/>
        </w:rPr>
        <w:t xml:space="preserve"> ten aanzien van “ernstig wangedrag” een onderscheid tussen gedrag dat plaatsvindt in het kader van de uitoefening van officiële taken en gedrag dat plaatsvindt buiten het kader van de uitoefening van officiële taken. In het eerste geval kan er sprake zijn van “ernstig wangedrag” als het gedrag onverenigbaar is met de officiële functies en ernstige schade toebrengt – of waarschijnlijk zal toebrengen – aan de behoorlijke rechtsbedeling voor het Hof of aan de behoorlijke interne werking van het Hof</w:t>
      </w:r>
      <w:r w:rsidR="007F0D99">
        <w:rPr>
          <w:bCs/>
          <w:iCs/>
        </w:rPr>
        <w:t>.</w:t>
      </w:r>
      <w:r w:rsidRPr="00370545" w:rsidDel="007F0D99">
        <w:rPr>
          <w:bCs/>
          <w:iCs/>
        </w:rPr>
        <w:t xml:space="preserve"> </w:t>
      </w:r>
      <w:r w:rsidRPr="00370545">
        <w:rPr>
          <w:bCs/>
          <w:iCs/>
        </w:rPr>
        <w:t>In het tweede geval kan er sprake zijn van “ernstig wangedrag” als het gedrag van zodanig ernstige aard is dat het ernstige schade toebrengt – of waarschijnlijk zal toebrengen – aan de reputatie van het Hof</w:t>
      </w:r>
      <w:r w:rsidR="007F0D99">
        <w:rPr>
          <w:bCs/>
          <w:iCs/>
        </w:rPr>
        <w:t>.</w:t>
      </w:r>
    </w:p>
    <w:p w:rsidRPr="00370545" w:rsidR="001B21E4" w:rsidP="007A70F1" w:rsidRDefault="001B21E4" w14:paraId="4CD1BD69" w14:textId="77777777">
      <w:pPr>
        <w:spacing w:line="276" w:lineRule="auto"/>
        <w:rPr>
          <w:bCs/>
          <w:iCs/>
        </w:rPr>
      </w:pPr>
    </w:p>
    <w:p w:rsidR="00370545" w:rsidP="007A70F1" w:rsidRDefault="00370545" w14:paraId="43816128" w14:textId="77F5C916">
      <w:pPr>
        <w:spacing w:line="276" w:lineRule="auto"/>
        <w:rPr>
          <w:bCs/>
        </w:rPr>
      </w:pPr>
      <w:r w:rsidRPr="00A1257A">
        <w:rPr>
          <w:bCs/>
          <w:iCs/>
        </w:rPr>
        <w:t xml:space="preserve">Voor de </w:t>
      </w:r>
      <w:r w:rsidR="00692E43">
        <w:rPr>
          <w:bCs/>
          <w:iCs/>
        </w:rPr>
        <w:t>A</w:t>
      </w:r>
      <w:r w:rsidRPr="00A1257A">
        <w:rPr>
          <w:bCs/>
          <w:iCs/>
        </w:rPr>
        <w:t>anklager gelden vervolgens bijzondere maatstaven waaraan zijn gedrag moet worden getoetst. Zo</w:t>
      </w:r>
      <w:r w:rsidRPr="00370545">
        <w:rPr>
          <w:bCs/>
          <w:iCs/>
        </w:rPr>
        <w:t xml:space="preserve"> bepaalt Artikel 42, derde lid, van het Statuut van Rome dat de Aanklager een persoon van hoog zedelijk aanzien (</w:t>
      </w:r>
      <w:r w:rsidRPr="00370545">
        <w:rPr>
          <w:bCs/>
          <w:i/>
        </w:rPr>
        <w:t xml:space="preserve">high </w:t>
      </w:r>
      <w:proofErr w:type="spellStart"/>
      <w:r w:rsidRPr="00370545">
        <w:rPr>
          <w:bCs/>
          <w:i/>
        </w:rPr>
        <w:t>moral</w:t>
      </w:r>
      <w:proofErr w:type="spellEnd"/>
      <w:r w:rsidRPr="00370545">
        <w:rPr>
          <w:bCs/>
          <w:i/>
        </w:rPr>
        <w:t xml:space="preserve"> </w:t>
      </w:r>
      <w:proofErr w:type="spellStart"/>
      <w:r w:rsidRPr="00370545">
        <w:rPr>
          <w:bCs/>
          <w:i/>
        </w:rPr>
        <w:t>character</w:t>
      </w:r>
      <w:proofErr w:type="spellEnd"/>
      <w:r w:rsidRPr="00370545">
        <w:rPr>
          <w:bCs/>
          <w:iCs/>
        </w:rPr>
        <w:t xml:space="preserve">) dient te zijn. Daarnaast heeft de Aanklager op 16 juni 2021 de door de </w:t>
      </w:r>
      <w:r w:rsidRPr="00370545">
        <w:rPr>
          <w:bCs/>
          <w:i/>
          <w:iCs/>
        </w:rPr>
        <w:t xml:space="preserve">Rules of </w:t>
      </w:r>
      <w:r w:rsidRPr="00370545">
        <w:rPr>
          <w:bCs/>
          <w:i/>
          <w:iCs/>
        </w:rPr>
        <w:lastRenderedPageBreak/>
        <w:t xml:space="preserve">Procedure </w:t>
      </w:r>
      <w:proofErr w:type="spellStart"/>
      <w:r w:rsidRPr="00370545">
        <w:rPr>
          <w:bCs/>
          <w:i/>
          <w:iCs/>
        </w:rPr>
        <w:t>and</w:t>
      </w:r>
      <w:proofErr w:type="spellEnd"/>
      <w:r w:rsidRPr="00370545">
        <w:rPr>
          <w:bCs/>
          <w:i/>
          <w:iCs/>
        </w:rPr>
        <w:t xml:space="preserve"> </w:t>
      </w:r>
      <w:proofErr w:type="spellStart"/>
      <w:r w:rsidRPr="00370545">
        <w:rPr>
          <w:bCs/>
          <w:i/>
          <w:iCs/>
        </w:rPr>
        <w:t>Evidence</w:t>
      </w:r>
      <w:proofErr w:type="spellEnd"/>
      <w:r w:rsidRPr="00370545">
        <w:rPr>
          <w:bCs/>
          <w:i/>
          <w:iCs/>
        </w:rPr>
        <w:t xml:space="preserve"> </w:t>
      </w:r>
      <w:r w:rsidRPr="00370545">
        <w:rPr>
          <w:bCs/>
        </w:rPr>
        <w:t>voorgeschreven plechtige belofte afgelegd.</w:t>
      </w:r>
      <w:r w:rsidRPr="00370545">
        <w:rPr>
          <w:bCs/>
          <w:vertAlign w:val="superscript"/>
        </w:rPr>
        <w:footnoteReference w:id="2"/>
      </w:r>
      <w:r w:rsidRPr="00370545">
        <w:rPr>
          <w:bCs/>
        </w:rPr>
        <w:t xml:space="preserve"> Op grond van de Administratieve Instructie van 6 april 2022 inzake Discriminatie, Intimidatie, waaronder Seksuele Intimidatie, en Machtsmisbruik is de Aanklager gehouden “als rolmodel [te] fungeren door een hoge norm van persoonlijk gedrag (</w:t>
      </w:r>
      <w:r w:rsidRPr="00370545">
        <w:rPr>
          <w:bCs/>
          <w:i/>
          <w:iCs/>
        </w:rPr>
        <w:t xml:space="preserve">high standard of </w:t>
      </w:r>
      <w:proofErr w:type="spellStart"/>
      <w:r w:rsidRPr="00370545">
        <w:rPr>
          <w:bCs/>
          <w:i/>
          <w:iCs/>
        </w:rPr>
        <w:t>peronal</w:t>
      </w:r>
      <w:proofErr w:type="spellEnd"/>
      <w:r w:rsidRPr="00370545">
        <w:rPr>
          <w:bCs/>
          <w:i/>
          <w:iCs/>
        </w:rPr>
        <w:t xml:space="preserve"> </w:t>
      </w:r>
      <w:proofErr w:type="spellStart"/>
      <w:r w:rsidRPr="00370545">
        <w:rPr>
          <w:bCs/>
          <w:i/>
          <w:iCs/>
        </w:rPr>
        <w:t>conduct</w:t>
      </w:r>
      <w:proofErr w:type="spellEnd"/>
      <w:r w:rsidRPr="00370545">
        <w:rPr>
          <w:bCs/>
        </w:rPr>
        <w:t>) te hanteren, zich bewust te zijn van de macht die [zijn] functie met zich meebrengt, en alle collega’s beleefd, waardig en met respect te behandelen.”</w:t>
      </w:r>
      <w:r w:rsidRPr="00370545">
        <w:rPr>
          <w:bCs/>
          <w:vertAlign w:val="superscript"/>
        </w:rPr>
        <w:footnoteReference w:id="3"/>
      </w:r>
      <w:r w:rsidRPr="00370545">
        <w:rPr>
          <w:bCs/>
        </w:rPr>
        <w:t xml:space="preserve"> Deze Administratieve Instructie bepaalt verder dat het Hof een </w:t>
      </w:r>
      <w:r w:rsidRPr="00370545">
        <w:rPr>
          <w:bCs/>
          <w:i/>
          <w:iCs/>
        </w:rPr>
        <w:t xml:space="preserve">zero </w:t>
      </w:r>
      <w:proofErr w:type="spellStart"/>
      <w:r w:rsidRPr="00370545">
        <w:rPr>
          <w:bCs/>
          <w:i/>
          <w:iCs/>
        </w:rPr>
        <w:t>tolerance</w:t>
      </w:r>
      <w:proofErr w:type="spellEnd"/>
      <w:r w:rsidRPr="00370545">
        <w:rPr>
          <w:bCs/>
        </w:rPr>
        <w:t>-beleid hanteert ten aanzien van discriminatie, intimidatie, waaronder seksuele intimidatie, en machtsmisbruik</w:t>
      </w:r>
      <w:r w:rsidR="0013621F">
        <w:rPr>
          <w:bCs/>
        </w:rPr>
        <w:t>.</w:t>
      </w:r>
      <w:r w:rsidR="00D9605B">
        <w:rPr>
          <w:bCs/>
        </w:rPr>
        <w:t xml:space="preserve"> </w:t>
      </w:r>
      <w:r w:rsidR="0013621F">
        <w:rPr>
          <w:bCs/>
        </w:rPr>
        <w:t>D</w:t>
      </w:r>
      <w:r w:rsidRPr="00370545">
        <w:rPr>
          <w:bCs/>
        </w:rPr>
        <w:t xml:space="preserve">e Aanklager heeft op 14 oktober 2022 verklaring ondertekend waarin hij heeft aangegeven dat hij zich zal </w:t>
      </w:r>
      <w:r w:rsidRPr="00944C8F">
        <w:rPr>
          <w:bCs/>
        </w:rPr>
        <w:t>onthouden van elk gedrag dat door deze Administratieve Instructie wordt verboden. Specifiek voor het Parket van de Aanklager geldt daarnaast de Gedragscode voor het Parket van de Aanklager</w:t>
      </w:r>
      <w:r w:rsidRPr="00944C8F" w:rsidR="006520FB">
        <w:rPr>
          <w:bCs/>
        </w:rPr>
        <w:t xml:space="preserve">, </w:t>
      </w:r>
      <w:r w:rsidRPr="00944C8F" w:rsidR="00223E5A">
        <w:rPr>
          <w:bCs/>
        </w:rPr>
        <w:t>die voorschrijft dat</w:t>
      </w:r>
      <w:r w:rsidRPr="00944C8F" w:rsidR="006520FB">
        <w:rPr>
          <w:bCs/>
        </w:rPr>
        <w:t xml:space="preserve"> de Aanklager</w:t>
      </w:r>
      <w:r w:rsidRPr="00944C8F" w:rsidR="00223E5A">
        <w:rPr>
          <w:bCs/>
        </w:rPr>
        <w:t xml:space="preserve"> </w:t>
      </w:r>
      <w:r w:rsidRPr="00944C8F" w:rsidR="006520FB">
        <w:rPr>
          <w:bCs/>
        </w:rPr>
        <w:t>te allen tijde</w:t>
      </w:r>
      <w:r w:rsidRPr="00944C8F" w:rsidR="00223E5A">
        <w:rPr>
          <w:bCs/>
        </w:rPr>
        <w:t xml:space="preserve"> zijn taken</w:t>
      </w:r>
      <w:r w:rsidRPr="00944C8F" w:rsidR="006520FB">
        <w:rPr>
          <w:bCs/>
        </w:rPr>
        <w:t xml:space="preserve"> </w:t>
      </w:r>
      <w:r w:rsidRPr="00944C8F" w:rsidR="00223E5A">
        <w:rPr>
          <w:bCs/>
        </w:rPr>
        <w:t>op een eerbare</w:t>
      </w:r>
      <w:r w:rsidRPr="00944C8F" w:rsidR="006520FB">
        <w:rPr>
          <w:bCs/>
        </w:rPr>
        <w:t xml:space="preserve">, </w:t>
      </w:r>
      <w:r w:rsidRPr="00944C8F" w:rsidR="00223E5A">
        <w:rPr>
          <w:bCs/>
        </w:rPr>
        <w:t>trouwe</w:t>
      </w:r>
      <w:r w:rsidRPr="00944C8F" w:rsidR="006520FB">
        <w:rPr>
          <w:bCs/>
        </w:rPr>
        <w:t>, onpartijdig</w:t>
      </w:r>
      <w:r w:rsidRPr="00944C8F" w:rsidR="00223E5A">
        <w:rPr>
          <w:bCs/>
        </w:rPr>
        <w:t>e</w:t>
      </w:r>
      <w:r w:rsidRPr="00944C8F" w:rsidR="006520FB">
        <w:rPr>
          <w:bCs/>
        </w:rPr>
        <w:t xml:space="preserve"> en gewetensvol</w:t>
      </w:r>
      <w:r w:rsidRPr="00944C8F" w:rsidR="00223E5A">
        <w:rPr>
          <w:bCs/>
        </w:rPr>
        <w:t>le wijze</w:t>
      </w:r>
      <w:r w:rsidRPr="00944C8F" w:rsidR="006520FB">
        <w:rPr>
          <w:bCs/>
        </w:rPr>
        <w:t xml:space="preserve"> </w:t>
      </w:r>
      <w:r w:rsidRPr="00944C8F" w:rsidR="00223E5A">
        <w:rPr>
          <w:bCs/>
        </w:rPr>
        <w:t>moet uitvoeren</w:t>
      </w:r>
      <w:r w:rsidRPr="00944C8F">
        <w:rPr>
          <w:bCs/>
        </w:rPr>
        <w:t>.</w:t>
      </w:r>
      <w:r w:rsidRPr="00944C8F">
        <w:rPr>
          <w:bCs/>
          <w:vertAlign w:val="superscript"/>
        </w:rPr>
        <w:footnoteReference w:id="4"/>
      </w:r>
      <w:r w:rsidRPr="00944C8F">
        <w:rPr>
          <w:bCs/>
        </w:rPr>
        <w:t xml:space="preserve">  </w:t>
      </w:r>
    </w:p>
    <w:p w:rsidR="001B21E4" w:rsidP="007A70F1" w:rsidRDefault="001B21E4" w14:paraId="2E9F8C42" w14:textId="77777777">
      <w:pPr>
        <w:spacing w:line="276" w:lineRule="auto"/>
        <w:rPr>
          <w:bCs/>
        </w:rPr>
      </w:pPr>
    </w:p>
    <w:p w:rsidRPr="00944C8F" w:rsidR="00370545" w:rsidP="007A70F1" w:rsidRDefault="00370545" w14:paraId="557909FB" w14:textId="72A13C9F">
      <w:pPr>
        <w:spacing w:line="276" w:lineRule="auto"/>
        <w:rPr>
          <w:bCs/>
          <w:iCs/>
        </w:rPr>
      </w:pPr>
      <w:r w:rsidRPr="00944C8F">
        <w:rPr>
          <w:bCs/>
          <w:iCs/>
        </w:rPr>
        <w:t xml:space="preserve">Artikel 46 van het Statuut van Rome bepaalt dat de beslissing om </w:t>
      </w:r>
      <w:r w:rsidRPr="00944C8F" w:rsidR="0013621F">
        <w:rPr>
          <w:bCs/>
          <w:iCs/>
        </w:rPr>
        <w:t>een</w:t>
      </w:r>
      <w:r w:rsidRPr="00944C8F">
        <w:rPr>
          <w:bCs/>
          <w:iCs/>
        </w:rPr>
        <w:t xml:space="preserve"> Aanklager uit zijn ambt te ontzetten door de ASP wordt genomen in een geheime stemming bij absolute meerderheid van de verdragspartijen (momenteel: 63 van de 125 verdragspartijen). Artikel 46 formuleert daarmee een uitzondering op de hoofdregel dat beslissingen over inhoudelijke kwesties worden goedgekeurd bij een </w:t>
      </w:r>
      <w:proofErr w:type="spellStart"/>
      <w:r w:rsidRPr="00944C8F">
        <w:rPr>
          <w:bCs/>
          <w:iCs/>
        </w:rPr>
        <w:t>tweederde</w:t>
      </w:r>
      <w:proofErr w:type="spellEnd"/>
      <w:r w:rsidRPr="00944C8F">
        <w:rPr>
          <w:bCs/>
          <w:iCs/>
        </w:rPr>
        <w:t xml:space="preserve"> meerderheid van degenen die aanwezig zijn en hun stem uitbrengen, met dien verstande dat een absolute meerderheid van de verdragspartijen het quorum vormt voor stemming (artikel 112, zevende lid, van het Statuut van Rome). </w:t>
      </w:r>
    </w:p>
    <w:p w:rsidR="00F97FF8" w:rsidP="007A70F1" w:rsidRDefault="00F97FF8" w14:paraId="6FBFEEED" w14:textId="77777777">
      <w:pPr>
        <w:spacing w:line="276" w:lineRule="auto"/>
        <w:rPr>
          <w:b/>
          <w:bCs/>
          <w:iCs/>
        </w:rPr>
      </w:pPr>
    </w:p>
    <w:p w:rsidRPr="00944C8F" w:rsidR="00370545" w:rsidP="007A70F1" w:rsidRDefault="00370545" w14:paraId="29BF9816" w14:textId="2DF37443">
      <w:pPr>
        <w:spacing w:line="276" w:lineRule="auto"/>
        <w:rPr>
          <w:b/>
          <w:bCs/>
          <w:iCs/>
        </w:rPr>
      </w:pPr>
      <w:r w:rsidRPr="00944C8F">
        <w:rPr>
          <w:b/>
          <w:bCs/>
          <w:iCs/>
        </w:rPr>
        <w:t>Inzet tijdens de Speciale Zitting</w:t>
      </w:r>
    </w:p>
    <w:p w:rsidRPr="00944C8F" w:rsidR="00370545" w:rsidP="007A70F1" w:rsidRDefault="00370545" w14:paraId="363A3FA3" w14:textId="4863FB73">
      <w:pPr>
        <w:spacing w:line="276" w:lineRule="auto"/>
        <w:rPr>
          <w:bCs/>
          <w:iCs/>
        </w:rPr>
      </w:pPr>
      <w:r w:rsidRPr="00944C8F">
        <w:rPr>
          <w:bCs/>
          <w:iCs/>
        </w:rPr>
        <w:t>Het kabinet stelt voorop dat de Aanklager</w:t>
      </w:r>
      <w:r w:rsidRPr="00944C8F" w:rsidR="00E04674">
        <w:rPr>
          <w:bCs/>
          <w:iCs/>
        </w:rPr>
        <w:t xml:space="preserve"> van het Strafhof</w:t>
      </w:r>
      <w:r w:rsidRPr="00944C8F">
        <w:rPr>
          <w:bCs/>
          <w:iCs/>
        </w:rPr>
        <w:t xml:space="preserve"> aan de hoogste standaarden moet worden gehouden, zoals ook is vastgelegd in het Statuut van Rome en de aanverwante (administratieve) regelingen. Het feit dat de Aanklager van het ISH een gezichtsbepalende ambtsdrager van het Hof is, betekent bovendien dat elk wangedrag van zijn kant vrijwel onvermijdelijk ook zal leiden tot schade aan de reputatie van het Hof. Daarnaast wordt </w:t>
      </w:r>
      <w:r w:rsidRPr="00944C8F" w:rsidR="0013621F">
        <w:rPr>
          <w:bCs/>
          <w:iCs/>
        </w:rPr>
        <w:t>met name</w:t>
      </w:r>
      <w:r w:rsidRPr="00944C8F">
        <w:rPr>
          <w:bCs/>
          <w:iCs/>
        </w:rPr>
        <w:t xml:space="preserve"> van de hoofden van de organen van het Hof verwacht dat zij het goede voorbeeld geven en zorgen voor een veilige werkomgeving. </w:t>
      </w:r>
    </w:p>
    <w:p w:rsidR="001B21E4" w:rsidP="007A70F1" w:rsidRDefault="001B21E4" w14:paraId="6863EEBE" w14:textId="77777777">
      <w:pPr>
        <w:spacing w:line="276" w:lineRule="auto"/>
        <w:rPr>
          <w:bCs/>
          <w:iCs/>
        </w:rPr>
      </w:pPr>
    </w:p>
    <w:p w:rsidR="006A228E" w:rsidP="008A151F" w:rsidRDefault="00370545" w14:paraId="110DC102" w14:textId="58FCDEA2">
      <w:pPr>
        <w:spacing w:line="276" w:lineRule="auto"/>
        <w:rPr>
          <w:bCs/>
          <w:iCs/>
        </w:rPr>
      </w:pPr>
      <w:r w:rsidRPr="00944C8F">
        <w:rPr>
          <w:bCs/>
          <w:iCs/>
        </w:rPr>
        <w:t xml:space="preserve">Het Bureau van de ASP heeft op basis van het OIOS-onderzoek, </w:t>
      </w:r>
      <w:r w:rsidRPr="00944C8F" w:rsidR="00E04674">
        <w:rPr>
          <w:bCs/>
          <w:iCs/>
        </w:rPr>
        <w:t>de</w:t>
      </w:r>
      <w:r w:rsidRPr="00944C8F" w:rsidR="00A1257A">
        <w:rPr>
          <w:bCs/>
          <w:iCs/>
        </w:rPr>
        <w:t xml:space="preserve"> </w:t>
      </w:r>
      <w:r w:rsidRPr="00944C8F">
        <w:rPr>
          <w:bCs/>
          <w:iCs/>
        </w:rPr>
        <w:t>onderliggende</w:t>
      </w:r>
      <w:r w:rsidRPr="00944C8F" w:rsidR="00E04674">
        <w:rPr>
          <w:bCs/>
          <w:iCs/>
        </w:rPr>
        <w:t xml:space="preserve"> stukken</w:t>
      </w:r>
      <w:r w:rsidRPr="00944C8F">
        <w:rPr>
          <w:bCs/>
          <w:iCs/>
        </w:rPr>
        <w:t xml:space="preserve">, het advies van het </w:t>
      </w:r>
      <w:r w:rsidRPr="00944C8F">
        <w:rPr>
          <w:bCs/>
          <w:i/>
          <w:iCs/>
        </w:rPr>
        <w:t>ad hoc</w:t>
      </w:r>
      <w:r w:rsidRPr="00944C8F">
        <w:rPr>
          <w:bCs/>
          <w:iCs/>
        </w:rPr>
        <w:t xml:space="preserve"> panel en de schriftelijke verklaringen die tijdens deze tuchtprocedure zijn ingediend</w:t>
      </w:r>
      <w:r w:rsidRPr="00944C8F" w:rsidR="00710F24">
        <w:rPr>
          <w:bCs/>
          <w:iCs/>
        </w:rPr>
        <w:t xml:space="preserve">, </w:t>
      </w:r>
      <w:r w:rsidRPr="00944C8F">
        <w:rPr>
          <w:bCs/>
          <w:iCs/>
        </w:rPr>
        <w:t>besloten om de ASP aan te bevelen om de Aanklager uit zijn ambt te on</w:t>
      </w:r>
      <w:r w:rsidRPr="00944C8F" w:rsidR="001F2512">
        <w:rPr>
          <w:bCs/>
          <w:iCs/>
        </w:rPr>
        <w:t>t</w:t>
      </w:r>
      <w:r w:rsidRPr="00944C8F">
        <w:rPr>
          <w:bCs/>
          <w:iCs/>
        </w:rPr>
        <w:t xml:space="preserve">zetten. </w:t>
      </w:r>
      <w:r w:rsidRPr="00944C8F" w:rsidR="00440150">
        <w:rPr>
          <w:bCs/>
          <w:iCs/>
        </w:rPr>
        <w:t xml:space="preserve">Het kabinet </w:t>
      </w:r>
      <w:r w:rsidRPr="00944C8F" w:rsidR="00143829">
        <w:rPr>
          <w:bCs/>
          <w:iCs/>
        </w:rPr>
        <w:t>ziet geen reden om van die aanbeveling af te wijken</w:t>
      </w:r>
      <w:r w:rsidRPr="00944C8F" w:rsidR="00005E36">
        <w:rPr>
          <w:bCs/>
          <w:iCs/>
        </w:rPr>
        <w:t xml:space="preserve"> en zal tijdens de </w:t>
      </w:r>
      <w:r w:rsidRPr="00944C8F" w:rsidR="00692E43">
        <w:rPr>
          <w:bCs/>
          <w:iCs/>
        </w:rPr>
        <w:t>S</w:t>
      </w:r>
      <w:r w:rsidRPr="00944C8F" w:rsidR="00005E36">
        <w:rPr>
          <w:bCs/>
          <w:iCs/>
        </w:rPr>
        <w:t xml:space="preserve">peciale </w:t>
      </w:r>
      <w:r w:rsidRPr="00944C8F" w:rsidR="00692E43">
        <w:rPr>
          <w:bCs/>
          <w:iCs/>
        </w:rPr>
        <w:t>Zitting</w:t>
      </w:r>
      <w:r w:rsidRPr="00944C8F" w:rsidR="00005E36">
        <w:rPr>
          <w:bCs/>
          <w:iCs/>
        </w:rPr>
        <w:t xml:space="preserve"> van de ASP hiernaar handelen.</w:t>
      </w:r>
      <w:r w:rsidRPr="00944C8F" w:rsidR="001E3ED6">
        <w:rPr>
          <w:bCs/>
          <w:iCs/>
        </w:rPr>
        <w:t xml:space="preserve"> Daarbij zal uiteraard rekening worden gehouden met eventuele ontwikkelingen die zich vóór of tijdens de Zitting nog zouden kunnen voordoen. Hoewel het krachtenveld binnen de ASP nog in ontwikkeling is, lijkt het standpunt van de meeste verdragspartijen</w:t>
      </w:r>
      <w:r w:rsidRPr="00944C8F" w:rsidR="00223E5A">
        <w:rPr>
          <w:bCs/>
          <w:iCs/>
        </w:rPr>
        <w:t xml:space="preserve"> </w:t>
      </w:r>
      <w:r w:rsidRPr="00944C8F" w:rsidR="001E3ED6">
        <w:rPr>
          <w:bCs/>
          <w:iCs/>
        </w:rPr>
        <w:t>eveneens in lijn te zijn met de aanbeveling van het Bureau van de ASP.</w:t>
      </w:r>
      <w:r w:rsidR="00D9605B">
        <w:rPr>
          <w:bCs/>
          <w:iCs/>
        </w:rPr>
        <w:t xml:space="preserve"> </w:t>
      </w:r>
      <w:r w:rsidRPr="00944C8F" w:rsidR="00363B86">
        <w:rPr>
          <w:bCs/>
          <w:iCs/>
        </w:rPr>
        <w:t xml:space="preserve">Het </w:t>
      </w:r>
      <w:r w:rsidRPr="00944C8F" w:rsidR="00223E5A">
        <w:rPr>
          <w:bCs/>
          <w:iCs/>
        </w:rPr>
        <w:t>k</w:t>
      </w:r>
      <w:r w:rsidRPr="00944C8F" w:rsidR="00363B86">
        <w:rPr>
          <w:bCs/>
          <w:iCs/>
        </w:rPr>
        <w:t>abinet betreurt de ontstane situatie ten zeerste en leeft mee met iedereen die door deze</w:t>
      </w:r>
      <w:r w:rsidR="00363B86">
        <w:rPr>
          <w:bCs/>
          <w:iCs/>
        </w:rPr>
        <w:t xml:space="preserve"> situatie is geraakt. </w:t>
      </w:r>
      <w:r w:rsidR="003D0B35">
        <w:rPr>
          <w:bCs/>
          <w:iCs/>
        </w:rPr>
        <w:t xml:space="preserve">Nederland blijft zich, </w:t>
      </w:r>
      <w:r w:rsidR="003D0B35">
        <w:rPr>
          <w:bCs/>
          <w:iCs/>
        </w:rPr>
        <w:lastRenderedPageBreak/>
        <w:t xml:space="preserve">samen met andere verdragspartijen, inzetten voor het goed functioneren van het Internationaal Strafhof. </w:t>
      </w:r>
    </w:p>
    <w:p w:rsidRPr="008A151F" w:rsidR="008A151F" w:rsidP="008A151F" w:rsidRDefault="008A151F" w14:paraId="528FC181" w14:textId="77777777">
      <w:pPr>
        <w:spacing w:line="276" w:lineRule="auto"/>
        <w:rPr>
          <w:bCs/>
          <w:iCs/>
        </w:rPr>
      </w:pPr>
    </w:p>
    <w:p w:rsidRPr="00B1043C" w:rsidR="006A228E" w:rsidP="006A228E" w:rsidRDefault="006A228E" w14:paraId="2988FCEF" w14:textId="2B3041D6">
      <w:pPr>
        <w:autoSpaceDN/>
        <w:spacing w:after="160" w:line="278" w:lineRule="auto"/>
        <w:textAlignment w:val="auto"/>
      </w:pPr>
      <w:r w:rsidRPr="006A228E">
        <w:t>Het kabinet heeft tot slot kennis genomen van recente Amerikaanse boodschappen met betrekking tot het Internationaal Strafhof. De Amerikaanse positie is niet nieuw, maar het kabinet heeft wel zorgen over de verharde toon. We blijven ons inzetten voor de dialoog met de VS hierover. Nederland staat als gastland en als verdragspartij achter het Hof en zijn medewerkers. Zoals onder andere ook staat beschreven in de Kamerbrief van 11 december 2025</w:t>
      </w:r>
      <w:r w:rsidR="008A151F">
        <w:rPr>
          <w:rStyle w:val="FootnoteReference"/>
        </w:rPr>
        <w:footnoteReference w:id="5"/>
      </w:r>
      <w:r w:rsidRPr="006A228E">
        <w:t>, staat Nederland in nauw contact met het Hof en is het afgelopen jaar op verschillende terreinen betrokken geweest bij de mitigatie van de gevolgen van de Amerikaanse sancties. Dit werk gebeurt veelal achter de schermen en is gebaat bij een zekere mate van vertrouwelijkheid. </w:t>
      </w:r>
    </w:p>
    <w:p w:rsidRPr="00370545" w:rsidR="003D0B35" w:rsidP="007A70F1" w:rsidRDefault="003D0B35" w14:paraId="3F225391" w14:textId="14DD93AE">
      <w:pPr>
        <w:spacing w:line="276" w:lineRule="auto"/>
        <w:rPr>
          <w:bCs/>
          <w:iCs/>
        </w:rPr>
      </w:pPr>
    </w:p>
    <w:p w:rsidRPr="00370545" w:rsidR="00370545" w:rsidP="007A70F1" w:rsidRDefault="00370545" w14:paraId="2DA4BFAF" w14:textId="77777777">
      <w:pPr>
        <w:spacing w:line="276" w:lineRule="auto"/>
        <w:rPr>
          <w:bCs/>
          <w:iCs/>
        </w:rPr>
      </w:pPr>
    </w:p>
    <w:tbl>
      <w:tblPr>
        <w:tblStyle w:val="TableGrid1"/>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62"/>
        <w:gridCol w:w="3763"/>
      </w:tblGrid>
      <w:tr w:rsidRPr="00370545" w:rsidR="00370545" w:rsidTr="00AA3242" w14:paraId="688744AB" w14:textId="77777777">
        <w:trPr>
          <w:trHeight w:val="1095"/>
        </w:trPr>
        <w:sdt>
          <w:sdtPr>
            <w:alias w:val="Ondertekenaar 1"/>
            <w:tag w:val="Ondertekenaar_x0020_1"/>
            <w:id w:val="-1696076572"/>
            <w:placeholder>
              <w:docPart w:val="988663FC6B0F44CEB0E7018BD6D520A8"/>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Content>
            <w:tc>
              <w:tcPr>
                <w:tcW w:w="2500" w:type="pct"/>
              </w:tcPr>
              <w:p w:rsidRPr="00370545" w:rsidR="00370545" w:rsidP="007A70F1" w:rsidRDefault="00370545" w14:paraId="245A6435" w14:textId="77777777">
                <w:pPr>
                  <w:spacing w:line="276" w:lineRule="auto"/>
                </w:pPr>
                <w:r w:rsidRPr="00370545">
                  <w:t>De minister van Buitenlandse Zaken,</w:t>
                </w:r>
                <w:r w:rsidRPr="00370545">
                  <w:br/>
                </w:r>
                <w:r w:rsidRPr="00370545">
                  <w:br/>
                </w:r>
                <w:r w:rsidRPr="00370545">
                  <w:br/>
                </w:r>
                <w:r w:rsidRPr="00370545">
                  <w:br/>
                </w:r>
                <w:r w:rsidRPr="00370545">
                  <w:br/>
                </w:r>
                <w:r w:rsidRPr="00370545">
                  <w:br/>
                </w:r>
                <w:r w:rsidRPr="00370545">
                  <w:br/>
                  <w:t>T.B.W. Berendsen</w:t>
                </w:r>
              </w:p>
            </w:tc>
          </w:sdtContent>
        </w:sdt>
        <w:sdt>
          <w:sdtPr>
            <w:alias w:val="Ondertekenaar 2"/>
            <w:tag w:val="Ondertekenaar_x0020_2"/>
            <w:id w:val="2131046109"/>
            <w:placeholder>
              <w:docPart w:val="ED83AF18820241EE85BB675B589EAFB0"/>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Content>
            <w:tc>
              <w:tcPr>
                <w:tcW w:w="2500" w:type="pct"/>
              </w:tcPr>
              <w:p w:rsidRPr="00370545" w:rsidR="00370545" w:rsidP="007A70F1" w:rsidRDefault="00370545" w14:paraId="3AC3119B" w14:textId="77777777">
                <w:pPr>
                  <w:spacing w:line="276" w:lineRule="auto"/>
                </w:pPr>
                <w:r w:rsidRPr="00370545">
                  <w:t>De minister van Justitie en Veiligheid,</w:t>
                </w:r>
                <w:r w:rsidRPr="00370545">
                  <w:br/>
                </w:r>
                <w:r w:rsidRPr="00370545">
                  <w:br/>
                </w:r>
                <w:r w:rsidRPr="00370545">
                  <w:br/>
                </w:r>
                <w:r w:rsidRPr="00370545">
                  <w:br/>
                </w:r>
                <w:r w:rsidRPr="00370545">
                  <w:br/>
                </w:r>
                <w:r w:rsidRPr="00370545">
                  <w:br/>
                </w:r>
                <w:r w:rsidRPr="00370545">
                  <w:br/>
                  <w:t>D.M. van Weel</w:t>
                </w:r>
                <w:r w:rsidRPr="00370545">
                  <w:br/>
                </w:r>
              </w:p>
            </w:tc>
          </w:sdtContent>
        </w:sdt>
      </w:tr>
    </w:tbl>
    <w:p w:rsidRPr="00370545" w:rsidR="00370545" w:rsidP="007A70F1" w:rsidRDefault="00370545" w14:paraId="28623A66" w14:textId="77777777">
      <w:pPr>
        <w:spacing w:after="160" w:line="276" w:lineRule="auto"/>
      </w:pPr>
    </w:p>
    <w:p w:rsidRPr="00370545" w:rsidR="00370545" w:rsidP="007A70F1" w:rsidRDefault="00370545" w14:paraId="5B673292" w14:textId="77777777">
      <w:pPr>
        <w:spacing w:after="160" w:line="276" w:lineRule="auto"/>
      </w:pPr>
    </w:p>
    <w:p w:rsidRPr="00370545" w:rsidR="00370545" w:rsidP="007A70F1" w:rsidRDefault="00370545" w14:paraId="210BEAE0" w14:textId="77777777">
      <w:pPr>
        <w:spacing w:line="276" w:lineRule="auto"/>
      </w:pPr>
    </w:p>
    <w:p w:rsidRPr="00370545" w:rsidR="00370545" w:rsidP="007A70F1" w:rsidRDefault="00370545" w14:paraId="613E5310" w14:textId="77777777">
      <w:pPr>
        <w:spacing w:line="276" w:lineRule="auto"/>
      </w:pPr>
    </w:p>
    <w:p w:rsidRPr="00370545" w:rsidR="00370545" w:rsidP="007A70F1" w:rsidRDefault="00370545" w14:paraId="2F0575CA" w14:textId="77777777">
      <w:pPr>
        <w:spacing w:line="276" w:lineRule="auto"/>
      </w:pPr>
    </w:p>
    <w:p w:rsidRPr="00370545" w:rsidR="00370545" w:rsidP="007A70F1" w:rsidRDefault="00370545" w14:paraId="7F848C36" w14:textId="77777777">
      <w:pPr>
        <w:spacing w:line="276" w:lineRule="auto"/>
      </w:pPr>
    </w:p>
    <w:p w:rsidRPr="00370545" w:rsidR="00370545" w:rsidP="007A70F1" w:rsidRDefault="00370545" w14:paraId="1B03FEE9" w14:textId="77777777">
      <w:pPr>
        <w:spacing w:line="276" w:lineRule="auto"/>
      </w:pPr>
    </w:p>
    <w:p w:rsidRPr="00370545" w:rsidR="00370545" w:rsidP="007A70F1" w:rsidRDefault="00370545" w14:paraId="0356FDE6" w14:textId="77777777">
      <w:pPr>
        <w:spacing w:line="276" w:lineRule="auto"/>
      </w:pPr>
    </w:p>
    <w:p w:rsidRPr="00370545" w:rsidR="00370545" w:rsidP="007A70F1" w:rsidRDefault="00370545" w14:paraId="3B571E72" w14:textId="77777777">
      <w:pPr>
        <w:spacing w:line="276" w:lineRule="auto"/>
      </w:pPr>
    </w:p>
    <w:p w:rsidR="00370545" w:rsidP="007A70F1" w:rsidRDefault="00370545" w14:paraId="0368CBAB" w14:textId="77777777">
      <w:pPr>
        <w:spacing w:line="276" w:lineRule="auto"/>
      </w:pPr>
    </w:p>
    <w:p w:rsidR="001E1426" w:rsidP="007A70F1" w:rsidRDefault="001E1426" w14:paraId="0A5253C6" w14:textId="77777777">
      <w:pPr>
        <w:spacing w:line="276" w:lineRule="auto"/>
      </w:pPr>
    </w:p>
    <w:p w:rsidR="00370545" w:rsidP="007A70F1" w:rsidRDefault="00370545" w14:paraId="11D060B6" w14:textId="77777777">
      <w:pPr>
        <w:spacing w:line="276" w:lineRule="auto"/>
      </w:pPr>
    </w:p>
    <w:p w:rsidR="00370545" w:rsidP="007A70F1" w:rsidRDefault="00370545" w14:paraId="5DDAAE34" w14:textId="77777777">
      <w:pPr>
        <w:spacing w:line="276" w:lineRule="auto"/>
      </w:pPr>
    </w:p>
    <w:p w:rsidR="00370545" w:rsidP="007A70F1" w:rsidRDefault="00370545" w14:paraId="7B03143F" w14:textId="77777777">
      <w:pPr>
        <w:spacing w:line="276" w:lineRule="auto"/>
      </w:pPr>
    </w:p>
    <w:p w:rsidR="00370545" w:rsidP="007A70F1" w:rsidRDefault="00370545" w14:paraId="0DA20B50" w14:textId="77777777">
      <w:pPr>
        <w:spacing w:line="276" w:lineRule="auto"/>
      </w:pPr>
    </w:p>
    <w:p w:rsidR="00370545" w:rsidP="007A70F1" w:rsidRDefault="00370545" w14:paraId="2A731D35" w14:textId="77777777">
      <w:pPr>
        <w:spacing w:line="276" w:lineRule="auto"/>
      </w:pPr>
    </w:p>
    <w:p w:rsidR="00370545" w:rsidP="007A70F1" w:rsidRDefault="00370545" w14:paraId="7BD2CB27" w14:textId="77777777">
      <w:pPr>
        <w:spacing w:line="276" w:lineRule="auto"/>
      </w:pPr>
    </w:p>
    <w:p w:rsidR="00370545" w:rsidP="007A70F1" w:rsidRDefault="00370545" w14:paraId="0C21754B" w14:textId="77777777">
      <w:pPr>
        <w:spacing w:line="276" w:lineRule="auto"/>
      </w:pPr>
    </w:p>
    <w:p w:rsidR="001E1426" w:rsidP="007A70F1" w:rsidRDefault="001E1426" w14:paraId="0A5253CA" w14:textId="77777777">
      <w:pPr>
        <w:spacing w:line="276" w:lineRule="auto"/>
      </w:pPr>
    </w:p>
    <w:p w:rsidR="001B21E4" w:rsidP="007A70F1" w:rsidRDefault="001B21E4" w14:paraId="6C8E72FC" w14:textId="77777777">
      <w:pPr>
        <w:spacing w:line="276" w:lineRule="auto"/>
      </w:pPr>
    </w:p>
    <w:sectPr w:rsidR="001B21E4" w:rsidSect="007A70F1">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5F3A5" w14:textId="77777777" w:rsidR="00A1434E" w:rsidRDefault="00A1434E">
      <w:pPr>
        <w:spacing w:line="240" w:lineRule="auto"/>
      </w:pPr>
      <w:r>
        <w:separator/>
      </w:r>
    </w:p>
  </w:endnote>
  <w:endnote w:type="continuationSeparator" w:id="0">
    <w:p w14:paraId="1C97C87D" w14:textId="77777777" w:rsidR="00A1434E" w:rsidRDefault="00A143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alibri"/>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BC3D" w14:textId="77777777" w:rsidR="00076453" w:rsidRDefault="00076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892667"/>
      <w:docPartObj>
        <w:docPartGallery w:val="Page Numbers (Bottom of Page)"/>
        <w:docPartUnique/>
      </w:docPartObj>
    </w:sdtPr>
    <w:sdtContent>
      <w:p w14:paraId="6A520E67" w14:textId="526881EE" w:rsidR="00F97FF8" w:rsidRDefault="00F97FF8">
        <w:pPr>
          <w:pStyle w:val="Footer"/>
          <w:jc w:val="center"/>
        </w:pPr>
        <w:r>
          <w:fldChar w:fldCharType="begin"/>
        </w:r>
        <w:r>
          <w:instrText>PAGE   \* MERGEFORMAT</w:instrText>
        </w:r>
        <w:r>
          <w:fldChar w:fldCharType="separate"/>
        </w:r>
        <w:r>
          <w:t>2</w:t>
        </w:r>
        <w:r>
          <w:fldChar w:fldCharType="end"/>
        </w:r>
      </w:p>
    </w:sdtContent>
  </w:sdt>
  <w:p w14:paraId="1C89B784" w14:textId="77777777" w:rsidR="00F97FF8" w:rsidRDefault="00F97F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212085"/>
      <w:docPartObj>
        <w:docPartGallery w:val="Page Numbers (Bottom of Page)"/>
        <w:docPartUnique/>
      </w:docPartObj>
    </w:sdtPr>
    <w:sdtContent>
      <w:p w14:paraId="5DB9E5D0" w14:textId="25044A5A" w:rsidR="00F97FF8" w:rsidRDefault="00F97FF8">
        <w:pPr>
          <w:pStyle w:val="Footer"/>
          <w:jc w:val="center"/>
        </w:pPr>
        <w:r>
          <w:fldChar w:fldCharType="begin"/>
        </w:r>
        <w:r>
          <w:instrText>PAGE   \* MERGEFORMAT</w:instrText>
        </w:r>
        <w:r>
          <w:fldChar w:fldCharType="separate"/>
        </w:r>
        <w:r>
          <w:t>2</w:t>
        </w:r>
        <w:r>
          <w:fldChar w:fldCharType="end"/>
        </w:r>
      </w:p>
    </w:sdtContent>
  </w:sdt>
  <w:p w14:paraId="2CC30000" w14:textId="77777777" w:rsidR="00F97FF8" w:rsidRDefault="00F97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1ADC9" w14:textId="77777777" w:rsidR="00A1434E" w:rsidRDefault="00A1434E">
      <w:pPr>
        <w:spacing w:line="240" w:lineRule="auto"/>
      </w:pPr>
      <w:r>
        <w:separator/>
      </w:r>
    </w:p>
  </w:footnote>
  <w:footnote w:type="continuationSeparator" w:id="0">
    <w:p w14:paraId="67C1E449" w14:textId="77777777" w:rsidR="00A1434E" w:rsidRDefault="00A1434E">
      <w:pPr>
        <w:spacing w:line="240" w:lineRule="auto"/>
      </w:pPr>
      <w:r>
        <w:continuationSeparator/>
      </w:r>
    </w:p>
  </w:footnote>
  <w:footnote w:id="1">
    <w:p w14:paraId="1837D69B" w14:textId="77777777" w:rsidR="00370545" w:rsidRPr="00F97FF8" w:rsidRDefault="00370545" w:rsidP="00370545">
      <w:pPr>
        <w:pStyle w:val="FootnoteText"/>
        <w:rPr>
          <w:sz w:val="16"/>
          <w:szCs w:val="16"/>
          <w:lang w:val="en-US"/>
        </w:rPr>
      </w:pPr>
      <w:r w:rsidRPr="00F97FF8">
        <w:rPr>
          <w:rStyle w:val="FootnoteReference"/>
          <w:sz w:val="16"/>
          <w:szCs w:val="16"/>
        </w:rPr>
        <w:footnoteRef/>
      </w:r>
      <w:r w:rsidRPr="00F97FF8">
        <w:rPr>
          <w:sz w:val="16"/>
          <w:szCs w:val="16"/>
        </w:rPr>
        <w:t xml:space="preserve"> Het Koninkrijk der Nederlanden is op dit moment geen lid van het Bureau van de ASP. Zie voor een overzicht van de huidige leden: </w:t>
      </w:r>
      <w:hyperlink r:id="rId1" w:history="1">
        <w:r w:rsidRPr="00F97FF8">
          <w:rPr>
            <w:rStyle w:val="Hyperlink"/>
            <w:sz w:val="16"/>
            <w:szCs w:val="16"/>
          </w:rPr>
          <w:t xml:space="preserve">Bureau of </w:t>
        </w:r>
        <w:proofErr w:type="spellStart"/>
        <w:r w:rsidRPr="00F97FF8">
          <w:rPr>
            <w:rStyle w:val="Hyperlink"/>
            <w:sz w:val="16"/>
            <w:szCs w:val="16"/>
          </w:rPr>
          <w:t>the</w:t>
        </w:r>
        <w:proofErr w:type="spellEnd"/>
        <w:r w:rsidRPr="00F97FF8">
          <w:rPr>
            <w:rStyle w:val="Hyperlink"/>
            <w:sz w:val="16"/>
            <w:szCs w:val="16"/>
          </w:rPr>
          <w:t xml:space="preserve"> Assembly | International </w:t>
        </w:r>
        <w:proofErr w:type="spellStart"/>
        <w:r w:rsidRPr="00F97FF8">
          <w:rPr>
            <w:rStyle w:val="Hyperlink"/>
            <w:sz w:val="16"/>
            <w:szCs w:val="16"/>
          </w:rPr>
          <w:t>Criminal</w:t>
        </w:r>
        <w:proofErr w:type="spellEnd"/>
        <w:r w:rsidRPr="00F97FF8">
          <w:rPr>
            <w:rStyle w:val="Hyperlink"/>
            <w:sz w:val="16"/>
            <w:szCs w:val="16"/>
          </w:rPr>
          <w:t xml:space="preserve"> Court</w:t>
        </w:r>
      </w:hyperlink>
      <w:r w:rsidRPr="00F97FF8">
        <w:rPr>
          <w:sz w:val="16"/>
          <w:szCs w:val="16"/>
        </w:rPr>
        <w:t xml:space="preserve">. </w:t>
      </w:r>
      <w:proofErr w:type="spellStart"/>
      <w:r w:rsidRPr="00B362B2">
        <w:rPr>
          <w:sz w:val="16"/>
          <w:szCs w:val="16"/>
          <w:lang w:val="en-US"/>
        </w:rPr>
        <w:t>Zie</w:t>
      </w:r>
      <w:proofErr w:type="spellEnd"/>
      <w:r w:rsidRPr="00B362B2">
        <w:rPr>
          <w:sz w:val="16"/>
          <w:szCs w:val="16"/>
          <w:lang w:val="en-US"/>
        </w:rPr>
        <w:t xml:space="preserve"> </w:t>
      </w:r>
      <w:proofErr w:type="spellStart"/>
      <w:r w:rsidRPr="00B362B2">
        <w:rPr>
          <w:sz w:val="16"/>
          <w:szCs w:val="16"/>
          <w:lang w:val="en-US"/>
        </w:rPr>
        <w:t>voor</w:t>
      </w:r>
      <w:proofErr w:type="spellEnd"/>
      <w:r w:rsidRPr="00B362B2">
        <w:rPr>
          <w:sz w:val="16"/>
          <w:szCs w:val="16"/>
          <w:lang w:val="en-US"/>
        </w:rPr>
        <w:t xml:space="preserve"> het </w:t>
      </w:r>
      <w:proofErr w:type="spellStart"/>
      <w:r w:rsidRPr="00B362B2">
        <w:rPr>
          <w:sz w:val="16"/>
          <w:szCs w:val="16"/>
          <w:lang w:val="en-US"/>
        </w:rPr>
        <w:t>persbericht</w:t>
      </w:r>
      <w:proofErr w:type="spellEnd"/>
      <w:r w:rsidRPr="00B362B2">
        <w:rPr>
          <w:sz w:val="16"/>
          <w:szCs w:val="16"/>
          <w:lang w:val="en-US"/>
        </w:rPr>
        <w:t xml:space="preserve"> over de </w:t>
      </w:r>
      <w:proofErr w:type="spellStart"/>
      <w:r w:rsidRPr="00B362B2">
        <w:rPr>
          <w:sz w:val="16"/>
          <w:szCs w:val="16"/>
          <w:lang w:val="en-US"/>
        </w:rPr>
        <w:t>beslissing</w:t>
      </w:r>
      <w:proofErr w:type="spellEnd"/>
      <w:r w:rsidRPr="00F97FF8">
        <w:rPr>
          <w:sz w:val="16"/>
          <w:szCs w:val="16"/>
          <w:lang w:val="en-US"/>
        </w:rPr>
        <w:t xml:space="preserve"> van het Bureau van de ASP: </w:t>
      </w:r>
      <w:hyperlink r:id="rId2" w:history="1">
        <w:r w:rsidRPr="00F97FF8">
          <w:rPr>
            <w:rStyle w:val="Hyperlink"/>
            <w:sz w:val="16"/>
            <w:szCs w:val="16"/>
            <w:lang w:val="en-US"/>
          </w:rPr>
          <w:t>Decision of the Bureau concerning the outcome of disciplinary proceedings involving the Prosecutor of the International Criminal Court | International Criminal Court</w:t>
        </w:r>
      </w:hyperlink>
      <w:r w:rsidRPr="00F97FF8">
        <w:rPr>
          <w:sz w:val="16"/>
          <w:szCs w:val="16"/>
          <w:lang w:val="en-US"/>
        </w:rPr>
        <w:t xml:space="preserve"> (8 </w:t>
      </w:r>
      <w:proofErr w:type="spellStart"/>
      <w:r w:rsidRPr="00F97FF8">
        <w:rPr>
          <w:sz w:val="16"/>
          <w:szCs w:val="16"/>
          <w:lang w:val="en-US"/>
        </w:rPr>
        <w:t>juni</w:t>
      </w:r>
      <w:proofErr w:type="spellEnd"/>
      <w:r w:rsidRPr="00F97FF8">
        <w:rPr>
          <w:sz w:val="16"/>
          <w:szCs w:val="16"/>
          <w:lang w:val="en-US"/>
        </w:rPr>
        <w:t xml:space="preserve"> 2026).</w:t>
      </w:r>
    </w:p>
  </w:footnote>
  <w:footnote w:id="2">
    <w:p w14:paraId="338E6BF1" w14:textId="77777777" w:rsidR="00370545" w:rsidRPr="00F97FF8" w:rsidRDefault="00370545" w:rsidP="00370545">
      <w:pPr>
        <w:pStyle w:val="FootnoteText"/>
        <w:rPr>
          <w:sz w:val="16"/>
          <w:szCs w:val="16"/>
        </w:rPr>
      </w:pPr>
      <w:r w:rsidRPr="00F97FF8">
        <w:rPr>
          <w:rStyle w:val="FootnoteReference"/>
          <w:sz w:val="16"/>
          <w:szCs w:val="16"/>
        </w:rPr>
        <w:footnoteRef/>
      </w:r>
      <w:r w:rsidRPr="00F97FF8">
        <w:rPr>
          <w:sz w:val="16"/>
          <w:szCs w:val="16"/>
        </w:rPr>
        <w:t xml:space="preserve"> Zie artikel 45 van het Statuut van Rome en </w:t>
      </w:r>
      <w:proofErr w:type="spellStart"/>
      <w:r w:rsidRPr="00F97FF8">
        <w:rPr>
          <w:i/>
          <w:iCs/>
          <w:sz w:val="16"/>
          <w:szCs w:val="16"/>
        </w:rPr>
        <w:t>Rule</w:t>
      </w:r>
      <w:proofErr w:type="spellEnd"/>
      <w:r w:rsidRPr="00F97FF8">
        <w:rPr>
          <w:sz w:val="16"/>
          <w:szCs w:val="16"/>
        </w:rPr>
        <w:t xml:space="preserve"> 5 van de Rules of Procedure </w:t>
      </w:r>
      <w:proofErr w:type="spellStart"/>
      <w:r w:rsidRPr="00F97FF8">
        <w:rPr>
          <w:sz w:val="16"/>
          <w:szCs w:val="16"/>
        </w:rPr>
        <w:t>and</w:t>
      </w:r>
      <w:proofErr w:type="spellEnd"/>
      <w:r w:rsidRPr="00F97FF8">
        <w:rPr>
          <w:sz w:val="16"/>
          <w:szCs w:val="16"/>
        </w:rPr>
        <w:t xml:space="preserve"> </w:t>
      </w:r>
      <w:proofErr w:type="spellStart"/>
      <w:r w:rsidRPr="00F97FF8">
        <w:rPr>
          <w:sz w:val="16"/>
          <w:szCs w:val="16"/>
        </w:rPr>
        <w:t>Evidence</w:t>
      </w:r>
      <w:proofErr w:type="spellEnd"/>
      <w:r w:rsidRPr="00F97FF8">
        <w:rPr>
          <w:sz w:val="16"/>
          <w:szCs w:val="16"/>
        </w:rPr>
        <w:t>.</w:t>
      </w:r>
    </w:p>
  </w:footnote>
  <w:footnote w:id="3">
    <w:p w14:paraId="79CFD184" w14:textId="77777777" w:rsidR="00370545" w:rsidRPr="00F97FF8" w:rsidRDefault="00370545" w:rsidP="00370545">
      <w:pPr>
        <w:pStyle w:val="FootnoteText"/>
        <w:rPr>
          <w:sz w:val="16"/>
          <w:szCs w:val="16"/>
          <w:lang w:val="en-US"/>
        </w:rPr>
      </w:pPr>
      <w:r w:rsidRPr="00F97FF8">
        <w:rPr>
          <w:rStyle w:val="FootnoteReference"/>
          <w:sz w:val="16"/>
          <w:szCs w:val="16"/>
        </w:rPr>
        <w:footnoteRef/>
      </w:r>
      <w:r w:rsidRPr="00F97FF8">
        <w:rPr>
          <w:sz w:val="16"/>
          <w:szCs w:val="16"/>
          <w:lang w:val="en-US"/>
        </w:rPr>
        <w:t xml:space="preserve"> </w:t>
      </w:r>
      <w:proofErr w:type="spellStart"/>
      <w:r w:rsidRPr="00F97FF8">
        <w:rPr>
          <w:sz w:val="16"/>
          <w:szCs w:val="16"/>
          <w:lang w:val="en-US"/>
        </w:rPr>
        <w:t>Zie</w:t>
      </w:r>
      <w:proofErr w:type="spellEnd"/>
      <w:r w:rsidRPr="00F97FF8">
        <w:rPr>
          <w:sz w:val="16"/>
          <w:szCs w:val="16"/>
          <w:lang w:val="en-US"/>
        </w:rPr>
        <w:t xml:space="preserve"> §4.3, </w:t>
      </w:r>
      <w:proofErr w:type="spellStart"/>
      <w:r w:rsidRPr="00F97FF8">
        <w:rPr>
          <w:sz w:val="16"/>
          <w:szCs w:val="16"/>
          <w:lang w:val="en-US"/>
        </w:rPr>
        <w:t>onder</w:t>
      </w:r>
      <w:proofErr w:type="spellEnd"/>
      <w:r w:rsidRPr="00F97FF8">
        <w:rPr>
          <w:sz w:val="16"/>
          <w:szCs w:val="16"/>
          <w:lang w:val="en-US"/>
        </w:rPr>
        <w:t xml:space="preserve"> a, van de Administrative Instruction </w:t>
      </w:r>
      <w:proofErr w:type="spellStart"/>
      <w:r w:rsidRPr="00F97FF8">
        <w:rPr>
          <w:sz w:val="16"/>
          <w:szCs w:val="16"/>
          <w:lang w:val="en-US"/>
        </w:rPr>
        <w:t>Adressing</w:t>
      </w:r>
      <w:proofErr w:type="spellEnd"/>
      <w:r w:rsidRPr="00F97FF8">
        <w:rPr>
          <w:sz w:val="16"/>
          <w:szCs w:val="16"/>
          <w:lang w:val="en-US"/>
        </w:rPr>
        <w:t xml:space="preserve"> Discrimination, Harassment, Including Sexual Harassment, and Abuse of Authority (</w:t>
      </w:r>
      <w:hyperlink r:id="rId3" w:history="1">
        <w:r w:rsidRPr="00F97FF8">
          <w:rPr>
            <w:rStyle w:val="Hyperlink"/>
            <w:sz w:val="16"/>
            <w:szCs w:val="16"/>
            <w:lang w:val="en-US"/>
          </w:rPr>
          <w:t>ICC/AI/2002/003</w:t>
        </w:r>
      </w:hyperlink>
      <w:r w:rsidRPr="00F97FF8">
        <w:rPr>
          <w:sz w:val="16"/>
          <w:szCs w:val="16"/>
          <w:lang w:val="en-US"/>
        </w:rPr>
        <w:t>).</w:t>
      </w:r>
    </w:p>
  </w:footnote>
  <w:footnote w:id="4">
    <w:p w14:paraId="34A5B468" w14:textId="77777777" w:rsidR="00370545" w:rsidRPr="00F97FF8" w:rsidRDefault="00370545" w:rsidP="00370545">
      <w:pPr>
        <w:pStyle w:val="FootnoteText"/>
        <w:rPr>
          <w:lang w:val="en-US"/>
        </w:rPr>
      </w:pPr>
      <w:r w:rsidRPr="00F97FF8">
        <w:rPr>
          <w:rStyle w:val="FootnoteReference"/>
          <w:sz w:val="16"/>
          <w:szCs w:val="16"/>
        </w:rPr>
        <w:footnoteRef/>
      </w:r>
      <w:r w:rsidRPr="00F97FF8">
        <w:rPr>
          <w:sz w:val="16"/>
          <w:szCs w:val="16"/>
          <w:lang w:val="en-US"/>
        </w:rPr>
        <w:t xml:space="preserve"> </w:t>
      </w:r>
      <w:r w:rsidRPr="00F97FF8">
        <w:rPr>
          <w:bCs/>
          <w:sz w:val="16"/>
          <w:szCs w:val="16"/>
          <w:lang w:val="en-US"/>
        </w:rPr>
        <w:t>Code of Conduct for the Office of the Prosecutor (</w:t>
      </w:r>
      <w:hyperlink r:id="rId4" w:history="1">
        <w:r w:rsidRPr="00F97FF8">
          <w:rPr>
            <w:rStyle w:val="Hyperlink"/>
            <w:bCs/>
            <w:sz w:val="16"/>
            <w:szCs w:val="16"/>
            <w:lang w:val="en-US"/>
          </w:rPr>
          <w:t>OTP2013/024322</w:t>
        </w:r>
      </w:hyperlink>
      <w:r w:rsidRPr="00F97FF8">
        <w:rPr>
          <w:bCs/>
          <w:sz w:val="16"/>
          <w:szCs w:val="16"/>
          <w:lang w:val="en-US"/>
        </w:rPr>
        <w:t>).</w:t>
      </w:r>
    </w:p>
  </w:footnote>
  <w:footnote w:id="5">
    <w:p w14:paraId="6BF4A056" w14:textId="3AFF1A47" w:rsidR="008A151F" w:rsidRPr="008A151F" w:rsidRDefault="008A151F">
      <w:pPr>
        <w:pStyle w:val="FootnoteText"/>
        <w:rPr>
          <w:lang w:val="en-US"/>
        </w:rPr>
      </w:pPr>
      <w:r>
        <w:rPr>
          <w:rStyle w:val="FootnoteReference"/>
        </w:rPr>
        <w:footnoteRef/>
      </w:r>
      <w:r>
        <w:t xml:space="preserve"> </w:t>
      </w:r>
      <w:r w:rsidRPr="008A151F">
        <w:rPr>
          <w:sz w:val="16"/>
          <w:szCs w:val="16"/>
        </w:rPr>
        <w:t>Kamerstuk 28</w:t>
      </w:r>
      <w:r w:rsidR="00076453">
        <w:rPr>
          <w:sz w:val="16"/>
          <w:szCs w:val="16"/>
        </w:rPr>
        <w:t xml:space="preserve"> </w:t>
      </w:r>
      <w:r w:rsidRPr="008A151F">
        <w:rPr>
          <w:sz w:val="16"/>
          <w:szCs w:val="16"/>
        </w:rPr>
        <w:t>498, nr. 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53E67" w14:textId="77777777" w:rsidR="00076453" w:rsidRDefault="00076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53CB" w14:textId="77C16F80" w:rsidR="001E1426" w:rsidRDefault="00370545">
    <w:r>
      <w:rPr>
        <w:noProof/>
      </w:rPr>
      <mc:AlternateContent>
        <mc:Choice Requires="wps">
          <w:drawing>
            <wp:anchor distT="0" distB="0" distL="0" distR="0" simplePos="0" relativeHeight="251658240" behindDoc="0" locked="1" layoutInCell="1" allowOverlap="1" wp14:anchorId="0A5253CF" wp14:editId="276BA2CC">
              <wp:simplePos x="0" y="0"/>
              <wp:positionH relativeFrom="page">
                <wp:posOffset>5922645</wp:posOffset>
              </wp:positionH>
              <wp:positionV relativeFrom="page">
                <wp:posOffset>1967230</wp:posOffset>
              </wp:positionV>
              <wp:extent cx="132969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29690" cy="8009890"/>
                      </a:xfrm>
                      <a:prstGeom prst="rect">
                        <a:avLst/>
                      </a:prstGeom>
                      <a:noFill/>
                    </wps:spPr>
                    <wps:txbx>
                      <w:txbxContent>
                        <w:p w14:paraId="0A5253FD" w14:textId="77777777" w:rsidR="001E1426" w:rsidRDefault="00370545">
                          <w:pPr>
                            <w:pStyle w:val="Referentiegegevensbold"/>
                          </w:pPr>
                          <w:r>
                            <w:t>Ministerie van Buitenlandse Zaken</w:t>
                          </w:r>
                        </w:p>
                        <w:p w14:paraId="0A5253FE" w14:textId="77777777" w:rsidR="001E1426" w:rsidRDefault="001E1426">
                          <w:pPr>
                            <w:pStyle w:val="WitregelW2"/>
                          </w:pPr>
                        </w:p>
                        <w:p w14:paraId="0A5253FF" w14:textId="77777777" w:rsidR="001E1426" w:rsidRDefault="00370545">
                          <w:pPr>
                            <w:pStyle w:val="Referentiegegevensbold"/>
                          </w:pPr>
                          <w:r>
                            <w:t>Onze referentie</w:t>
                          </w:r>
                        </w:p>
                        <w:p w14:paraId="0A525400" w14:textId="77777777" w:rsidR="001E1426" w:rsidRDefault="00370545">
                          <w:pPr>
                            <w:pStyle w:val="Referentiegegevens"/>
                          </w:pPr>
                          <w:r>
                            <w:t>BZ2629765</w:t>
                          </w:r>
                        </w:p>
                      </w:txbxContent>
                    </wps:txbx>
                    <wps:bodyPr vert="horz" wrap="square" lIns="0" tIns="0" rIns="0" bIns="0" anchor="t" anchorCtr="0"/>
                  </wps:wsp>
                </a:graphicData>
              </a:graphic>
              <wp14:sizeRelH relativeFrom="margin">
                <wp14:pctWidth>0</wp14:pctWidth>
              </wp14:sizeRelH>
            </wp:anchor>
          </w:drawing>
        </mc:Choice>
        <mc:Fallback>
          <w:pict>
            <v:shapetype w14:anchorId="0A5253CF" id="_x0000_t202" coordsize="21600,21600" o:spt="202" path="m,l,21600r21600,l21600,xe">
              <v:stroke joinstyle="miter"/>
              <v:path gradientshapeok="t" o:connecttype="rect"/>
            </v:shapetype>
            <v:shape id="41b1110a-80a4-11ea-b356-6230a4311406" o:spid="_x0000_s1026" type="#_x0000_t202" style="position:absolute;margin-left:466.35pt;margin-top:154.9pt;width:104.7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" filled="f" stroked="f">
              <v:textbox inset="0,0,0,0">
                <w:txbxContent>
                  <w:p w14:paraId="0A5253FD" w14:textId="77777777" w:rsidR="001E1426" w:rsidRDefault="00370545">
                    <w:pPr>
                      <w:pStyle w:val="Referentiegegevensbold"/>
                    </w:pPr>
                    <w:r>
                      <w:t>Ministerie van Buitenlandse Zaken</w:t>
                    </w:r>
                  </w:p>
                  <w:p w14:paraId="0A5253FE" w14:textId="77777777" w:rsidR="001E1426" w:rsidRDefault="001E1426">
                    <w:pPr>
                      <w:pStyle w:val="WitregelW2"/>
                    </w:pPr>
                  </w:p>
                  <w:p w14:paraId="0A5253FF" w14:textId="77777777" w:rsidR="001E1426" w:rsidRDefault="00370545">
                    <w:pPr>
                      <w:pStyle w:val="Referentiegegevensbold"/>
                    </w:pPr>
                    <w:r>
                      <w:t>Onze referentie</w:t>
                    </w:r>
                  </w:p>
                  <w:p w14:paraId="0A525400" w14:textId="77777777" w:rsidR="001E1426" w:rsidRDefault="00370545">
                    <w:pPr>
                      <w:pStyle w:val="Referentiegegevens"/>
                    </w:pPr>
                    <w:r>
                      <w:t>BZ2629765</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A5253D3" wp14:editId="52DF70C5">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A52540F" w14:textId="77777777" w:rsidR="00370545" w:rsidRDefault="00370545"/>
                      </w:txbxContent>
                    </wps:txbx>
                    <wps:bodyPr vert="horz" wrap="square" lIns="0" tIns="0" rIns="0" bIns="0" anchor="t" anchorCtr="0"/>
                  </wps:wsp>
                </a:graphicData>
              </a:graphic>
            </wp:anchor>
          </w:drawing>
        </mc:Choice>
        <mc:Fallback>
          <w:pict>
            <v:shape w14:anchorId="0A5253D3"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A52540F" w14:textId="77777777" w:rsidR="00370545" w:rsidRDefault="0037054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53CD" w14:textId="1319B16E" w:rsidR="001E1426" w:rsidRDefault="00370545">
    <w:pPr>
      <w:spacing w:after="7131" w:line="14" w:lineRule="exact"/>
    </w:pPr>
    <w:r>
      <w:rPr>
        <w:noProof/>
      </w:rPr>
      <mc:AlternateContent>
        <mc:Choice Requires="wps">
          <w:drawing>
            <wp:anchor distT="0" distB="0" distL="0" distR="0" simplePos="0" relativeHeight="251658243" behindDoc="0" locked="1" layoutInCell="1" allowOverlap="1" wp14:anchorId="0A5253D5" wp14:editId="0A5253D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A525402" w14:textId="77777777" w:rsidR="00370545" w:rsidRDefault="00370545"/>
                      </w:txbxContent>
                    </wps:txbx>
                    <wps:bodyPr vert="horz" wrap="square" lIns="0" tIns="0" rIns="0" bIns="0" anchor="t" anchorCtr="0"/>
                  </wps:wsp>
                </a:graphicData>
              </a:graphic>
            </wp:anchor>
          </w:drawing>
        </mc:Choice>
        <mc:Fallback>
          <w:pict>
            <v:shapetype w14:anchorId="0A5253D5"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A525402" w14:textId="77777777" w:rsidR="00370545" w:rsidRDefault="00370545"/>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A5253D7" wp14:editId="0A5253D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A5253E6" w14:textId="77777777" w:rsidR="001E1426" w:rsidRDefault="00370545">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A5253D7"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A5253E6" w14:textId="77777777" w:rsidR="001E1426" w:rsidRDefault="00370545">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A5253D9" wp14:editId="0A5253DA">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1E1426" w14:paraId="0A5253E9" w14:textId="77777777">
                            <w:tc>
                              <w:tcPr>
                                <w:tcW w:w="678" w:type="dxa"/>
                              </w:tcPr>
                              <w:p w14:paraId="0A5253E7" w14:textId="77777777" w:rsidR="001E1426" w:rsidRDefault="00370545">
                                <w:r>
                                  <w:t>Datum</w:t>
                                </w:r>
                              </w:p>
                            </w:tc>
                            <w:tc>
                              <w:tcPr>
                                <w:tcW w:w="6851" w:type="dxa"/>
                              </w:tcPr>
                              <w:p w14:paraId="0A5253E8" w14:textId="3C0A3561" w:rsidR="001E1426" w:rsidRDefault="00076453">
                                <w:r>
                                  <w:t>16</w:t>
                                </w:r>
                                <w:r w:rsidR="00370545">
                                  <w:t xml:space="preserve"> juli 2026</w:t>
                                </w:r>
                              </w:p>
                            </w:tc>
                          </w:tr>
                          <w:tr w:rsidR="001E1426" w14:paraId="0A5253EE" w14:textId="77777777">
                            <w:tc>
                              <w:tcPr>
                                <w:tcW w:w="678" w:type="dxa"/>
                              </w:tcPr>
                              <w:p w14:paraId="0A5253EA" w14:textId="77777777" w:rsidR="001E1426" w:rsidRDefault="00370545">
                                <w:r>
                                  <w:t>Betreft</w:t>
                                </w:r>
                              </w:p>
                              <w:p w14:paraId="0A5253EB" w14:textId="77777777" w:rsidR="001E1426" w:rsidRDefault="001E1426"/>
                            </w:tc>
                            <w:tc>
                              <w:tcPr>
                                <w:tcW w:w="6851" w:type="dxa"/>
                              </w:tcPr>
                              <w:p w14:paraId="0A5253EC" w14:textId="02725676" w:rsidR="001E1426" w:rsidRDefault="001B21E4">
                                <w:r>
                                  <w:t>I</w:t>
                                </w:r>
                                <w:r w:rsidR="00370545">
                                  <w:t>nzet Speciale Zitting van de Vergadering van verdragspartijen bij het Statuut van Rome</w:t>
                                </w:r>
                              </w:p>
                              <w:p w14:paraId="0A5253ED" w14:textId="77777777" w:rsidR="001E1426" w:rsidRDefault="001E1426"/>
                            </w:tc>
                          </w:tr>
                        </w:tbl>
                        <w:p w14:paraId="0A5253EF" w14:textId="77777777" w:rsidR="001E1426" w:rsidRDefault="001E1426"/>
                        <w:p w14:paraId="0A5253F0" w14:textId="77777777" w:rsidR="001E1426" w:rsidRDefault="001E1426"/>
                      </w:txbxContent>
                    </wps:txbx>
                    <wps:bodyPr vert="horz" wrap="square" lIns="0" tIns="0" rIns="0" bIns="0" anchor="t" anchorCtr="0"/>
                  </wps:wsp>
                </a:graphicData>
              </a:graphic>
            </wp:anchor>
          </w:drawing>
        </mc:Choice>
        <mc:Fallback>
          <w:pict>
            <v:shape w14:anchorId="0A5253D9"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1E1426" w14:paraId="0A5253E9" w14:textId="77777777">
                      <w:tc>
                        <w:tcPr>
                          <w:tcW w:w="678" w:type="dxa"/>
                        </w:tcPr>
                        <w:p w14:paraId="0A5253E7" w14:textId="77777777" w:rsidR="001E1426" w:rsidRDefault="00370545">
                          <w:r>
                            <w:t>Datum</w:t>
                          </w:r>
                        </w:p>
                      </w:tc>
                      <w:tc>
                        <w:tcPr>
                          <w:tcW w:w="6851" w:type="dxa"/>
                        </w:tcPr>
                        <w:p w14:paraId="0A5253E8" w14:textId="3C0A3561" w:rsidR="001E1426" w:rsidRDefault="00076453">
                          <w:r>
                            <w:t>16</w:t>
                          </w:r>
                          <w:r w:rsidR="00370545">
                            <w:t xml:space="preserve"> juli 2026</w:t>
                          </w:r>
                        </w:p>
                      </w:tc>
                    </w:tr>
                    <w:tr w:rsidR="001E1426" w14:paraId="0A5253EE" w14:textId="77777777">
                      <w:tc>
                        <w:tcPr>
                          <w:tcW w:w="678" w:type="dxa"/>
                        </w:tcPr>
                        <w:p w14:paraId="0A5253EA" w14:textId="77777777" w:rsidR="001E1426" w:rsidRDefault="00370545">
                          <w:r>
                            <w:t>Betreft</w:t>
                          </w:r>
                        </w:p>
                        <w:p w14:paraId="0A5253EB" w14:textId="77777777" w:rsidR="001E1426" w:rsidRDefault="001E1426"/>
                      </w:tc>
                      <w:tc>
                        <w:tcPr>
                          <w:tcW w:w="6851" w:type="dxa"/>
                        </w:tcPr>
                        <w:p w14:paraId="0A5253EC" w14:textId="02725676" w:rsidR="001E1426" w:rsidRDefault="001B21E4">
                          <w:r>
                            <w:t>I</w:t>
                          </w:r>
                          <w:r w:rsidR="00370545">
                            <w:t>nzet Speciale Zitting van de Vergadering van verdragspartijen bij het Statuut van Rome</w:t>
                          </w:r>
                        </w:p>
                        <w:p w14:paraId="0A5253ED" w14:textId="77777777" w:rsidR="001E1426" w:rsidRDefault="001E1426"/>
                      </w:tc>
                    </w:tr>
                  </w:tbl>
                  <w:p w14:paraId="0A5253EF" w14:textId="77777777" w:rsidR="001E1426" w:rsidRDefault="001E1426"/>
                  <w:p w14:paraId="0A5253F0" w14:textId="77777777" w:rsidR="001E1426" w:rsidRDefault="001E1426"/>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A5253DB" wp14:editId="5D05F7CF">
              <wp:simplePos x="0" y="0"/>
              <wp:positionH relativeFrom="page">
                <wp:posOffset>5922645</wp:posOffset>
              </wp:positionH>
              <wp:positionV relativeFrom="page">
                <wp:posOffset>1967230</wp:posOffset>
              </wp:positionV>
              <wp:extent cx="136461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64615"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131A98EF" w14:textId="77777777" w:rsidR="00F97FF8" w:rsidRPr="00F51C07" w:rsidRDefault="00F97FF8" w:rsidP="00F97FF8">
                              <w:pPr>
                                <w:rPr>
                                  <w:b/>
                                  <w:sz w:val="13"/>
                                  <w:szCs w:val="13"/>
                                </w:rPr>
                              </w:pPr>
                              <w:r w:rsidRPr="00FC13FA">
                                <w:rPr>
                                  <w:b/>
                                  <w:sz w:val="13"/>
                                  <w:szCs w:val="13"/>
                                </w:rPr>
                                <w:t>Ministerie van Buitenlandse Zaken</w:t>
                              </w:r>
                            </w:p>
                          </w:sdtContent>
                        </w:sdt>
                        <w:p w14:paraId="7E69BF25" w14:textId="77777777" w:rsidR="00F97FF8" w:rsidRPr="00EE5E5D" w:rsidRDefault="00F97FF8" w:rsidP="00F97FF8">
                          <w:pPr>
                            <w:rPr>
                              <w:sz w:val="13"/>
                              <w:szCs w:val="13"/>
                            </w:rPr>
                          </w:pPr>
                          <w:r>
                            <w:rPr>
                              <w:sz w:val="13"/>
                              <w:szCs w:val="13"/>
                            </w:rPr>
                            <w:t>Rijnstraat 8</w:t>
                          </w:r>
                        </w:p>
                        <w:p w14:paraId="39D6E2BB" w14:textId="77777777" w:rsidR="00F97FF8" w:rsidRPr="0059764A" w:rsidRDefault="00F97FF8" w:rsidP="00F97FF8">
                          <w:pPr>
                            <w:rPr>
                              <w:sz w:val="13"/>
                              <w:szCs w:val="13"/>
                              <w:lang w:val="da-DK"/>
                            </w:rPr>
                          </w:pPr>
                          <w:r w:rsidRPr="0059764A">
                            <w:rPr>
                              <w:sz w:val="13"/>
                              <w:szCs w:val="13"/>
                              <w:lang w:val="da-DK"/>
                            </w:rPr>
                            <w:t>2515 XP Den Haag</w:t>
                          </w:r>
                        </w:p>
                        <w:p w14:paraId="03C4F62E" w14:textId="77777777" w:rsidR="00F97FF8" w:rsidRPr="0059764A" w:rsidRDefault="00F97FF8" w:rsidP="00F97FF8">
                          <w:pPr>
                            <w:rPr>
                              <w:sz w:val="13"/>
                              <w:szCs w:val="13"/>
                              <w:lang w:val="da-DK"/>
                            </w:rPr>
                          </w:pPr>
                          <w:proofErr w:type="spellStart"/>
                          <w:r w:rsidRPr="0059764A">
                            <w:rPr>
                              <w:sz w:val="13"/>
                              <w:szCs w:val="13"/>
                              <w:lang w:val="da-DK"/>
                            </w:rPr>
                            <w:t>Postbus</w:t>
                          </w:r>
                          <w:proofErr w:type="spellEnd"/>
                          <w:r w:rsidRPr="0059764A">
                            <w:rPr>
                              <w:sz w:val="13"/>
                              <w:szCs w:val="13"/>
                              <w:lang w:val="da-DK"/>
                            </w:rPr>
                            <w:t xml:space="preserve"> 20061</w:t>
                          </w:r>
                        </w:p>
                        <w:p w14:paraId="3624F8CF" w14:textId="77777777" w:rsidR="00F97FF8" w:rsidRPr="0059764A" w:rsidRDefault="00F97FF8" w:rsidP="00F97FF8">
                          <w:pPr>
                            <w:rPr>
                              <w:sz w:val="13"/>
                              <w:szCs w:val="13"/>
                              <w:lang w:val="da-DK"/>
                            </w:rPr>
                          </w:pPr>
                          <w:r w:rsidRPr="0059764A">
                            <w:rPr>
                              <w:sz w:val="13"/>
                              <w:szCs w:val="13"/>
                              <w:lang w:val="da-DK"/>
                            </w:rPr>
                            <w:t>Nederland</w:t>
                          </w:r>
                        </w:p>
                        <w:p w14:paraId="0A5253F2" w14:textId="77777777" w:rsidR="001E1426" w:rsidRDefault="001E1426">
                          <w:pPr>
                            <w:pStyle w:val="WitregelW1"/>
                          </w:pPr>
                        </w:p>
                        <w:p w14:paraId="0A5253F3" w14:textId="77777777" w:rsidR="001E1426" w:rsidRDefault="00370545">
                          <w:pPr>
                            <w:pStyle w:val="Referentiegegevens"/>
                          </w:pPr>
                          <w:r>
                            <w:t xml:space="preserve"> </w:t>
                          </w:r>
                        </w:p>
                        <w:p w14:paraId="0A5253F4" w14:textId="77777777" w:rsidR="001E1426" w:rsidRDefault="00370545">
                          <w:pPr>
                            <w:pStyle w:val="Referentiegegevens"/>
                          </w:pPr>
                          <w:r>
                            <w:t>www.minbuza.nl</w:t>
                          </w:r>
                        </w:p>
                        <w:p w14:paraId="0A5253F5" w14:textId="77777777" w:rsidR="001E1426" w:rsidRDefault="001E1426">
                          <w:pPr>
                            <w:pStyle w:val="WitregelW2"/>
                          </w:pPr>
                        </w:p>
                        <w:p w14:paraId="0A5253F6" w14:textId="77777777" w:rsidR="001E1426" w:rsidRDefault="00370545">
                          <w:pPr>
                            <w:pStyle w:val="Referentiegegevensbold"/>
                          </w:pPr>
                          <w:r>
                            <w:t>Onze referentie</w:t>
                          </w:r>
                        </w:p>
                        <w:p w14:paraId="0A5253F7" w14:textId="77777777" w:rsidR="001E1426" w:rsidRDefault="00370545">
                          <w:pPr>
                            <w:pStyle w:val="Referentiegegevens"/>
                          </w:pPr>
                          <w:r>
                            <w:t>BZ2629765</w:t>
                          </w:r>
                        </w:p>
                        <w:p w14:paraId="0A5253F8" w14:textId="77777777" w:rsidR="001E1426" w:rsidRDefault="001E1426">
                          <w:pPr>
                            <w:pStyle w:val="WitregelW1"/>
                          </w:pPr>
                        </w:p>
                        <w:p w14:paraId="0A5253FA" w14:textId="563B7B8F" w:rsidR="001E1426" w:rsidRDefault="001E1426">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 w14:anchorId="0A5253DB" id="41b10cd4-80a4-11ea-b356-6230a4311406" o:spid="_x0000_s1031" type="#_x0000_t202" style="position:absolute;margin-left:466.35pt;margin-top:154.9pt;width:107.4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131A98EF" w14:textId="77777777" w:rsidR="00F97FF8" w:rsidRPr="00F51C07" w:rsidRDefault="00F97FF8" w:rsidP="00F97FF8">
                        <w:pPr>
                          <w:rPr>
                            <w:b/>
                            <w:sz w:val="13"/>
                            <w:szCs w:val="13"/>
                          </w:rPr>
                        </w:pPr>
                        <w:r w:rsidRPr="00FC13FA">
                          <w:rPr>
                            <w:b/>
                            <w:sz w:val="13"/>
                            <w:szCs w:val="13"/>
                          </w:rPr>
                          <w:t>Ministerie van Buitenlandse Zaken</w:t>
                        </w:r>
                      </w:p>
                    </w:sdtContent>
                  </w:sdt>
                  <w:p w14:paraId="7E69BF25" w14:textId="77777777" w:rsidR="00F97FF8" w:rsidRPr="00EE5E5D" w:rsidRDefault="00F97FF8" w:rsidP="00F97FF8">
                    <w:pPr>
                      <w:rPr>
                        <w:sz w:val="13"/>
                        <w:szCs w:val="13"/>
                      </w:rPr>
                    </w:pPr>
                    <w:r>
                      <w:rPr>
                        <w:sz w:val="13"/>
                        <w:szCs w:val="13"/>
                      </w:rPr>
                      <w:t>Rijnstraat 8</w:t>
                    </w:r>
                  </w:p>
                  <w:p w14:paraId="39D6E2BB" w14:textId="77777777" w:rsidR="00F97FF8" w:rsidRPr="0059764A" w:rsidRDefault="00F97FF8" w:rsidP="00F97FF8">
                    <w:pPr>
                      <w:rPr>
                        <w:sz w:val="13"/>
                        <w:szCs w:val="13"/>
                        <w:lang w:val="da-DK"/>
                      </w:rPr>
                    </w:pPr>
                    <w:r w:rsidRPr="0059764A">
                      <w:rPr>
                        <w:sz w:val="13"/>
                        <w:szCs w:val="13"/>
                        <w:lang w:val="da-DK"/>
                      </w:rPr>
                      <w:t>2515 XP Den Haag</w:t>
                    </w:r>
                  </w:p>
                  <w:p w14:paraId="03C4F62E" w14:textId="77777777" w:rsidR="00F97FF8" w:rsidRPr="0059764A" w:rsidRDefault="00F97FF8" w:rsidP="00F97FF8">
                    <w:pPr>
                      <w:rPr>
                        <w:sz w:val="13"/>
                        <w:szCs w:val="13"/>
                        <w:lang w:val="da-DK"/>
                      </w:rPr>
                    </w:pPr>
                    <w:proofErr w:type="spellStart"/>
                    <w:r w:rsidRPr="0059764A">
                      <w:rPr>
                        <w:sz w:val="13"/>
                        <w:szCs w:val="13"/>
                        <w:lang w:val="da-DK"/>
                      </w:rPr>
                      <w:t>Postbus</w:t>
                    </w:r>
                    <w:proofErr w:type="spellEnd"/>
                    <w:r w:rsidRPr="0059764A">
                      <w:rPr>
                        <w:sz w:val="13"/>
                        <w:szCs w:val="13"/>
                        <w:lang w:val="da-DK"/>
                      </w:rPr>
                      <w:t xml:space="preserve"> 20061</w:t>
                    </w:r>
                  </w:p>
                  <w:p w14:paraId="3624F8CF" w14:textId="77777777" w:rsidR="00F97FF8" w:rsidRPr="0059764A" w:rsidRDefault="00F97FF8" w:rsidP="00F97FF8">
                    <w:pPr>
                      <w:rPr>
                        <w:sz w:val="13"/>
                        <w:szCs w:val="13"/>
                        <w:lang w:val="da-DK"/>
                      </w:rPr>
                    </w:pPr>
                    <w:r w:rsidRPr="0059764A">
                      <w:rPr>
                        <w:sz w:val="13"/>
                        <w:szCs w:val="13"/>
                        <w:lang w:val="da-DK"/>
                      </w:rPr>
                      <w:t>Nederland</w:t>
                    </w:r>
                  </w:p>
                  <w:p w14:paraId="0A5253F2" w14:textId="77777777" w:rsidR="001E1426" w:rsidRDefault="001E1426">
                    <w:pPr>
                      <w:pStyle w:val="WitregelW1"/>
                    </w:pPr>
                  </w:p>
                  <w:p w14:paraId="0A5253F3" w14:textId="77777777" w:rsidR="001E1426" w:rsidRDefault="00370545">
                    <w:pPr>
                      <w:pStyle w:val="Referentiegegevens"/>
                    </w:pPr>
                    <w:r>
                      <w:t xml:space="preserve"> </w:t>
                    </w:r>
                  </w:p>
                  <w:p w14:paraId="0A5253F4" w14:textId="77777777" w:rsidR="001E1426" w:rsidRDefault="00370545">
                    <w:pPr>
                      <w:pStyle w:val="Referentiegegevens"/>
                    </w:pPr>
                    <w:r>
                      <w:t>www.minbuza.nl</w:t>
                    </w:r>
                  </w:p>
                  <w:p w14:paraId="0A5253F5" w14:textId="77777777" w:rsidR="001E1426" w:rsidRDefault="001E1426">
                    <w:pPr>
                      <w:pStyle w:val="WitregelW2"/>
                    </w:pPr>
                  </w:p>
                  <w:p w14:paraId="0A5253F6" w14:textId="77777777" w:rsidR="001E1426" w:rsidRDefault="00370545">
                    <w:pPr>
                      <w:pStyle w:val="Referentiegegevensbold"/>
                    </w:pPr>
                    <w:r>
                      <w:t>Onze referentie</w:t>
                    </w:r>
                  </w:p>
                  <w:p w14:paraId="0A5253F7" w14:textId="77777777" w:rsidR="001E1426" w:rsidRDefault="00370545">
                    <w:pPr>
                      <w:pStyle w:val="Referentiegegevens"/>
                    </w:pPr>
                    <w:r>
                      <w:t>BZ2629765</w:t>
                    </w:r>
                  </w:p>
                  <w:p w14:paraId="0A5253F8" w14:textId="77777777" w:rsidR="001E1426" w:rsidRDefault="001E1426">
                    <w:pPr>
                      <w:pStyle w:val="WitregelW1"/>
                    </w:pPr>
                  </w:p>
                  <w:p w14:paraId="0A5253FA" w14:textId="563B7B8F" w:rsidR="001E1426" w:rsidRDefault="001E1426">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A5253DF" wp14:editId="5BB88A5F">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A525408" w14:textId="77777777" w:rsidR="00370545" w:rsidRDefault="00370545"/>
                      </w:txbxContent>
                    </wps:txbx>
                    <wps:bodyPr vert="horz" wrap="square" lIns="0" tIns="0" rIns="0" bIns="0" anchor="t" anchorCtr="0"/>
                  </wps:wsp>
                </a:graphicData>
              </a:graphic>
            </wp:anchor>
          </w:drawing>
        </mc:Choice>
        <mc:Fallback>
          <w:pict>
            <v:shape w14:anchorId="0A5253DF"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A525408" w14:textId="77777777" w:rsidR="00370545" w:rsidRDefault="00370545"/>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A5253E1" wp14:editId="0A5253E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A52540A" w14:textId="77777777" w:rsidR="00370545" w:rsidRDefault="00370545"/>
                      </w:txbxContent>
                    </wps:txbx>
                    <wps:bodyPr vert="horz" wrap="square" lIns="0" tIns="0" rIns="0" bIns="0" anchor="t" anchorCtr="0"/>
                  </wps:wsp>
                </a:graphicData>
              </a:graphic>
            </wp:anchor>
          </w:drawing>
        </mc:Choice>
        <mc:Fallback>
          <w:pict>
            <v:shape w14:anchorId="0A5253E1"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A52540A" w14:textId="77777777" w:rsidR="00370545" w:rsidRDefault="00370545"/>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A5253E3" wp14:editId="0A5253E4">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5253FC" w14:textId="77777777" w:rsidR="001E1426" w:rsidRDefault="00370545">
                          <w:pPr>
                            <w:spacing w:line="240" w:lineRule="auto"/>
                          </w:pPr>
                          <w:r>
                            <w:rPr>
                              <w:noProof/>
                            </w:rPr>
                            <w:drawing>
                              <wp:inline distT="0" distB="0" distL="0" distR="0" wp14:anchorId="0A525402" wp14:editId="0A52540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5253E3"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A5253FC" w14:textId="77777777" w:rsidR="001E1426" w:rsidRDefault="00370545">
                    <w:pPr>
                      <w:spacing w:line="240" w:lineRule="auto"/>
                    </w:pPr>
                    <w:r>
                      <w:rPr>
                        <w:noProof/>
                      </w:rPr>
                      <w:drawing>
                        <wp:inline distT="0" distB="0" distL="0" distR="0" wp14:anchorId="0A525402" wp14:editId="0A52540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E0F588"/>
    <w:multiLevelType w:val="multilevel"/>
    <w:tmpl w:val="EB922A0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0A73202"/>
    <w:multiLevelType w:val="hybridMultilevel"/>
    <w:tmpl w:val="63541C0C"/>
    <w:lvl w:ilvl="0" w:tplc="711A760A">
      <w:start w:val="1"/>
      <w:numFmt w:val="decimal"/>
      <w:lvlText w:val="%1)"/>
      <w:lvlJc w:val="left"/>
      <w:pPr>
        <w:ind w:left="1020" w:hanging="360"/>
      </w:pPr>
    </w:lvl>
    <w:lvl w:ilvl="1" w:tplc="025CEC76">
      <w:start w:val="1"/>
      <w:numFmt w:val="decimal"/>
      <w:lvlText w:val="%2)"/>
      <w:lvlJc w:val="left"/>
      <w:pPr>
        <w:ind w:left="1020" w:hanging="360"/>
      </w:pPr>
    </w:lvl>
    <w:lvl w:ilvl="2" w:tplc="13E81DD2">
      <w:start w:val="1"/>
      <w:numFmt w:val="decimal"/>
      <w:lvlText w:val="%3)"/>
      <w:lvlJc w:val="left"/>
      <w:pPr>
        <w:ind w:left="1020" w:hanging="360"/>
      </w:pPr>
    </w:lvl>
    <w:lvl w:ilvl="3" w:tplc="50BA4B80">
      <w:start w:val="1"/>
      <w:numFmt w:val="decimal"/>
      <w:lvlText w:val="%4)"/>
      <w:lvlJc w:val="left"/>
      <w:pPr>
        <w:ind w:left="1020" w:hanging="360"/>
      </w:pPr>
    </w:lvl>
    <w:lvl w:ilvl="4" w:tplc="DBE8025A">
      <w:start w:val="1"/>
      <w:numFmt w:val="decimal"/>
      <w:lvlText w:val="%5)"/>
      <w:lvlJc w:val="left"/>
      <w:pPr>
        <w:ind w:left="1020" w:hanging="360"/>
      </w:pPr>
    </w:lvl>
    <w:lvl w:ilvl="5" w:tplc="A7BC6B6E">
      <w:start w:val="1"/>
      <w:numFmt w:val="decimal"/>
      <w:lvlText w:val="%6)"/>
      <w:lvlJc w:val="left"/>
      <w:pPr>
        <w:ind w:left="1020" w:hanging="360"/>
      </w:pPr>
    </w:lvl>
    <w:lvl w:ilvl="6" w:tplc="F7C4CE50">
      <w:start w:val="1"/>
      <w:numFmt w:val="decimal"/>
      <w:lvlText w:val="%7)"/>
      <w:lvlJc w:val="left"/>
      <w:pPr>
        <w:ind w:left="1020" w:hanging="360"/>
      </w:pPr>
    </w:lvl>
    <w:lvl w:ilvl="7" w:tplc="66AADEF2">
      <w:start w:val="1"/>
      <w:numFmt w:val="decimal"/>
      <w:lvlText w:val="%8)"/>
      <w:lvlJc w:val="left"/>
      <w:pPr>
        <w:ind w:left="1020" w:hanging="360"/>
      </w:pPr>
    </w:lvl>
    <w:lvl w:ilvl="8" w:tplc="78BE791E">
      <w:start w:val="1"/>
      <w:numFmt w:val="decimal"/>
      <w:lvlText w:val="%9)"/>
      <w:lvlJc w:val="left"/>
      <w:pPr>
        <w:ind w:left="1020" w:hanging="360"/>
      </w:pPr>
    </w:lvl>
  </w:abstractNum>
  <w:abstractNum w:abstractNumId="2" w15:restartNumberingAfterBreak="0">
    <w:nsid w:val="0BA4352C"/>
    <w:multiLevelType w:val="hybridMultilevel"/>
    <w:tmpl w:val="167ABF8C"/>
    <w:lvl w:ilvl="0" w:tplc="F07ECB96">
      <w:start w:val="1"/>
      <w:numFmt w:val="decimal"/>
      <w:lvlText w:val="%1)"/>
      <w:lvlJc w:val="left"/>
      <w:pPr>
        <w:ind w:left="1020" w:hanging="360"/>
      </w:pPr>
    </w:lvl>
    <w:lvl w:ilvl="1" w:tplc="F7AE80BE">
      <w:start w:val="1"/>
      <w:numFmt w:val="decimal"/>
      <w:lvlText w:val="%2)"/>
      <w:lvlJc w:val="left"/>
      <w:pPr>
        <w:ind w:left="1020" w:hanging="360"/>
      </w:pPr>
    </w:lvl>
    <w:lvl w:ilvl="2" w:tplc="8B48B7DC">
      <w:start w:val="1"/>
      <w:numFmt w:val="decimal"/>
      <w:lvlText w:val="%3)"/>
      <w:lvlJc w:val="left"/>
      <w:pPr>
        <w:ind w:left="1020" w:hanging="360"/>
      </w:pPr>
    </w:lvl>
    <w:lvl w:ilvl="3" w:tplc="1C00A0A4">
      <w:start w:val="1"/>
      <w:numFmt w:val="decimal"/>
      <w:lvlText w:val="%4)"/>
      <w:lvlJc w:val="left"/>
      <w:pPr>
        <w:ind w:left="1020" w:hanging="360"/>
      </w:pPr>
    </w:lvl>
    <w:lvl w:ilvl="4" w:tplc="5B704DF2">
      <w:start w:val="1"/>
      <w:numFmt w:val="decimal"/>
      <w:lvlText w:val="%5)"/>
      <w:lvlJc w:val="left"/>
      <w:pPr>
        <w:ind w:left="1020" w:hanging="360"/>
      </w:pPr>
    </w:lvl>
    <w:lvl w:ilvl="5" w:tplc="95AC70CC">
      <w:start w:val="1"/>
      <w:numFmt w:val="decimal"/>
      <w:lvlText w:val="%6)"/>
      <w:lvlJc w:val="left"/>
      <w:pPr>
        <w:ind w:left="1020" w:hanging="360"/>
      </w:pPr>
    </w:lvl>
    <w:lvl w:ilvl="6" w:tplc="9CB42F2C">
      <w:start w:val="1"/>
      <w:numFmt w:val="decimal"/>
      <w:lvlText w:val="%7)"/>
      <w:lvlJc w:val="left"/>
      <w:pPr>
        <w:ind w:left="1020" w:hanging="360"/>
      </w:pPr>
    </w:lvl>
    <w:lvl w:ilvl="7" w:tplc="0F98C14E">
      <w:start w:val="1"/>
      <w:numFmt w:val="decimal"/>
      <w:lvlText w:val="%8)"/>
      <w:lvlJc w:val="left"/>
      <w:pPr>
        <w:ind w:left="1020" w:hanging="360"/>
      </w:pPr>
    </w:lvl>
    <w:lvl w:ilvl="8" w:tplc="8526A47E">
      <w:start w:val="1"/>
      <w:numFmt w:val="decimal"/>
      <w:lvlText w:val="%9)"/>
      <w:lvlJc w:val="left"/>
      <w:pPr>
        <w:ind w:left="1020" w:hanging="360"/>
      </w:pPr>
    </w:lvl>
  </w:abstractNum>
  <w:abstractNum w:abstractNumId="3" w15:restartNumberingAfterBreak="0">
    <w:nsid w:val="10180E28"/>
    <w:multiLevelType w:val="multilevel"/>
    <w:tmpl w:val="14652C0B"/>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1DD493DC"/>
    <w:multiLevelType w:val="multilevel"/>
    <w:tmpl w:val="BE52076B"/>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FE42A6"/>
    <w:multiLevelType w:val="hybridMultilevel"/>
    <w:tmpl w:val="16261F38"/>
    <w:lvl w:ilvl="0" w:tplc="5992AC3C">
      <w:numFmt w:val="bullet"/>
      <w:lvlText w:val=""/>
      <w:lvlJc w:val="left"/>
      <w:pPr>
        <w:ind w:left="720" w:hanging="360"/>
      </w:pPr>
      <w:rPr>
        <w:rFonts w:ascii="Symbol" w:eastAsia="Times New Roman" w:hAnsi="Symbol" w:cs="Apto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32AF332B"/>
    <w:multiLevelType w:val="multilevel"/>
    <w:tmpl w:val="D0CAABD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3813FAE8"/>
    <w:multiLevelType w:val="multilevel"/>
    <w:tmpl w:val="A04C53B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3B7073C7"/>
    <w:multiLevelType w:val="hybridMultilevel"/>
    <w:tmpl w:val="C2FA7C54"/>
    <w:lvl w:ilvl="0" w:tplc="2482049A">
      <w:start w:val="1"/>
      <w:numFmt w:val="decimal"/>
      <w:lvlText w:val="%1)"/>
      <w:lvlJc w:val="left"/>
      <w:pPr>
        <w:ind w:left="1020" w:hanging="360"/>
      </w:pPr>
    </w:lvl>
    <w:lvl w:ilvl="1" w:tplc="0A7451DE">
      <w:start w:val="1"/>
      <w:numFmt w:val="decimal"/>
      <w:lvlText w:val="%2)"/>
      <w:lvlJc w:val="left"/>
      <w:pPr>
        <w:ind w:left="1020" w:hanging="360"/>
      </w:pPr>
    </w:lvl>
    <w:lvl w:ilvl="2" w:tplc="1F267B32">
      <w:start w:val="1"/>
      <w:numFmt w:val="decimal"/>
      <w:lvlText w:val="%3)"/>
      <w:lvlJc w:val="left"/>
      <w:pPr>
        <w:ind w:left="1020" w:hanging="360"/>
      </w:pPr>
    </w:lvl>
    <w:lvl w:ilvl="3" w:tplc="963E5C94">
      <w:start w:val="1"/>
      <w:numFmt w:val="decimal"/>
      <w:lvlText w:val="%4)"/>
      <w:lvlJc w:val="left"/>
      <w:pPr>
        <w:ind w:left="1020" w:hanging="360"/>
      </w:pPr>
    </w:lvl>
    <w:lvl w:ilvl="4" w:tplc="FB603666">
      <w:start w:val="1"/>
      <w:numFmt w:val="decimal"/>
      <w:lvlText w:val="%5)"/>
      <w:lvlJc w:val="left"/>
      <w:pPr>
        <w:ind w:left="1020" w:hanging="360"/>
      </w:pPr>
    </w:lvl>
    <w:lvl w:ilvl="5" w:tplc="5B5E77AC">
      <w:start w:val="1"/>
      <w:numFmt w:val="decimal"/>
      <w:lvlText w:val="%6)"/>
      <w:lvlJc w:val="left"/>
      <w:pPr>
        <w:ind w:left="1020" w:hanging="360"/>
      </w:pPr>
    </w:lvl>
    <w:lvl w:ilvl="6" w:tplc="A0E4DCD4">
      <w:start w:val="1"/>
      <w:numFmt w:val="decimal"/>
      <w:lvlText w:val="%7)"/>
      <w:lvlJc w:val="left"/>
      <w:pPr>
        <w:ind w:left="1020" w:hanging="360"/>
      </w:pPr>
    </w:lvl>
    <w:lvl w:ilvl="7" w:tplc="3BDCD29C">
      <w:start w:val="1"/>
      <w:numFmt w:val="decimal"/>
      <w:lvlText w:val="%8)"/>
      <w:lvlJc w:val="left"/>
      <w:pPr>
        <w:ind w:left="1020" w:hanging="360"/>
      </w:pPr>
    </w:lvl>
    <w:lvl w:ilvl="8" w:tplc="56A4499C">
      <w:start w:val="1"/>
      <w:numFmt w:val="decimal"/>
      <w:lvlText w:val="%9)"/>
      <w:lvlJc w:val="left"/>
      <w:pPr>
        <w:ind w:left="1020" w:hanging="360"/>
      </w:pPr>
    </w:lvl>
  </w:abstractNum>
  <w:abstractNum w:abstractNumId="9" w15:restartNumberingAfterBreak="0">
    <w:nsid w:val="53842C63"/>
    <w:multiLevelType w:val="hybridMultilevel"/>
    <w:tmpl w:val="15CC7738"/>
    <w:lvl w:ilvl="0" w:tplc="09E28720">
      <w:start w:val="1"/>
      <w:numFmt w:val="decimal"/>
      <w:lvlText w:val="%1)"/>
      <w:lvlJc w:val="left"/>
      <w:pPr>
        <w:ind w:left="1020" w:hanging="360"/>
      </w:pPr>
    </w:lvl>
    <w:lvl w:ilvl="1" w:tplc="425E76A2">
      <w:start w:val="1"/>
      <w:numFmt w:val="decimal"/>
      <w:lvlText w:val="%2)"/>
      <w:lvlJc w:val="left"/>
      <w:pPr>
        <w:ind w:left="1020" w:hanging="360"/>
      </w:pPr>
    </w:lvl>
    <w:lvl w:ilvl="2" w:tplc="8842C58E">
      <w:start w:val="1"/>
      <w:numFmt w:val="decimal"/>
      <w:lvlText w:val="%3)"/>
      <w:lvlJc w:val="left"/>
      <w:pPr>
        <w:ind w:left="1020" w:hanging="360"/>
      </w:pPr>
    </w:lvl>
    <w:lvl w:ilvl="3" w:tplc="8572CDFA">
      <w:start w:val="1"/>
      <w:numFmt w:val="decimal"/>
      <w:lvlText w:val="%4)"/>
      <w:lvlJc w:val="left"/>
      <w:pPr>
        <w:ind w:left="1020" w:hanging="360"/>
      </w:pPr>
    </w:lvl>
    <w:lvl w:ilvl="4" w:tplc="6A9C4BE4">
      <w:start w:val="1"/>
      <w:numFmt w:val="decimal"/>
      <w:lvlText w:val="%5)"/>
      <w:lvlJc w:val="left"/>
      <w:pPr>
        <w:ind w:left="1020" w:hanging="360"/>
      </w:pPr>
    </w:lvl>
    <w:lvl w:ilvl="5" w:tplc="C736F23A">
      <w:start w:val="1"/>
      <w:numFmt w:val="decimal"/>
      <w:lvlText w:val="%6)"/>
      <w:lvlJc w:val="left"/>
      <w:pPr>
        <w:ind w:left="1020" w:hanging="360"/>
      </w:pPr>
    </w:lvl>
    <w:lvl w:ilvl="6" w:tplc="2154EC9E">
      <w:start w:val="1"/>
      <w:numFmt w:val="decimal"/>
      <w:lvlText w:val="%7)"/>
      <w:lvlJc w:val="left"/>
      <w:pPr>
        <w:ind w:left="1020" w:hanging="360"/>
      </w:pPr>
    </w:lvl>
    <w:lvl w:ilvl="7" w:tplc="1B4ED1B8">
      <w:start w:val="1"/>
      <w:numFmt w:val="decimal"/>
      <w:lvlText w:val="%8)"/>
      <w:lvlJc w:val="left"/>
      <w:pPr>
        <w:ind w:left="1020" w:hanging="360"/>
      </w:pPr>
    </w:lvl>
    <w:lvl w:ilvl="8" w:tplc="3C88AEDA">
      <w:start w:val="1"/>
      <w:numFmt w:val="decimal"/>
      <w:lvlText w:val="%9)"/>
      <w:lvlJc w:val="left"/>
      <w:pPr>
        <w:ind w:left="1020" w:hanging="360"/>
      </w:pPr>
    </w:lvl>
  </w:abstractNum>
  <w:abstractNum w:abstractNumId="10" w15:restartNumberingAfterBreak="0">
    <w:nsid w:val="545E5C10"/>
    <w:multiLevelType w:val="hybridMultilevel"/>
    <w:tmpl w:val="2EB2C0F6"/>
    <w:lvl w:ilvl="0" w:tplc="5992AC3C">
      <w:numFmt w:val="bullet"/>
      <w:lvlText w:val=""/>
      <w:lvlJc w:val="left"/>
      <w:pPr>
        <w:ind w:left="720" w:hanging="360"/>
      </w:pPr>
      <w:rPr>
        <w:rFonts w:ascii="Symbol" w:eastAsia="Times New Roman" w:hAnsi="Symbol" w:cs="Apto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60EF7EB4"/>
    <w:multiLevelType w:val="hybridMultilevel"/>
    <w:tmpl w:val="3A121E5E"/>
    <w:lvl w:ilvl="0" w:tplc="3F0866C2">
      <w:start w:val="1"/>
      <w:numFmt w:val="decimal"/>
      <w:lvlText w:val="%1)"/>
      <w:lvlJc w:val="left"/>
      <w:pPr>
        <w:ind w:left="1020" w:hanging="360"/>
      </w:pPr>
    </w:lvl>
    <w:lvl w:ilvl="1" w:tplc="9C36458C">
      <w:start w:val="1"/>
      <w:numFmt w:val="decimal"/>
      <w:lvlText w:val="%2)"/>
      <w:lvlJc w:val="left"/>
      <w:pPr>
        <w:ind w:left="1020" w:hanging="360"/>
      </w:pPr>
    </w:lvl>
    <w:lvl w:ilvl="2" w:tplc="673A8CC6">
      <w:start w:val="1"/>
      <w:numFmt w:val="decimal"/>
      <w:lvlText w:val="%3)"/>
      <w:lvlJc w:val="left"/>
      <w:pPr>
        <w:ind w:left="1020" w:hanging="360"/>
      </w:pPr>
    </w:lvl>
    <w:lvl w:ilvl="3" w:tplc="2B1C3E5E">
      <w:start w:val="1"/>
      <w:numFmt w:val="decimal"/>
      <w:lvlText w:val="%4)"/>
      <w:lvlJc w:val="left"/>
      <w:pPr>
        <w:ind w:left="1020" w:hanging="360"/>
      </w:pPr>
    </w:lvl>
    <w:lvl w:ilvl="4" w:tplc="177073AC">
      <w:start w:val="1"/>
      <w:numFmt w:val="decimal"/>
      <w:lvlText w:val="%5)"/>
      <w:lvlJc w:val="left"/>
      <w:pPr>
        <w:ind w:left="1020" w:hanging="360"/>
      </w:pPr>
    </w:lvl>
    <w:lvl w:ilvl="5" w:tplc="22CA221A">
      <w:start w:val="1"/>
      <w:numFmt w:val="decimal"/>
      <w:lvlText w:val="%6)"/>
      <w:lvlJc w:val="left"/>
      <w:pPr>
        <w:ind w:left="1020" w:hanging="360"/>
      </w:pPr>
    </w:lvl>
    <w:lvl w:ilvl="6" w:tplc="8B70B9F4">
      <w:start w:val="1"/>
      <w:numFmt w:val="decimal"/>
      <w:lvlText w:val="%7)"/>
      <w:lvlJc w:val="left"/>
      <w:pPr>
        <w:ind w:left="1020" w:hanging="360"/>
      </w:pPr>
    </w:lvl>
    <w:lvl w:ilvl="7" w:tplc="539E56EA">
      <w:start w:val="1"/>
      <w:numFmt w:val="decimal"/>
      <w:lvlText w:val="%8)"/>
      <w:lvlJc w:val="left"/>
      <w:pPr>
        <w:ind w:left="1020" w:hanging="360"/>
      </w:pPr>
    </w:lvl>
    <w:lvl w:ilvl="8" w:tplc="C072709C">
      <w:start w:val="1"/>
      <w:numFmt w:val="decimal"/>
      <w:lvlText w:val="%9)"/>
      <w:lvlJc w:val="left"/>
      <w:pPr>
        <w:ind w:left="1020" w:hanging="360"/>
      </w:pPr>
    </w:lvl>
  </w:abstractNum>
  <w:abstractNum w:abstractNumId="12" w15:restartNumberingAfterBreak="0">
    <w:nsid w:val="71760501"/>
    <w:multiLevelType w:val="hybridMultilevel"/>
    <w:tmpl w:val="67A6C018"/>
    <w:lvl w:ilvl="0" w:tplc="EFD67484">
      <w:start w:val="1"/>
      <w:numFmt w:val="decimal"/>
      <w:lvlText w:val="%1)"/>
      <w:lvlJc w:val="left"/>
      <w:pPr>
        <w:ind w:left="1020" w:hanging="360"/>
      </w:pPr>
    </w:lvl>
    <w:lvl w:ilvl="1" w:tplc="903253BC">
      <w:start w:val="1"/>
      <w:numFmt w:val="decimal"/>
      <w:lvlText w:val="%2)"/>
      <w:lvlJc w:val="left"/>
      <w:pPr>
        <w:ind w:left="1020" w:hanging="360"/>
      </w:pPr>
    </w:lvl>
    <w:lvl w:ilvl="2" w:tplc="C2689CA6">
      <w:start w:val="1"/>
      <w:numFmt w:val="decimal"/>
      <w:lvlText w:val="%3)"/>
      <w:lvlJc w:val="left"/>
      <w:pPr>
        <w:ind w:left="1020" w:hanging="360"/>
      </w:pPr>
    </w:lvl>
    <w:lvl w:ilvl="3" w:tplc="018E0D92">
      <w:start w:val="1"/>
      <w:numFmt w:val="decimal"/>
      <w:lvlText w:val="%4)"/>
      <w:lvlJc w:val="left"/>
      <w:pPr>
        <w:ind w:left="1020" w:hanging="360"/>
      </w:pPr>
    </w:lvl>
    <w:lvl w:ilvl="4" w:tplc="0988DF84">
      <w:start w:val="1"/>
      <w:numFmt w:val="decimal"/>
      <w:lvlText w:val="%5)"/>
      <w:lvlJc w:val="left"/>
      <w:pPr>
        <w:ind w:left="1020" w:hanging="360"/>
      </w:pPr>
    </w:lvl>
    <w:lvl w:ilvl="5" w:tplc="81D0A9BA">
      <w:start w:val="1"/>
      <w:numFmt w:val="decimal"/>
      <w:lvlText w:val="%6)"/>
      <w:lvlJc w:val="left"/>
      <w:pPr>
        <w:ind w:left="1020" w:hanging="360"/>
      </w:pPr>
    </w:lvl>
    <w:lvl w:ilvl="6" w:tplc="D2023508">
      <w:start w:val="1"/>
      <w:numFmt w:val="decimal"/>
      <w:lvlText w:val="%7)"/>
      <w:lvlJc w:val="left"/>
      <w:pPr>
        <w:ind w:left="1020" w:hanging="360"/>
      </w:pPr>
    </w:lvl>
    <w:lvl w:ilvl="7" w:tplc="E2EE6E28">
      <w:start w:val="1"/>
      <w:numFmt w:val="decimal"/>
      <w:lvlText w:val="%8)"/>
      <w:lvlJc w:val="left"/>
      <w:pPr>
        <w:ind w:left="1020" w:hanging="360"/>
      </w:pPr>
    </w:lvl>
    <w:lvl w:ilvl="8" w:tplc="53B84544">
      <w:start w:val="1"/>
      <w:numFmt w:val="decimal"/>
      <w:lvlText w:val="%9)"/>
      <w:lvlJc w:val="left"/>
      <w:pPr>
        <w:ind w:left="1020" w:hanging="360"/>
      </w:pPr>
    </w:lvl>
  </w:abstractNum>
  <w:num w:numId="1" w16cid:durableId="1195390205">
    <w:abstractNumId w:val="3"/>
  </w:num>
  <w:num w:numId="2" w16cid:durableId="1193376740">
    <w:abstractNumId w:val="7"/>
  </w:num>
  <w:num w:numId="3" w16cid:durableId="1624920692">
    <w:abstractNumId w:val="0"/>
  </w:num>
  <w:num w:numId="4" w16cid:durableId="2126271810">
    <w:abstractNumId w:val="6"/>
  </w:num>
  <w:num w:numId="5" w16cid:durableId="1856648941">
    <w:abstractNumId w:val="4"/>
  </w:num>
  <w:num w:numId="6" w16cid:durableId="1256016293">
    <w:abstractNumId w:val="11"/>
  </w:num>
  <w:num w:numId="7" w16cid:durableId="2080397976">
    <w:abstractNumId w:val="2"/>
  </w:num>
  <w:num w:numId="8" w16cid:durableId="1284380500">
    <w:abstractNumId w:val="12"/>
  </w:num>
  <w:num w:numId="9" w16cid:durableId="981620113">
    <w:abstractNumId w:val="8"/>
  </w:num>
  <w:num w:numId="10" w16cid:durableId="2140144736">
    <w:abstractNumId w:val="1"/>
  </w:num>
  <w:num w:numId="11" w16cid:durableId="1045910581">
    <w:abstractNumId w:val="9"/>
  </w:num>
  <w:num w:numId="12" w16cid:durableId="1248880076">
    <w:abstractNumId w:val="5"/>
  </w:num>
  <w:num w:numId="13" w16cid:durableId="13373481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426"/>
    <w:rsid w:val="00002285"/>
    <w:rsid w:val="00005E36"/>
    <w:rsid w:val="00020493"/>
    <w:rsid w:val="00076453"/>
    <w:rsid w:val="00085A45"/>
    <w:rsid w:val="000D3E9B"/>
    <w:rsid w:val="000F7E31"/>
    <w:rsid w:val="00103073"/>
    <w:rsid w:val="0013621F"/>
    <w:rsid w:val="0014115A"/>
    <w:rsid w:val="00143829"/>
    <w:rsid w:val="001524F3"/>
    <w:rsid w:val="00190A18"/>
    <w:rsid w:val="00190FF6"/>
    <w:rsid w:val="00196586"/>
    <w:rsid w:val="001B21E4"/>
    <w:rsid w:val="001B47CA"/>
    <w:rsid w:val="001B581E"/>
    <w:rsid w:val="001C4ADC"/>
    <w:rsid w:val="001E1426"/>
    <w:rsid w:val="001E3ED6"/>
    <w:rsid w:val="001F2512"/>
    <w:rsid w:val="0022044A"/>
    <w:rsid w:val="00223E5A"/>
    <w:rsid w:val="002418CA"/>
    <w:rsid w:val="00250E9D"/>
    <w:rsid w:val="002E4E09"/>
    <w:rsid w:val="002F2B5D"/>
    <w:rsid w:val="003206A4"/>
    <w:rsid w:val="00351908"/>
    <w:rsid w:val="00362E52"/>
    <w:rsid w:val="00363B86"/>
    <w:rsid w:val="00370545"/>
    <w:rsid w:val="003777E5"/>
    <w:rsid w:val="00385B23"/>
    <w:rsid w:val="00391A20"/>
    <w:rsid w:val="003A1160"/>
    <w:rsid w:val="003A7257"/>
    <w:rsid w:val="003C3039"/>
    <w:rsid w:val="003D0B35"/>
    <w:rsid w:val="00401212"/>
    <w:rsid w:val="00403BF3"/>
    <w:rsid w:val="00404371"/>
    <w:rsid w:val="00440150"/>
    <w:rsid w:val="004506C6"/>
    <w:rsid w:val="0045651A"/>
    <w:rsid w:val="004635FB"/>
    <w:rsid w:val="004A06BB"/>
    <w:rsid w:val="004B68B4"/>
    <w:rsid w:val="004B6DA5"/>
    <w:rsid w:val="004C1F78"/>
    <w:rsid w:val="004D1508"/>
    <w:rsid w:val="00531314"/>
    <w:rsid w:val="00563319"/>
    <w:rsid w:val="00572BE8"/>
    <w:rsid w:val="005761AF"/>
    <w:rsid w:val="0057744D"/>
    <w:rsid w:val="005A1CBD"/>
    <w:rsid w:val="005A4E00"/>
    <w:rsid w:val="005B0A68"/>
    <w:rsid w:val="005B481D"/>
    <w:rsid w:val="005C0F03"/>
    <w:rsid w:val="005D68AB"/>
    <w:rsid w:val="005E5AB3"/>
    <w:rsid w:val="005F0DF0"/>
    <w:rsid w:val="0061284A"/>
    <w:rsid w:val="00620FC2"/>
    <w:rsid w:val="006244C0"/>
    <w:rsid w:val="00634B44"/>
    <w:rsid w:val="00637FD2"/>
    <w:rsid w:val="006520FB"/>
    <w:rsid w:val="00686534"/>
    <w:rsid w:val="00692E43"/>
    <w:rsid w:val="00696FE0"/>
    <w:rsid w:val="00697B13"/>
    <w:rsid w:val="006A228E"/>
    <w:rsid w:val="006A339A"/>
    <w:rsid w:val="006C11CD"/>
    <w:rsid w:val="006C246F"/>
    <w:rsid w:val="006D431D"/>
    <w:rsid w:val="00710F24"/>
    <w:rsid w:val="00713C70"/>
    <w:rsid w:val="007236DC"/>
    <w:rsid w:val="007A70F1"/>
    <w:rsid w:val="007C0FC8"/>
    <w:rsid w:val="007D0631"/>
    <w:rsid w:val="007E4883"/>
    <w:rsid w:val="007F0D99"/>
    <w:rsid w:val="00806A30"/>
    <w:rsid w:val="0085763A"/>
    <w:rsid w:val="008A151F"/>
    <w:rsid w:val="008C259C"/>
    <w:rsid w:val="008C74C1"/>
    <w:rsid w:val="008D6132"/>
    <w:rsid w:val="00900F8B"/>
    <w:rsid w:val="0091445C"/>
    <w:rsid w:val="00926135"/>
    <w:rsid w:val="00930D1E"/>
    <w:rsid w:val="00934B59"/>
    <w:rsid w:val="00944C8F"/>
    <w:rsid w:val="00953375"/>
    <w:rsid w:val="00956084"/>
    <w:rsid w:val="009A19FC"/>
    <w:rsid w:val="009A1D66"/>
    <w:rsid w:val="00A027DE"/>
    <w:rsid w:val="00A05AEE"/>
    <w:rsid w:val="00A05ECD"/>
    <w:rsid w:val="00A1257A"/>
    <w:rsid w:val="00A1434E"/>
    <w:rsid w:val="00A24874"/>
    <w:rsid w:val="00A76B28"/>
    <w:rsid w:val="00AB27A7"/>
    <w:rsid w:val="00AC3D7F"/>
    <w:rsid w:val="00AC541C"/>
    <w:rsid w:val="00B362B2"/>
    <w:rsid w:val="00B940EF"/>
    <w:rsid w:val="00B9624A"/>
    <w:rsid w:val="00BD4F53"/>
    <w:rsid w:val="00BD59F5"/>
    <w:rsid w:val="00BF711F"/>
    <w:rsid w:val="00C13DCC"/>
    <w:rsid w:val="00C52B28"/>
    <w:rsid w:val="00C54FE8"/>
    <w:rsid w:val="00C620CD"/>
    <w:rsid w:val="00C902AD"/>
    <w:rsid w:val="00C97B53"/>
    <w:rsid w:val="00CA0276"/>
    <w:rsid w:val="00CA57A9"/>
    <w:rsid w:val="00CE1B0A"/>
    <w:rsid w:val="00CF7093"/>
    <w:rsid w:val="00D21309"/>
    <w:rsid w:val="00D3430D"/>
    <w:rsid w:val="00D447ED"/>
    <w:rsid w:val="00D652B8"/>
    <w:rsid w:val="00D70A60"/>
    <w:rsid w:val="00D76C02"/>
    <w:rsid w:val="00D8441F"/>
    <w:rsid w:val="00D86B79"/>
    <w:rsid w:val="00D9605B"/>
    <w:rsid w:val="00DA4947"/>
    <w:rsid w:val="00DD5C31"/>
    <w:rsid w:val="00DE0072"/>
    <w:rsid w:val="00E017C2"/>
    <w:rsid w:val="00E03A55"/>
    <w:rsid w:val="00E04674"/>
    <w:rsid w:val="00E07F6A"/>
    <w:rsid w:val="00E2652D"/>
    <w:rsid w:val="00EA413E"/>
    <w:rsid w:val="00EB6EC9"/>
    <w:rsid w:val="00EC0FE8"/>
    <w:rsid w:val="00EF06E1"/>
    <w:rsid w:val="00EF4C3E"/>
    <w:rsid w:val="00F0552D"/>
    <w:rsid w:val="00F64ECF"/>
    <w:rsid w:val="00F74629"/>
    <w:rsid w:val="00F75674"/>
    <w:rsid w:val="00F84678"/>
    <w:rsid w:val="00F97F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253C3"/>
  <w15:docId w15:val="{B605A8AC-9AFD-4A1D-9FF4-CBE7575EE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370545"/>
    <w:pPr>
      <w:tabs>
        <w:tab w:val="center" w:pos="4513"/>
        <w:tab w:val="right" w:pos="9026"/>
      </w:tabs>
      <w:spacing w:line="240" w:lineRule="auto"/>
    </w:pPr>
  </w:style>
  <w:style w:type="character" w:customStyle="1" w:styleId="HeaderChar">
    <w:name w:val="Header Char"/>
    <w:basedOn w:val="DefaultParagraphFont"/>
    <w:link w:val="Header"/>
    <w:uiPriority w:val="99"/>
    <w:rsid w:val="00370545"/>
    <w:rPr>
      <w:rFonts w:ascii="Verdana" w:hAnsi="Verdana"/>
      <w:color w:val="000000"/>
      <w:sz w:val="18"/>
      <w:szCs w:val="18"/>
    </w:rPr>
  </w:style>
  <w:style w:type="paragraph" w:styleId="Footer">
    <w:name w:val="footer"/>
    <w:basedOn w:val="Normal"/>
    <w:link w:val="FooterChar"/>
    <w:uiPriority w:val="99"/>
    <w:unhideWhenUsed/>
    <w:rsid w:val="00370545"/>
    <w:pPr>
      <w:tabs>
        <w:tab w:val="center" w:pos="4513"/>
        <w:tab w:val="right" w:pos="9026"/>
      </w:tabs>
      <w:spacing w:line="240" w:lineRule="auto"/>
    </w:pPr>
  </w:style>
  <w:style w:type="character" w:customStyle="1" w:styleId="FooterChar">
    <w:name w:val="Footer Char"/>
    <w:basedOn w:val="DefaultParagraphFont"/>
    <w:link w:val="Footer"/>
    <w:uiPriority w:val="99"/>
    <w:rsid w:val="00370545"/>
    <w:rPr>
      <w:rFonts w:ascii="Verdana" w:hAnsi="Verdana"/>
      <w:color w:val="000000"/>
      <w:sz w:val="18"/>
      <w:szCs w:val="18"/>
    </w:rPr>
  </w:style>
  <w:style w:type="paragraph" w:styleId="FootnoteText">
    <w:name w:val="footnote text"/>
    <w:basedOn w:val="Normal"/>
    <w:link w:val="FootnoteTextChar"/>
    <w:uiPriority w:val="99"/>
    <w:semiHidden/>
    <w:unhideWhenUsed/>
    <w:rsid w:val="00370545"/>
    <w:pPr>
      <w:spacing w:line="240" w:lineRule="auto"/>
    </w:pPr>
    <w:rPr>
      <w:sz w:val="20"/>
      <w:szCs w:val="20"/>
    </w:rPr>
  </w:style>
  <w:style w:type="character" w:customStyle="1" w:styleId="FootnoteTextChar">
    <w:name w:val="Footnote Text Char"/>
    <w:basedOn w:val="DefaultParagraphFont"/>
    <w:link w:val="FootnoteText"/>
    <w:uiPriority w:val="99"/>
    <w:semiHidden/>
    <w:rsid w:val="00370545"/>
    <w:rPr>
      <w:rFonts w:ascii="Verdana" w:hAnsi="Verdana"/>
      <w:color w:val="000000"/>
    </w:rPr>
  </w:style>
  <w:style w:type="table" w:customStyle="1" w:styleId="TableGrid1">
    <w:name w:val="Table Grid1"/>
    <w:basedOn w:val="TableNormal"/>
    <w:next w:val="TableGrid"/>
    <w:rsid w:val="00370545"/>
    <w:pPr>
      <w:autoSpaceDN/>
      <w:textAlignment w:val="auto"/>
    </w:pPr>
    <w:rPr>
      <w:rFonts w:ascii="Aptos" w:eastAsia="Aptos" w:hAnsi="Apto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370545"/>
    <w:rPr>
      <w:vertAlign w:val="superscript"/>
    </w:rPr>
  </w:style>
  <w:style w:type="table" w:styleId="TableGrid">
    <w:name w:val="Table Grid"/>
    <w:basedOn w:val="TableNormal"/>
    <w:uiPriority w:val="39"/>
    <w:rsid w:val="00370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3319"/>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9A1D66"/>
    <w:rPr>
      <w:sz w:val="16"/>
      <w:szCs w:val="16"/>
    </w:rPr>
  </w:style>
  <w:style w:type="paragraph" w:styleId="CommentText">
    <w:name w:val="annotation text"/>
    <w:basedOn w:val="Normal"/>
    <w:link w:val="CommentTextChar"/>
    <w:uiPriority w:val="99"/>
    <w:unhideWhenUsed/>
    <w:rsid w:val="009A1D66"/>
    <w:pPr>
      <w:spacing w:line="240" w:lineRule="auto"/>
    </w:pPr>
    <w:rPr>
      <w:sz w:val="20"/>
      <w:szCs w:val="20"/>
    </w:rPr>
  </w:style>
  <w:style w:type="character" w:customStyle="1" w:styleId="CommentTextChar">
    <w:name w:val="Comment Text Char"/>
    <w:basedOn w:val="DefaultParagraphFont"/>
    <w:link w:val="CommentText"/>
    <w:uiPriority w:val="99"/>
    <w:rsid w:val="009A1D6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A1D66"/>
    <w:rPr>
      <w:b/>
      <w:bCs/>
    </w:rPr>
  </w:style>
  <w:style w:type="character" w:customStyle="1" w:styleId="CommentSubjectChar">
    <w:name w:val="Comment Subject Char"/>
    <w:basedOn w:val="CommentTextChar"/>
    <w:link w:val="CommentSubject"/>
    <w:uiPriority w:val="99"/>
    <w:semiHidden/>
    <w:rsid w:val="009A1D66"/>
    <w:rPr>
      <w:rFonts w:ascii="Verdana" w:hAnsi="Verdana"/>
      <w:b/>
      <w:bCs/>
      <w:color w:val="000000"/>
    </w:rPr>
  </w:style>
  <w:style w:type="character" w:styleId="UnresolvedMention">
    <w:name w:val="Unresolved Mention"/>
    <w:basedOn w:val="DefaultParagraphFont"/>
    <w:uiPriority w:val="99"/>
    <w:semiHidden/>
    <w:unhideWhenUsed/>
    <w:rsid w:val="00A24874"/>
    <w:rPr>
      <w:color w:val="605E5C"/>
      <w:shd w:val="clear" w:color="auto" w:fill="E1DFDD"/>
    </w:rPr>
  </w:style>
  <w:style w:type="character" w:styleId="FollowedHyperlink">
    <w:name w:val="FollowedHyperlink"/>
    <w:basedOn w:val="DefaultParagraphFont"/>
    <w:uiPriority w:val="99"/>
    <w:semiHidden/>
    <w:unhideWhenUsed/>
    <w:rsid w:val="00692E4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66021">
      <w:bodyDiv w:val="1"/>
      <w:marLeft w:val="0"/>
      <w:marRight w:val="0"/>
      <w:marTop w:val="0"/>
      <w:marBottom w:val="0"/>
      <w:divBdr>
        <w:top w:val="none" w:sz="0" w:space="0" w:color="auto"/>
        <w:left w:val="none" w:sz="0" w:space="0" w:color="auto"/>
        <w:bottom w:val="none" w:sz="0" w:space="0" w:color="auto"/>
        <w:right w:val="none" w:sz="0" w:space="0" w:color="auto"/>
      </w:divBdr>
    </w:div>
    <w:div w:id="1279795375">
      <w:bodyDiv w:val="1"/>
      <w:marLeft w:val="0"/>
      <w:marRight w:val="0"/>
      <w:marTop w:val="0"/>
      <w:marBottom w:val="0"/>
      <w:divBdr>
        <w:top w:val="none" w:sz="0" w:space="0" w:color="auto"/>
        <w:left w:val="none" w:sz="0" w:space="0" w:color="auto"/>
        <w:bottom w:val="none" w:sz="0" w:space="0" w:color="auto"/>
        <w:right w:val="none" w:sz="0" w:space="0" w:color="auto"/>
      </w:divBdr>
    </w:div>
    <w:div w:id="1466002061">
      <w:bodyDiv w:val="1"/>
      <w:marLeft w:val="0"/>
      <w:marRight w:val="0"/>
      <w:marTop w:val="0"/>
      <w:marBottom w:val="0"/>
      <w:divBdr>
        <w:top w:val="none" w:sz="0" w:space="0" w:color="auto"/>
        <w:left w:val="none" w:sz="0" w:space="0" w:color="auto"/>
        <w:bottom w:val="none" w:sz="0" w:space="0" w:color="auto"/>
        <w:right w:val="none" w:sz="0" w:space="0" w:color="auto"/>
      </w:divBdr>
    </w:div>
    <w:div w:id="1902135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glossaryDocument" Target="glossary/document.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webSetting" Target="webSettings0.xml" Id="rId24"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google.com/url?sa=t&amp;rct=j&amp;q=&amp;esrc=s&amp;source=web&amp;cd=&amp;ved=2ahUKEwiqmZaQr6SVAxXb_7sIHS9GK8kQFnoECBcQAQ&amp;url=https%3A%2F%2Fwww.icc-cpi.int%2Fsites%2Fdefault%2Ffiles%2F2022-05%2FICC-AI-2022-003%2520%2528ENG%2529%2520-%2520ADDRESSING%2520DISCRIMINATION%252C%2520HARASSMENT%252C%2520INCLUDING%2520SEXUAL%2520HARASSMENT%252C%2520AND%2520ABUSE%2520OF%2520AUTHORITY.pdf&amp;usg=AOvVaw2t5tmajLinXEctf8HgKfit&amp;opi=89978449" TargetMode="External"/><Relationship Id="rId2" Type="http://schemas.openxmlformats.org/officeDocument/2006/relationships/hyperlink" Target="https://www.icc-cpi.int/news/decision-bureau-concerning-outcome-disciplinary-proceedings-involving-prosecutor-international" TargetMode="External"/><Relationship Id="rId1" Type="http://schemas.openxmlformats.org/officeDocument/2006/relationships/hyperlink" Target="https://asp.icc-cpi.int/bureau" TargetMode="External"/><Relationship Id="rId4" Type="http://schemas.openxmlformats.org/officeDocument/2006/relationships/hyperlink" Target="https://www.icc-cpi.int/publications/core-legal-texts/code-conduct-office-prosecuto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8663FC6B0F44CEB0E7018BD6D520A8"/>
        <w:category>
          <w:name w:val="General"/>
          <w:gallery w:val="placeholder"/>
        </w:category>
        <w:types>
          <w:type w:val="bbPlcHdr"/>
        </w:types>
        <w:behaviors>
          <w:behavior w:val="content"/>
        </w:behaviors>
        <w:guid w:val="{4C43C06A-07A9-474D-BE52-A7E6EE5A4715}"/>
      </w:docPartPr>
      <w:docPartBody>
        <w:p w:rsidR="00086882" w:rsidRDefault="00086882" w:rsidP="00086882">
          <w:pPr>
            <w:pStyle w:val="988663FC6B0F44CEB0E7018BD6D520A8"/>
          </w:pPr>
          <w:r w:rsidRPr="0052042F">
            <w:rPr>
              <w:rStyle w:val="PlaceholderText"/>
              <w:rFonts w:eastAsiaTheme="minorHAnsi"/>
              <w:color w:val="FFFFFF" w:themeColor="background1"/>
            </w:rPr>
            <w:t>[Ondertekenaar 1]</w:t>
          </w:r>
        </w:p>
      </w:docPartBody>
    </w:docPart>
    <w:docPart>
      <w:docPartPr>
        <w:name w:val="ED83AF18820241EE85BB675B589EAFB0"/>
        <w:category>
          <w:name w:val="General"/>
          <w:gallery w:val="placeholder"/>
        </w:category>
        <w:types>
          <w:type w:val="bbPlcHdr"/>
        </w:types>
        <w:behaviors>
          <w:behavior w:val="content"/>
        </w:behaviors>
        <w:guid w:val="{12BFAABF-539B-4524-A57A-304CED32E223}"/>
      </w:docPartPr>
      <w:docPartBody>
        <w:p w:rsidR="00086882" w:rsidRDefault="00086882" w:rsidP="00086882">
          <w:pPr>
            <w:pStyle w:val="ED83AF18820241EE85BB675B589EAFB0"/>
          </w:pPr>
          <w:r w:rsidRPr="0052042F">
            <w:rPr>
              <w:rStyle w:val="PlaceholderText"/>
              <w:rFonts w:eastAsiaTheme="minorHAnsi"/>
              <w:color w:val="FFFFFF" w:themeColor="background1"/>
            </w:rPr>
            <w:t>[Ondertekenaar 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alibri"/>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82"/>
    <w:rsid w:val="0005210D"/>
    <w:rsid w:val="00086882"/>
    <w:rsid w:val="001432AB"/>
    <w:rsid w:val="0022044A"/>
    <w:rsid w:val="0040072D"/>
    <w:rsid w:val="004B68B4"/>
    <w:rsid w:val="005251A5"/>
    <w:rsid w:val="00572BE8"/>
    <w:rsid w:val="0057744D"/>
    <w:rsid w:val="005B38C5"/>
    <w:rsid w:val="005C0F03"/>
    <w:rsid w:val="00686534"/>
    <w:rsid w:val="006C11CD"/>
    <w:rsid w:val="00713C70"/>
    <w:rsid w:val="007D0D95"/>
    <w:rsid w:val="008D6132"/>
    <w:rsid w:val="00900F8B"/>
    <w:rsid w:val="0091445C"/>
    <w:rsid w:val="00956084"/>
    <w:rsid w:val="009E5648"/>
    <w:rsid w:val="00A37518"/>
    <w:rsid w:val="00B45651"/>
    <w:rsid w:val="00B67689"/>
    <w:rsid w:val="00BA4269"/>
    <w:rsid w:val="00BF7AFE"/>
    <w:rsid w:val="00C8633D"/>
    <w:rsid w:val="00CA0276"/>
    <w:rsid w:val="00CF7093"/>
    <w:rsid w:val="00D21309"/>
    <w:rsid w:val="00DC59BB"/>
    <w:rsid w:val="00DD5C31"/>
    <w:rsid w:val="00E01E20"/>
    <w:rsid w:val="00EC0FE8"/>
    <w:rsid w:val="00EF06E1"/>
    <w:rsid w:val="00EF4C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6882"/>
    <w:rPr>
      <w:color w:val="808080"/>
    </w:rPr>
  </w:style>
  <w:style w:type="paragraph" w:customStyle="1" w:styleId="988663FC6B0F44CEB0E7018BD6D520A8">
    <w:name w:val="988663FC6B0F44CEB0E7018BD6D520A8"/>
    <w:rsid w:val="00086882"/>
  </w:style>
  <w:style w:type="paragraph" w:customStyle="1" w:styleId="ED83AF18820241EE85BB675B589EAFB0">
    <w:name w:val="ED83AF18820241EE85BB675B589EAFB0"/>
    <w:rsid w:val="000868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1404</ap:Words>
  <ap:Characters>7722</ap:Characters>
  <ap:DocSecurity>0</ap:DocSecurity>
  <ap:Lines>64</ap:Lines>
  <ap:Paragraphs>18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Kamerbrief inzake inzet Speciale Zitting van de Vergadering van verdragspartijen bij het Statuut van Rome</vt:lpstr>
      <vt:lpstr>Kamerbrief inzake inzet Speciale Zitting van de Vergadering van verdragspartijen bij het Statuut van Rome</vt:lpstr>
    </vt:vector>
  </ap:TitlesOfParts>
  <ap:LinksUpToDate>false</ap:LinksUpToDate>
  <ap:CharactersWithSpaces>9108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2026-07-09T13:44:00.0000000Z</lastPrinted>
  <dcterms:created xsi:type="dcterms:W3CDTF">2026-07-16T11:53:00.0000000Z</dcterms:created>
  <dcterms:modified xsi:type="dcterms:W3CDTF">2026-07-16T11:53:00.0000000Z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0x0101009C7CE436063D44E9BE7DC0259EF7C32F006EB9F9836A634AE58B6169785FD3936F0059C617296B049142960D7DBD88D31EB3</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https://247.plaza.buzaservices.nl/subject/PV-RK2026052026/BZ2629765/Reguliere%20kamerbrief%20-%20ICC%20-%20Kamerbrief%20inzake%20inzet%20Speciale%20Zitting%20ASP%20(New%20York, 24 juli).docx</vt:lpwstr>
  </property>
  <property fmtid="{D5CDD505-2E9C-101B-9397-08002B2CF9AE}" pid="24" name="_dlc_DocIdItemGuid">
    <vt:lpwstr>439c610f-949c-4b2f-9309-9f59a007b7dd</vt:lpwstr>
  </property>
  <property fmtid="{D5CDD505-2E9C-101B-9397-08002B2CF9AE}" pid="25" name="_docset_NoMedatataSyncRequired">
    <vt:lpwstr>False</vt:lpwstr>
  </property>
</Properties>
</file>