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2822CA" w:rsidRDefault="00A57A1D" w14:paraId="2BDDE736" w14:textId="3ECCBE99">
      <w:r>
        <w:t xml:space="preserve">Geachte voorzitter, </w:t>
      </w:r>
    </w:p>
    <w:p w:rsidR="00A57A1D" w:rsidP="002822CA" w:rsidRDefault="00A57A1D" w14:paraId="03ECBDC8" w14:textId="77777777"/>
    <w:p w:rsidR="00D63DD5" w:rsidP="00D63DD5" w:rsidRDefault="00D63DD5" w14:paraId="07E03DAD" w14:textId="69553F81">
      <w:r>
        <w:t xml:space="preserve">Tijdens het vragenuur van 16 juni 2026 is aan </w:t>
      </w:r>
      <w:r w:rsidR="00BF4CC0">
        <w:t>het lid</w:t>
      </w:r>
      <w:r>
        <w:t xml:space="preserve"> Oosterhuis (D66) toegezegd om toelichting te geven op de extra kosten voor Nederland voor fossiele energie als gevolg van de prijsstijgingen door het conflict in het Midden-Oosten. In deze brief ga ik schriftelijk in op die toezegging. </w:t>
      </w:r>
    </w:p>
    <w:p w:rsidR="00D63DD5" w:rsidP="00D63DD5" w:rsidRDefault="00D63DD5" w14:paraId="40AAC221" w14:textId="77777777"/>
    <w:p w:rsidR="00D63DD5" w:rsidP="00D63DD5" w:rsidRDefault="00D63DD5" w14:paraId="71E6533D" w14:textId="77777777">
      <w:r>
        <w:rPr>
          <w:b/>
          <w:bCs/>
        </w:rPr>
        <w:t>Onzekerheidsmarge berekening</w:t>
      </w:r>
    </w:p>
    <w:p w:rsidR="00D63DD5" w:rsidP="00D63DD5" w:rsidRDefault="00D63DD5" w14:paraId="2C14308A" w14:textId="0FC3E0A0">
      <w:r>
        <w:t>Het CBS laat zien dat d</w:t>
      </w:r>
      <w:r w:rsidRPr="000F4D52">
        <w:t xml:space="preserve">e waarde van de import van fossiele </w:t>
      </w:r>
      <w:r>
        <w:t>brandstoffen</w:t>
      </w:r>
      <w:r w:rsidRPr="000F4D52">
        <w:t xml:space="preserve"> </w:t>
      </w:r>
      <w:r>
        <w:t>sterk varieert over de jaren</w:t>
      </w:r>
      <w:r w:rsidRPr="000F4D52">
        <w:t>.</w:t>
      </w:r>
      <w:r>
        <w:rPr>
          <w:rStyle w:val="Voetnootmarkering"/>
        </w:rPr>
        <w:footnoteReference w:id="1"/>
      </w:r>
      <w:r w:rsidRPr="000F4D52">
        <w:t xml:space="preserve"> Dat cijfer zegt echter </w:t>
      </w:r>
      <w:r>
        <w:t xml:space="preserve">ook </w:t>
      </w:r>
      <w:r w:rsidRPr="000F4D52">
        <w:t xml:space="preserve">weinig over de werkelijke kosten </w:t>
      </w:r>
      <w:r w:rsidR="00713DA8">
        <w:t xml:space="preserve">van fossiele energie </w:t>
      </w:r>
      <w:r w:rsidRPr="000F4D52">
        <w:t xml:space="preserve">voor Nederland omdat een deel van deze import hier wordt </w:t>
      </w:r>
      <w:r>
        <w:t>be</w:t>
      </w:r>
      <w:r w:rsidRPr="000F4D52">
        <w:t xml:space="preserve">werkt en vervolgens weer wordt geëxporteerd. </w:t>
      </w:r>
      <w:r>
        <w:t xml:space="preserve">Daarnaast komt een deel van het verbruik uit lokale productie waardoor importcijfers niet het hele verhaal vertellen. De kosten van het totale volume aan verbruik van fossiele energie in Nederland zijn </w:t>
      </w:r>
      <w:r w:rsidRPr="000F4D52">
        <w:t>sterk afhankelijk van marktomstandigheden</w:t>
      </w:r>
      <w:r>
        <w:t xml:space="preserve"> tijdens het sluiten van de aankoopcontracten</w:t>
      </w:r>
      <w:r w:rsidRPr="000F4D52">
        <w:t>.</w:t>
      </w:r>
      <w:r>
        <w:t xml:space="preserve"> Een aanzienlijk deel van het aardgas en de olie die in Nederland wordt gebruikt is niet op de spotmarkt gekocht, maar via lange termijncontracten. </w:t>
      </w:r>
      <w:r w:rsidRPr="005904EC">
        <w:t>Daarbij geldt dat elk contract zijn eigen prijsformule kent op basis waarvan de te betalen prijs wordt bepaald</w:t>
      </w:r>
      <w:r>
        <w:t xml:space="preserve">. De prijs waarvoor deze volumes zijn vastgelegd verschilt daarom per contract en het moment van afsluiten en is afhankelijk van de in- en verkoopstrategieën van marktpartijen. Dit alles brengt een onzekerheidsmarge </w:t>
      </w:r>
      <w:r w:rsidR="00713DA8">
        <w:t>voor</w:t>
      </w:r>
      <w:r>
        <w:t xml:space="preserve"> de berekening </w:t>
      </w:r>
      <w:r w:rsidR="00713DA8">
        <w:t xml:space="preserve">met zich </w:t>
      </w:r>
      <w:r>
        <w:t>mee.</w:t>
      </w:r>
    </w:p>
    <w:p w:rsidR="00D63DD5" w:rsidP="00D63DD5" w:rsidRDefault="00D63DD5" w14:paraId="1D96EED5" w14:textId="77777777"/>
    <w:p w:rsidR="00D63DD5" w:rsidP="00D63DD5" w:rsidRDefault="00D63DD5" w14:paraId="42552CE8" w14:textId="77777777">
      <w:pPr>
        <w:rPr>
          <w:b/>
          <w:bCs/>
        </w:rPr>
      </w:pPr>
      <w:r>
        <w:rPr>
          <w:b/>
          <w:bCs/>
        </w:rPr>
        <w:t>Indicatieve berekening</w:t>
      </w:r>
    </w:p>
    <w:p w:rsidR="00D63DD5" w:rsidP="00D63DD5" w:rsidRDefault="00D63DD5" w14:paraId="58A89DB7" w14:textId="601F7DE2">
      <w:r>
        <w:t>De totale jaarlijkse Nederlandse uitgaven aan fossiele energie liggen, afhankelijk van marktprijzen, tussen de €35-45 miljard.</w:t>
      </w:r>
      <w:r>
        <w:rPr>
          <w:rStyle w:val="Voetnootmarkering"/>
        </w:rPr>
        <w:footnoteReference w:id="2"/>
      </w:r>
      <w:r>
        <w:t xml:space="preserve"> </w:t>
      </w:r>
      <w:r w:rsidRPr="004D1BBF">
        <w:t xml:space="preserve">Een grove benadering van de extra kosten </w:t>
      </w:r>
      <w:r w:rsidR="00713DA8">
        <w:t xml:space="preserve">als gevolg van de situatie in het Midden-Oosten </w:t>
      </w:r>
      <w:r w:rsidRPr="004D1BBF">
        <w:t>kan worden gemaakt door deze jaarlijkse uitgaven te combineren met de gemiddelde prijsstijging gedurende de verstoringsperiode.</w:t>
      </w:r>
      <w:r>
        <w:t xml:space="preserve"> Het Centraal Planbureau laat zien dat de olie- en gasprijzen met ongeveer 40% zijn gestegen tijdens de piekfase in april gedurende de sluiting van de Straat van Hormuz.</w:t>
      </w:r>
      <w:r>
        <w:rPr>
          <w:rStyle w:val="Voetnootmarkering"/>
        </w:rPr>
        <w:footnoteReference w:id="3"/>
      </w:r>
      <w:r>
        <w:t xml:space="preserve"> Over de hele periode eind februari tot eind juni is een gemiddelde prijsstijging van 35% een redelijke benadering.</w:t>
      </w:r>
      <w:r>
        <w:rPr>
          <w:rStyle w:val="Voetnootmarkering"/>
        </w:rPr>
        <w:footnoteReference w:id="4"/>
      </w:r>
      <w:r>
        <w:t xml:space="preserve"> Met deze aannames</w:t>
      </w:r>
      <w:r>
        <w:rPr>
          <w:rStyle w:val="Voetnootmarkering"/>
        </w:rPr>
        <w:footnoteReference w:id="5"/>
      </w:r>
      <w:r>
        <w:t xml:space="preserve"> zou de verstoring zoals we die de afgelopen vier maanden hebben meegemaakt voor ongeveer 4 miljard</w:t>
      </w:r>
      <w:r w:rsidR="00272CA5">
        <w:t xml:space="preserve"> euro</w:t>
      </w:r>
      <w:r>
        <w:t xml:space="preserve"> aan extra kosten voor fossiele energie voor Nederland hebben gezorgd. </w:t>
      </w:r>
      <w:r w:rsidRPr="004D1BBF">
        <w:t>Dit bedrag moet nadrukkelijk worden gezien als een orde-grootte</w:t>
      </w:r>
      <w:r>
        <w:t xml:space="preserve"> en </w:t>
      </w:r>
      <w:r w:rsidRPr="007B19B6">
        <w:t>een</w:t>
      </w:r>
      <w:r w:rsidR="00272CA5">
        <w:t xml:space="preserve"> grove</w:t>
      </w:r>
      <w:r w:rsidRPr="007B19B6">
        <w:t xml:space="preserve"> indicatie. Het is </w:t>
      </w:r>
      <w:r w:rsidR="00272CA5">
        <w:t>ook niet om te slaan naar een</w:t>
      </w:r>
      <w:r w:rsidRPr="007B19B6">
        <w:t xml:space="preserve"> bedrag dat één-op-één door huishoudens en bedrijven </w:t>
      </w:r>
      <w:r w:rsidR="00272CA5">
        <w:t xml:space="preserve">extra </w:t>
      </w:r>
      <w:r w:rsidRPr="007B19B6">
        <w:t xml:space="preserve">is betaald. </w:t>
      </w:r>
      <w:r w:rsidRPr="004D1BBF">
        <w:t xml:space="preserve">De feitelijke kosten hangen af van onder meer de productmix, het moment waarop contracten zijn afgesloten, termijncontracten en </w:t>
      </w:r>
      <w:proofErr w:type="spellStart"/>
      <w:r w:rsidRPr="004D1BBF">
        <w:t>hedging</w:t>
      </w:r>
      <w:proofErr w:type="spellEnd"/>
      <w:r w:rsidRPr="004D1BBF">
        <w:t>, voorraadposities, gedragsreacties van producenten en afnemers en de mate waarin hogere marktprijzen daadwerkelijk en met vertraging doorwerken in eindprijzen.</w:t>
      </w:r>
      <w:r>
        <w:t xml:space="preserve"> </w:t>
      </w:r>
    </w:p>
    <w:p w:rsidR="00D63DD5" w:rsidP="00D63DD5" w:rsidRDefault="00D63DD5" w14:paraId="31534CF7" w14:textId="77777777"/>
    <w:p w:rsidRPr="008765DE" w:rsidR="00D63DD5" w:rsidP="00D63DD5" w:rsidRDefault="00D63DD5" w14:paraId="63BC7FF0" w14:textId="1A907AE0">
      <w:r>
        <w:t xml:space="preserve">Het kabinet deelt </w:t>
      </w:r>
      <w:r w:rsidR="00713DA8">
        <w:t xml:space="preserve">uiteraard </w:t>
      </w:r>
      <w:r>
        <w:t xml:space="preserve">de zorgen die </w:t>
      </w:r>
      <w:r w:rsidR="00713DA8">
        <w:t>er zijn</w:t>
      </w:r>
      <w:r>
        <w:t xml:space="preserve"> over de hoge olie- en gasprijzen en de gevolgen daarvan voor Nederland. Daarom is het van belang dat Nederland de afhankelijkheid van fossiele brandstoffen verder afbouwt. </w:t>
      </w:r>
    </w:p>
    <w:p w:rsidR="00D63DD5" w:rsidP="00D63DD5" w:rsidRDefault="00D63DD5" w14:paraId="5184FCB8" w14:textId="77777777"/>
    <w:p w:rsidR="00D63DD5" w:rsidP="00D63DD5" w:rsidRDefault="00D63DD5" w14:paraId="4C6AEF0C" w14:textId="77777777"/>
    <w:p w:rsidR="00D63DD5" w:rsidP="00D63DD5" w:rsidRDefault="00D63DD5" w14:paraId="3D618D6E" w14:textId="77777777"/>
    <w:p w:rsidR="00D63DD5" w:rsidP="00D63DD5" w:rsidRDefault="00D63DD5" w14:paraId="627B8848" w14:textId="77777777"/>
    <w:p w:rsidR="00D63DD5" w:rsidP="00D63DD5" w:rsidRDefault="00D63DD5" w14:paraId="38280B66" w14:textId="77777777">
      <w:pPr>
        <w:rPr>
          <w:szCs w:val="18"/>
        </w:rPr>
      </w:pPr>
      <w:bookmarkStart w:name="_Hlk222840271" w:id="0"/>
      <w:proofErr w:type="spellStart"/>
      <w:r>
        <w:rPr>
          <w:szCs w:val="18"/>
        </w:rPr>
        <w:t>Stientje</w:t>
      </w:r>
      <w:proofErr w:type="spellEnd"/>
      <w:r>
        <w:rPr>
          <w:szCs w:val="18"/>
        </w:rPr>
        <w:t xml:space="preserve"> van Veldhoven-van der Meer</w:t>
      </w:r>
    </w:p>
    <w:bookmarkEnd w:id="0"/>
    <w:p w:rsidRPr="005461DA" w:rsidR="00D63DD5" w:rsidP="00D63DD5" w:rsidRDefault="00D63DD5" w14:paraId="734A0857" w14:textId="77777777">
      <w:pPr>
        <w:rPr>
          <w:szCs w:val="18"/>
        </w:rPr>
      </w:pPr>
      <w:r>
        <w:rPr>
          <w:szCs w:val="18"/>
        </w:rPr>
        <w:t>Minister van Klimaat en Groene Groei</w:t>
      </w:r>
    </w:p>
    <w:p w:rsidR="00BD2D73" w:rsidP="00810C93" w:rsidRDefault="00BD2D73" w14:paraId="245E3FB1" w14:textId="77777777"/>
    <w:sectPr w:rsidR="00BD2D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55172" w14:textId="77777777" w:rsidR="00431AD9" w:rsidRDefault="00431AD9">
      <w:r>
        <w:separator/>
      </w:r>
    </w:p>
    <w:p w14:paraId="24F24B9F" w14:textId="77777777" w:rsidR="00431AD9" w:rsidRDefault="00431AD9"/>
  </w:endnote>
  <w:endnote w:type="continuationSeparator" w:id="0">
    <w:p w14:paraId="3EAA252F" w14:textId="77777777" w:rsidR="00431AD9" w:rsidRDefault="00431AD9">
      <w:r>
        <w:continuationSeparator/>
      </w:r>
    </w:p>
    <w:p w14:paraId="206143EF"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35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1122C" w14:paraId="27F41E93" w14:textId="77777777" w:rsidTr="00CA6A25">
      <w:trPr>
        <w:trHeight w:hRule="exact" w:val="240"/>
      </w:trPr>
      <w:tc>
        <w:tcPr>
          <w:tcW w:w="7601" w:type="dxa"/>
        </w:tcPr>
        <w:p w14:paraId="02A56EF7" w14:textId="77777777" w:rsidR="00527BD4" w:rsidRDefault="00527BD4" w:rsidP="003F1F6B">
          <w:pPr>
            <w:pStyle w:val="Huisstijl-Rubricering"/>
          </w:pPr>
        </w:p>
      </w:tc>
      <w:tc>
        <w:tcPr>
          <w:tcW w:w="2156" w:type="dxa"/>
        </w:tcPr>
        <w:p w14:paraId="1F9EBE38" w14:textId="618F9CC4" w:rsidR="00527BD4" w:rsidRPr="00645414" w:rsidRDefault="009C7F3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3776FB">
            <w:t>2</w:t>
          </w:r>
          <w:r w:rsidR="004425CC">
            <w:fldChar w:fldCharType="end"/>
          </w:r>
        </w:p>
      </w:tc>
    </w:tr>
  </w:tbl>
  <w:p w14:paraId="5B45A8A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1122C" w14:paraId="0D466273" w14:textId="77777777" w:rsidTr="00CA6A25">
      <w:trPr>
        <w:trHeight w:hRule="exact" w:val="240"/>
      </w:trPr>
      <w:tc>
        <w:tcPr>
          <w:tcW w:w="7601" w:type="dxa"/>
        </w:tcPr>
        <w:p w14:paraId="5683CA65" w14:textId="77777777" w:rsidR="00527BD4" w:rsidRDefault="00527BD4" w:rsidP="008C356D">
          <w:pPr>
            <w:pStyle w:val="Huisstijl-Rubricering"/>
          </w:pPr>
        </w:p>
      </w:tc>
      <w:tc>
        <w:tcPr>
          <w:tcW w:w="2170" w:type="dxa"/>
        </w:tcPr>
        <w:p w14:paraId="18F86BA5" w14:textId="0BBC2D20" w:rsidR="00527BD4" w:rsidRPr="00ED539E" w:rsidRDefault="009C7F3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3776FB">
            <w:t>2</w:t>
          </w:r>
          <w:r w:rsidR="00A13FBD">
            <w:fldChar w:fldCharType="end"/>
          </w:r>
        </w:p>
      </w:tc>
    </w:tr>
  </w:tbl>
  <w:p w14:paraId="603B9085" w14:textId="77777777" w:rsidR="00527BD4" w:rsidRPr="00BC3B53" w:rsidRDefault="00527BD4" w:rsidP="008C356D">
    <w:pPr>
      <w:pStyle w:val="Voettekst"/>
      <w:spacing w:line="240" w:lineRule="auto"/>
      <w:rPr>
        <w:sz w:val="2"/>
        <w:szCs w:val="2"/>
      </w:rPr>
    </w:pPr>
  </w:p>
  <w:p w14:paraId="682427B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EF42C" w14:textId="77777777" w:rsidR="00431AD9" w:rsidRDefault="00431AD9">
      <w:r>
        <w:separator/>
      </w:r>
    </w:p>
    <w:p w14:paraId="276A19A6" w14:textId="77777777" w:rsidR="00431AD9" w:rsidRDefault="00431AD9"/>
  </w:footnote>
  <w:footnote w:type="continuationSeparator" w:id="0">
    <w:p w14:paraId="79B08EF6" w14:textId="77777777" w:rsidR="00431AD9" w:rsidRDefault="00431AD9">
      <w:r>
        <w:continuationSeparator/>
      </w:r>
    </w:p>
    <w:p w14:paraId="05697B11" w14:textId="77777777" w:rsidR="00431AD9" w:rsidRDefault="00431AD9"/>
  </w:footnote>
  <w:footnote w:id="1">
    <w:p w14:paraId="7A2EEBF6" w14:textId="77777777" w:rsidR="00D63DD5" w:rsidRDefault="00D63DD5" w:rsidP="00D63DD5">
      <w:pPr>
        <w:pStyle w:val="Voetnoottekst"/>
      </w:pPr>
      <w:r>
        <w:rPr>
          <w:rStyle w:val="Voetnootmarkering"/>
        </w:rPr>
        <w:footnoteRef/>
      </w:r>
      <w:r>
        <w:t xml:space="preserve"> CBS, ‘Aardoliegrondstoffen- en aardolieproductenbalans; aanbod en verbruik’ (</w:t>
      </w:r>
      <w:hyperlink r:id="rId1" w:history="1">
        <w:r w:rsidRPr="001A7608">
          <w:rPr>
            <w:rStyle w:val="Hyperlink"/>
          </w:rPr>
          <w:t>Aardoliegrondstoffen- en aardolieproductenbalans; aanbod en verbruik | CBS</w:t>
        </w:r>
      </w:hyperlink>
      <w:r>
        <w:t>).</w:t>
      </w:r>
    </w:p>
  </w:footnote>
  <w:footnote w:id="2">
    <w:p w14:paraId="751F2E08" w14:textId="77777777" w:rsidR="00D63DD5" w:rsidRDefault="00D63DD5" w:rsidP="00D63DD5">
      <w:pPr>
        <w:pStyle w:val="Voetnoottekst"/>
      </w:pPr>
      <w:r>
        <w:rPr>
          <w:rStyle w:val="Voetnootmarkering"/>
        </w:rPr>
        <w:footnoteRef/>
      </w:r>
      <w:r>
        <w:t xml:space="preserve"> Orde van grootte g</w:t>
      </w:r>
      <w:r w:rsidRPr="00760738">
        <w:t>ebaseerd op CBS energiebalans</w:t>
      </w:r>
      <w:r>
        <w:t xml:space="preserve">: </w:t>
      </w:r>
      <w:hyperlink r:id="rId2" w:history="1">
        <w:r w:rsidRPr="00760738">
          <w:rPr>
            <w:rStyle w:val="Hyperlink"/>
          </w:rPr>
          <w:t>Energiebalans; aanbod, omzetting en verbruik | CBS</w:t>
        </w:r>
      </w:hyperlink>
      <w:r w:rsidRPr="00760738">
        <w:t xml:space="preserve"> (finaal energieverbruik</w:t>
      </w:r>
      <w:r>
        <w:t xml:space="preserve"> </w:t>
      </w:r>
      <w:r w:rsidRPr="00760738">
        <w:t>van aardolie en aardgas</w:t>
      </w:r>
      <w:r>
        <w:t>,</w:t>
      </w:r>
      <w:r w:rsidRPr="00760738">
        <w:t xml:space="preserve"> omgerekend naar euro’s via gemiddelde marktprijzen van olie (±$70–80/vat) en gas (±€20–35/MWh) over de periode 2023–2025)</w:t>
      </w:r>
      <w:r>
        <w:t>.</w:t>
      </w:r>
    </w:p>
  </w:footnote>
  <w:footnote w:id="3">
    <w:p w14:paraId="4835D7E0" w14:textId="77777777" w:rsidR="00D63DD5" w:rsidRDefault="00D63DD5" w:rsidP="00D63DD5">
      <w:pPr>
        <w:pStyle w:val="Voetnoottekst"/>
      </w:pPr>
      <w:r>
        <w:rPr>
          <w:rStyle w:val="Voetnootmarkering"/>
        </w:rPr>
        <w:footnoteRef/>
      </w:r>
      <w:r>
        <w:t xml:space="preserve"> Centraal Planbureau, ‘De economische impact van hogere energieprijzen door de Iranoorlog’, april 2026 (</w:t>
      </w:r>
      <w:hyperlink r:id="rId3" w:history="1">
        <w:r w:rsidRPr="002605BC">
          <w:rPr>
            <w:rStyle w:val="Hyperlink"/>
          </w:rPr>
          <w:t>De economische impact van hogere energieprijzen door de Iranoorlog</w:t>
        </w:r>
      </w:hyperlink>
      <w:r>
        <w:t>).</w:t>
      </w:r>
    </w:p>
  </w:footnote>
  <w:footnote w:id="4">
    <w:p w14:paraId="54A786AA" w14:textId="77777777" w:rsidR="00D63DD5" w:rsidRDefault="00D63DD5" w:rsidP="00D63DD5">
      <w:pPr>
        <w:pStyle w:val="Voetnoottekst"/>
      </w:pPr>
      <w:r>
        <w:rPr>
          <w:rStyle w:val="Voetnootmarkering"/>
        </w:rPr>
        <w:footnoteRef/>
      </w:r>
      <w:r>
        <w:t xml:space="preserve"> Pre-crisis was de prijs ~$72 per vat olie en gemiddelde tijdens de crisis, grofweg, ~$95-100 per vat olie (uitgaande van actieve maandcontracten (</w:t>
      </w:r>
      <w:proofErr w:type="spellStart"/>
      <w:r>
        <w:t>month</w:t>
      </w:r>
      <w:proofErr w:type="spellEnd"/>
      <w:r>
        <w:t xml:space="preserve"> </w:t>
      </w:r>
      <w:proofErr w:type="spellStart"/>
      <w:r>
        <w:t>ahead</w:t>
      </w:r>
      <w:proofErr w:type="spellEnd"/>
      <w:r>
        <w:t>)), komt neer op +30-40%. Voor gas was een vergelijkbaar patroon te zien waarmee het totaal gemiddelde in dezelfde bandbreedte valt en onder de piek die het CPB ook laat zien.</w:t>
      </w:r>
    </w:p>
  </w:footnote>
  <w:footnote w:id="5">
    <w:p w14:paraId="39E5FCE1" w14:textId="77777777" w:rsidR="00D63DD5" w:rsidRDefault="00D63DD5" w:rsidP="00D63DD5">
      <w:pPr>
        <w:pStyle w:val="Voetnoottekst"/>
      </w:pPr>
      <w:r>
        <w:rPr>
          <w:rStyle w:val="Voetnootmarkering"/>
        </w:rPr>
        <w:footnoteRef/>
      </w:r>
      <w:r>
        <w:t xml:space="preserve"> Orde van grootte van normale uitgaven gedurende vier maanden (€40 miljard x 4/12 =) €13,33 miljard x 0.35 = €4,67 miljard.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1122C" w14:paraId="188CB9FA" w14:textId="77777777" w:rsidTr="00A50CF6">
      <w:tc>
        <w:tcPr>
          <w:tcW w:w="2156" w:type="dxa"/>
        </w:tcPr>
        <w:p w14:paraId="4F9815E4" w14:textId="77777777" w:rsidR="00527BD4" w:rsidRPr="005819CE" w:rsidRDefault="009C7F34" w:rsidP="00A50CF6">
          <w:pPr>
            <w:pStyle w:val="Huisstijl-Adres"/>
            <w:rPr>
              <w:b/>
            </w:rPr>
          </w:pPr>
          <w:r>
            <w:rPr>
              <w:b/>
            </w:rPr>
            <w:t>Directoraat-generaal Klimaat en Energie</w:t>
          </w:r>
          <w:r w:rsidRPr="005819CE">
            <w:rPr>
              <w:b/>
            </w:rPr>
            <w:br/>
          </w:r>
        </w:p>
      </w:tc>
    </w:tr>
    <w:tr w:rsidR="00A1122C" w14:paraId="20B0F782" w14:textId="77777777" w:rsidTr="00A50CF6">
      <w:trPr>
        <w:trHeight w:hRule="exact" w:val="200"/>
      </w:trPr>
      <w:tc>
        <w:tcPr>
          <w:tcW w:w="2156" w:type="dxa"/>
        </w:tcPr>
        <w:p w14:paraId="69C75FBE" w14:textId="77777777" w:rsidR="00527BD4" w:rsidRPr="005819CE" w:rsidRDefault="00527BD4" w:rsidP="00A50CF6"/>
      </w:tc>
    </w:tr>
    <w:tr w:rsidR="00A1122C" w14:paraId="0AB5BBF6" w14:textId="77777777" w:rsidTr="00502512">
      <w:trPr>
        <w:trHeight w:hRule="exact" w:val="774"/>
      </w:trPr>
      <w:tc>
        <w:tcPr>
          <w:tcW w:w="2156" w:type="dxa"/>
        </w:tcPr>
        <w:p w14:paraId="4013F6E4" w14:textId="77777777" w:rsidR="00527BD4" w:rsidRDefault="009C7F34" w:rsidP="003A5290">
          <w:pPr>
            <w:pStyle w:val="Huisstijl-Kopje"/>
          </w:pPr>
          <w:r>
            <w:t>Ons kenmerk</w:t>
          </w:r>
        </w:p>
        <w:p w14:paraId="14546216" w14:textId="48D0F73A" w:rsidR="0018559C" w:rsidRPr="0018559C" w:rsidRDefault="009C7F34" w:rsidP="0018559C">
          <w:pPr>
            <w:pStyle w:val="Huisstijl-Kopje"/>
          </w:pPr>
          <w:r>
            <w:rPr>
              <w:b w:val="0"/>
            </w:rPr>
            <w:t>KGG_DGKE</w:t>
          </w:r>
          <w:r w:rsidRPr="00502512">
            <w:rPr>
              <w:b w:val="0"/>
            </w:rPr>
            <w:t xml:space="preserve"> /</w:t>
          </w:r>
          <w:r w:rsidRPr="0018559C">
            <w:rPr>
              <w:b w:val="0"/>
              <w:bCs/>
            </w:rPr>
            <w:t xml:space="preserve"> </w:t>
          </w:r>
          <w:r w:rsidR="0018559C" w:rsidRPr="0018559C">
            <w:rPr>
              <w:b w:val="0"/>
              <w:bCs/>
            </w:rPr>
            <w:t>107348612</w:t>
          </w:r>
        </w:p>
        <w:p w14:paraId="58F3594D" w14:textId="044391E7" w:rsidR="00527BD4" w:rsidRPr="005819CE" w:rsidRDefault="00527BD4" w:rsidP="004425CC">
          <w:pPr>
            <w:pStyle w:val="Huisstijl-Kopje"/>
          </w:pPr>
        </w:p>
      </w:tc>
    </w:tr>
  </w:tbl>
  <w:p w14:paraId="78F88FCD" w14:textId="77777777" w:rsidR="00527BD4" w:rsidRDefault="00527BD4" w:rsidP="008C356D">
    <w:pPr>
      <w:pStyle w:val="Koptekst"/>
      <w:rPr>
        <w:rFonts w:cs="Verdana-Bold"/>
        <w:b/>
        <w:bCs/>
        <w:smallCaps/>
        <w:szCs w:val="18"/>
      </w:rPr>
    </w:pPr>
  </w:p>
  <w:p w14:paraId="72B19797" w14:textId="77777777" w:rsidR="00527BD4" w:rsidRDefault="00527BD4" w:rsidP="008C356D"/>
  <w:p w14:paraId="22118042" w14:textId="77777777" w:rsidR="00527BD4" w:rsidRPr="00740712" w:rsidRDefault="00527BD4" w:rsidP="008C356D"/>
  <w:p w14:paraId="147215F5" w14:textId="77777777" w:rsidR="00527BD4" w:rsidRPr="00217880" w:rsidRDefault="00527BD4" w:rsidP="008C356D">
    <w:pPr>
      <w:spacing w:line="0" w:lineRule="atLeast"/>
      <w:rPr>
        <w:sz w:val="2"/>
        <w:szCs w:val="2"/>
      </w:rPr>
    </w:pPr>
  </w:p>
  <w:p w14:paraId="77C11165" w14:textId="77777777" w:rsidR="00527BD4" w:rsidRDefault="00527BD4" w:rsidP="004F44C2">
    <w:pPr>
      <w:pStyle w:val="Koptekst"/>
      <w:rPr>
        <w:rFonts w:cs="Verdana-Bold"/>
        <w:b/>
        <w:bCs/>
        <w:smallCaps/>
        <w:szCs w:val="18"/>
      </w:rPr>
    </w:pPr>
  </w:p>
  <w:p w14:paraId="44C55524" w14:textId="77777777" w:rsidR="00527BD4" w:rsidRDefault="00527BD4" w:rsidP="004F44C2"/>
  <w:p w14:paraId="61600CE2" w14:textId="77777777" w:rsidR="00527BD4" w:rsidRPr="00740712" w:rsidRDefault="00527BD4" w:rsidP="004F44C2"/>
  <w:p w14:paraId="3CDB2CE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1122C" w14:paraId="62704F93" w14:textId="77777777" w:rsidTr="00751A6A">
      <w:trPr>
        <w:trHeight w:val="2636"/>
      </w:trPr>
      <w:tc>
        <w:tcPr>
          <w:tcW w:w="737" w:type="dxa"/>
        </w:tcPr>
        <w:p w14:paraId="20BFFF2A" w14:textId="77777777" w:rsidR="00527BD4" w:rsidRDefault="00527BD4" w:rsidP="00D0609E">
          <w:pPr>
            <w:framePr w:w="6340" w:h="2750" w:hRule="exact" w:hSpace="180" w:wrap="around" w:vAnchor="page" w:hAnchor="text" w:x="3873" w:y="-140"/>
            <w:spacing w:line="240" w:lineRule="auto"/>
          </w:pPr>
        </w:p>
      </w:tc>
      <w:tc>
        <w:tcPr>
          <w:tcW w:w="5156" w:type="dxa"/>
        </w:tcPr>
        <w:p w14:paraId="00ACBD16" w14:textId="77777777" w:rsidR="00527BD4" w:rsidRDefault="009C7F34"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8BA1E8F" wp14:editId="67331C1A">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7DDEABC3" w14:textId="77777777" w:rsidR="007269E3" w:rsidRDefault="007269E3" w:rsidP="00651CEE">
          <w:pPr>
            <w:framePr w:w="6340" w:h="2750" w:hRule="exact" w:hSpace="180" w:wrap="around" w:vAnchor="page" w:hAnchor="text" w:x="3873" w:y="-140"/>
            <w:spacing w:line="240" w:lineRule="auto"/>
          </w:pPr>
        </w:p>
      </w:tc>
    </w:tr>
  </w:tbl>
  <w:p w14:paraId="09A9A9D3" w14:textId="77777777" w:rsidR="00527BD4" w:rsidRDefault="00527BD4" w:rsidP="00D0609E">
    <w:pPr>
      <w:framePr w:w="6340" w:h="2750" w:hRule="exact" w:hSpace="180" w:wrap="around" w:vAnchor="page" w:hAnchor="text" w:x="3873" w:y="-140"/>
    </w:pPr>
  </w:p>
  <w:p w14:paraId="4CE4BAF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1122C" w:rsidRPr="00BF4CC0" w14:paraId="48608FF1" w14:textId="77777777" w:rsidTr="00A50CF6">
      <w:tc>
        <w:tcPr>
          <w:tcW w:w="2160" w:type="dxa"/>
        </w:tcPr>
        <w:p w14:paraId="7DE4D810" w14:textId="77777777" w:rsidR="00527BD4" w:rsidRPr="005819CE" w:rsidRDefault="009C7F34" w:rsidP="00A50CF6">
          <w:pPr>
            <w:pStyle w:val="Huisstijl-Adres"/>
            <w:rPr>
              <w:b/>
            </w:rPr>
          </w:pPr>
          <w:r>
            <w:rPr>
              <w:b/>
            </w:rPr>
            <w:t>Directoraat-generaal Klimaat en Energie</w:t>
          </w:r>
          <w:r w:rsidRPr="005819CE">
            <w:rPr>
              <w:b/>
            </w:rPr>
            <w:br/>
          </w:r>
        </w:p>
        <w:p w14:paraId="4F41CB35" w14:textId="77777777" w:rsidR="00527BD4" w:rsidRPr="00BE5ED9" w:rsidRDefault="009C7F34" w:rsidP="00A50CF6">
          <w:pPr>
            <w:pStyle w:val="Huisstijl-Adres"/>
          </w:pPr>
          <w:r>
            <w:rPr>
              <w:b/>
            </w:rPr>
            <w:t>Bezoekadres</w:t>
          </w:r>
          <w:r>
            <w:rPr>
              <w:b/>
            </w:rPr>
            <w:br/>
          </w:r>
          <w:r>
            <w:t>Bezuidenhoutseweg 73</w:t>
          </w:r>
          <w:r w:rsidRPr="005819CE">
            <w:br/>
          </w:r>
          <w:r>
            <w:t>2594 AC Den Haag</w:t>
          </w:r>
        </w:p>
        <w:p w14:paraId="2A1D9196" w14:textId="77777777" w:rsidR="00EF495B" w:rsidRDefault="009C7F34" w:rsidP="0098788A">
          <w:pPr>
            <w:pStyle w:val="Huisstijl-Adres"/>
          </w:pPr>
          <w:r>
            <w:rPr>
              <w:b/>
            </w:rPr>
            <w:t>Postadres</w:t>
          </w:r>
          <w:r>
            <w:rPr>
              <w:b/>
            </w:rPr>
            <w:br/>
          </w:r>
          <w:r>
            <w:t>Postbus 20401</w:t>
          </w:r>
          <w:r w:rsidRPr="005819CE">
            <w:br/>
            <w:t>2500 E</w:t>
          </w:r>
          <w:r>
            <w:t>K</w:t>
          </w:r>
          <w:r w:rsidRPr="005819CE">
            <w:t xml:space="preserve"> Den Haag</w:t>
          </w:r>
        </w:p>
        <w:p w14:paraId="4B66FF75" w14:textId="77777777" w:rsidR="00EF495B" w:rsidRPr="005B3814" w:rsidRDefault="009C7F34" w:rsidP="0098788A">
          <w:pPr>
            <w:pStyle w:val="Huisstijl-Adres"/>
          </w:pPr>
          <w:r>
            <w:rPr>
              <w:b/>
            </w:rPr>
            <w:t>Overheidsidentificatienr</w:t>
          </w:r>
          <w:r>
            <w:rPr>
              <w:b/>
            </w:rPr>
            <w:br/>
          </w:r>
          <w:r w:rsidRPr="005B3814">
            <w:t>00000001003214369000</w:t>
          </w:r>
        </w:p>
        <w:p w14:paraId="0AD5D532" w14:textId="421C6135" w:rsidR="00527BD4" w:rsidRPr="0018559C" w:rsidRDefault="009C7F3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A1122C" w:rsidRPr="00BF4CC0" w14:paraId="105FDF94" w14:textId="77777777" w:rsidTr="00A50CF6">
      <w:trPr>
        <w:trHeight w:hRule="exact" w:val="200"/>
      </w:trPr>
      <w:tc>
        <w:tcPr>
          <w:tcW w:w="2160" w:type="dxa"/>
        </w:tcPr>
        <w:p w14:paraId="3B7EF3E8" w14:textId="77777777" w:rsidR="00527BD4" w:rsidRPr="0018559C" w:rsidRDefault="00527BD4" w:rsidP="00A50CF6"/>
      </w:tc>
    </w:tr>
    <w:tr w:rsidR="00A1122C" w14:paraId="0BC0F789" w14:textId="77777777" w:rsidTr="00A50CF6">
      <w:tc>
        <w:tcPr>
          <w:tcW w:w="2160" w:type="dxa"/>
        </w:tcPr>
        <w:p w14:paraId="4910F181" w14:textId="77777777" w:rsidR="000C0163" w:rsidRPr="005819CE" w:rsidRDefault="009C7F34" w:rsidP="000C0163">
          <w:pPr>
            <w:pStyle w:val="Huisstijl-Kopje"/>
          </w:pPr>
          <w:r>
            <w:t>Ons kenmerk</w:t>
          </w:r>
          <w:r w:rsidRPr="005819CE">
            <w:t xml:space="preserve"> </w:t>
          </w:r>
        </w:p>
        <w:p w14:paraId="2A0DB94E" w14:textId="6AAA10C2" w:rsidR="000C0163" w:rsidRPr="005819CE" w:rsidRDefault="009C7F34" w:rsidP="000C0163">
          <w:pPr>
            <w:pStyle w:val="Huisstijl-Gegeven"/>
          </w:pPr>
          <w:r>
            <w:t>KGG_DGKE</w:t>
          </w:r>
          <w:r w:rsidR="00926AE2">
            <w:t xml:space="preserve"> / </w:t>
          </w:r>
          <w:r w:rsidR="0018559C" w:rsidRPr="0018559C">
            <w:t>107348612</w:t>
          </w:r>
        </w:p>
        <w:p w14:paraId="5877ECB6" w14:textId="77777777" w:rsidR="00527BD4" w:rsidRPr="005819CE" w:rsidRDefault="00527BD4" w:rsidP="0018559C">
          <w:pPr>
            <w:pStyle w:val="Huisstijl-Kopje"/>
          </w:pPr>
        </w:p>
      </w:tc>
    </w:tr>
  </w:tbl>
  <w:p w14:paraId="04E4E81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1122C" w14:paraId="416B3A01" w14:textId="77777777" w:rsidTr="007610AA">
      <w:trPr>
        <w:trHeight w:val="400"/>
      </w:trPr>
      <w:tc>
        <w:tcPr>
          <w:tcW w:w="7520" w:type="dxa"/>
          <w:gridSpan w:val="2"/>
        </w:tcPr>
        <w:p w14:paraId="5CA85900" w14:textId="77777777" w:rsidR="00527BD4" w:rsidRPr="00BC3B53" w:rsidRDefault="009C7F34" w:rsidP="00A50CF6">
          <w:pPr>
            <w:pStyle w:val="Huisstijl-Retouradres"/>
          </w:pPr>
          <w:r>
            <w:t>&gt; Retouradres Postbus 20401 2500 EK Den Haag</w:t>
          </w:r>
        </w:p>
      </w:tc>
    </w:tr>
    <w:tr w:rsidR="00A1122C" w14:paraId="28F5B065" w14:textId="77777777" w:rsidTr="007610AA">
      <w:tc>
        <w:tcPr>
          <w:tcW w:w="7520" w:type="dxa"/>
          <w:gridSpan w:val="2"/>
        </w:tcPr>
        <w:p w14:paraId="499D0C82" w14:textId="77777777" w:rsidR="00527BD4" w:rsidRPr="00983E8F" w:rsidRDefault="00527BD4" w:rsidP="00A50CF6">
          <w:pPr>
            <w:pStyle w:val="Huisstijl-Rubricering"/>
          </w:pPr>
        </w:p>
      </w:tc>
    </w:tr>
    <w:tr w:rsidR="00A1122C" w14:paraId="55D1E374" w14:textId="77777777" w:rsidTr="007610AA">
      <w:trPr>
        <w:trHeight w:hRule="exact" w:val="2440"/>
      </w:trPr>
      <w:tc>
        <w:tcPr>
          <w:tcW w:w="7520" w:type="dxa"/>
          <w:gridSpan w:val="2"/>
        </w:tcPr>
        <w:p w14:paraId="747CCC02" w14:textId="77777777" w:rsidR="00527BD4" w:rsidRDefault="009C7F34" w:rsidP="00A50CF6">
          <w:pPr>
            <w:pStyle w:val="Huisstijl-NAW"/>
          </w:pPr>
          <w:r>
            <w:t xml:space="preserve">De Voorzitter van de Tweede Kamer </w:t>
          </w:r>
        </w:p>
        <w:p w14:paraId="72AB6734" w14:textId="77777777" w:rsidR="00A1122C" w:rsidRDefault="009C7F34">
          <w:pPr>
            <w:pStyle w:val="Huisstijl-NAW"/>
          </w:pPr>
          <w:r>
            <w:t>der Staten-Generaal</w:t>
          </w:r>
        </w:p>
        <w:p w14:paraId="34A3271C" w14:textId="77777777" w:rsidR="00A1122C" w:rsidRDefault="009C7F34">
          <w:pPr>
            <w:pStyle w:val="Huisstijl-NAW"/>
          </w:pPr>
          <w:r>
            <w:t xml:space="preserve">Prinses Irenestraat 6 </w:t>
          </w:r>
        </w:p>
        <w:p w14:paraId="72202254" w14:textId="77777777" w:rsidR="00A1122C" w:rsidRDefault="009C7F34">
          <w:pPr>
            <w:pStyle w:val="Huisstijl-NAW"/>
          </w:pPr>
          <w:r>
            <w:t>2595 BD DEN HAAG</w:t>
          </w:r>
        </w:p>
      </w:tc>
    </w:tr>
    <w:tr w:rsidR="00A1122C" w14:paraId="2900EE70" w14:textId="77777777" w:rsidTr="007610AA">
      <w:trPr>
        <w:trHeight w:hRule="exact" w:val="400"/>
      </w:trPr>
      <w:tc>
        <w:tcPr>
          <w:tcW w:w="7520" w:type="dxa"/>
          <w:gridSpan w:val="2"/>
        </w:tcPr>
        <w:p w14:paraId="700FCB8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1122C" w14:paraId="2DA92F6E" w14:textId="77777777" w:rsidTr="007610AA">
      <w:trPr>
        <w:trHeight w:val="240"/>
      </w:trPr>
      <w:tc>
        <w:tcPr>
          <w:tcW w:w="900" w:type="dxa"/>
        </w:tcPr>
        <w:p w14:paraId="23C80F3D" w14:textId="77777777" w:rsidR="00527BD4" w:rsidRPr="007709EF" w:rsidRDefault="009C7F34" w:rsidP="00A50CF6">
          <w:pPr>
            <w:rPr>
              <w:szCs w:val="18"/>
            </w:rPr>
          </w:pPr>
          <w:r>
            <w:rPr>
              <w:szCs w:val="18"/>
            </w:rPr>
            <w:t>Datum</w:t>
          </w:r>
        </w:p>
      </w:tc>
      <w:tc>
        <w:tcPr>
          <w:tcW w:w="6620" w:type="dxa"/>
        </w:tcPr>
        <w:p w14:paraId="4CFD54C0" w14:textId="15D95FD5" w:rsidR="00527BD4" w:rsidRPr="007709EF" w:rsidRDefault="006E1828" w:rsidP="00A50CF6">
          <w:r>
            <w:t>14 juli 2026</w:t>
          </w:r>
        </w:p>
      </w:tc>
    </w:tr>
    <w:tr w:rsidR="00A1122C" w14:paraId="50D76596" w14:textId="77777777" w:rsidTr="007610AA">
      <w:trPr>
        <w:trHeight w:val="240"/>
      </w:trPr>
      <w:tc>
        <w:tcPr>
          <w:tcW w:w="900" w:type="dxa"/>
        </w:tcPr>
        <w:p w14:paraId="4E8D5518" w14:textId="77777777" w:rsidR="00527BD4" w:rsidRPr="007709EF" w:rsidRDefault="009C7F34" w:rsidP="00A50CF6">
          <w:pPr>
            <w:rPr>
              <w:szCs w:val="18"/>
            </w:rPr>
          </w:pPr>
          <w:r>
            <w:rPr>
              <w:szCs w:val="18"/>
            </w:rPr>
            <w:t>Betreft</w:t>
          </w:r>
        </w:p>
      </w:tc>
      <w:tc>
        <w:tcPr>
          <w:tcW w:w="6620" w:type="dxa"/>
        </w:tcPr>
        <w:p w14:paraId="1F065429" w14:textId="77777777" w:rsidR="00527BD4" w:rsidRPr="007709EF" w:rsidRDefault="009C7F34" w:rsidP="00A50CF6">
          <w:r>
            <w:t>Schriftelijk toelichting op verzoek tijdens het vragenuur van de heer Oosterhuis (D66) over kosten fossiele import Nederland</w:t>
          </w:r>
        </w:p>
      </w:tc>
    </w:tr>
  </w:tbl>
  <w:p w14:paraId="72610A4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B44EA6A">
      <w:start w:val="1"/>
      <w:numFmt w:val="bullet"/>
      <w:pStyle w:val="Lijstopsomteken"/>
      <w:lvlText w:val="•"/>
      <w:lvlJc w:val="left"/>
      <w:pPr>
        <w:tabs>
          <w:tab w:val="num" w:pos="227"/>
        </w:tabs>
        <w:ind w:left="227" w:hanging="227"/>
      </w:pPr>
      <w:rPr>
        <w:rFonts w:ascii="Verdana" w:hAnsi="Verdana" w:hint="default"/>
        <w:sz w:val="18"/>
        <w:szCs w:val="18"/>
      </w:rPr>
    </w:lvl>
    <w:lvl w:ilvl="1" w:tplc="77C66CC8" w:tentative="1">
      <w:start w:val="1"/>
      <w:numFmt w:val="bullet"/>
      <w:lvlText w:val="o"/>
      <w:lvlJc w:val="left"/>
      <w:pPr>
        <w:tabs>
          <w:tab w:val="num" w:pos="1440"/>
        </w:tabs>
        <w:ind w:left="1440" w:hanging="360"/>
      </w:pPr>
      <w:rPr>
        <w:rFonts w:ascii="Courier New" w:hAnsi="Courier New" w:cs="Courier New" w:hint="default"/>
      </w:rPr>
    </w:lvl>
    <w:lvl w:ilvl="2" w:tplc="AA0AD604" w:tentative="1">
      <w:start w:val="1"/>
      <w:numFmt w:val="bullet"/>
      <w:lvlText w:val=""/>
      <w:lvlJc w:val="left"/>
      <w:pPr>
        <w:tabs>
          <w:tab w:val="num" w:pos="2160"/>
        </w:tabs>
        <w:ind w:left="2160" w:hanging="360"/>
      </w:pPr>
      <w:rPr>
        <w:rFonts w:ascii="Wingdings" w:hAnsi="Wingdings" w:hint="default"/>
      </w:rPr>
    </w:lvl>
    <w:lvl w:ilvl="3" w:tplc="04D6D814" w:tentative="1">
      <w:start w:val="1"/>
      <w:numFmt w:val="bullet"/>
      <w:lvlText w:val=""/>
      <w:lvlJc w:val="left"/>
      <w:pPr>
        <w:tabs>
          <w:tab w:val="num" w:pos="2880"/>
        </w:tabs>
        <w:ind w:left="2880" w:hanging="360"/>
      </w:pPr>
      <w:rPr>
        <w:rFonts w:ascii="Symbol" w:hAnsi="Symbol" w:hint="default"/>
      </w:rPr>
    </w:lvl>
    <w:lvl w:ilvl="4" w:tplc="EF0A199A" w:tentative="1">
      <w:start w:val="1"/>
      <w:numFmt w:val="bullet"/>
      <w:lvlText w:val="o"/>
      <w:lvlJc w:val="left"/>
      <w:pPr>
        <w:tabs>
          <w:tab w:val="num" w:pos="3600"/>
        </w:tabs>
        <w:ind w:left="3600" w:hanging="360"/>
      </w:pPr>
      <w:rPr>
        <w:rFonts w:ascii="Courier New" w:hAnsi="Courier New" w:cs="Courier New" w:hint="default"/>
      </w:rPr>
    </w:lvl>
    <w:lvl w:ilvl="5" w:tplc="A072A5E0" w:tentative="1">
      <w:start w:val="1"/>
      <w:numFmt w:val="bullet"/>
      <w:lvlText w:val=""/>
      <w:lvlJc w:val="left"/>
      <w:pPr>
        <w:tabs>
          <w:tab w:val="num" w:pos="4320"/>
        </w:tabs>
        <w:ind w:left="4320" w:hanging="360"/>
      </w:pPr>
      <w:rPr>
        <w:rFonts w:ascii="Wingdings" w:hAnsi="Wingdings" w:hint="default"/>
      </w:rPr>
    </w:lvl>
    <w:lvl w:ilvl="6" w:tplc="17DA485E" w:tentative="1">
      <w:start w:val="1"/>
      <w:numFmt w:val="bullet"/>
      <w:lvlText w:val=""/>
      <w:lvlJc w:val="left"/>
      <w:pPr>
        <w:tabs>
          <w:tab w:val="num" w:pos="5040"/>
        </w:tabs>
        <w:ind w:left="5040" w:hanging="360"/>
      </w:pPr>
      <w:rPr>
        <w:rFonts w:ascii="Symbol" w:hAnsi="Symbol" w:hint="default"/>
      </w:rPr>
    </w:lvl>
    <w:lvl w:ilvl="7" w:tplc="92345022" w:tentative="1">
      <w:start w:val="1"/>
      <w:numFmt w:val="bullet"/>
      <w:lvlText w:val="o"/>
      <w:lvlJc w:val="left"/>
      <w:pPr>
        <w:tabs>
          <w:tab w:val="num" w:pos="5760"/>
        </w:tabs>
        <w:ind w:left="5760" w:hanging="360"/>
      </w:pPr>
      <w:rPr>
        <w:rFonts w:ascii="Courier New" w:hAnsi="Courier New" w:cs="Courier New" w:hint="default"/>
      </w:rPr>
    </w:lvl>
    <w:lvl w:ilvl="8" w:tplc="78A4C87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B8CDFFA">
      <w:start w:val="1"/>
      <w:numFmt w:val="bullet"/>
      <w:pStyle w:val="Lijstopsomteken2"/>
      <w:lvlText w:val="–"/>
      <w:lvlJc w:val="left"/>
      <w:pPr>
        <w:tabs>
          <w:tab w:val="num" w:pos="227"/>
        </w:tabs>
        <w:ind w:left="227" w:firstLine="0"/>
      </w:pPr>
      <w:rPr>
        <w:rFonts w:ascii="Verdana" w:hAnsi="Verdana" w:hint="default"/>
      </w:rPr>
    </w:lvl>
    <w:lvl w:ilvl="1" w:tplc="FA727F04" w:tentative="1">
      <w:start w:val="1"/>
      <w:numFmt w:val="bullet"/>
      <w:lvlText w:val="o"/>
      <w:lvlJc w:val="left"/>
      <w:pPr>
        <w:tabs>
          <w:tab w:val="num" w:pos="1440"/>
        </w:tabs>
        <w:ind w:left="1440" w:hanging="360"/>
      </w:pPr>
      <w:rPr>
        <w:rFonts w:ascii="Courier New" w:hAnsi="Courier New" w:cs="Courier New" w:hint="default"/>
      </w:rPr>
    </w:lvl>
    <w:lvl w:ilvl="2" w:tplc="37A2BC0A" w:tentative="1">
      <w:start w:val="1"/>
      <w:numFmt w:val="bullet"/>
      <w:lvlText w:val=""/>
      <w:lvlJc w:val="left"/>
      <w:pPr>
        <w:tabs>
          <w:tab w:val="num" w:pos="2160"/>
        </w:tabs>
        <w:ind w:left="2160" w:hanging="360"/>
      </w:pPr>
      <w:rPr>
        <w:rFonts w:ascii="Wingdings" w:hAnsi="Wingdings" w:hint="default"/>
      </w:rPr>
    </w:lvl>
    <w:lvl w:ilvl="3" w:tplc="7AFCA88C" w:tentative="1">
      <w:start w:val="1"/>
      <w:numFmt w:val="bullet"/>
      <w:lvlText w:val=""/>
      <w:lvlJc w:val="left"/>
      <w:pPr>
        <w:tabs>
          <w:tab w:val="num" w:pos="2880"/>
        </w:tabs>
        <w:ind w:left="2880" w:hanging="360"/>
      </w:pPr>
      <w:rPr>
        <w:rFonts w:ascii="Symbol" w:hAnsi="Symbol" w:hint="default"/>
      </w:rPr>
    </w:lvl>
    <w:lvl w:ilvl="4" w:tplc="B1D6F18A" w:tentative="1">
      <w:start w:val="1"/>
      <w:numFmt w:val="bullet"/>
      <w:lvlText w:val="o"/>
      <w:lvlJc w:val="left"/>
      <w:pPr>
        <w:tabs>
          <w:tab w:val="num" w:pos="3600"/>
        </w:tabs>
        <w:ind w:left="3600" w:hanging="360"/>
      </w:pPr>
      <w:rPr>
        <w:rFonts w:ascii="Courier New" w:hAnsi="Courier New" w:cs="Courier New" w:hint="default"/>
      </w:rPr>
    </w:lvl>
    <w:lvl w:ilvl="5" w:tplc="CB9A7DB0" w:tentative="1">
      <w:start w:val="1"/>
      <w:numFmt w:val="bullet"/>
      <w:lvlText w:val=""/>
      <w:lvlJc w:val="left"/>
      <w:pPr>
        <w:tabs>
          <w:tab w:val="num" w:pos="4320"/>
        </w:tabs>
        <w:ind w:left="4320" w:hanging="360"/>
      </w:pPr>
      <w:rPr>
        <w:rFonts w:ascii="Wingdings" w:hAnsi="Wingdings" w:hint="default"/>
      </w:rPr>
    </w:lvl>
    <w:lvl w:ilvl="6" w:tplc="6A8CDFC8" w:tentative="1">
      <w:start w:val="1"/>
      <w:numFmt w:val="bullet"/>
      <w:lvlText w:val=""/>
      <w:lvlJc w:val="left"/>
      <w:pPr>
        <w:tabs>
          <w:tab w:val="num" w:pos="5040"/>
        </w:tabs>
        <w:ind w:left="5040" w:hanging="360"/>
      </w:pPr>
      <w:rPr>
        <w:rFonts w:ascii="Symbol" w:hAnsi="Symbol" w:hint="default"/>
      </w:rPr>
    </w:lvl>
    <w:lvl w:ilvl="7" w:tplc="9618C54E" w:tentative="1">
      <w:start w:val="1"/>
      <w:numFmt w:val="bullet"/>
      <w:lvlText w:val="o"/>
      <w:lvlJc w:val="left"/>
      <w:pPr>
        <w:tabs>
          <w:tab w:val="num" w:pos="5760"/>
        </w:tabs>
        <w:ind w:left="5760" w:hanging="360"/>
      </w:pPr>
      <w:rPr>
        <w:rFonts w:ascii="Courier New" w:hAnsi="Courier New" w:cs="Courier New" w:hint="default"/>
      </w:rPr>
    </w:lvl>
    <w:lvl w:ilvl="8" w:tplc="B650961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25379697">
    <w:abstractNumId w:val="10"/>
  </w:num>
  <w:num w:numId="2" w16cid:durableId="693506756">
    <w:abstractNumId w:val="7"/>
  </w:num>
  <w:num w:numId="3" w16cid:durableId="770786552">
    <w:abstractNumId w:val="6"/>
  </w:num>
  <w:num w:numId="4" w16cid:durableId="2059740417">
    <w:abstractNumId w:val="5"/>
  </w:num>
  <w:num w:numId="5" w16cid:durableId="353193435">
    <w:abstractNumId w:val="4"/>
  </w:num>
  <w:num w:numId="6" w16cid:durableId="681469982">
    <w:abstractNumId w:val="8"/>
  </w:num>
  <w:num w:numId="7" w16cid:durableId="952634413">
    <w:abstractNumId w:val="3"/>
  </w:num>
  <w:num w:numId="8" w16cid:durableId="768546445">
    <w:abstractNumId w:val="2"/>
  </w:num>
  <w:num w:numId="9" w16cid:durableId="590815581">
    <w:abstractNumId w:val="1"/>
  </w:num>
  <w:num w:numId="10" w16cid:durableId="1418794768">
    <w:abstractNumId w:val="0"/>
  </w:num>
  <w:num w:numId="11" w16cid:durableId="2110347592">
    <w:abstractNumId w:val="9"/>
  </w:num>
  <w:num w:numId="12" w16cid:durableId="620379975">
    <w:abstractNumId w:val="11"/>
  </w:num>
  <w:num w:numId="13" w16cid:durableId="845635737">
    <w:abstractNumId w:val="13"/>
  </w:num>
  <w:num w:numId="14" w16cid:durableId="108869649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76FF1"/>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50BD"/>
    <w:rsid w:val="000E7895"/>
    <w:rsid w:val="000F161D"/>
    <w:rsid w:val="000F3CAA"/>
    <w:rsid w:val="000F4D52"/>
    <w:rsid w:val="000F717D"/>
    <w:rsid w:val="00102ABB"/>
    <w:rsid w:val="00121BF0"/>
    <w:rsid w:val="0012329A"/>
    <w:rsid w:val="00123704"/>
    <w:rsid w:val="001270C7"/>
    <w:rsid w:val="00132540"/>
    <w:rsid w:val="00132FC3"/>
    <w:rsid w:val="00133F0F"/>
    <w:rsid w:val="0014160E"/>
    <w:rsid w:val="0014462A"/>
    <w:rsid w:val="0014786A"/>
    <w:rsid w:val="001516A4"/>
    <w:rsid w:val="00151E5F"/>
    <w:rsid w:val="00152EF9"/>
    <w:rsid w:val="00153E28"/>
    <w:rsid w:val="001569AB"/>
    <w:rsid w:val="00164D63"/>
    <w:rsid w:val="0016725C"/>
    <w:rsid w:val="001726F3"/>
    <w:rsid w:val="00173C51"/>
    <w:rsid w:val="00174CC2"/>
    <w:rsid w:val="00176CC6"/>
    <w:rsid w:val="00181BE4"/>
    <w:rsid w:val="00185576"/>
    <w:rsid w:val="0018559C"/>
    <w:rsid w:val="00185951"/>
    <w:rsid w:val="00196B8B"/>
    <w:rsid w:val="001A2BEA"/>
    <w:rsid w:val="001A6D93"/>
    <w:rsid w:val="001A7608"/>
    <w:rsid w:val="001C071E"/>
    <w:rsid w:val="001C32EC"/>
    <w:rsid w:val="001C38BD"/>
    <w:rsid w:val="001C4D5A"/>
    <w:rsid w:val="001C6A9A"/>
    <w:rsid w:val="001D1272"/>
    <w:rsid w:val="001D5AF9"/>
    <w:rsid w:val="001E34C6"/>
    <w:rsid w:val="001E5581"/>
    <w:rsid w:val="001E5800"/>
    <w:rsid w:val="001F1E8B"/>
    <w:rsid w:val="001F3C70"/>
    <w:rsid w:val="00200D88"/>
    <w:rsid w:val="00201F68"/>
    <w:rsid w:val="00210340"/>
    <w:rsid w:val="00212F2A"/>
    <w:rsid w:val="00214F2B"/>
    <w:rsid w:val="00216DCC"/>
    <w:rsid w:val="00217880"/>
    <w:rsid w:val="00220B6C"/>
    <w:rsid w:val="00222D66"/>
    <w:rsid w:val="00224A8A"/>
    <w:rsid w:val="002309A8"/>
    <w:rsid w:val="002369BF"/>
    <w:rsid w:val="00236CFE"/>
    <w:rsid w:val="00241D72"/>
    <w:rsid w:val="002428E3"/>
    <w:rsid w:val="00243031"/>
    <w:rsid w:val="00260BAF"/>
    <w:rsid w:val="002650F7"/>
    <w:rsid w:val="00272CA5"/>
    <w:rsid w:val="00273F3B"/>
    <w:rsid w:val="00274DB7"/>
    <w:rsid w:val="00275984"/>
    <w:rsid w:val="00280076"/>
    <w:rsid w:val="00280F74"/>
    <w:rsid w:val="002822CA"/>
    <w:rsid w:val="00286998"/>
    <w:rsid w:val="00291AB7"/>
    <w:rsid w:val="00292EB2"/>
    <w:rsid w:val="0029422B"/>
    <w:rsid w:val="002A0938"/>
    <w:rsid w:val="002A0A57"/>
    <w:rsid w:val="002B153C"/>
    <w:rsid w:val="002B52FC"/>
    <w:rsid w:val="002C2830"/>
    <w:rsid w:val="002D001A"/>
    <w:rsid w:val="002D28E2"/>
    <w:rsid w:val="002D317B"/>
    <w:rsid w:val="002D3587"/>
    <w:rsid w:val="002D502D"/>
    <w:rsid w:val="002E0F69"/>
    <w:rsid w:val="002F5147"/>
    <w:rsid w:val="002F7ABD"/>
    <w:rsid w:val="00312597"/>
    <w:rsid w:val="00312A4C"/>
    <w:rsid w:val="0031782B"/>
    <w:rsid w:val="00321D9D"/>
    <w:rsid w:val="00327BA5"/>
    <w:rsid w:val="0033326F"/>
    <w:rsid w:val="00334154"/>
    <w:rsid w:val="003372C4"/>
    <w:rsid w:val="00340ECA"/>
    <w:rsid w:val="00341FA0"/>
    <w:rsid w:val="00344F3D"/>
    <w:rsid w:val="00345299"/>
    <w:rsid w:val="0034590E"/>
    <w:rsid w:val="00346F3A"/>
    <w:rsid w:val="00351A8D"/>
    <w:rsid w:val="003526BB"/>
    <w:rsid w:val="00352BCF"/>
    <w:rsid w:val="00352DFB"/>
    <w:rsid w:val="00353932"/>
    <w:rsid w:val="00353B15"/>
    <w:rsid w:val="00353ECE"/>
    <w:rsid w:val="0035464B"/>
    <w:rsid w:val="00361A56"/>
    <w:rsid w:val="0036252A"/>
    <w:rsid w:val="00364D9D"/>
    <w:rsid w:val="00371048"/>
    <w:rsid w:val="0037396C"/>
    <w:rsid w:val="0037421D"/>
    <w:rsid w:val="00376093"/>
    <w:rsid w:val="00376743"/>
    <w:rsid w:val="003776FB"/>
    <w:rsid w:val="003779BE"/>
    <w:rsid w:val="00383DA1"/>
    <w:rsid w:val="003844FC"/>
    <w:rsid w:val="00385F30"/>
    <w:rsid w:val="00393696"/>
    <w:rsid w:val="00393963"/>
    <w:rsid w:val="00395575"/>
    <w:rsid w:val="00395672"/>
    <w:rsid w:val="00396A8F"/>
    <w:rsid w:val="003A06C8"/>
    <w:rsid w:val="003A0D7C"/>
    <w:rsid w:val="003A5290"/>
    <w:rsid w:val="003B0155"/>
    <w:rsid w:val="003B1319"/>
    <w:rsid w:val="003B7EE7"/>
    <w:rsid w:val="003C2CCB"/>
    <w:rsid w:val="003D19EA"/>
    <w:rsid w:val="003D39EC"/>
    <w:rsid w:val="003D5DED"/>
    <w:rsid w:val="003E3DD5"/>
    <w:rsid w:val="003F07C6"/>
    <w:rsid w:val="003F1F6B"/>
    <w:rsid w:val="003F3757"/>
    <w:rsid w:val="003F38BD"/>
    <w:rsid w:val="003F44B7"/>
    <w:rsid w:val="004008E9"/>
    <w:rsid w:val="00403519"/>
    <w:rsid w:val="00413D48"/>
    <w:rsid w:val="00431AD9"/>
    <w:rsid w:val="00441AC2"/>
    <w:rsid w:val="0044249B"/>
    <w:rsid w:val="004425CC"/>
    <w:rsid w:val="00450043"/>
    <w:rsid w:val="0045023C"/>
    <w:rsid w:val="00451A5B"/>
    <w:rsid w:val="00452BCD"/>
    <w:rsid w:val="00452C11"/>
    <w:rsid w:val="00452CEA"/>
    <w:rsid w:val="00453A1E"/>
    <w:rsid w:val="00465B52"/>
    <w:rsid w:val="0046708E"/>
    <w:rsid w:val="00472A65"/>
    <w:rsid w:val="00474463"/>
    <w:rsid w:val="00474B75"/>
    <w:rsid w:val="00483F0B"/>
    <w:rsid w:val="00496319"/>
    <w:rsid w:val="00497279"/>
    <w:rsid w:val="004A163B"/>
    <w:rsid w:val="004A36CE"/>
    <w:rsid w:val="004A670A"/>
    <w:rsid w:val="004B5465"/>
    <w:rsid w:val="004B70F0"/>
    <w:rsid w:val="004C21A8"/>
    <w:rsid w:val="004D006D"/>
    <w:rsid w:val="004D505E"/>
    <w:rsid w:val="004D72CA"/>
    <w:rsid w:val="004E2242"/>
    <w:rsid w:val="004E505E"/>
    <w:rsid w:val="004E6FB0"/>
    <w:rsid w:val="004F0666"/>
    <w:rsid w:val="004F42FF"/>
    <w:rsid w:val="004F44C2"/>
    <w:rsid w:val="00502512"/>
    <w:rsid w:val="00503FD2"/>
    <w:rsid w:val="00505262"/>
    <w:rsid w:val="00516022"/>
    <w:rsid w:val="00521CEE"/>
    <w:rsid w:val="00522D6C"/>
    <w:rsid w:val="00524FB4"/>
    <w:rsid w:val="00527BD4"/>
    <w:rsid w:val="005330E6"/>
    <w:rsid w:val="00537095"/>
    <w:rsid w:val="005403C8"/>
    <w:rsid w:val="005429DC"/>
    <w:rsid w:val="005461DA"/>
    <w:rsid w:val="005565F9"/>
    <w:rsid w:val="00565040"/>
    <w:rsid w:val="00566A4C"/>
    <w:rsid w:val="00573041"/>
    <w:rsid w:val="00575B80"/>
    <w:rsid w:val="0057620F"/>
    <w:rsid w:val="00576DD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D6FBD"/>
    <w:rsid w:val="005F62D3"/>
    <w:rsid w:val="005F6D11"/>
    <w:rsid w:val="005F7CD1"/>
    <w:rsid w:val="00600CF0"/>
    <w:rsid w:val="006048F4"/>
    <w:rsid w:val="0060660A"/>
    <w:rsid w:val="006066CF"/>
    <w:rsid w:val="0061015E"/>
    <w:rsid w:val="00613B1D"/>
    <w:rsid w:val="00617A44"/>
    <w:rsid w:val="006202B6"/>
    <w:rsid w:val="00620EF2"/>
    <w:rsid w:val="00625CD0"/>
    <w:rsid w:val="0062627D"/>
    <w:rsid w:val="00627432"/>
    <w:rsid w:val="00643FAA"/>
    <w:rsid w:val="006448E4"/>
    <w:rsid w:val="00645414"/>
    <w:rsid w:val="00651CEE"/>
    <w:rsid w:val="00653606"/>
    <w:rsid w:val="006610E9"/>
    <w:rsid w:val="00661591"/>
    <w:rsid w:val="00664678"/>
    <w:rsid w:val="0066632F"/>
    <w:rsid w:val="00666A10"/>
    <w:rsid w:val="00674A89"/>
    <w:rsid w:val="00674F3D"/>
    <w:rsid w:val="00685545"/>
    <w:rsid w:val="006864B3"/>
    <w:rsid w:val="00692D64"/>
    <w:rsid w:val="006A013B"/>
    <w:rsid w:val="006A10F8"/>
    <w:rsid w:val="006A2100"/>
    <w:rsid w:val="006A5C3B"/>
    <w:rsid w:val="006A72E0"/>
    <w:rsid w:val="006A782E"/>
    <w:rsid w:val="006B0BF3"/>
    <w:rsid w:val="006B32E7"/>
    <w:rsid w:val="006B3C17"/>
    <w:rsid w:val="006B4CA7"/>
    <w:rsid w:val="006B775E"/>
    <w:rsid w:val="006B7BC7"/>
    <w:rsid w:val="006C149C"/>
    <w:rsid w:val="006C2535"/>
    <w:rsid w:val="006C441E"/>
    <w:rsid w:val="006C4B90"/>
    <w:rsid w:val="006D1016"/>
    <w:rsid w:val="006D17F2"/>
    <w:rsid w:val="006E1828"/>
    <w:rsid w:val="006E3546"/>
    <w:rsid w:val="006E3FA9"/>
    <w:rsid w:val="006E7D82"/>
    <w:rsid w:val="006F038F"/>
    <w:rsid w:val="006F0F93"/>
    <w:rsid w:val="006F31F2"/>
    <w:rsid w:val="006F7494"/>
    <w:rsid w:val="006F751F"/>
    <w:rsid w:val="00705433"/>
    <w:rsid w:val="00713DA8"/>
    <w:rsid w:val="00714DC5"/>
    <w:rsid w:val="00715237"/>
    <w:rsid w:val="00721AE1"/>
    <w:rsid w:val="007254A5"/>
    <w:rsid w:val="00725748"/>
    <w:rsid w:val="007269E3"/>
    <w:rsid w:val="00732F79"/>
    <w:rsid w:val="007347A1"/>
    <w:rsid w:val="00735D88"/>
    <w:rsid w:val="0073720D"/>
    <w:rsid w:val="00737507"/>
    <w:rsid w:val="00740712"/>
    <w:rsid w:val="00742AB9"/>
    <w:rsid w:val="00746C31"/>
    <w:rsid w:val="00751A6A"/>
    <w:rsid w:val="00754FBF"/>
    <w:rsid w:val="00755FB6"/>
    <w:rsid w:val="007610AA"/>
    <w:rsid w:val="007709EF"/>
    <w:rsid w:val="00773496"/>
    <w:rsid w:val="00781B30"/>
    <w:rsid w:val="00782701"/>
    <w:rsid w:val="00783559"/>
    <w:rsid w:val="0079551B"/>
    <w:rsid w:val="00797AA5"/>
    <w:rsid w:val="007A26BD"/>
    <w:rsid w:val="007A4105"/>
    <w:rsid w:val="007B230A"/>
    <w:rsid w:val="007B4503"/>
    <w:rsid w:val="007C406E"/>
    <w:rsid w:val="007C5183"/>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25088"/>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06B8"/>
    <w:rsid w:val="008624E1"/>
    <w:rsid w:val="00872271"/>
    <w:rsid w:val="008738B5"/>
    <w:rsid w:val="008765DE"/>
    <w:rsid w:val="00883137"/>
    <w:rsid w:val="00885AE4"/>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0A60"/>
    <w:rsid w:val="00901BE9"/>
    <w:rsid w:val="0090271B"/>
    <w:rsid w:val="00906C2E"/>
    <w:rsid w:val="00910642"/>
    <w:rsid w:val="00910DDF"/>
    <w:rsid w:val="00922290"/>
    <w:rsid w:val="00926AE2"/>
    <w:rsid w:val="00930B13"/>
    <w:rsid w:val="009311C8"/>
    <w:rsid w:val="00933376"/>
    <w:rsid w:val="00933A2F"/>
    <w:rsid w:val="00944A37"/>
    <w:rsid w:val="009716D8"/>
    <w:rsid w:val="009718F9"/>
    <w:rsid w:val="00971F42"/>
    <w:rsid w:val="00972FB9"/>
    <w:rsid w:val="00974082"/>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C7F34"/>
    <w:rsid w:val="009D043D"/>
    <w:rsid w:val="009E3C59"/>
    <w:rsid w:val="009F3259"/>
    <w:rsid w:val="00A037D5"/>
    <w:rsid w:val="00A056DE"/>
    <w:rsid w:val="00A1122C"/>
    <w:rsid w:val="00A128AD"/>
    <w:rsid w:val="00A13FBD"/>
    <w:rsid w:val="00A16D7E"/>
    <w:rsid w:val="00A21E76"/>
    <w:rsid w:val="00A23BC8"/>
    <w:rsid w:val="00A245F8"/>
    <w:rsid w:val="00A30285"/>
    <w:rsid w:val="00A30E68"/>
    <w:rsid w:val="00A31933"/>
    <w:rsid w:val="00A329D2"/>
    <w:rsid w:val="00A34AA0"/>
    <w:rsid w:val="00A3715C"/>
    <w:rsid w:val="00A413B4"/>
    <w:rsid w:val="00A41FE2"/>
    <w:rsid w:val="00A46FEF"/>
    <w:rsid w:val="00A47948"/>
    <w:rsid w:val="00A505FD"/>
    <w:rsid w:val="00A50CF6"/>
    <w:rsid w:val="00A56946"/>
    <w:rsid w:val="00A57A1D"/>
    <w:rsid w:val="00A6170E"/>
    <w:rsid w:val="00A62852"/>
    <w:rsid w:val="00A63B8C"/>
    <w:rsid w:val="00A715F8"/>
    <w:rsid w:val="00A71FC6"/>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01F3"/>
    <w:rsid w:val="00B12456"/>
    <w:rsid w:val="00B145F0"/>
    <w:rsid w:val="00B23CD0"/>
    <w:rsid w:val="00B259C8"/>
    <w:rsid w:val="00B26CCF"/>
    <w:rsid w:val="00B30FC2"/>
    <w:rsid w:val="00B331A2"/>
    <w:rsid w:val="00B425F0"/>
    <w:rsid w:val="00B42DFA"/>
    <w:rsid w:val="00B4464B"/>
    <w:rsid w:val="00B531DD"/>
    <w:rsid w:val="00B55014"/>
    <w:rsid w:val="00B62232"/>
    <w:rsid w:val="00B70BF3"/>
    <w:rsid w:val="00B71252"/>
    <w:rsid w:val="00B71DC2"/>
    <w:rsid w:val="00B849F5"/>
    <w:rsid w:val="00B91CFC"/>
    <w:rsid w:val="00B93893"/>
    <w:rsid w:val="00B93A74"/>
    <w:rsid w:val="00BA1397"/>
    <w:rsid w:val="00BA7E0A"/>
    <w:rsid w:val="00BC2C00"/>
    <w:rsid w:val="00BC348A"/>
    <w:rsid w:val="00BC3B53"/>
    <w:rsid w:val="00BC3B96"/>
    <w:rsid w:val="00BC4AE3"/>
    <w:rsid w:val="00BC5B28"/>
    <w:rsid w:val="00BD1124"/>
    <w:rsid w:val="00BD2370"/>
    <w:rsid w:val="00BD2D73"/>
    <w:rsid w:val="00BE3F88"/>
    <w:rsid w:val="00BE4756"/>
    <w:rsid w:val="00BE5ED9"/>
    <w:rsid w:val="00BE7B41"/>
    <w:rsid w:val="00BF4CC0"/>
    <w:rsid w:val="00C011E5"/>
    <w:rsid w:val="00C13AE1"/>
    <w:rsid w:val="00C15A91"/>
    <w:rsid w:val="00C206F1"/>
    <w:rsid w:val="00C217E1"/>
    <w:rsid w:val="00C219B1"/>
    <w:rsid w:val="00C4015B"/>
    <w:rsid w:val="00C40C60"/>
    <w:rsid w:val="00C43FE6"/>
    <w:rsid w:val="00C5258E"/>
    <w:rsid w:val="00C530C9"/>
    <w:rsid w:val="00C619A7"/>
    <w:rsid w:val="00C73D5F"/>
    <w:rsid w:val="00C82AFE"/>
    <w:rsid w:val="00C8370B"/>
    <w:rsid w:val="00C83DBC"/>
    <w:rsid w:val="00C92B9C"/>
    <w:rsid w:val="00C97C80"/>
    <w:rsid w:val="00CA47D3"/>
    <w:rsid w:val="00CA58B7"/>
    <w:rsid w:val="00CA6533"/>
    <w:rsid w:val="00CA6A25"/>
    <w:rsid w:val="00CA6A3F"/>
    <w:rsid w:val="00CA7C99"/>
    <w:rsid w:val="00CB0A71"/>
    <w:rsid w:val="00CC6290"/>
    <w:rsid w:val="00CC6947"/>
    <w:rsid w:val="00CD233D"/>
    <w:rsid w:val="00CD3499"/>
    <w:rsid w:val="00CD362D"/>
    <w:rsid w:val="00CD3CB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2754C"/>
    <w:rsid w:val="00D32F78"/>
    <w:rsid w:val="00D33BF0"/>
    <w:rsid w:val="00D33DE0"/>
    <w:rsid w:val="00D36447"/>
    <w:rsid w:val="00D516BE"/>
    <w:rsid w:val="00D5423B"/>
    <w:rsid w:val="00D54E6A"/>
    <w:rsid w:val="00D54F4E"/>
    <w:rsid w:val="00D56E01"/>
    <w:rsid w:val="00D57A56"/>
    <w:rsid w:val="00D604B3"/>
    <w:rsid w:val="00D60BA4"/>
    <w:rsid w:val="00D62419"/>
    <w:rsid w:val="00D63DD5"/>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30C"/>
    <w:rsid w:val="00DE578A"/>
    <w:rsid w:val="00DF2583"/>
    <w:rsid w:val="00DF54D9"/>
    <w:rsid w:val="00DF5C75"/>
    <w:rsid w:val="00DF7283"/>
    <w:rsid w:val="00E01A59"/>
    <w:rsid w:val="00E10DC6"/>
    <w:rsid w:val="00E11F8E"/>
    <w:rsid w:val="00E15881"/>
    <w:rsid w:val="00E16A8F"/>
    <w:rsid w:val="00E20156"/>
    <w:rsid w:val="00E21DE3"/>
    <w:rsid w:val="00E24A71"/>
    <w:rsid w:val="00E273C5"/>
    <w:rsid w:val="00E307D1"/>
    <w:rsid w:val="00E315C9"/>
    <w:rsid w:val="00E3287E"/>
    <w:rsid w:val="00E3731D"/>
    <w:rsid w:val="00E51469"/>
    <w:rsid w:val="00E62F88"/>
    <w:rsid w:val="00E634E3"/>
    <w:rsid w:val="00E717C4"/>
    <w:rsid w:val="00E758FD"/>
    <w:rsid w:val="00E76E64"/>
    <w:rsid w:val="00E77E18"/>
    <w:rsid w:val="00E77F89"/>
    <w:rsid w:val="00E80330"/>
    <w:rsid w:val="00E806C5"/>
    <w:rsid w:val="00E80E71"/>
    <w:rsid w:val="00E850D3"/>
    <w:rsid w:val="00E853D6"/>
    <w:rsid w:val="00E876B9"/>
    <w:rsid w:val="00E94934"/>
    <w:rsid w:val="00EA7398"/>
    <w:rsid w:val="00EC0DFF"/>
    <w:rsid w:val="00EC237D"/>
    <w:rsid w:val="00EC2918"/>
    <w:rsid w:val="00EC4D0E"/>
    <w:rsid w:val="00EC4E2B"/>
    <w:rsid w:val="00ED072A"/>
    <w:rsid w:val="00ED5268"/>
    <w:rsid w:val="00ED539E"/>
    <w:rsid w:val="00EE4A1F"/>
    <w:rsid w:val="00EE4C2D"/>
    <w:rsid w:val="00EF1B5A"/>
    <w:rsid w:val="00EF24FB"/>
    <w:rsid w:val="00EF2CCA"/>
    <w:rsid w:val="00EF495B"/>
    <w:rsid w:val="00EF60DC"/>
    <w:rsid w:val="00F00F54"/>
    <w:rsid w:val="00F03963"/>
    <w:rsid w:val="00F04F89"/>
    <w:rsid w:val="00F07EBB"/>
    <w:rsid w:val="00F11068"/>
    <w:rsid w:val="00F1256D"/>
    <w:rsid w:val="00F13A4E"/>
    <w:rsid w:val="00F172BB"/>
    <w:rsid w:val="00F17B10"/>
    <w:rsid w:val="00F21BEF"/>
    <w:rsid w:val="00F2315B"/>
    <w:rsid w:val="00F34805"/>
    <w:rsid w:val="00F34BC9"/>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00FF7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E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6A782E"/>
    <w:rPr>
      <w:sz w:val="16"/>
      <w:szCs w:val="16"/>
    </w:rPr>
  </w:style>
  <w:style w:type="paragraph" w:styleId="Tekstopmerking">
    <w:name w:val="annotation text"/>
    <w:basedOn w:val="Standaard"/>
    <w:link w:val="TekstopmerkingChar"/>
    <w:unhideWhenUsed/>
    <w:rsid w:val="006A782E"/>
    <w:pPr>
      <w:spacing w:line="240" w:lineRule="auto"/>
    </w:pPr>
    <w:rPr>
      <w:sz w:val="20"/>
      <w:szCs w:val="20"/>
    </w:rPr>
  </w:style>
  <w:style w:type="character" w:customStyle="1" w:styleId="TekstopmerkingChar">
    <w:name w:val="Tekst opmerking Char"/>
    <w:basedOn w:val="Standaardalinea-lettertype"/>
    <w:link w:val="Tekstopmerking"/>
    <w:rsid w:val="006A782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A782E"/>
    <w:rPr>
      <w:b/>
      <w:bCs/>
    </w:rPr>
  </w:style>
  <w:style w:type="character" w:customStyle="1" w:styleId="OnderwerpvanopmerkingChar">
    <w:name w:val="Onderwerp van opmerking Char"/>
    <w:basedOn w:val="TekstopmerkingChar"/>
    <w:link w:val="Onderwerpvanopmerking"/>
    <w:semiHidden/>
    <w:rsid w:val="006A782E"/>
    <w:rPr>
      <w:rFonts w:ascii="Verdana" w:hAnsi="Verdana"/>
      <w:b/>
      <w:bCs/>
      <w:lang w:val="nl-NL" w:eastAsia="nl-NL"/>
    </w:rPr>
  </w:style>
  <w:style w:type="paragraph" w:styleId="Revisie">
    <w:name w:val="Revision"/>
    <w:hidden/>
    <w:uiPriority w:val="99"/>
    <w:semiHidden/>
    <w:rsid w:val="008606B8"/>
    <w:rPr>
      <w:rFonts w:ascii="Verdana" w:hAnsi="Verdana"/>
      <w:sz w:val="18"/>
      <w:szCs w:val="24"/>
      <w:lang w:val="nl-NL" w:eastAsia="nl-NL"/>
    </w:rPr>
  </w:style>
  <w:style w:type="character" w:styleId="Voetnootmarkering">
    <w:name w:val="footnote reference"/>
    <w:basedOn w:val="Standaardalinea-lettertype"/>
    <w:semiHidden/>
    <w:unhideWhenUsed/>
    <w:rsid w:val="001A7608"/>
    <w:rPr>
      <w:vertAlign w:val="superscript"/>
    </w:rPr>
  </w:style>
  <w:style w:type="character" w:styleId="Onopgelostemelding">
    <w:name w:val="Unresolved Mention"/>
    <w:basedOn w:val="Standaardalinea-lettertype"/>
    <w:uiPriority w:val="99"/>
    <w:semiHidden/>
    <w:unhideWhenUsed/>
    <w:rsid w:val="001A7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cpb.nl/system/files/cpbmedia/CPB_publicatie-economische-impact-van-hogere-energieprijzen-door-de-iranoorlog_0.pdf" TargetMode="External"/><Relationship Id="rId2" Type="http://schemas.openxmlformats.org/officeDocument/2006/relationships/hyperlink" Target="https://www.cbs.nl/nl-nl/cijfers/detail/83140NED?" TargetMode="External"/><Relationship Id="rId1" Type="http://schemas.openxmlformats.org/officeDocument/2006/relationships/hyperlink" Target="https://www.cbs.nl/nl-nl/cijfers/detail/84596NED?utm_source=chatgpt.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472</ap:Words>
  <ap:Characters>2597</ap:Characters>
  <ap:DocSecurity>0</ap:DocSecurity>
  <ap:Lines>21</ap:Lines>
  <ap:Paragraphs>6</ap:Paragraphs>
  <ap:ScaleCrop>false</ap:ScaleCrop>
  <ap:LinksUpToDate>false</ap:LinksUpToDate>
  <ap:CharactersWithSpaces>3063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2026-07-14T09:55:00.0000000Z</dcterms:created>
  <dcterms:modified xsi:type="dcterms:W3CDTF">2026-07-14T09:55:00.0000000Z</dcterms:modified>
  <dc:description>------------------------</dc:description>
  <dc:subject/>
  <keywords/>
  <version/>
  <category/>
</coreProperties>
</file>