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F0B" w:rsidRDefault="000D20F4" w14:paraId="72729E5A" w14:textId="13816418">
      <w:bookmarkStart w:name="_GoBack" w:id="0"/>
      <w:bookmarkEnd w:id="0"/>
      <w:r>
        <w:t xml:space="preserve">Geachte voorzitter, </w:t>
      </w:r>
    </w:p>
    <w:p w:rsidR="000D20F4" w:rsidRDefault="000D20F4" w14:paraId="52D2605F" w14:textId="77777777"/>
    <w:p w:rsidR="00FE3A10" w:rsidP="00FE3A10" w:rsidRDefault="00FE3A10" w14:paraId="6F464071" w14:textId="0DAA5F95">
      <w:r w:rsidRPr="004F39C4">
        <w:t xml:space="preserve">In de beroepsprocedure van </w:t>
      </w:r>
      <w:r>
        <w:t xml:space="preserve">een aantal </w:t>
      </w:r>
      <w:r w:rsidRPr="00FE3A10">
        <w:t>Mobility-as-a-Service-</w:t>
      </w:r>
      <w:r>
        <w:t>aanbieders</w:t>
      </w:r>
      <w:r w:rsidRPr="004F39C4">
        <w:t xml:space="preserve"> </w:t>
      </w:r>
      <w:r>
        <w:t>(</w:t>
      </w:r>
      <w:r w:rsidRPr="004F39C4">
        <w:t>MaaS-aanbieders</w:t>
      </w:r>
      <w:r>
        <w:t>)</w:t>
      </w:r>
      <w:r w:rsidRPr="004F39C4">
        <w:t xml:space="preserve"> tegen de gunning van de HRN-concessie heeft het </w:t>
      </w:r>
      <w:r>
        <w:t>College van Beroep voor het bedrijfsleven (</w:t>
      </w:r>
      <w:r w:rsidRPr="004F39C4">
        <w:t>CBb</w:t>
      </w:r>
      <w:r>
        <w:t>)</w:t>
      </w:r>
      <w:r w:rsidRPr="004F39C4">
        <w:t xml:space="preserve"> in </w:t>
      </w:r>
      <w:r w:rsidR="00E15D85">
        <w:t>de</w:t>
      </w:r>
      <w:r>
        <w:t xml:space="preserve"> </w:t>
      </w:r>
      <w:r w:rsidR="001542BA">
        <w:t>eerdere</w:t>
      </w:r>
      <w:r w:rsidRPr="004F39C4">
        <w:t xml:space="preserve"> tussenuitspraak van 30 juni 2025 IenW opgedragen om artikel 44 van de HRN-concessie aan te passen. </w:t>
      </w:r>
      <w:r w:rsidRPr="00FE3A10">
        <w:t xml:space="preserve">Op 10 oktober 2025 is artikel 44 van de concessie officieel gewijzigd, hierover is </w:t>
      </w:r>
      <w:r w:rsidR="001022BB">
        <w:t>de</w:t>
      </w:r>
      <w:r w:rsidRPr="00FE3A10" w:rsidR="001022BB">
        <w:t xml:space="preserve"> </w:t>
      </w:r>
      <w:r w:rsidRPr="00FE3A10">
        <w:t xml:space="preserve">Kamer </w:t>
      </w:r>
      <w:r w:rsidR="00EB2648">
        <w:t xml:space="preserve">al eerder </w:t>
      </w:r>
      <w:r w:rsidRPr="00FE3A10">
        <w:t>geïnformeerd.</w:t>
      </w:r>
      <w:r w:rsidR="00E15D85">
        <w:rPr>
          <w:rStyle w:val="FootnoteReference"/>
        </w:rPr>
        <w:footnoteReference w:id="1"/>
      </w:r>
      <w:r w:rsidRPr="00FE3A10">
        <w:t xml:space="preserve"> Vervolgens is op 6 november het definitieve besluit genomen ter vaststelling van het referentieaanbod NS 2026.</w:t>
      </w:r>
      <w:r w:rsidR="001542BA">
        <w:rPr>
          <w:rStyle w:val="FootnoteReference"/>
        </w:rPr>
        <w:footnoteReference w:id="2"/>
      </w:r>
      <w:r w:rsidRPr="00FE3A10">
        <w:t xml:space="preserve"> Bij beide </w:t>
      </w:r>
      <w:r w:rsidR="00D342B4">
        <w:t>besluiten</w:t>
      </w:r>
      <w:r w:rsidRPr="00FE3A10">
        <w:t xml:space="preserve"> hebben onafhankelijk</w:t>
      </w:r>
      <w:r w:rsidR="00D342B4">
        <w:t>e</w:t>
      </w:r>
      <w:r w:rsidRPr="00FE3A10">
        <w:t xml:space="preserve"> economisch deskundigen geadviseerd.</w:t>
      </w:r>
      <w:r w:rsidR="00DF08A6">
        <w:t xml:space="preserve"> </w:t>
      </w:r>
      <w:r w:rsidRPr="004F39C4" w:rsidR="00DF08A6">
        <w:t>Het CBb</w:t>
      </w:r>
      <w:r w:rsidR="00DF08A6">
        <w:t xml:space="preserve"> zal</w:t>
      </w:r>
      <w:r w:rsidRPr="004F39C4" w:rsidR="00DF08A6">
        <w:t xml:space="preserve"> beoordelen of dit herstelbesluit voldoet aan de eisen in de </w:t>
      </w:r>
      <w:r w:rsidR="00DF08A6">
        <w:t xml:space="preserve">betreffende </w:t>
      </w:r>
      <w:r w:rsidRPr="004F39C4" w:rsidR="00DF08A6">
        <w:t>tussenuitspraak.</w:t>
      </w:r>
    </w:p>
    <w:p w:rsidR="00FE3A10" w:rsidRDefault="00FE3A10" w14:paraId="61D8A25C" w14:textId="77777777"/>
    <w:p w:rsidR="000D20F4" w:rsidRDefault="000D20F4" w14:paraId="748166FD" w14:textId="45B7ABCB">
      <w:r>
        <w:t xml:space="preserve">Via deze brief wil ik </w:t>
      </w:r>
      <w:r w:rsidR="001022BB">
        <w:t xml:space="preserve">de </w:t>
      </w:r>
      <w:r>
        <w:t>Kamer informeren over de</w:t>
      </w:r>
      <w:r w:rsidR="00FE3A10">
        <w:t xml:space="preserve"> nieuwe</w:t>
      </w:r>
      <w:r>
        <w:t xml:space="preserve"> tussenuitspraak van</w:t>
      </w:r>
      <w:r w:rsidR="00FE3A10">
        <w:t xml:space="preserve"> 1 juni jl. van</w:t>
      </w:r>
      <w:r>
        <w:t xml:space="preserve"> het CBb. Dit mede naar aanleiding van de toezegging aan Kamerlid Schutz (VVD)</w:t>
      </w:r>
      <w:r>
        <w:rPr>
          <w:rStyle w:val="FootnoteReference"/>
        </w:rPr>
        <w:footnoteReference w:id="3"/>
      </w:r>
      <w:r>
        <w:t xml:space="preserve">. Ook informeer ik </w:t>
      </w:r>
      <w:r w:rsidR="001022BB">
        <w:t xml:space="preserve">de </w:t>
      </w:r>
      <w:r>
        <w:t xml:space="preserve">Kamer </w:t>
      </w:r>
      <w:r w:rsidR="00DF08A6">
        <w:t>over</w:t>
      </w:r>
      <w:r>
        <w:t xml:space="preserve"> het besluit dat ik heb genomen met betrekking tot het referentieaanbod van NS voor 2027, dit is hier namelijk aan gerelateerd. </w:t>
      </w:r>
      <w:r w:rsidR="003D03F5">
        <w:t xml:space="preserve">Het besluit en de onafhankelijke toets zal ik, conform artikel 44 van de HRN-concessie, publiceren. </w:t>
      </w:r>
      <w:r>
        <w:t xml:space="preserve"> </w:t>
      </w:r>
    </w:p>
    <w:p w:rsidR="000D20F4" w:rsidRDefault="000D20F4" w14:paraId="2732810D" w14:textId="77777777"/>
    <w:p w:rsidR="000D20F4" w:rsidRDefault="000D20F4" w14:paraId="6D70105B" w14:textId="0914C4EB">
      <w:pPr>
        <w:rPr>
          <w:i/>
          <w:iCs/>
        </w:rPr>
      </w:pPr>
      <w:r>
        <w:rPr>
          <w:i/>
          <w:iCs/>
        </w:rPr>
        <w:t>Tussenuitspraak CBb</w:t>
      </w:r>
    </w:p>
    <w:p w:rsidR="00B71A3A" w:rsidP="00B71A3A" w:rsidRDefault="00B71A3A" w14:paraId="1149EA43" w14:textId="4584D020">
      <w:r>
        <w:t>De MaaS-aanbieders hadden het CBb verzocht om een voorlopige voorziening te treffen</w:t>
      </w:r>
      <w:r w:rsidR="0005434D">
        <w:t>.</w:t>
      </w:r>
      <w:r>
        <w:t xml:space="preserve"> </w:t>
      </w:r>
      <w:r w:rsidR="0005434D">
        <w:t>H</w:t>
      </w:r>
      <w:r>
        <w:t>et CBb heeft met de</w:t>
      </w:r>
      <w:r w:rsidR="001542BA">
        <w:t xml:space="preserve"> tussenuitspraak van 1 juni jl.</w:t>
      </w:r>
      <w:r>
        <w:t xml:space="preserve"> invulling gegeven aan dit verzoek. Met de tussenuitspraak blijven t</w:t>
      </w:r>
      <w:r w:rsidR="000D20F4">
        <w:t xml:space="preserve">ot 1 januari 2027 </w:t>
      </w:r>
      <w:r>
        <w:t xml:space="preserve">grotendeels </w:t>
      </w:r>
      <w:r w:rsidR="000D20F4">
        <w:t xml:space="preserve">de tijdelijke afspraken die NS en de MaaS-aanbieders </w:t>
      </w:r>
      <w:r w:rsidR="00493995">
        <w:t>hebben gemaakt</w:t>
      </w:r>
      <w:r w:rsidR="001542BA">
        <w:t>,</w:t>
      </w:r>
      <w:r w:rsidR="000D20F4">
        <w:t xml:space="preserve"> </w:t>
      </w:r>
      <w:r>
        <w:t>in stand. De enige wijziging is een ophoging van de</w:t>
      </w:r>
      <w:r w:rsidR="000D20F4">
        <w:t xml:space="preserve"> distributiekostenkorting </w:t>
      </w:r>
      <w:r w:rsidR="00EB2648">
        <w:t xml:space="preserve">(DKC) </w:t>
      </w:r>
      <w:r w:rsidR="000D20F4">
        <w:t xml:space="preserve">voor de MaaS-aanbieders </w:t>
      </w:r>
      <w:r>
        <w:t>met</w:t>
      </w:r>
      <w:r w:rsidR="000D20F4">
        <w:t xml:space="preserve"> 1,5%. </w:t>
      </w:r>
      <w:r>
        <w:t xml:space="preserve">De </w:t>
      </w:r>
      <w:r w:rsidR="00EB2648">
        <w:t>DKC</w:t>
      </w:r>
      <w:r>
        <w:t xml:space="preserve"> is de korting die de MaaS-aanbieders krijgen bij het inkopen bij NS</w:t>
      </w:r>
      <w:r w:rsidR="001542BA">
        <w:t>,</w:t>
      </w:r>
      <w:r>
        <w:t xml:space="preserve"> omdat NS kosten met betrekking tot verkoop bespaart. Ook schorst het CBb tijdelijk enkele delen van artikel 44 van de HRN-concessie en bijlage 13. Deze onderdelen hebben betrekking op de berekening van de kortingen die MaaS-aanbieders krijgen. Na het vervallen van de voorlopige voorziening (per 1 januari 2027) zullen deze onderdelen niet langer geschorst zijn. </w:t>
      </w:r>
      <w:r w:rsidR="00EB2648">
        <w:t>H</w:t>
      </w:r>
      <w:r w:rsidR="00500FCC">
        <w:t xml:space="preserve">et CBb </w:t>
      </w:r>
      <w:r w:rsidR="00EB2648">
        <w:t xml:space="preserve">heeft </w:t>
      </w:r>
      <w:r w:rsidR="00EB2648">
        <w:lastRenderedPageBreak/>
        <w:t>inmiddels</w:t>
      </w:r>
      <w:r w:rsidR="00E12A52">
        <w:t xml:space="preserve"> aan partijen</w:t>
      </w:r>
      <w:r w:rsidR="00EB2648">
        <w:t xml:space="preserve"> </w:t>
      </w:r>
      <w:r w:rsidR="00500FCC">
        <w:t xml:space="preserve">aangekondigd een deskundige te willen benoemen en het onderzoek te heropenen alvorens een definitieve uitspraak te doen. </w:t>
      </w:r>
    </w:p>
    <w:p w:rsidR="001542BA" w:rsidP="00B71A3A" w:rsidRDefault="001542BA" w14:paraId="014A900F" w14:textId="77777777">
      <w:pPr>
        <w:rPr>
          <w:i/>
          <w:iCs/>
        </w:rPr>
      </w:pPr>
    </w:p>
    <w:p w:rsidR="00B71A3A" w:rsidP="00B71A3A" w:rsidRDefault="00B71A3A" w14:paraId="10AE7F6A" w14:textId="20373720">
      <w:pPr>
        <w:rPr>
          <w:i/>
          <w:iCs/>
        </w:rPr>
      </w:pPr>
      <w:r>
        <w:rPr>
          <w:i/>
          <w:iCs/>
        </w:rPr>
        <w:t>Besluit referentieaanbod NS 2027</w:t>
      </w:r>
    </w:p>
    <w:p w:rsidRPr="00B71A3A" w:rsidR="00B71A3A" w:rsidP="00B71A3A" w:rsidRDefault="00B71A3A" w14:paraId="03810F55" w14:textId="60B1F55A">
      <w:r>
        <w:t>Naar aanleiding van de tussenuitspraak van het CBb in de hierboven beschreven zaak in 2025, is artikel 44 van de HRN-concessie gewijzigd. In het huidige artikel 44 staat het jaarlijkse proces beschreven voor de vaststelling van het referentieaanbod van NS.</w:t>
      </w:r>
      <w:r w:rsidR="00D36643">
        <w:t xml:space="preserve"> Het referentieaanbod van NS stelt MaaS-aanbieders in staat om treinvervoer van NS te verkopen. Met het referentieaanbod kunnen deze partijen eigen proposities ontwikkelen. </w:t>
      </w:r>
      <w:r w:rsidR="00E12A52">
        <w:t>Het CBb heeft enkele onderdelen van artikel 44 geschorst, maar ik ben nog steeds verplicht om een besluit te nemen op het referentieaanbod van NS voor 2027</w:t>
      </w:r>
      <w:r w:rsidR="00D36643">
        <w:t>.</w:t>
      </w:r>
      <w:r w:rsidR="00002DEE">
        <w:rPr>
          <w:rStyle w:val="FootnoteReference"/>
        </w:rPr>
        <w:footnoteReference w:id="4"/>
      </w:r>
      <w:r w:rsidR="00E12A52">
        <w:t xml:space="preserve"> </w:t>
      </w:r>
      <w:r w:rsidR="00D36643">
        <w:t xml:space="preserve">Alle betrokken partijen zijn ook gebaat bij de duidelijkheid die hiermee wordt gecreëerd. Op 1 mei jl. heb ik het referentieaanbod voor 2027 van NS ontvangen. Dit aanbod heb ik, conform artikel 44, laten toetsen door onafhankelijke deskundigen. De conclusie van deze toets is dat het referentieaanbod voldoet aan de in de HRN-concessie gestelde voorwaarden. Het referentieaanbod is transparant, non-discriminatoir en concurrerend en zorgt ervoor dat een gelijk speelveld wordt gecreëerd tussen NS en de MaaS-aanbieders. Om die reden heb ik besloten het referentieaanbod goed te keuren. Ik wil uiteraard ook rekening houden met de lopende rechtszaak en de getroffen voorlopige voorziening. Daarom heb ik ook besloten dat het referentieaanbod </w:t>
      </w:r>
      <w:r w:rsidR="003E6E83">
        <w:t xml:space="preserve">2027 </w:t>
      </w:r>
      <w:r w:rsidR="00D36643">
        <w:t>pas na de definitieve uitspraak van het CBb geldig wordt. Tot aan de definitieve uitspraak geld</w:t>
      </w:r>
      <w:r w:rsidR="00493995">
        <w:t xml:space="preserve">t wat is </w:t>
      </w:r>
      <w:r w:rsidR="00D36643">
        <w:t xml:space="preserve">beschreven in de voorlopige voorziening. </w:t>
      </w:r>
    </w:p>
    <w:p w:rsidR="003D6F0B" w:rsidRDefault="00CA3FE6" w14:paraId="3CE639CE" w14:textId="77777777">
      <w:pPr>
        <w:pStyle w:val="Slotzin"/>
      </w:pPr>
      <w:r>
        <w:t>Hoogachtend,</w:t>
      </w:r>
    </w:p>
    <w:p w:rsidR="003D6F0B" w:rsidRDefault="00CA3FE6" w14:paraId="6744685A" w14:textId="77777777">
      <w:pPr>
        <w:pStyle w:val="OndertekeningArea1"/>
      </w:pPr>
      <w:r>
        <w:t>DE STAATSSECRETARIS VAN INFRASTRUCTUUR EN WATERSTAAT,</w:t>
      </w:r>
    </w:p>
    <w:p w:rsidR="003D6F0B" w:rsidRDefault="003D6F0B" w14:paraId="466440B4" w14:textId="77777777"/>
    <w:p w:rsidR="003D6F0B" w:rsidRDefault="003D6F0B" w14:paraId="0F130479" w14:textId="77777777"/>
    <w:p w:rsidR="003D6F0B" w:rsidRDefault="003D6F0B" w14:paraId="679F4995" w14:textId="77777777"/>
    <w:p w:rsidR="003D6F0B" w:rsidRDefault="003D6F0B" w14:paraId="64D6B8BC" w14:textId="77777777"/>
    <w:p w:rsidR="003D6F0B" w:rsidRDefault="00CA3FE6" w14:paraId="1C79FBCF" w14:textId="77777777">
      <w:r>
        <w:t>Annet Bertram</w:t>
      </w:r>
    </w:p>
    <w:sectPr w:rsidR="003D6F0B">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9BE62" w14:textId="77777777" w:rsidR="007C7226" w:rsidRDefault="007C7226">
      <w:pPr>
        <w:spacing w:line="240" w:lineRule="auto"/>
      </w:pPr>
      <w:r>
        <w:separator/>
      </w:r>
    </w:p>
  </w:endnote>
  <w:endnote w:type="continuationSeparator" w:id="0">
    <w:p w14:paraId="4FFB7683" w14:textId="77777777" w:rsidR="007C7226" w:rsidRDefault="007C72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46915" w14:textId="77777777" w:rsidR="005E5EC5" w:rsidRDefault="005E5E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7F5F5" w14:textId="77777777" w:rsidR="005E5EC5" w:rsidRDefault="005E5E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19181" w14:textId="77777777" w:rsidR="005E5EC5" w:rsidRDefault="005E5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D0178" w14:textId="77777777" w:rsidR="007C7226" w:rsidRDefault="007C7226">
      <w:pPr>
        <w:spacing w:line="240" w:lineRule="auto"/>
      </w:pPr>
      <w:r>
        <w:separator/>
      </w:r>
    </w:p>
  </w:footnote>
  <w:footnote w:type="continuationSeparator" w:id="0">
    <w:p w14:paraId="6AF35DEC" w14:textId="77777777" w:rsidR="007C7226" w:rsidRDefault="007C7226">
      <w:pPr>
        <w:spacing w:line="240" w:lineRule="auto"/>
      </w:pPr>
      <w:r>
        <w:continuationSeparator/>
      </w:r>
    </w:p>
  </w:footnote>
  <w:footnote w:id="1">
    <w:p w14:paraId="1BB72532" w14:textId="7F659AA1" w:rsidR="00E15D85" w:rsidRDefault="00E15D85">
      <w:pPr>
        <w:pStyle w:val="FootnoteText"/>
      </w:pPr>
      <w:r w:rsidRPr="00E15D85">
        <w:rPr>
          <w:rStyle w:val="FootnoteReference"/>
          <w:sz w:val="16"/>
          <w:szCs w:val="16"/>
        </w:rPr>
        <w:footnoteRef/>
      </w:r>
      <w:r w:rsidRPr="00E15D85">
        <w:rPr>
          <w:sz w:val="16"/>
          <w:szCs w:val="16"/>
        </w:rPr>
        <w:t xml:space="preserve"> Kamerstukken 29984, nr. 1261 en</w:t>
      </w:r>
      <w:r>
        <w:rPr>
          <w:sz w:val="16"/>
          <w:szCs w:val="16"/>
        </w:rPr>
        <w:t xml:space="preserve"> </w:t>
      </w:r>
      <w:r w:rsidRPr="00E15D85">
        <w:rPr>
          <w:sz w:val="16"/>
          <w:szCs w:val="16"/>
        </w:rPr>
        <w:t>nr. 1264.</w:t>
      </w:r>
    </w:p>
  </w:footnote>
  <w:footnote w:id="2">
    <w:p w14:paraId="2729E084" w14:textId="05EA6531" w:rsidR="001542BA" w:rsidRDefault="001542BA">
      <w:pPr>
        <w:pStyle w:val="FootnoteText"/>
      </w:pPr>
      <w:r w:rsidRPr="001542BA">
        <w:rPr>
          <w:rStyle w:val="FootnoteReference"/>
          <w:sz w:val="16"/>
          <w:szCs w:val="16"/>
        </w:rPr>
        <w:footnoteRef/>
      </w:r>
      <w:r w:rsidRPr="001542BA">
        <w:rPr>
          <w:sz w:val="16"/>
          <w:szCs w:val="16"/>
        </w:rPr>
        <w:t xml:space="preserve"> </w:t>
      </w:r>
      <w:hyperlink r:id="rId1" w:history="1">
        <w:r w:rsidRPr="001542BA">
          <w:rPr>
            <w:rStyle w:val="Hyperlink"/>
            <w:sz w:val="16"/>
            <w:szCs w:val="16"/>
          </w:rPr>
          <w:t>Definitief besluit referentieaanbod NS voor 2026 | Rijksoverheid.nl</w:t>
        </w:r>
      </w:hyperlink>
    </w:p>
  </w:footnote>
  <w:footnote w:id="3">
    <w:p w14:paraId="2FECF48D" w14:textId="5A4CDB82" w:rsidR="000D20F4" w:rsidRDefault="000D20F4">
      <w:pPr>
        <w:pStyle w:val="FootnoteText"/>
      </w:pPr>
      <w:r w:rsidRPr="000D20F4">
        <w:rPr>
          <w:rStyle w:val="FootnoteReference"/>
          <w:sz w:val="16"/>
          <w:szCs w:val="16"/>
        </w:rPr>
        <w:footnoteRef/>
      </w:r>
      <w:r w:rsidRPr="000D20F4">
        <w:rPr>
          <w:sz w:val="16"/>
          <w:szCs w:val="16"/>
        </w:rPr>
        <w:t xml:space="preserve"> TZ202606-046</w:t>
      </w:r>
    </w:p>
  </w:footnote>
  <w:footnote w:id="4">
    <w:p w14:paraId="2FBC614B" w14:textId="56F75C6F" w:rsidR="00002DEE" w:rsidRDefault="00002DEE">
      <w:pPr>
        <w:pStyle w:val="FootnoteText"/>
      </w:pPr>
      <w:r w:rsidRPr="00002DEE">
        <w:rPr>
          <w:rStyle w:val="FootnoteReference"/>
          <w:sz w:val="16"/>
          <w:szCs w:val="16"/>
        </w:rPr>
        <w:footnoteRef/>
      </w:r>
      <w:r w:rsidRPr="00002DEE">
        <w:rPr>
          <w:sz w:val="16"/>
          <w:szCs w:val="16"/>
        </w:rPr>
        <w:t xml:space="preserve"> De </w:t>
      </w:r>
      <w:r w:rsidR="00E12A52">
        <w:rPr>
          <w:sz w:val="16"/>
          <w:szCs w:val="16"/>
        </w:rPr>
        <w:t xml:space="preserve">verplichting in artikel </w:t>
      </w:r>
      <w:r w:rsidR="006120F5">
        <w:rPr>
          <w:sz w:val="16"/>
          <w:szCs w:val="16"/>
        </w:rPr>
        <w:t>44 om binnen acht weken na ontvangst daarvan een besluit te nemen op een voorstel van NS voor een referentieaanbod is niet geschorst</w:t>
      </w:r>
      <w:r w:rsidRPr="00002DEE">
        <w:rPr>
          <w:sz w:val="16"/>
          <w:szCs w:val="16"/>
        </w:rPr>
        <w:t xml:space="preserve">. Bovendien </w:t>
      </w:r>
      <w:r w:rsidR="006120F5">
        <w:rPr>
          <w:sz w:val="16"/>
          <w:szCs w:val="16"/>
        </w:rPr>
        <w:t xml:space="preserve">is  deze </w:t>
      </w:r>
      <w:r w:rsidRPr="00002DEE">
        <w:rPr>
          <w:sz w:val="16"/>
          <w:szCs w:val="16"/>
        </w:rPr>
        <w:t>schorsing</w:t>
      </w:r>
      <w:r w:rsidR="006120F5">
        <w:rPr>
          <w:sz w:val="16"/>
          <w:szCs w:val="16"/>
        </w:rPr>
        <w:t xml:space="preserve"> tijdelijk</w:t>
      </w:r>
      <w:r w:rsidRPr="00002DEE">
        <w:rPr>
          <w:sz w:val="16"/>
          <w:szCs w:val="16"/>
        </w:rPr>
        <w:t xml:space="preserve">, </w:t>
      </w:r>
      <w:r w:rsidR="006120F5">
        <w:rPr>
          <w:sz w:val="16"/>
          <w:szCs w:val="16"/>
        </w:rPr>
        <w:t>na afloop daarvan moet er een referentieaanbod voor 2027 zijn dat</w:t>
      </w:r>
      <w:r w:rsidRPr="00002DEE">
        <w:rPr>
          <w:sz w:val="16"/>
          <w:szCs w:val="16"/>
        </w:rPr>
        <w:t xml:space="preserve"> voldoe</w:t>
      </w:r>
      <w:r w:rsidR="006120F5">
        <w:rPr>
          <w:sz w:val="16"/>
          <w:szCs w:val="16"/>
        </w:rPr>
        <w:t>t</w:t>
      </w:r>
      <w:r w:rsidRPr="00002DEE">
        <w:rPr>
          <w:sz w:val="16"/>
          <w:szCs w:val="16"/>
        </w:rPr>
        <w:t xml:space="preserve"> aan alle voorwaarden die gesteld worden in de concessie.</w:t>
      </w:r>
      <w:r w:rsidR="00966A77">
        <w:rPr>
          <w:sz w:val="16"/>
          <w:szCs w:val="16"/>
        </w:rPr>
        <w:t xml:space="preserve"> Daar hecht ik ook grote waarde aan, aangezien in de concessie is bepaald dat het referentieaanbod voor een gelijk speelveld moet zorgen.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912D1" w14:textId="77777777" w:rsidR="005E5EC5" w:rsidRDefault="005E5E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CB5DD" w14:textId="77777777" w:rsidR="003D6F0B" w:rsidRDefault="00CA3FE6">
    <w:r>
      <w:rPr>
        <w:noProof/>
        <w:lang w:val="en-GB" w:eastAsia="en-GB"/>
      </w:rPr>
      <mc:AlternateContent>
        <mc:Choice Requires="wps">
          <w:drawing>
            <wp:anchor distT="0" distB="0" distL="0" distR="0" simplePos="0" relativeHeight="251651584" behindDoc="0" locked="1" layoutInCell="1" allowOverlap="1" wp14:anchorId="4535C951" wp14:editId="3B790C9B">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8ADAE2D" w14:textId="77777777" w:rsidR="003D6F0B" w:rsidRDefault="00CA3FE6">
                          <w:pPr>
                            <w:pStyle w:val="AfzendgegevensKop0"/>
                          </w:pPr>
                          <w:r>
                            <w:t>Ministerie van Infrastructuur en Waterstaat</w:t>
                          </w:r>
                        </w:p>
                        <w:p w14:paraId="09FF9C37" w14:textId="77777777" w:rsidR="003D6F0B" w:rsidRDefault="003D6F0B">
                          <w:pPr>
                            <w:pStyle w:val="WitregelW2"/>
                          </w:pPr>
                        </w:p>
                        <w:p w14:paraId="2E188F5F" w14:textId="77777777" w:rsidR="003D6F0B" w:rsidRDefault="00CA3FE6">
                          <w:pPr>
                            <w:pStyle w:val="Referentiegegevenskop"/>
                          </w:pPr>
                          <w:r>
                            <w:t>Ons kenmerk</w:t>
                          </w:r>
                        </w:p>
                        <w:p w14:paraId="7F40FB7C" w14:textId="29426F06" w:rsidR="003D6F0B" w:rsidRDefault="005C276B">
                          <w:pPr>
                            <w:pStyle w:val="Referentiegegevens"/>
                          </w:pPr>
                          <w:r w:rsidRPr="005C276B">
                            <w:t>IENW/BSK-2026/110860</w:t>
                          </w:r>
                        </w:p>
                      </w:txbxContent>
                    </wps:txbx>
                    <wps:bodyPr vert="horz" wrap="square" lIns="0" tIns="0" rIns="0" bIns="0" anchor="t" anchorCtr="0"/>
                  </wps:wsp>
                </a:graphicData>
              </a:graphic>
            </wp:anchor>
          </w:drawing>
        </mc:Choice>
        <mc:Fallback>
          <w:pict>
            <v:shapetype w14:anchorId="4535C951"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8ADAE2D" w14:textId="77777777" w:rsidR="003D6F0B" w:rsidRDefault="00CA3FE6">
                    <w:pPr>
                      <w:pStyle w:val="AfzendgegevensKop0"/>
                    </w:pPr>
                    <w:r>
                      <w:t>Ministerie van Infrastructuur en Waterstaat</w:t>
                    </w:r>
                  </w:p>
                  <w:p w14:paraId="09FF9C37" w14:textId="77777777" w:rsidR="003D6F0B" w:rsidRDefault="003D6F0B">
                    <w:pPr>
                      <w:pStyle w:val="WitregelW2"/>
                    </w:pPr>
                  </w:p>
                  <w:p w14:paraId="2E188F5F" w14:textId="77777777" w:rsidR="003D6F0B" w:rsidRDefault="00CA3FE6">
                    <w:pPr>
                      <w:pStyle w:val="Referentiegegevenskop"/>
                    </w:pPr>
                    <w:r>
                      <w:t>Ons kenmerk</w:t>
                    </w:r>
                  </w:p>
                  <w:p w14:paraId="7F40FB7C" w14:textId="29426F06" w:rsidR="003D6F0B" w:rsidRDefault="005C276B">
                    <w:pPr>
                      <w:pStyle w:val="Referentiegegevens"/>
                    </w:pPr>
                    <w:r w:rsidRPr="005C276B">
                      <w:t>IENW/BSK-2026/110860</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DE56A88" wp14:editId="55349D2D">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F0FD0D7" w14:textId="77777777" w:rsidR="003D6F0B" w:rsidRDefault="00CA3FE6">
                          <w:pPr>
                            <w:pStyle w:val="Referentiegegevens"/>
                          </w:pPr>
                          <w:r>
                            <w:t xml:space="preserve">Page </w:t>
                          </w:r>
                          <w:r>
                            <w:fldChar w:fldCharType="begin"/>
                          </w:r>
                          <w:r>
                            <w:instrText>PAGE</w:instrText>
                          </w:r>
                          <w:r>
                            <w:fldChar w:fldCharType="separate"/>
                          </w:r>
                          <w:r w:rsidR="00771DD7">
                            <w:rPr>
                              <w:noProof/>
                            </w:rPr>
                            <w:t>1</w:t>
                          </w:r>
                          <w:r>
                            <w:fldChar w:fldCharType="end"/>
                          </w:r>
                          <w:r>
                            <w:t xml:space="preserve"> of </w:t>
                          </w:r>
                          <w:r>
                            <w:fldChar w:fldCharType="begin"/>
                          </w:r>
                          <w:r>
                            <w:instrText>NUMPAGES</w:instrText>
                          </w:r>
                          <w:r>
                            <w:fldChar w:fldCharType="separate"/>
                          </w:r>
                          <w:r w:rsidR="00771DD7">
                            <w:rPr>
                              <w:noProof/>
                            </w:rPr>
                            <w:t>1</w:t>
                          </w:r>
                          <w:r>
                            <w:fldChar w:fldCharType="end"/>
                          </w:r>
                        </w:p>
                      </w:txbxContent>
                    </wps:txbx>
                    <wps:bodyPr vert="horz" wrap="square" lIns="0" tIns="0" rIns="0" bIns="0" anchor="t" anchorCtr="0"/>
                  </wps:wsp>
                </a:graphicData>
              </a:graphic>
            </wp:anchor>
          </w:drawing>
        </mc:Choice>
        <mc:Fallback>
          <w:pict>
            <v:shape w14:anchorId="2DE56A88"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F0FD0D7" w14:textId="77777777" w:rsidR="003D6F0B" w:rsidRDefault="00CA3FE6">
                    <w:pPr>
                      <w:pStyle w:val="Referentiegegevens"/>
                    </w:pPr>
                    <w:r>
                      <w:t xml:space="preserve">Page </w:t>
                    </w:r>
                    <w:r>
                      <w:fldChar w:fldCharType="begin"/>
                    </w:r>
                    <w:r>
                      <w:instrText>PAGE</w:instrText>
                    </w:r>
                    <w:r>
                      <w:fldChar w:fldCharType="separate"/>
                    </w:r>
                    <w:r w:rsidR="00771DD7">
                      <w:rPr>
                        <w:noProof/>
                      </w:rPr>
                      <w:t>1</w:t>
                    </w:r>
                    <w:r>
                      <w:fldChar w:fldCharType="end"/>
                    </w:r>
                    <w:r>
                      <w:t xml:space="preserve"> of </w:t>
                    </w:r>
                    <w:r>
                      <w:fldChar w:fldCharType="begin"/>
                    </w:r>
                    <w:r>
                      <w:instrText>NUMPAGES</w:instrText>
                    </w:r>
                    <w:r>
                      <w:fldChar w:fldCharType="separate"/>
                    </w:r>
                    <w:r w:rsidR="00771DD7">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E7EA2E9" wp14:editId="3B3C9D23">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B7DCDAD" w14:textId="77777777" w:rsidR="00B33979" w:rsidRDefault="00B33979"/>
                      </w:txbxContent>
                    </wps:txbx>
                    <wps:bodyPr vert="horz" wrap="square" lIns="0" tIns="0" rIns="0" bIns="0" anchor="t" anchorCtr="0"/>
                  </wps:wsp>
                </a:graphicData>
              </a:graphic>
            </wp:anchor>
          </w:drawing>
        </mc:Choice>
        <mc:Fallback>
          <w:pict>
            <v:shape w14:anchorId="5E7EA2E9"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B7DCDAD" w14:textId="77777777" w:rsidR="00B33979" w:rsidRDefault="00B33979"/>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F650F0D" wp14:editId="02FF1635">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C765D09" w14:textId="77777777" w:rsidR="00B33979" w:rsidRDefault="00B33979"/>
                      </w:txbxContent>
                    </wps:txbx>
                    <wps:bodyPr vert="horz" wrap="square" lIns="0" tIns="0" rIns="0" bIns="0" anchor="t" anchorCtr="0"/>
                  </wps:wsp>
                </a:graphicData>
              </a:graphic>
            </wp:anchor>
          </w:drawing>
        </mc:Choice>
        <mc:Fallback>
          <w:pict>
            <v:shape w14:anchorId="1F650F0D"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C765D09" w14:textId="77777777" w:rsidR="00B33979" w:rsidRDefault="00B33979"/>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CA85F" w14:textId="77777777" w:rsidR="003D6F0B" w:rsidRDefault="00CA3FE6">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F039060" wp14:editId="16C6714C">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478887E" w14:textId="77777777" w:rsidR="00B33979" w:rsidRDefault="00B33979"/>
                      </w:txbxContent>
                    </wps:txbx>
                    <wps:bodyPr vert="horz" wrap="square" lIns="0" tIns="0" rIns="0" bIns="0" anchor="t" anchorCtr="0"/>
                  </wps:wsp>
                </a:graphicData>
              </a:graphic>
            </wp:anchor>
          </w:drawing>
        </mc:Choice>
        <mc:Fallback>
          <w:pict>
            <v:shapetype w14:anchorId="0F039060"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478887E" w14:textId="77777777" w:rsidR="00B33979" w:rsidRDefault="00B33979"/>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5F5207D" wp14:editId="37EC37DF">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CF1CF56" w14:textId="651E07D1" w:rsidR="003D6F0B" w:rsidRDefault="00CA3FE6">
                          <w:pPr>
                            <w:pStyle w:val="Referentiegegevens"/>
                          </w:pPr>
                          <w:r>
                            <w:t xml:space="preserve">Page </w:t>
                          </w:r>
                          <w:r>
                            <w:fldChar w:fldCharType="begin"/>
                          </w:r>
                          <w:r>
                            <w:instrText>PAGE</w:instrText>
                          </w:r>
                          <w:r>
                            <w:fldChar w:fldCharType="separate"/>
                          </w:r>
                          <w:r w:rsidR="00F55DB5">
                            <w:rPr>
                              <w:noProof/>
                            </w:rPr>
                            <w:t>1</w:t>
                          </w:r>
                          <w:r>
                            <w:fldChar w:fldCharType="end"/>
                          </w:r>
                          <w:r>
                            <w:t xml:space="preserve"> of </w:t>
                          </w:r>
                          <w:r>
                            <w:fldChar w:fldCharType="begin"/>
                          </w:r>
                          <w:r>
                            <w:instrText>NUMPAGES</w:instrText>
                          </w:r>
                          <w:r>
                            <w:fldChar w:fldCharType="separate"/>
                          </w:r>
                          <w:r w:rsidR="00F55DB5">
                            <w:rPr>
                              <w:noProof/>
                            </w:rPr>
                            <w:t>1</w:t>
                          </w:r>
                          <w:r>
                            <w:fldChar w:fldCharType="end"/>
                          </w:r>
                        </w:p>
                      </w:txbxContent>
                    </wps:txbx>
                    <wps:bodyPr vert="horz" wrap="square" lIns="0" tIns="0" rIns="0" bIns="0" anchor="t" anchorCtr="0"/>
                  </wps:wsp>
                </a:graphicData>
              </a:graphic>
            </wp:anchor>
          </w:drawing>
        </mc:Choice>
        <mc:Fallback>
          <w:pict>
            <v:shape w14:anchorId="55F5207D"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CF1CF56" w14:textId="651E07D1" w:rsidR="003D6F0B" w:rsidRDefault="00CA3FE6">
                    <w:pPr>
                      <w:pStyle w:val="Referentiegegevens"/>
                    </w:pPr>
                    <w:r>
                      <w:t xml:space="preserve">Page </w:t>
                    </w:r>
                    <w:r>
                      <w:fldChar w:fldCharType="begin"/>
                    </w:r>
                    <w:r>
                      <w:instrText>PAGE</w:instrText>
                    </w:r>
                    <w:r>
                      <w:fldChar w:fldCharType="separate"/>
                    </w:r>
                    <w:r w:rsidR="00F55DB5">
                      <w:rPr>
                        <w:noProof/>
                      </w:rPr>
                      <w:t>1</w:t>
                    </w:r>
                    <w:r>
                      <w:fldChar w:fldCharType="end"/>
                    </w:r>
                    <w:r>
                      <w:t xml:space="preserve"> of </w:t>
                    </w:r>
                    <w:r>
                      <w:fldChar w:fldCharType="begin"/>
                    </w:r>
                    <w:r>
                      <w:instrText>NUMPAGES</w:instrText>
                    </w:r>
                    <w:r>
                      <w:fldChar w:fldCharType="separate"/>
                    </w:r>
                    <w:r w:rsidR="00F55DB5">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C284564" wp14:editId="2FFB164C">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53A71E9" w14:textId="77777777" w:rsidR="003D6F0B" w:rsidRDefault="00CA3FE6">
                          <w:pPr>
                            <w:pStyle w:val="AfzendgegevensKop0"/>
                          </w:pPr>
                          <w:r>
                            <w:t>Ministerie van Infrastructuur en Waterstaat</w:t>
                          </w:r>
                        </w:p>
                        <w:p w14:paraId="7E30A353" w14:textId="77777777" w:rsidR="003D6F0B" w:rsidRDefault="003D6F0B">
                          <w:pPr>
                            <w:pStyle w:val="WitregelW1"/>
                          </w:pPr>
                        </w:p>
                        <w:p w14:paraId="2AF6A363" w14:textId="77777777" w:rsidR="003D6F0B" w:rsidRDefault="00CA3FE6">
                          <w:pPr>
                            <w:pStyle w:val="Afzendgegevens"/>
                          </w:pPr>
                          <w:r>
                            <w:t>Rijnstraat 8</w:t>
                          </w:r>
                        </w:p>
                        <w:p w14:paraId="52E6C6BC" w14:textId="1CE75BC4" w:rsidR="003D6F0B" w:rsidRPr="00771DD7" w:rsidRDefault="00CA3FE6">
                          <w:pPr>
                            <w:pStyle w:val="Afzendgegevens"/>
                            <w:rPr>
                              <w:lang w:val="de-DE"/>
                            </w:rPr>
                          </w:pPr>
                          <w:r w:rsidRPr="00771DD7">
                            <w:rPr>
                              <w:lang w:val="de-DE"/>
                            </w:rPr>
                            <w:t xml:space="preserve">2515 </w:t>
                          </w:r>
                          <w:r w:rsidR="004055EA" w:rsidRPr="00771DD7">
                            <w:rPr>
                              <w:lang w:val="de-DE"/>
                            </w:rPr>
                            <w:t>XP Den</w:t>
                          </w:r>
                          <w:r w:rsidRPr="00771DD7">
                            <w:rPr>
                              <w:lang w:val="de-DE"/>
                            </w:rPr>
                            <w:t xml:space="preserve"> Haag</w:t>
                          </w:r>
                        </w:p>
                        <w:p w14:paraId="7A62F5DB" w14:textId="77777777" w:rsidR="003D6F0B" w:rsidRPr="00771DD7" w:rsidRDefault="00CA3FE6">
                          <w:pPr>
                            <w:pStyle w:val="Afzendgegevens"/>
                            <w:rPr>
                              <w:lang w:val="de-DE"/>
                            </w:rPr>
                          </w:pPr>
                          <w:r w:rsidRPr="00771DD7">
                            <w:rPr>
                              <w:lang w:val="de-DE"/>
                            </w:rPr>
                            <w:t>Postbus 20901</w:t>
                          </w:r>
                        </w:p>
                        <w:p w14:paraId="417ED16A" w14:textId="77777777" w:rsidR="003D6F0B" w:rsidRPr="00771DD7" w:rsidRDefault="00CA3FE6">
                          <w:pPr>
                            <w:pStyle w:val="Afzendgegevens"/>
                            <w:rPr>
                              <w:lang w:val="de-DE"/>
                            </w:rPr>
                          </w:pPr>
                          <w:r w:rsidRPr="00771DD7">
                            <w:rPr>
                              <w:lang w:val="de-DE"/>
                            </w:rPr>
                            <w:t>2500 EX Den Haag</w:t>
                          </w:r>
                        </w:p>
                        <w:p w14:paraId="393496EA" w14:textId="77777777" w:rsidR="003D6F0B" w:rsidRPr="00771DD7" w:rsidRDefault="003D6F0B">
                          <w:pPr>
                            <w:pStyle w:val="WitregelW1"/>
                            <w:rPr>
                              <w:lang w:val="de-DE"/>
                            </w:rPr>
                          </w:pPr>
                        </w:p>
                        <w:p w14:paraId="318E6CD2" w14:textId="77777777" w:rsidR="003D6F0B" w:rsidRPr="00771DD7" w:rsidRDefault="00CA3FE6">
                          <w:pPr>
                            <w:pStyle w:val="Afzendgegevens"/>
                            <w:rPr>
                              <w:lang w:val="de-DE"/>
                            </w:rPr>
                          </w:pPr>
                          <w:r w:rsidRPr="00771DD7">
                            <w:rPr>
                              <w:lang w:val="de-DE"/>
                            </w:rPr>
                            <w:t>T   070-456 0000</w:t>
                          </w:r>
                        </w:p>
                        <w:p w14:paraId="3FF177A6" w14:textId="77777777" w:rsidR="003D6F0B" w:rsidRDefault="00CA3FE6">
                          <w:pPr>
                            <w:pStyle w:val="Afzendgegevens"/>
                          </w:pPr>
                          <w:r>
                            <w:t>F   070-456 1111</w:t>
                          </w:r>
                        </w:p>
                        <w:p w14:paraId="2D880076" w14:textId="77777777" w:rsidR="003D6F0B" w:rsidRPr="00CA3FE6" w:rsidRDefault="003D6F0B" w:rsidP="00CA3FE6">
                          <w:pPr>
                            <w:pStyle w:val="WitregelW2"/>
                            <w:spacing w:line="276" w:lineRule="auto"/>
                            <w:rPr>
                              <w:sz w:val="13"/>
                              <w:szCs w:val="13"/>
                            </w:rPr>
                          </w:pPr>
                        </w:p>
                        <w:p w14:paraId="55866A96" w14:textId="77777777" w:rsidR="003D6F0B" w:rsidRPr="00CA3FE6" w:rsidRDefault="00CA3FE6" w:rsidP="00CA3FE6">
                          <w:pPr>
                            <w:pStyle w:val="Referentiegegevenskop"/>
                            <w:spacing w:line="276" w:lineRule="auto"/>
                          </w:pPr>
                          <w:r w:rsidRPr="00CA3FE6">
                            <w:t>Ons kenmerk</w:t>
                          </w:r>
                        </w:p>
                        <w:p w14:paraId="20B3CD6B" w14:textId="0135B35E" w:rsidR="003D6F0B" w:rsidRPr="00CA3FE6" w:rsidRDefault="005C276B" w:rsidP="00CA3FE6">
                          <w:pPr>
                            <w:pStyle w:val="Referentiegegevens"/>
                            <w:spacing w:line="276" w:lineRule="auto"/>
                          </w:pPr>
                          <w:r w:rsidRPr="00CA3FE6">
                            <w:t>IENW/BSK-2026/110860</w:t>
                          </w:r>
                        </w:p>
                        <w:p w14:paraId="2CDC3BF1" w14:textId="77777777" w:rsidR="003D6F0B" w:rsidRPr="00CA3FE6" w:rsidRDefault="003D6F0B" w:rsidP="00CA3FE6">
                          <w:pPr>
                            <w:pStyle w:val="WitregelW1"/>
                            <w:spacing w:line="276" w:lineRule="auto"/>
                            <w:rPr>
                              <w:sz w:val="13"/>
                              <w:szCs w:val="13"/>
                            </w:rPr>
                          </w:pPr>
                        </w:p>
                        <w:p w14:paraId="17F45DA0" w14:textId="77777777" w:rsidR="003D6F0B" w:rsidRPr="00CA3FE6" w:rsidRDefault="00CA3FE6" w:rsidP="00CA3FE6">
                          <w:pPr>
                            <w:pStyle w:val="Referentiegegevenskop"/>
                            <w:spacing w:line="276" w:lineRule="auto"/>
                          </w:pPr>
                          <w:r w:rsidRPr="00CA3FE6">
                            <w:t>Bijlage(n)</w:t>
                          </w:r>
                        </w:p>
                        <w:p w14:paraId="14B88B22" w14:textId="600443A5" w:rsidR="003D6F0B" w:rsidRPr="00CA3FE6" w:rsidRDefault="00287E3F" w:rsidP="00CA3FE6">
                          <w:pPr>
                            <w:pStyle w:val="Referentiegegevens"/>
                            <w:spacing w:line="276" w:lineRule="auto"/>
                          </w:pPr>
                          <w:r w:rsidRPr="00CA3FE6">
                            <w:t>1</w:t>
                          </w:r>
                        </w:p>
                      </w:txbxContent>
                    </wps:txbx>
                    <wps:bodyPr vert="horz" wrap="square" lIns="0" tIns="0" rIns="0" bIns="0" anchor="t" anchorCtr="0"/>
                  </wps:wsp>
                </a:graphicData>
              </a:graphic>
            </wp:anchor>
          </w:drawing>
        </mc:Choice>
        <mc:Fallback>
          <w:pict>
            <v:shape w14:anchorId="7C284564"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53A71E9" w14:textId="77777777" w:rsidR="003D6F0B" w:rsidRDefault="00CA3FE6">
                    <w:pPr>
                      <w:pStyle w:val="AfzendgegevensKop0"/>
                    </w:pPr>
                    <w:r>
                      <w:t>Ministerie van Infrastructuur en Waterstaat</w:t>
                    </w:r>
                  </w:p>
                  <w:p w14:paraId="7E30A353" w14:textId="77777777" w:rsidR="003D6F0B" w:rsidRDefault="003D6F0B">
                    <w:pPr>
                      <w:pStyle w:val="WitregelW1"/>
                    </w:pPr>
                  </w:p>
                  <w:p w14:paraId="2AF6A363" w14:textId="77777777" w:rsidR="003D6F0B" w:rsidRDefault="00CA3FE6">
                    <w:pPr>
                      <w:pStyle w:val="Afzendgegevens"/>
                    </w:pPr>
                    <w:r>
                      <w:t>Rijnstraat 8</w:t>
                    </w:r>
                  </w:p>
                  <w:p w14:paraId="52E6C6BC" w14:textId="1CE75BC4" w:rsidR="003D6F0B" w:rsidRPr="00771DD7" w:rsidRDefault="00CA3FE6">
                    <w:pPr>
                      <w:pStyle w:val="Afzendgegevens"/>
                      <w:rPr>
                        <w:lang w:val="de-DE"/>
                      </w:rPr>
                    </w:pPr>
                    <w:r w:rsidRPr="00771DD7">
                      <w:rPr>
                        <w:lang w:val="de-DE"/>
                      </w:rPr>
                      <w:t xml:space="preserve">2515 </w:t>
                    </w:r>
                    <w:r w:rsidR="004055EA" w:rsidRPr="00771DD7">
                      <w:rPr>
                        <w:lang w:val="de-DE"/>
                      </w:rPr>
                      <w:t>XP Den</w:t>
                    </w:r>
                    <w:r w:rsidRPr="00771DD7">
                      <w:rPr>
                        <w:lang w:val="de-DE"/>
                      </w:rPr>
                      <w:t xml:space="preserve"> Haag</w:t>
                    </w:r>
                  </w:p>
                  <w:p w14:paraId="7A62F5DB" w14:textId="77777777" w:rsidR="003D6F0B" w:rsidRPr="00771DD7" w:rsidRDefault="00CA3FE6">
                    <w:pPr>
                      <w:pStyle w:val="Afzendgegevens"/>
                      <w:rPr>
                        <w:lang w:val="de-DE"/>
                      </w:rPr>
                    </w:pPr>
                    <w:r w:rsidRPr="00771DD7">
                      <w:rPr>
                        <w:lang w:val="de-DE"/>
                      </w:rPr>
                      <w:t>Postbus 20901</w:t>
                    </w:r>
                  </w:p>
                  <w:p w14:paraId="417ED16A" w14:textId="77777777" w:rsidR="003D6F0B" w:rsidRPr="00771DD7" w:rsidRDefault="00CA3FE6">
                    <w:pPr>
                      <w:pStyle w:val="Afzendgegevens"/>
                      <w:rPr>
                        <w:lang w:val="de-DE"/>
                      </w:rPr>
                    </w:pPr>
                    <w:r w:rsidRPr="00771DD7">
                      <w:rPr>
                        <w:lang w:val="de-DE"/>
                      </w:rPr>
                      <w:t>2500 EX Den Haag</w:t>
                    </w:r>
                  </w:p>
                  <w:p w14:paraId="393496EA" w14:textId="77777777" w:rsidR="003D6F0B" w:rsidRPr="00771DD7" w:rsidRDefault="003D6F0B">
                    <w:pPr>
                      <w:pStyle w:val="WitregelW1"/>
                      <w:rPr>
                        <w:lang w:val="de-DE"/>
                      </w:rPr>
                    </w:pPr>
                  </w:p>
                  <w:p w14:paraId="318E6CD2" w14:textId="77777777" w:rsidR="003D6F0B" w:rsidRPr="00771DD7" w:rsidRDefault="00CA3FE6">
                    <w:pPr>
                      <w:pStyle w:val="Afzendgegevens"/>
                      <w:rPr>
                        <w:lang w:val="de-DE"/>
                      </w:rPr>
                    </w:pPr>
                    <w:r w:rsidRPr="00771DD7">
                      <w:rPr>
                        <w:lang w:val="de-DE"/>
                      </w:rPr>
                      <w:t>T   070-456 0000</w:t>
                    </w:r>
                  </w:p>
                  <w:p w14:paraId="3FF177A6" w14:textId="77777777" w:rsidR="003D6F0B" w:rsidRDefault="00CA3FE6">
                    <w:pPr>
                      <w:pStyle w:val="Afzendgegevens"/>
                    </w:pPr>
                    <w:r>
                      <w:t>F   070-456 1111</w:t>
                    </w:r>
                  </w:p>
                  <w:p w14:paraId="2D880076" w14:textId="77777777" w:rsidR="003D6F0B" w:rsidRPr="00CA3FE6" w:rsidRDefault="003D6F0B" w:rsidP="00CA3FE6">
                    <w:pPr>
                      <w:pStyle w:val="WitregelW2"/>
                      <w:spacing w:line="276" w:lineRule="auto"/>
                      <w:rPr>
                        <w:sz w:val="13"/>
                        <w:szCs w:val="13"/>
                      </w:rPr>
                    </w:pPr>
                  </w:p>
                  <w:p w14:paraId="55866A96" w14:textId="77777777" w:rsidR="003D6F0B" w:rsidRPr="00CA3FE6" w:rsidRDefault="00CA3FE6" w:rsidP="00CA3FE6">
                    <w:pPr>
                      <w:pStyle w:val="Referentiegegevenskop"/>
                      <w:spacing w:line="276" w:lineRule="auto"/>
                    </w:pPr>
                    <w:r w:rsidRPr="00CA3FE6">
                      <w:t>Ons kenmerk</w:t>
                    </w:r>
                  </w:p>
                  <w:p w14:paraId="20B3CD6B" w14:textId="0135B35E" w:rsidR="003D6F0B" w:rsidRPr="00CA3FE6" w:rsidRDefault="005C276B" w:rsidP="00CA3FE6">
                    <w:pPr>
                      <w:pStyle w:val="Referentiegegevens"/>
                      <w:spacing w:line="276" w:lineRule="auto"/>
                    </w:pPr>
                    <w:r w:rsidRPr="00CA3FE6">
                      <w:t>IENW/BSK-2026/110860</w:t>
                    </w:r>
                  </w:p>
                  <w:p w14:paraId="2CDC3BF1" w14:textId="77777777" w:rsidR="003D6F0B" w:rsidRPr="00CA3FE6" w:rsidRDefault="003D6F0B" w:rsidP="00CA3FE6">
                    <w:pPr>
                      <w:pStyle w:val="WitregelW1"/>
                      <w:spacing w:line="276" w:lineRule="auto"/>
                      <w:rPr>
                        <w:sz w:val="13"/>
                        <w:szCs w:val="13"/>
                      </w:rPr>
                    </w:pPr>
                  </w:p>
                  <w:p w14:paraId="17F45DA0" w14:textId="77777777" w:rsidR="003D6F0B" w:rsidRPr="00CA3FE6" w:rsidRDefault="00CA3FE6" w:rsidP="00CA3FE6">
                    <w:pPr>
                      <w:pStyle w:val="Referentiegegevenskop"/>
                      <w:spacing w:line="276" w:lineRule="auto"/>
                    </w:pPr>
                    <w:r w:rsidRPr="00CA3FE6">
                      <w:t>Bijlage(n)</w:t>
                    </w:r>
                  </w:p>
                  <w:p w14:paraId="14B88B22" w14:textId="600443A5" w:rsidR="003D6F0B" w:rsidRPr="00CA3FE6" w:rsidRDefault="00287E3F" w:rsidP="00CA3FE6">
                    <w:pPr>
                      <w:pStyle w:val="Referentiegegevens"/>
                      <w:spacing w:line="276" w:lineRule="auto"/>
                    </w:pPr>
                    <w:r w:rsidRPr="00CA3FE6">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E933CF2" wp14:editId="0195F9DE">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07CB3D4" w14:textId="77777777" w:rsidR="003D6F0B" w:rsidRDefault="00CA3FE6">
                          <w:pPr>
                            <w:spacing w:line="240" w:lineRule="auto"/>
                          </w:pPr>
                          <w:r>
                            <w:rPr>
                              <w:noProof/>
                              <w:lang w:val="en-GB" w:eastAsia="en-GB"/>
                            </w:rPr>
                            <w:drawing>
                              <wp:inline distT="0" distB="0" distL="0" distR="0" wp14:anchorId="62659782" wp14:editId="6E7244D1">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E933CF2"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07CB3D4" w14:textId="77777777" w:rsidR="003D6F0B" w:rsidRDefault="00CA3FE6">
                    <w:pPr>
                      <w:spacing w:line="240" w:lineRule="auto"/>
                    </w:pPr>
                    <w:r>
                      <w:rPr>
                        <w:noProof/>
                        <w:lang w:val="en-GB" w:eastAsia="en-GB"/>
                      </w:rPr>
                      <w:drawing>
                        <wp:inline distT="0" distB="0" distL="0" distR="0" wp14:anchorId="62659782" wp14:editId="6E7244D1">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19F66FA" wp14:editId="0B3E80E8">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B0B9B87" w14:textId="77777777" w:rsidR="003D6F0B" w:rsidRDefault="00CA3FE6">
                          <w:pPr>
                            <w:spacing w:line="240" w:lineRule="auto"/>
                          </w:pPr>
                          <w:r>
                            <w:rPr>
                              <w:noProof/>
                              <w:lang w:val="en-GB" w:eastAsia="en-GB"/>
                            </w:rPr>
                            <w:drawing>
                              <wp:inline distT="0" distB="0" distL="0" distR="0" wp14:anchorId="30C70A07" wp14:editId="5ED86B02">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19F66FA"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6B0B9B87" w14:textId="77777777" w:rsidR="003D6F0B" w:rsidRDefault="00CA3FE6">
                    <w:pPr>
                      <w:spacing w:line="240" w:lineRule="auto"/>
                    </w:pPr>
                    <w:r>
                      <w:rPr>
                        <w:noProof/>
                        <w:lang w:val="en-GB" w:eastAsia="en-GB"/>
                      </w:rPr>
                      <w:drawing>
                        <wp:inline distT="0" distB="0" distL="0" distR="0" wp14:anchorId="30C70A07" wp14:editId="5ED86B02">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7E3FB80" wp14:editId="003458B0">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46B679C" w14:textId="77777777" w:rsidR="003D6F0B" w:rsidRDefault="00CA3FE6">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7E3FB80"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46B679C" w14:textId="77777777" w:rsidR="003D6F0B" w:rsidRDefault="00CA3FE6">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33AFCB9" wp14:editId="38FE4C88">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F173FE2" w14:textId="77777777" w:rsidR="003D6F0B" w:rsidRDefault="00CA3FE6">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33AFCB9"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F173FE2" w14:textId="77777777" w:rsidR="003D6F0B" w:rsidRDefault="00CA3FE6">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ECAC0EC" wp14:editId="1357C41A">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D6F0B" w14:paraId="15EEE791" w14:textId="77777777">
                            <w:trPr>
                              <w:trHeight w:val="200"/>
                            </w:trPr>
                            <w:tc>
                              <w:tcPr>
                                <w:tcW w:w="1140" w:type="dxa"/>
                              </w:tcPr>
                              <w:p w14:paraId="6B4561AE" w14:textId="77777777" w:rsidR="003D6F0B" w:rsidRDefault="003D6F0B"/>
                            </w:tc>
                            <w:tc>
                              <w:tcPr>
                                <w:tcW w:w="5400" w:type="dxa"/>
                              </w:tcPr>
                              <w:p w14:paraId="5FC14E8A" w14:textId="77777777" w:rsidR="003D6F0B" w:rsidRDefault="003D6F0B"/>
                            </w:tc>
                          </w:tr>
                          <w:tr w:rsidR="003D6F0B" w14:paraId="27A5336B" w14:textId="77777777">
                            <w:trPr>
                              <w:trHeight w:val="240"/>
                            </w:trPr>
                            <w:tc>
                              <w:tcPr>
                                <w:tcW w:w="1140" w:type="dxa"/>
                              </w:tcPr>
                              <w:p w14:paraId="09365A94" w14:textId="77777777" w:rsidR="003D6F0B" w:rsidRDefault="00CA3FE6">
                                <w:r>
                                  <w:t>Datum</w:t>
                                </w:r>
                              </w:p>
                            </w:tc>
                            <w:tc>
                              <w:tcPr>
                                <w:tcW w:w="5400" w:type="dxa"/>
                              </w:tcPr>
                              <w:p w14:paraId="053D9C63" w14:textId="09786D0B" w:rsidR="003D6F0B" w:rsidRDefault="00A653CE">
                                <w:r>
                                  <w:t>1</w:t>
                                </w:r>
                                <w:r w:rsidR="00784458">
                                  <w:t>4</w:t>
                                </w:r>
                                <w:r>
                                  <w:t xml:space="preserve"> juli 202</w:t>
                                </w:r>
                                <w:r w:rsidR="005E5EC5">
                                  <w:t>6</w:t>
                                </w:r>
                              </w:p>
                            </w:tc>
                          </w:tr>
                          <w:tr w:rsidR="003D6F0B" w14:paraId="2D3E1955" w14:textId="77777777">
                            <w:trPr>
                              <w:trHeight w:val="240"/>
                            </w:trPr>
                            <w:tc>
                              <w:tcPr>
                                <w:tcW w:w="1140" w:type="dxa"/>
                              </w:tcPr>
                              <w:p w14:paraId="07B26538" w14:textId="77777777" w:rsidR="003D6F0B" w:rsidRDefault="00CA3FE6">
                                <w:r>
                                  <w:t>Betreft</w:t>
                                </w:r>
                              </w:p>
                            </w:tc>
                            <w:tc>
                              <w:tcPr>
                                <w:tcW w:w="5400" w:type="dxa"/>
                              </w:tcPr>
                              <w:p w14:paraId="61E1C48C" w14:textId="77777777" w:rsidR="003D6F0B" w:rsidRDefault="00CA3FE6">
                                <w:r>
                                  <w:t>Toelichting tussenuitspraak CBb 1 juni 2026 en besluit referentieaanbod NS 2027</w:t>
                                </w:r>
                              </w:p>
                            </w:tc>
                          </w:tr>
                          <w:tr w:rsidR="003D6F0B" w14:paraId="1AE5CC1D" w14:textId="77777777">
                            <w:trPr>
                              <w:trHeight w:val="200"/>
                            </w:trPr>
                            <w:tc>
                              <w:tcPr>
                                <w:tcW w:w="1140" w:type="dxa"/>
                              </w:tcPr>
                              <w:p w14:paraId="425EAFFD" w14:textId="77777777" w:rsidR="003D6F0B" w:rsidRDefault="003D6F0B"/>
                            </w:tc>
                            <w:tc>
                              <w:tcPr>
                                <w:tcW w:w="5400" w:type="dxa"/>
                              </w:tcPr>
                              <w:p w14:paraId="45925C25" w14:textId="77777777" w:rsidR="003D6F0B" w:rsidRDefault="003D6F0B"/>
                            </w:tc>
                          </w:tr>
                        </w:tbl>
                        <w:p w14:paraId="7CD431C0" w14:textId="77777777" w:rsidR="00B33979" w:rsidRDefault="00B33979"/>
                      </w:txbxContent>
                    </wps:txbx>
                    <wps:bodyPr vert="horz" wrap="square" lIns="0" tIns="0" rIns="0" bIns="0" anchor="t" anchorCtr="0"/>
                  </wps:wsp>
                </a:graphicData>
              </a:graphic>
            </wp:anchor>
          </w:drawing>
        </mc:Choice>
        <mc:Fallback>
          <w:pict>
            <v:shape w14:anchorId="0ECAC0EC"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3D6F0B" w14:paraId="15EEE791" w14:textId="77777777">
                      <w:trPr>
                        <w:trHeight w:val="200"/>
                      </w:trPr>
                      <w:tc>
                        <w:tcPr>
                          <w:tcW w:w="1140" w:type="dxa"/>
                        </w:tcPr>
                        <w:p w14:paraId="6B4561AE" w14:textId="77777777" w:rsidR="003D6F0B" w:rsidRDefault="003D6F0B"/>
                      </w:tc>
                      <w:tc>
                        <w:tcPr>
                          <w:tcW w:w="5400" w:type="dxa"/>
                        </w:tcPr>
                        <w:p w14:paraId="5FC14E8A" w14:textId="77777777" w:rsidR="003D6F0B" w:rsidRDefault="003D6F0B"/>
                      </w:tc>
                    </w:tr>
                    <w:tr w:rsidR="003D6F0B" w14:paraId="27A5336B" w14:textId="77777777">
                      <w:trPr>
                        <w:trHeight w:val="240"/>
                      </w:trPr>
                      <w:tc>
                        <w:tcPr>
                          <w:tcW w:w="1140" w:type="dxa"/>
                        </w:tcPr>
                        <w:p w14:paraId="09365A94" w14:textId="77777777" w:rsidR="003D6F0B" w:rsidRDefault="00CA3FE6">
                          <w:r>
                            <w:t>Datum</w:t>
                          </w:r>
                        </w:p>
                      </w:tc>
                      <w:tc>
                        <w:tcPr>
                          <w:tcW w:w="5400" w:type="dxa"/>
                        </w:tcPr>
                        <w:p w14:paraId="053D9C63" w14:textId="09786D0B" w:rsidR="003D6F0B" w:rsidRDefault="00A653CE">
                          <w:r>
                            <w:t>1</w:t>
                          </w:r>
                          <w:r w:rsidR="00784458">
                            <w:t>4</w:t>
                          </w:r>
                          <w:r>
                            <w:t xml:space="preserve"> juli 202</w:t>
                          </w:r>
                          <w:r w:rsidR="005E5EC5">
                            <w:t>6</w:t>
                          </w:r>
                        </w:p>
                      </w:tc>
                    </w:tr>
                    <w:tr w:rsidR="003D6F0B" w14:paraId="2D3E1955" w14:textId="77777777">
                      <w:trPr>
                        <w:trHeight w:val="240"/>
                      </w:trPr>
                      <w:tc>
                        <w:tcPr>
                          <w:tcW w:w="1140" w:type="dxa"/>
                        </w:tcPr>
                        <w:p w14:paraId="07B26538" w14:textId="77777777" w:rsidR="003D6F0B" w:rsidRDefault="00CA3FE6">
                          <w:r>
                            <w:t>Betreft</w:t>
                          </w:r>
                        </w:p>
                      </w:tc>
                      <w:tc>
                        <w:tcPr>
                          <w:tcW w:w="5400" w:type="dxa"/>
                        </w:tcPr>
                        <w:p w14:paraId="61E1C48C" w14:textId="77777777" w:rsidR="003D6F0B" w:rsidRDefault="00CA3FE6">
                          <w:r>
                            <w:t>Toelichting tussenuitspraak CBb 1 juni 2026 en besluit referentieaanbod NS 2027</w:t>
                          </w:r>
                        </w:p>
                      </w:tc>
                    </w:tr>
                    <w:tr w:rsidR="003D6F0B" w14:paraId="1AE5CC1D" w14:textId="77777777">
                      <w:trPr>
                        <w:trHeight w:val="200"/>
                      </w:trPr>
                      <w:tc>
                        <w:tcPr>
                          <w:tcW w:w="1140" w:type="dxa"/>
                        </w:tcPr>
                        <w:p w14:paraId="425EAFFD" w14:textId="77777777" w:rsidR="003D6F0B" w:rsidRDefault="003D6F0B"/>
                      </w:tc>
                      <w:tc>
                        <w:tcPr>
                          <w:tcW w:w="5400" w:type="dxa"/>
                        </w:tcPr>
                        <w:p w14:paraId="45925C25" w14:textId="77777777" w:rsidR="003D6F0B" w:rsidRDefault="003D6F0B"/>
                      </w:tc>
                    </w:tr>
                  </w:tbl>
                  <w:p w14:paraId="7CD431C0" w14:textId="77777777" w:rsidR="00B33979" w:rsidRDefault="00B33979"/>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90ACCEC" wp14:editId="1E644B69">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2F0F404" w14:textId="77777777" w:rsidR="00B33979" w:rsidRDefault="00B33979"/>
                      </w:txbxContent>
                    </wps:txbx>
                    <wps:bodyPr vert="horz" wrap="square" lIns="0" tIns="0" rIns="0" bIns="0" anchor="t" anchorCtr="0"/>
                  </wps:wsp>
                </a:graphicData>
              </a:graphic>
            </wp:anchor>
          </w:drawing>
        </mc:Choice>
        <mc:Fallback>
          <w:pict>
            <v:shape w14:anchorId="290ACCEC"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2F0F404" w14:textId="77777777" w:rsidR="00B33979" w:rsidRDefault="00B33979"/>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4F2E73"/>
    <w:multiLevelType w:val="multilevel"/>
    <w:tmpl w:val="7E758B3C"/>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B838B89"/>
    <w:multiLevelType w:val="multilevel"/>
    <w:tmpl w:val="E98587F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24CF74F"/>
    <w:multiLevelType w:val="multilevel"/>
    <w:tmpl w:val="7F82AA35"/>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86E7B37"/>
    <w:multiLevelType w:val="multilevel"/>
    <w:tmpl w:val="B0800E13"/>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B3EDF94"/>
    <w:multiLevelType w:val="multilevel"/>
    <w:tmpl w:val="2881BF8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B75AF94E"/>
    <w:multiLevelType w:val="multilevel"/>
    <w:tmpl w:val="21437FEE"/>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09A1FE2"/>
    <w:multiLevelType w:val="multilevel"/>
    <w:tmpl w:val="50A260B6"/>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1ED9BD2"/>
    <w:multiLevelType w:val="multilevel"/>
    <w:tmpl w:val="4178DE37"/>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1AF3F0D"/>
    <w:multiLevelType w:val="multilevel"/>
    <w:tmpl w:val="64C87FD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4C96FAE"/>
    <w:multiLevelType w:val="multilevel"/>
    <w:tmpl w:val="430E4729"/>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F8F3E47"/>
    <w:multiLevelType w:val="multilevel"/>
    <w:tmpl w:val="CF0E280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BF75E04"/>
    <w:multiLevelType w:val="multilevel"/>
    <w:tmpl w:val="460B37B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FD517E4"/>
    <w:multiLevelType w:val="multilevel"/>
    <w:tmpl w:val="099C7AB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4252561"/>
    <w:multiLevelType w:val="multilevel"/>
    <w:tmpl w:val="6B481D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5BDA232"/>
    <w:multiLevelType w:val="multilevel"/>
    <w:tmpl w:val="A08044EB"/>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6ACC6A4"/>
    <w:multiLevelType w:val="multilevel"/>
    <w:tmpl w:val="463EEAA9"/>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84A22E5"/>
    <w:multiLevelType w:val="multilevel"/>
    <w:tmpl w:val="67A14006"/>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CA3A4B3"/>
    <w:multiLevelType w:val="multilevel"/>
    <w:tmpl w:val="ED9BDEED"/>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DD4B8E5"/>
    <w:multiLevelType w:val="multilevel"/>
    <w:tmpl w:val="A5A2D04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9" w15:restartNumberingAfterBreak="0">
    <w:nsid w:val="38628CA0"/>
    <w:multiLevelType w:val="multilevel"/>
    <w:tmpl w:val="BB43CD27"/>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C9EFD85"/>
    <w:multiLevelType w:val="multilevel"/>
    <w:tmpl w:val="1C78E074"/>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EA45B2"/>
    <w:multiLevelType w:val="hybridMultilevel"/>
    <w:tmpl w:val="165879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A0C8419"/>
    <w:multiLevelType w:val="multilevel"/>
    <w:tmpl w:val="1869C2BC"/>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F686687"/>
    <w:multiLevelType w:val="hybridMultilevel"/>
    <w:tmpl w:val="3C40B8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B7F67B2"/>
    <w:multiLevelType w:val="multilevel"/>
    <w:tmpl w:val="3788D501"/>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7968260"/>
    <w:multiLevelType w:val="multilevel"/>
    <w:tmpl w:val="DC070051"/>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2"/>
  </w:num>
  <w:num w:numId="3">
    <w:abstractNumId w:val="17"/>
  </w:num>
  <w:num w:numId="4">
    <w:abstractNumId w:val="8"/>
  </w:num>
  <w:num w:numId="5">
    <w:abstractNumId w:val="4"/>
  </w:num>
  <w:num w:numId="6">
    <w:abstractNumId w:val="16"/>
  </w:num>
  <w:num w:numId="7">
    <w:abstractNumId w:val="14"/>
  </w:num>
  <w:num w:numId="8">
    <w:abstractNumId w:val="19"/>
  </w:num>
  <w:num w:numId="9">
    <w:abstractNumId w:val="0"/>
  </w:num>
  <w:num w:numId="10">
    <w:abstractNumId w:val="15"/>
  </w:num>
  <w:num w:numId="11">
    <w:abstractNumId w:val="9"/>
  </w:num>
  <w:num w:numId="12">
    <w:abstractNumId w:val="18"/>
  </w:num>
  <w:num w:numId="13">
    <w:abstractNumId w:val="1"/>
  </w:num>
  <w:num w:numId="14">
    <w:abstractNumId w:val="20"/>
  </w:num>
  <w:num w:numId="15">
    <w:abstractNumId w:val="10"/>
  </w:num>
  <w:num w:numId="16">
    <w:abstractNumId w:val="25"/>
  </w:num>
  <w:num w:numId="17">
    <w:abstractNumId w:val="5"/>
  </w:num>
  <w:num w:numId="18">
    <w:abstractNumId w:val="3"/>
  </w:num>
  <w:num w:numId="19">
    <w:abstractNumId w:val="2"/>
  </w:num>
  <w:num w:numId="20">
    <w:abstractNumId w:val="7"/>
  </w:num>
  <w:num w:numId="21">
    <w:abstractNumId w:val="11"/>
  </w:num>
  <w:num w:numId="22">
    <w:abstractNumId w:val="6"/>
  </w:num>
  <w:num w:numId="23">
    <w:abstractNumId w:val="24"/>
  </w:num>
  <w:num w:numId="24">
    <w:abstractNumId w:val="23"/>
  </w:num>
  <w:num w:numId="25">
    <w:abstractNumId w:val="1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DD7"/>
    <w:rsid w:val="00002DEE"/>
    <w:rsid w:val="00022B1B"/>
    <w:rsid w:val="0005434D"/>
    <w:rsid w:val="00093CCB"/>
    <w:rsid w:val="000D20F4"/>
    <w:rsid w:val="000D57C7"/>
    <w:rsid w:val="001022BB"/>
    <w:rsid w:val="001429B2"/>
    <w:rsid w:val="001542BA"/>
    <w:rsid w:val="001A1808"/>
    <w:rsid w:val="001A276E"/>
    <w:rsid w:val="00287E3F"/>
    <w:rsid w:val="002968D2"/>
    <w:rsid w:val="002A2C7D"/>
    <w:rsid w:val="002B716B"/>
    <w:rsid w:val="00350AD1"/>
    <w:rsid w:val="003538DC"/>
    <w:rsid w:val="00387686"/>
    <w:rsid w:val="003B6C0F"/>
    <w:rsid w:val="003D03F5"/>
    <w:rsid w:val="003D6F0B"/>
    <w:rsid w:val="003E49FD"/>
    <w:rsid w:val="003E6E83"/>
    <w:rsid w:val="003F0B1A"/>
    <w:rsid w:val="004055EA"/>
    <w:rsid w:val="004311E6"/>
    <w:rsid w:val="0046160A"/>
    <w:rsid w:val="0046725D"/>
    <w:rsid w:val="004674B2"/>
    <w:rsid w:val="00493995"/>
    <w:rsid w:val="004D1422"/>
    <w:rsid w:val="004F56D4"/>
    <w:rsid w:val="00500FCC"/>
    <w:rsid w:val="005214BE"/>
    <w:rsid w:val="005267A9"/>
    <w:rsid w:val="00541C69"/>
    <w:rsid w:val="005C276B"/>
    <w:rsid w:val="005E5EC5"/>
    <w:rsid w:val="006120F5"/>
    <w:rsid w:val="006508B1"/>
    <w:rsid w:val="00695C15"/>
    <w:rsid w:val="006A0351"/>
    <w:rsid w:val="006C2EFD"/>
    <w:rsid w:val="006C32B9"/>
    <w:rsid w:val="00771DD7"/>
    <w:rsid w:val="00784458"/>
    <w:rsid w:val="007B22D8"/>
    <w:rsid w:val="007C7226"/>
    <w:rsid w:val="007F2E67"/>
    <w:rsid w:val="00841603"/>
    <w:rsid w:val="00873903"/>
    <w:rsid w:val="008D269A"/>
    <w:rsid w:val="008F6DAB"/>
    <w:rsid w:val="00901B1D"/>
    <w:rsid w:val="00966A77"/>
    <w:rsid w:val="009B6979"/>
    <w:rsid w:val="009B7EB3"/>
    <w:rsid w:val="009D33B6"/>
    <w:rsid w:val="00A202E7"/>
    <w:rsid w:val="00A653CE"/>
    <w:rsid w:val="00A73018"/>
    <w:rsid w:val="00A93EC8"/>
    <w:rsid w:val="00AD1FB5"/>
    <w:rsid w:val="00AF0966"/>
    <w:rsid w:val="00B33979"/>
    <w:rsid w:val="00B71A3A"/>
    <w:rsid w:val="00B924BB"/>
    <w:rsid w:val="00BA256C"/>
    <w:rsid w:val="00C02005"/>
    <w:rsid w:val="00C6108B"/>
    <w:rsid w:val="00CA3FE6"/>
    <w:rsid w:val="00D342B4"/>
    <w:rsid w:val="00D36643"/>
    <w:rsid w:val="00D366A0"/>
    <w:rsid w:val="00D84D16"/>
    <w:rsid w:val="00DB1B30"/>
    <w:rsid w:val="00DF08A6"/>
    <w:rsid w:val="00DF2B8F"/>
    <w:rsid w:val="00DF2F29"/>
    <w:rsid w:val="00E12A52"/>
    <w:rsid w:val="00E15D85"/>
    <w:rsid w:val="00E60B04"/>
    <w:rsid w:val="00E775D0"/>
    <w:rsid w:val="00E95400"/>
    <w:rsid w:val="00E96959"/>
    <w:rsid w:val="00EA7FF9"/>
    <w:rsid w:val="00EB2648"/>
    <w:rsid w:val="00EC4436"/>
    <w:rsid w:val="00EE2ECA"/>
    <w:rsid w:val="00F271BA"/>
    <w:rsid w:val="00F55DB5"/>
    <w:rsid w:val="00F937E8"/>
    <w:rsid w:val="00FB64B6"/>
    <w:rsid w:val="00FE3A10"/>
    <w:rsid w:val="00FE57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F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771DD7"/>
    <w:pPr>
      <w:tabs>
        <w:tab w:val="center" w:pos="4536"/>
        <w:tab w:val="right" w:pos="9072"/>
      </w:tabs>
      <w:spacing w:line="240" w:lineRule="auto"/>
    </w:pPr>
  </w:style>
  <w:style w:type="character" w:customStyle="1" w:styleId="HeaderChar">
    <w:name w:val="Header Char"/>
    <w:basedOn w:val="DefaultParagraphFont"/>
    <w:link w:val="Header"/>
    <w:uiPriority w:val="99"/>
    <w:rsid w:val="00771DD7"/>
    <w:rPr>
      <w:rFonts w:ascii="Verdana" w:hAnsi="Verdana"/>
      <w:color w:val="000000"/>
      <w:sz w:val="18"/>
      <w:szCs w:val="18"/>
    </w:rPr>
  </w:style>
  <w:style w:type="paragraph" w:styleId="Footer">
    <w:name w:val="footer"/>
    <w:basedOn w:val="Normal"/>
    <w:link w:val="FooterChar"/>
    <w:uiPriority w:val="99"/>
    <w:unhideWhenUsed/>
    <w:rsid w:val="00771DD7"/>
    <w:pPr>
      <w:tabs>
        <w:tab w:val="center" w:pos="4536"/>
        <w:tab w:val="right" w:pos="9072"/>
      </w:tabs>
      <w:spacing w:line="240" w:lineRule="auto"/>
    </w:pPr>
  </w:style>
  <w:style w:type="character" w:customStyle="1" w:styleId="FooterChar">
    <w:name w:val="Footer Char"/>
    <w:basedOn w:val="DefaultParagraphFont"/>
    <w:link w:val="Footer"/>
    <w:uiPriority w:val="99"/>
    <w:rsid w:val="00771DD7"/>
    <w:rPr>
      <w:rFonts w:ascii="Verdana" w:hAnsi="Verdana"/>
      <w:color w:val="000000"/>
      <w:sz w:val="18"/>
      <w:szCs w:val="18"/>
    </w:rPr>
  </w:style>
  <w:style w:type="paragraph" w:styleId="FootnoteText">
    <w:name w:val="footnote text"/>
    <w:basedOn w:val="Normal"/>
    <w:link w:val="FootnoteTextChar"/>
    <w:uiPriority w:val="99"/>
    <w:semiHidden/>
    <w:unhideWhenUsed/>
    <w:rsid w:val="000D20F4"/>
    <w:pPr>
      <w:spacing w:line="240" w:lineRule="auto"/>
    </w:pPr>
    <w:rPr>
      <w:sz w:val="20"/>
      <w:szCs w:val="20"/>
    </w:rPr>
  </w:style>
  <w:style w:type="character" w:customStyle="1" w:styleId="FootnoteTextChar">
    <w:name w:val="Footnote Text Char"/>
    <w:basedOn w:val="DefaultParagraphFont"/>
    <w:link w:val="FootnoteText"/>
    <w:uiPriority w:val="99"/>
    <w:semiHidden/>
    <w:rsid w:val="000D20F4"/>
    <w:rPr>
      <w:rFonts w:ascii="Verdana" w:hAnsi="Verdana"/>
      <w:color w:val="000000"/>
    </w:rPr>
  </w:style>
  <w:style w:type="character" w:styleId="FootnoteReference">
    <w:name w:val="footnote reference"/>
    <w:basedOn w:val="DefaultParagraphFont"/>
    <w:uiPriority w:val="99"/>
    <w:semiHidden/>
    <w:unhideWhenUsed/>
    <w:rsid w:val="000D20F4"/>
    <w:rPr>
      <w:vertAlign w:val="superscript"/>
    </w:rPr>
  </w:style>
  <w:style w:type="paragraph" w:styleId="ListParagraph">
    <w:name w:val="List Paragraph"/>
    <w:basedOn w:val="Normal"/>
    <w:uiPriority w:val="34"/>
    <w:semiHidden/>
    <w:rsid w:val="000D20F4"/>
    <w:pPr>
      <w:spacing w:line="240" w:lineRule="exact"/>
      <w:ind w:left="720"/>
      <w:contextualSpacing/>
    </w:pPr>
  </w:style>
  <w:style w:type="character" w:customStyle="1" w:styleId="UnresolvedMention">
    <w:name w:val="Unresolved Mention"/>
    <w:basedOn w:val="DefaultParagraphFont"/>
    <w:uiPriority w:val="99"/>
    <w:semiHidden/>
    <w:unhideWhenUsed/>
    <w:rsid w:val="001542BA"/>
    <w:rPr>
      <w:color w:val="605E5C"/>
      <w:shd w:val="clear" w:color="auto" w:fill="E1DFDD"/>
    </w:rPr>
  </w:style>
  <w:style w:type="paragraph" w:styleId="Revision">
    <w:name w:val="Revision"/>
    <w:hidden/>
    <w:uiPriority w:val="99"/>
    <w:semiHidden/>
    <w:rsid w:val="00D342B4"/>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D342B4"/>
    <w:rPr>
      <w:sz w:val="16"/>
      <w:szCs w:val="16"/>
    </w:rPr>
  </w:style>
  <w:style w:type="paragraph" w:styleId="CommentText">
    <w:name w:val="annotation text"/>
    <w:basedOn w:val="Normal"/>
    <w:link w:val="CommentTextChar"/>
    <w:uiPriority w:val="99"/>
    <w:unhideWhenUsed/>
    <w:rsid w:val="00D342B4"/>
    <w:pPr>
      <w:spacing w:line="240" w:lineRule="auto"/>
    </w:pPr>
    <w:rPr>
      <w:sz w:val="20"/>
      <w:szCs w:val="20"/>
    </w:rPr>
  </w:style>
  <w:style w:type="character" w:customStyle="1" w:styleId="CommentTextChar">
    <w:name w:val="Comment Text Char"/>
    <w:basedOn w:val="DefaultParagraphFont"/>
    <w:link w:val="CommentText"/>
    <w:uiPriority w:val="99"/>
    <w:rsid w:val="00D342B4"/>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342B4"/>
    <w:rPr>
      <w:b/>
      <w:bCs/>
    </w:rPr>
  </w:style>
  <w:style w:type="character" w:customStyle="1" w:styleId="CommentSubjectChar">
    <w:name w:val="Comment Subject Char"/>
    <w:basedOn w:val="CommentTextChar"/>
    <w:link w:val="CommentSubject"/>
    <w:uiPriority w:val="99"/>
    <w:semiHidden/>
    <w:rsid w:val="00D342B4"/>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631061">
      <w:bodyDiv w:val="1"/>
      <w:marLeft w:val="0"/>
      <w:marRight w:val="0"/>
      <w:marTop w:val="0"/>
      <w:marBottom w:val="0"/>
      <w:divBdr>
        <w:top w:val="none" w:sz="0" w:space="0" w:color="auto"/>
        <w:left w:val="none" w:sz="0" w:space="0" w:color="auto"/>
        <w:bottom w:val="none" w:sz="0" w:space="0" w:color="auto"/>
        <w:right w:val="none" w:sz="0" w:space="0" w:color="auto"/>
      </w:divBdr>
    </w:div>
    <w:div w:id="315450359">
      <w:bodyDiv w:val="1"/>
      <w:marLeft w:val="0"/>
      <w:marRight w:val="0"/>
      <w:marTop w:val="0"/>
      <w:marBottom w:val="0"/>
      <w:divBdr>
        <w:top w:val="none" w:sz="0" w:space="0" w:color="auto"/>
        <w:left w:val="none" w:sz="0" w:space="0" w:color="auto"/>
        <w:bottom w:val="none" w:sz="0" w:space="0" w:color="auto"/>
        <w:right w:val="none" w:sz="0" w:space="0" w:color="auto"/>
      </w:divBdr>
      <w:divsChild>
        <w:div w:id="1064060703">
          <w:marLeft w:val="0"/>
          <w:marRight w:val="0"/>
          <w:marTop w:val="0"/>
          <w:marBottom w:val="0"/>
          <w:divBdr>
            <w:top w:val="none" w:sz="0" w:space="0" w:color="auto"/>
            <w:left w:val="none" w:sz="0" w:space="0" w:color="auto"/>
            <w:bottom w:val="none" w:sz="0" w:space="0" w:color="auto"/>
            <w:right w:val="none" w:sz="0" w:space="0" w:color="auto"/>
          </w:divBdr>
        </w:div>
      </w:divsChild>
    </w:div>
    <w:div w:id="545072305">
      <w:bodyDiv w:val="1"/>
      <w:marLeft w:val="0"/>
      <w:marRight w:val="0"/>
      <w:marTop w:val="0"/>
      <w:marBottom w:val="0"/>
      <w:divBdr>
        <w:top w:val="none" w:sz="0" w:space="0" w:color="auto"/>
        <w:left w:val="none" w:sz="0" w:space="0" w:color="auto"/>
        <w:bottom w:val="none" w:sz="0" w:space="0" w:color="auto"/>
        <w:right w:val="none" w:sz="0" w:space="0" w:color="auto"/>
      </w:divBdr>
    </w:div>
    <w:div w:id="1722167227">
      <w:bodyDiv w:val="1"/>
      <w:marLeft w:val="0"/>
      <w:marRight w:val="0"/>
      <w:marTop w:val="0"/>
      <w:marBottom w:val="0"/>
      <w:divBdr>
        <w:top w:val="none" w:sz="0" w:space="0" w:color="auto"/>
        <w:left w:val="none" w:sz="0" w:space="0" w:color="auto"/>
        <w:bottom w:val="none" w:sz="0" w:space="0" w:color="auto"/>
        <w:right w:val="none" w:sz="0" w:space="0" w:color="auto"/>
      </w:divBdr>
      <w:divsChild>
        <w:div w:id="68362797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2025/11/06/definitief-besluit-referentieaanbod-ns-voor-2026"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566</ap:Words>
  <ap:Characters>3232</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Brief aan Parlement - Toelichting tussenuitspraak CBb 1 juni 2026 en besluit referentieaanbod NS 2027</vt:lpstr>
    </vt:vector>
  </ap:TitlesOfParts>
  <ap:LinksUpToDate>false</ap:LinksUpToDate>
  <ap:CharactersWithSpaces>3791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2026-07-13T15:37:00.0000000Z</dcterms:created>
  <dcterms:modified xsi:type="dcterms:W3CDTF">2026-07-13T15:37:00.0000000Z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Toelichting tussenuitspraak CBb 1 juni 2026 en besluit referentieaanbod NS 2027</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 Hinkamp</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