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A701B" w:rsidRDefault="00340ECA" w14:paraId="0A14CC84" w14:textId="77777777"/>
    <w:p w:rsidR="00962C44" w:rsidP="00AA701B" w:rsidRDefault="00962C44" w14:paraId="5AF6A5D0" w14:textId="77777777"/>
    <w:p w:rsidR="00CE78E9" w:rsidP="00AA701B" w:rsidRDefault="00AE63EA" w14:paraId="43440FCD" w14:textId="77777777">
      <w:r>
        <w:t>Geachte Voorzitter,</w:t>
      </w:r>
      <w:r>
        <w:br/>
      </w:r>
    </w:p>
    <w:p w:rsidR="00860495" w:rsidP="00AA701B" w:rsidRDefault="2F988168" w14:paraId="4170683B" w14:textId="57601B8A">
      <w:r>
        <w:t>Hierbij zend</w:t>
      </w:r>
      <w:r w:rsidR="52D462A1">
        <w:t>en</w:t>
      </w:r>
      <w:r>
        <w:t xml:space="preserve"> </w:t>
      </w:r>
      <w:r w:rsidR="52D462A1">
        <w:t>wij</w:t>
      </w:r>
      <w:r>
        <w:t xml:space="preserve"> u</w:t>
      </w:r>
      <w:r w:rsidR="52D462A1">
        <w:t>, mede namens de staatssecretaris van Infrastructuur en Waterstaat,</w:t>
      </w:r>
      <w:r>
        <w:t xml:space="preserve"> de antwoorden op de vragen van </w:t>
      </w:r>
      <w:r w:rsidR="52D462A1">
        <w:t xml:space="preserve">de </w:t>
      </w:r>
      <w:r>
        <w:t>l</w:t>
      </w:r>
      <w:r w:rsidR="52D462A1">
        <w:t xml:space="preserve">eden Teunissen en </w:t>
      </w:r>
      <w:proofErr w:type="spellStart"/>
      <w:r w:rsidR="52D462A1">
        <w:t>Kostić</w:t>
      </w:r>
      <w:proofErr w:type="spellEnd"/>
      <w:r w:rsidR="52D462A1">
        <w:t xml:space="preserve"> (beiden PvdD) over de gevolgen van de dagvaarding van Tata Steel voor de maatwerkafspraken (2026Z15965, ingezonden op 8 juli 2026).</w:t>
      </w:r>
      <w:r w:rsidR="48BF8686">
        <w:t xml:space="preserve"> Deze beantwoording is in lijn met de eerder verstuurde brief</w:t>
      </w:r>
      <w:r w:rsidRPr="2F6210C0" w:rsidR="00AE63EA">
        <w:rPr>
          <w:rStyle w:val="Voetnootmarkering"/>
        </w:rPr>
        <w:footnoteReference w:id="1"/>
      </w:r>
      <w:r w:rsidR="48BF8686">
        <w:t xml:space="preserve"> over hetzelfde onderwerp.</w:t>
      </w:r>
    </w:p>
    <w:p w:rsidR="00423A19" w:rsidP="00AA701B" w:rsidRDefault="00423A19" w14:paraId="343247AE" w14:textId="77777777"/>
    <w:p w:rsidR="00860495" w:rsidP="00AA701B" w:rsidRDefault="00860495" w14:paraId="22BD8C2F" w14:textId="77777777"/>
    <w:p w:rsidR="00860495" w:rsidP="00AA701B" w:rsidRDefault="00860495" w14:paraId="76FA8ACE" w14:textId="77777777"/>
    <w:p w:rsidR="00CA66D7" w:rsidP="00AA701B" w:rsidRDefault="00CA66D7" w14:paraId="14C15129" w14:textId="77777777"/>
    <w:p w:rsidR="00860495" w:rsidP="00AA701B" w:rsidRDefault="00860495" w14:paraId="76449AED"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860495" w:rsidP="00AA701B" w:rsidRDefault="00860495" w14:paraId="40F8618C" w14:textId="77777777">
      <w:pPr>
        <w:rPr>
          <w:szCs w:val="18"/>
        </w:rPr>
      </w:pPr>
      <w:r>
        <w:rPr>
          <w:szCs w:val="18"/>
        </w:rPr>
        <w:t>Minister van Klimaat en Groene Groei</w:t>
      </w:r>
    </w:p>
    <w:p w:rsidR="00860495" w:rsidP="00AA701B" w:rsidRDefault="00860495" w14:paraId="73888F76" w14:textId="77777777"/>
    <w:p w:rsidR="00860495" w:rsidP="00AA701B" w:rsidRDefault="00860495" w14:paraId="3F492525" w14:textId="77777777"/>
    <w:p w:rsidR="00860495" w:rsidP="00AA701B" w:rsidRDefault="00860495" w14:paraId="5D10F8DB" w14:textId="77777777"/>
    <w:p w:rsidR="00860495" w:rsidP="00AA701B" w:rsidRDefault="00860495" w14:paraId="0AF06D61" w14:textId="77777777"/>
    <w:p w:rsidR="00860495" w:rsidP="00AA701B" w:rsidRDefault="00860495" w14:paraId="5450E491" w14:textId="56EA288F">
      <w:proofErr w:type="spellStart"/>
      <w:r>
        <w:t>Jo-Annes</w:t>
      </w:r>
      <w:proofErr w:type="spellEnd"/>
      <w:r>
        <w:t xml:space="preserve"> de Bat</w:t>
      </w:r>
    </w:p>
    <w:p w:rsidR="00EF6D37" w:rsidP="00AA701B" w:rsidRDefault="00860495" w14:paraId="09A73CAB" w14:textId="7C76F5F9">
      <w:r>
        <w:t xml:space="preserve">Staatssecretaris van Klimaat en Groene Groei </w:t>
      </w:r>
    </w:p>
    <w:p w:rsidR="00225675" w:rsidP="00AA701B" w:rsidRDefault="00AE63EA" w14:paraId="6FCF29C9" w14:textId="77777777">
      <w:pPr>
        <w:rPr>
          <w:b/>
        </w:rPr>
      </w:pPr>
      <w:r>
        <w:rPr>
          <w:b/>
        </w:rPr>
        <w:br w:type="page"/>
      </w:r>
    </w:p>
    <w:p w:rsidRPr="00860495" w:rsidR="005F0D54" w:rsidP="00AA701B" w:rsidRDefault="00860495" w14:paraId="37C5C772" w14:textId="7EF2506F">
      <w:pPr>
        <w:rPr>
          <w:b/>
        </w:rPr>
      </w:pPr>
      <w:r>
        <w:rPr>
          <w:b/>
        </w:rPr>
        <w:lastRenderedPageBreak/>
        <w:t>2026Z15965</w:t>
      </w:r>
    </w:p>
    <w:p w:rsidR="00AA701B" w:rsidP="00AA701B" w:rsidRDefault="00AA701B" w14:paraId="017BC5F7" w14:textId="77777777"/>
    <w:p w:rsidR="00860495" w:rsidP="00AA701B" w:rsidRDefault="00860495" w14:paraId="170517AC" w14:textId="30F3511E">
      <w:r>
        <w:t>1</w:t>
      </w:r>
    </w:p>
    <w:p w:rsidR="00860495" w:rsidP="00AA701B" w:rsidRDefault="00860495" w14:paraId="24EBF7C5" w14:textId="2B2BAB41">
      <w:r w:rsidRPr="00860495">
        <w:t>Hoe beoordeelt u de dagvaarding van Tata Steel door het Openbaar Ministerie</w:t>
      </w:r>
      <w:r w:rsidRPr="00860495">
        <w:rPr>
          <w:i/>
          <w:iCs/>
        </w:rPr>
        <w:t> </w:t>
      </w:r>
      <w:r w:rsidRPr="00860495">
        <w:t xml:space="preserve">in het licht van de door u in het plenaire debat genoemde mogelijkheid dat een uitkomst van een onderzoek van een bevoegde autoriteit een grond kan vormen voor opzegging van de 'Joint Letter of </w:t>
      </w:r>
      <w:proofErr w:type="spellStart"/>
      <w:r w:rsidRPr="00860495">
        <w:t>Intent</w:t>
      </w:r>
      <w:proofErr w:type="spellEnd"/>
      <w:r w:rsidRPr="00860495">
        <w:t>' (</w:t>
      </w:r>
      <w:proofErr w:type="spellStart"/>
      <w:r w:rsidRPr="00860495">
        <w:t>JLoI</w:t>
      </w:r>
      <w:proofErr w:type="spellEnd"/>
      <w:r w:rsidRPr="00860495">
        <w:t>), indien die naar redelijk oordeel van de Staat ernstige zorgen doet ontstaan over de maatwerkafspraak?</w:t>
      </w:r>
    </w:p>
    <w:p w:rsidR="00860495" w:rsidP="00AA701B" w:rsidRDefault="00860495" w14:paraId="61897302" w14:textId="6B4966E7"/>
    <w:p w:rsidR="005F0D54" w:rsidP="00AA701B" w:rsidRDefault="00AE63EA" w14:paraId="39812739" w14:textId="607FE11D">
      <w:r>
        <w:t>2</w:t>
      </w:r>
    </w:p>
    <w:p w:rsidR="00860495" w:rsidP="00AA701B" w:rsidRDefault="00860495" w14:paraId="320F7279" w14:textId="0EBBEFBF">
      <w:r w:rsidRPr="00860495">
        <w:t xml:space="preserve">Betekent deze dagvaarding voor u aanleiding om opnieuw te beoordelen of voortzetting van de </w:t>
      </w:r>
      <w:proofErr w:type="spellStart"/>
      <w:r w:rsidRPr="00860495">
        <w:t>JLoI</w:t>
      </w:r>
      <w:proofErr w:type="spellEnd"/>
      <w:r w:rsidRPr="00860495">
        <w:t xml:space="preserve"> nog verenigbaar is met de belangen van de Staat, de omwonenden en de kwaliteit van de uiteindelijke maatwerkafspraken? Waarom wel of waarom niet?</w:t>
      </w:r>
    </w:p>
    <w:p w:rsidR="005F0D54" w:rsidP="00AA701B" w:rsidRDefault="00AE63EA" w14:paraId="447E3CF2" w14:textId="4CB962B6">
      <w:r>
        <w:br/>
        <w:t>3</w:t>
      </w:r>
    </w:p>
    <w:p w:rsidR="00860495" w:rsidP="00AA701B" w:rsidRDefault="00860495" w14:paraId="0628673B" w14:textId="77777777">
      <w:r w:rsidRPr="00860495">
        <w:t>Welke concrete gevolgen verbindt u aan deze ontwikkeling voor de onderhandelingen over de definitieve, bindende maatwerkafspraken met Tata Steel?</w:t>
      </w:r>
    </w:p>
    <w:p w:rsidR="005F0D54" w:rsidP="00AA701B" w:rsidRDefault="005F0D54" w14:paraId="02767146" w14:textId="77777777"/>
    <w:p w:rsidR="7B990BA6" w:rsidP="00AA701B" w:rsidRDefault="7B990BA6" w14:paraId="21F7D709" w14:textId="01DAAE94">
      <w:pPr>
        <w:rPr>
          <w:rFonts w:eastAsia="Verdana" w:cs="Verdana"/>
          <w:color w:val="000000" w:themeColor="text1"/>
          <w:szCs w:val="18"/>
        </w:rPr>
      </w:pPr>
      <w:r w:rsidRPr="0570893A">
        <w:rPr>
          <w:rFonts w:eastAsia="Verdana" w:cs="Verdana"/>
          <w:color w:val="000000" w:themeColor="text1"/>
          <w:szCs w:val="18"/>
        </w:rPr>
        <w:t>Antwoord vraag 1 t/m 3</w:t>
      </w:r>
    </w:p>
    <w:p w:rsidR="7B990BA6" w:rsidP="00AA701B" w:rsidRDefault="7B990BA6" w14:paraId="0AFAA242" w14:textId="32751208">
      <w:pPr>
        <w:rPr>
          <w:rFonts w:eastAsia="Verdana" w:cs="Verdana"/>
          <w:color w:val="000000" w:themeColor="text1"/>
          <w:szCs w:val="18"/>
        </w:rPr>
      </w:pPr>
      <w:r w:rsidRPr="0570893A">
        <w:rPr>
          <w:rFonts w:eastAsia="Verdana" w:cs="Verdana"/>
          <w:color w:val="000000" w:themeColor="text1"/>
          <w:szCs w:val="18"/>
        </w:rPr>
        <w:t>In september informeert het kabinet de Kamer over de bredere ontwikkelingen rondom de maatwerkafspraken met Tata Steel. Daarbij zal ingegaan worden op de mogelijke implicaties van deze ontwikkelingen voor het proces richting een maatwerkafspraak. Tot die tijd zal het kabinet geen onomkeerbare stappen zetten in het maatwerktraject.</w:t>
      </w:r>
    </w:p>
    <w:p w:rsidR="005F0D54" w:rsidP="00AA701B" w:rsidRDefault="005F0D54" w14:paraId="4595A9F1" w14:textId="77777777"/>
    <w:p w:rsidR="00860495" w:rsidP="00AA701B" w:rsidRDefault="00860495" w14:paraId="38581CFD" w14:textId="37BF0306">
      <w:r>
        <w:t>4</w:t>
      </w:r>
    </w:p>
    <w:p w:rsidR="00860495" w:rsidP="00AA701B" w:rsidRDefault="00860495" w14:paraId="350A178B" w14:textId="012D3707">
      <w:r w:rsidRPr="00860495">
        <w:t>Kunt u uiteenzetten welke “borging van de risico’s” inmiddels is uitgewerkt, en op welke wijze daarin rekening wordt gehouden met een strafzaak, mogelijke aansprakelijkheid en de gezondheidsschade voor omwonenden?</w:t>
      </w:r>
    </w:p>
    <w:p w:rsidR="00860495" w:rsidP="00AA701B" w:rsidRDefault="00860495" w14:paraId="373DF941" w14:textId="77777777"/>
    <w:p w:rsidR="0570893A" w:rsidP="00AA701B" w:rsidRDefault="52D462A1" w14:paraId="46FF1703" w14:textId="43217A6F">
      <w:pPr>
        <w:rPr>
          <w:rFonts w:eastAsia="Verdana" w:cs="Verdana"/>
          <w:color w:val="000000" w:themeColor="text1"/>
          <w:szCs w:val="18"/>
        </w:rPr>
      </w:pPr>
      <w:r>
        <w:t>Antwoord</w:t>
      </w:r>
    </w:p>
    <w:p w:rsidR="1354C3B7" w:rsidP="00AA701B" w:rsidRDefault="1354C3B7" w14:paraId="53638D00" w14:textId="098874B2">
      <w:pPr>
        <w:rPr>
          <w:rFonts w:eastAsia="Verdana" w:cs="Verdana"/>
          <w:szCs w:val="18"/>
        </w:rPr>
      </w:pPr>
      <w:r w:rsidRPr="0570893A">
        <w:rPr>
          <w:rFonts w:eastAsia="Verdana" w:cs="Verdana"/>
          <w:color w:val="000000" w:themeColor="text1"/>
          <w:szCs w:val="18"/>
        </w:rPr>
        <w:t xml:space="preserve">Het verminderen van gezondheidsrisico's is en blijft één van de hoofddoelstellingen van de beoogde maatwerkafspraak. In artikel 2.11 van de Joint Letter of </w:t>
      </w:r>
      <w:proofErr w:type="spellStart"/>
      <w:r w:rsidRPr="0570893A">
        <w:rPr>
          <w:rFonts w:eastAsia="Verdana" w:cs="Verdana"/>
          <w:color w:val="000000" w:themeColor="text1"/>
          <w:szCs w:val="18"/>
        </w:rPr>
        <w:t>Intent</w:t>
      </w:r>
      <w:proofErr w:type="spellEnd"/>
      <w:r w:rsidRPr="0570893A">
        <w:rPr>
          <w:rFonts w:eastAsia="Verdana" w:cs="Verdana"/>
          <w:color w:val="000000" w:themeColor="text1"/>
          <w:szCs w:val="18"/>
        </w:rPr>
        <w:t xml:space="preserve"> is overeengekomen dat partijen zullen bespreken welke omstandigheden en risico's kunnen worden opgenomen in de maatwerkafspraak voor de uitvoering van de projecten. De uitwerking hiervan loopt. Hier kan niet op vooruit worden gelopen. Voor wat betreft de impact van de strafrechtelijke vervolging op de maatwerkafspraak, zie het antwoord op vraag 1</w:t>
      </w:r>
      <w:r w:rsidR="00596F58">
        <w:rPr>
          <w:rFonts w:eastAsia="Verdana" w:cs="Verdana"/>
          <w:color w:val="000000" w:themeColor="text1"/>
          <w:szCs w:val="18"/>
        </w:rPr>
        <w:t xml:space="preserve"> t/m 3</w:t>
      </w:r>
      <w:r w:rsidRPr="0570893A">
        <w:rPr>
          <w:rFonts w:eastAsia="Verdana" w:cs="Verdana"/>
          <w:color w:val="000000" w:themeColor="text1"/>
          <w:szCs w:val="18"/>
        </w:rPr>
        <w:t>.</w:t>
      </w:r>
    </w:p>
    <w:p w:rsidR="0025042A" w:rsidP="00AA701B" w:rsidRDefault="0025042A" w14:paraId="73A35BCD" w14:textId="47C8B8CB"/>
    <w:p w:rsidR="00860495" w:rsidP="00AA701B" w:rsidRDefault="00860495" w14:paraId="547C186D" w14:textId="6996B1BB">
      <w:r>
        <w:t>5</w:t>
      </w:r>
    </w:p>
    <w:p w:rsidR="00860495" w:rsidP="00AA701B" w:rsidRDefault="00860495" w14:paraId="23D5D100" w14:textId="45FA904A">
      <w:r w:rsidRPr="00860495">
        <w:t xml:space="preserve">Welke criteria hanteert u om te bepalen wanneer een uitkomst van een onderzoek of strafzaak zó ernstig is dat opzegging van de </w:t>
      </w:r>
      <w:proofErr w:type="spellStart"/>
      <w:r w:rsidRPr="00860495">
        <w:t>JLoI</w:t>
      </w:r>
      <w:proofErr w:type="spellEnd"/>
      <w:r w:rsidRPr="00860495">
        <w:t xml:space="preserve"> of heronderhandeling van de maatwerkafspraken aan de orde is?</w:t>
      </w:r>
    </w:p>
    <w:p w:rsidR="00860495" w:rsidP="00AA701B" w:rsidRDefault="00860495" w14:paraId="3DBBD9CE" w14:textId="77777777"/>
    <w:p w:rsidR="00AA701B" w:rsidRDefault="00AA701B" w14:paraId="4268D3F5" w14:textId="77777777">
      <w:pPr>
        <w:spacing w:line="240" w:lineRule="auto"/>
      </w:pPr>
      <w:r>
        <w:br w:type="page"/>
      </w:r>
    </w:p>
    <w:p w:rsidR="00860495" w:rsidP="00AA701B" w:rsidRDefault="00860495" w14:paraId="76A602F2" w14:textId="5CE11829">
      <w:r>
        <w:lastRenderedPageBreak/>
        <w:t>6</w:t>
      </w:r>
    </w:p>
    <w:p w:rsidR="2F6210C0" w:rsidP="00AA701B" w:rsidRDefault="52D462A1" w14:paraId="62B94B31" w14:textId="3AF57CAA">
      <w:r>
        <w:t>Bent u bereid de Kamer vóór verdere stappen in het maatwerktraject te informeren over de juridische en inhoudelijke consequenties van deze dagvaarding voor de onderhandelingspositie van de Staat?</w:t>
      </w:r>
    </w:p>
    <w:p w:rsidR="00263155" w:rsidP="00AA701B" w:rsidRDefault="00263155" w14:paraId="3F4346C5" w14:textId="77777777"/>
    <w:p w:rsidR="00860495" w:rsidP="00AA701B" w:rsidRDefault="00860495" w14:paraId="25FDB684" w14:textId="441B7EB6">
      <w:r>
        <w:t>7</w:t>
      </w:r>
    </w:p>
    <w:p w:rsidR="00860495" w:rsidP="00AA701B" w:rsidRDefault="00CA66D7" w14:paraId="567CD922" w14:textId="3719FB16">
      <w:r w:rsidRPr="00CA66D7">
        <w:t>Bent u bereid om niet tot afronding van de maatwerkafspraak over te gaan zolang de strafzaak tegen Tata Steel nog loopt?</w:t>
      </w:r>
    </w:p>
    <w:p w:rsidR="00CA66D7" w:rsidP="00AA701B" w:rsidRDefault="00CA66D7" w14:paraId="4156C055" w14:textId="77777777"/>
    <w:p w:rsidR="00DE7F94" w:rsidP="00AA701B" w:rsidRDefault="14CEEE6C" w14:paraId="5236D326" w14:textId="441B68F8">
      <w:pPr>
        <w:rPr>
          <w:rFonts w:eastAsia="Verdana" w:cs="Verdana"/>
          <w:color w:val="000000" w:themeColor="text1"/>
          <w:szCs w:val="18"/>
        </w:rPr>
      </w:pPr>
      <w:r w:rsidRPr="0570893A">
        <w:rPr>
          <w:rFonts w:eastAsia="Verdana" w:cs="Verdana"/>
          <w:color w:val="000000" w:themeColor="text1"/>
          <w:szCs w:val="18"/>
        </w:rPr>
        <w:t>Antwoord vraag 5 t/m 7</w:t>
      </w:r>
    </w:p>
    <w:p w:rsidR="00DE7F94" w:rsidP="00AA701B" w:rsidRDefault="14CEEE6C" w14:paraId="40E0F3D2" w14:textId="22633C50">
      <w:pPr>
        <w:rPr>
          <w:rFonts w:eastAsia="Verdana" w:cs="Verdana"/>
          <w:color w:val="000000" w:themeColor="text1"/>
          <w:szCs w:val="18"/>
        </w:rPr>
      </w:pPr>
      <w:r w:rsidRPr="0570893A">
        <w:rPr>
          <w:rFonts w:eastAsia="Verdana" w:cs="Verdana"/>
          <w:color w:val="000000" w:themeColor="text1"/>
          <w:szCs w:val="18"/>
        </w:rPr>
        <w:t>In september informeert het kabinet de Kamer over de bredere ontwikkelingen rondom de maatwerkafspraken met Tata Steel. Daarbij zal ingegaan worden op de mogelijke implicaties van deze ontwikkelingen voor het proces richting een maatwerkafspraak. Tot die tijd zal het kabinet geen onomkeerbare stappen zetten in het maatwerktraject.</w:t>
      </w:r>
    </w:p>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1A4C" w14:textId="77777777" w:rsidR="001F7ED7" w:rsidRDefault="001F7ED7">
      <w:r>
        <w:separator/>
      </w:r>
    </w:p>
    <w:p w14:paraId="5E289E37" w14:textId="77777777" w:rsidR="001F7ED7" w:rsidRDefault="001F7ED7"/>
  </w:endnote>
  <w:endnote w:type="continuationSeparator" w:id="0">
    <w:p w14:paraId="5FD81250" w14:textId="77777777" w:rsidR="001F7ED7" w:rsidRDefault="001F7ED7">
      <w:r>
        <w:continuationSeparator/>
      </w:r>
    </w:p>
    <w:p w14:paraId="7F437235" w14:textId="77777777" w:rsidR="001F7ED7" w:rsidRDefault="001F7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A04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288A" w14:paraId="747315E6" w14:textId="77777777" w:rsidTr="00CA6A25">
      <w:trPr>
        <w:trHeight w:hRule="exact" w:val="240"/>
      </w:trPr>
      <w:tc>
        <w:tcPr>
          <w:tcW w:w="7601" w:type="dxa"/>
        </w:tcPr>
        <w:p w14:paraId="0693E199" w14:textId="77777777" w:rsidR="00527BD4" w:rsidRDefault="00527BD4" w:rsidP="003F1F6B">
          <w:pPr>
            <w:pStyle w:val="Huisstijl-Rubricering"/>
          </w:pPr>
        </w:p>
      </w:tc>
      <w:tc>
        <w:tcPr>
          <w:tcW w:w="2156" w:type="dxa"/>
        </w:tcPr>
        <w:p w14:paraId="72424C39" w14:textId="3FD6A576" w:rsidR="00527BD4" w:rsidRPr="00645414" w:rsidRDefault="00AE63E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E67AC">
            <w:t>3</w:t>
          </w:r>
          <w:r w:rsidR="00721AE1">
            <w:fldChar w:fldCharType="end"/>
          </w:r>
        </w:p>
      </w:tc>
    </w:tr>
  </w:tbl>
  <w:p w14:paraId="7E1C07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288A" w14:paraId="2EB21A15" w14:textId="77777777" w:rsidTr="00CA6A25">
      <w:trPr>
        <w:trHeight w:hRule="exact" w:val="240"/>
      </w:trPr>
      <w:tc>
        <w:tcPr>
          <w:tcW w:w="7601" w:type="dxa"/>
        </w:tcPr>
        <w:p w14:paraId="0E0D10BD" w14:textId="77777777" w:rsidR="00527BD4" w:rsidRDefault="00527BD4" w:rsidP="008C356D">
          <w:pPr>
            <w:pStyle w:val="Huisstijl-Rubricering"/>
          </w:pPr>
        </w:p>
      </w:tc>
      <w:tc>
        <w:tcPr>
          <w:tcW w:w="2170" w:type="dxa"/>
        </w:tcPr>
        <w:p w14:paraId="2647E1E7" w14:textId="1BA3BF19" w:rsidR="00527BD4" w:rsidRPr="00ED539E" w:rsidRDefault="00AE63E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BE67AC">
            <w:t>3</w:t>
          </w:r>
          <w:r w:rsidR="00405C2A">
            <w:fldChar w:fldCharType="end"/>
          </w:r>
        </w:p>
      </w:tc>
    </w:tr>
  </w:tbl>
  <w:p w14:paraId="019F7631" w14:textId="77777777" w:rsidR="00527BD4" w:rsidRPr="00BC3B53" w:rsidRDefault="00527BD4" w:rsidP="008C356D">
    <w:pPr>
      <w:pStyle w:val="Voettekst"/>
      <w:spacing w:line="240" w:lineRule="auto"/>
      <w:rPr>
        <w:sz w:val="2"/>
        <w:szCs w:val="2"/>
      </w:rPr>
    </w:pPr>
  </w:p>
  <w:p w14:paraId="5D85F21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468E" w14:textId="77777777" w:rsidR="001F7ED7" w:rsidRDefault="001F7ED7">
      <w:r>
        <w:separator/>
      </w:r>
    </w:p>
    <w:p w14:paraId="4DC19186" w14:textId="77777777" w:rsidR="001F7ED7" w:rsidRDefault="001F7ED7"/>
  </w:footnote>
  <w:footnote w:type="continuationSeparator" w:id="0">
    <w:p w14:paraId="7CB83764" w14:textId="77777777" w:rsidR="001F7ED7" w:rsidRDefault="001F7ED7">
      <w:r>
        <w:continuationSeparator/>
      </w:r>
    </w:p>
    <w:p w14:paraId="4231F668" w14:textId="77777777" w:rsidR="001F7ED7" w:rsidRDefault="001F7ED7"/>
  </w:footnote>
  <w:footnote w:id="1">
    <w:p w14:paraId="49226883" w14:textId="05B09935" w:rsidR="2F6210C0" w:rsidRDefault="2F6210C0" w:rsidP="2F6210C0">
      <w:pPr>
        <w:pStyle w:val="Voetnoottekst"/>
      </w:pPr>
      <w:r w:rsidRPr="2F6210C0">
        <w:rPr>
          <w:rStyle w:val="Voetnootmarkering"/>
        </w:rPr>
        <w:footnoteRef/>
      </w:r>
      <w:r>
        <w:t xml:space="preserve"> Kenmerk 2026Z15991.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288A" w14:paraId="6B45F409" w14:textId="77777777" w:rsidTr="00A50CF6">
      <w:tc>
        <w:tcPr>
          <w:tcW w:w="2156" w:type="dxa"/>
        </w:tcPr>
        <w:p w14:paraId="14430C92" w14:textId="77777777" w:rsidR="00527BD4" w:rsidRPr="005819CE" w:rsidRDefault="00AE63EA" w:rsidP="00A50CF6">
          <w:pPr>
            <w:pStyle w:val="Huisstijl-Adres"/>
            <w:rPr>
              <w:b/>
            </w:rPr>
          </w:pPr>
          <w:r>
            <w:rPr>
              <w:b/>
            </w:rPr>
            <w:t>Directoraat-generaal Realisatie Groene Groei</w:t>
          </w:r>
          <w:r w:rsidRPr="005819CE">
            <w:rPr>
              <w:b/>
            </w:rPr>
            <w:br/>
          </w:r>
        </w:p>
      </w:tc>
    </w:tr>
    <w:tr w:rsidR="008D288A" w14:paraId="77B94973" w14:textId="77777777" w:rsidTr="00A50CF6">
      <w:trPr>
        <w:trHeight w:hRule="exact" w:val="200"/>
      </w:trPr>
      <w:tc>
        <w:tcPr>
          <w:tcW w:w="2156" w:type="dxa"/>
        </w:tcPr>
        <w:p w14:paraId="75AFE38B" w14:textId="77777777" w:rsidR="00527BD4" w:rsidRPr="005819CE" w:rsidRDefault="00527BD4" w:rsidP="00A50CF6"/>
      </w:tc>
    </w:tr>
    <w:tr w:rsidR="008D288A" w14:paraId="2EA99DDC" w14:textId="77777777" w:rsidTr="00502512">
      <w:trPr>
        <w:trHeight w:hRule="exact" w:val="774"/>
      </w:trPr>
      <w:tc>
        <w:tcPr>
          <w:tcW w:w="2156" w:type="dxa"/>
        </w:tcPr>
        <w:p w14:paraId="1A43A7A8" w14:textId="77777777" w:rsidR="00527BD4" w:rsidRDefault="00AE63EA" w:rsidP="003A5290">
          <w:pPr>
            <w:pStyle w:val="Huisstijl-Kopje"/>
          </w:pPr>
          <w:r>
            <w:t>Ons kenmerk</w:t>
          </w:r>
        </w:p>
        <w:p w14:paraId="30839AA5" w14:textId="57D9AAE4" w:rsidR="00502512" w:rsidRPr="00502512" w:rsidRDefault="00AE63EA" w:rsidP="00AA701B">
          <w:pPr>
            <w:pStyle w:val="Huisstijl-Kopje"/>
            <w:rPr>
              <w:b w:val="0"/>
            </w:rPr>
          </w:pPr>
          <w:r>
            <w:rPr>
              <w:b w:val="0"/>
            </w:rPr>
            <w:t>KGG_DGRGG</w:t>
          </w:r>
          <w:r w:rsidRPr="00502512">
            <w:rPr>
              <w:b w:val="0"/>
            </w:rPr>
            <w:t xml:space="preserve"> / </w:t>
          </w:r>
          <w:r w:rsidR="00AA701B" w:rsidRPr="00AA701B">
            <w:rPr>
              <w:b w:val="0"/>
              <w:bCs/>
            </w:rPr>
            <w:t>107450891</w:t>
          </w:r>
        </w:p>
        <w:p w14:paraId="43D071C6" w14:textId="77777777" w:rsidR="00527BD4" w:rsidRPr="005819CE" w:rsidRDefault="00527BD4" w:rsidP="00361A56">
          <w:pPr>
            <w:pStyle w:val="Huisstijl-Kopje"/>
          </w:pPr>
        </w:p>
      </w:tc>
    </w:tr>
  </w:tbl>
  <w:p w14:paraId="3C19CE19" w14:textId="77777777" w:rsidR="00527BD4" w:rsidRDefault="00527BD4" w:rsidP="008C356D">
    <w:pPr>
      <w:pStyle w:val="Koptekst"/>
      <w:rPr>
        <w:rFonts w:cs="Verdana-Bold"/>
        <w:b/>
        <w:bCs/>
        <w:smallCaps/>
        <w:szCs w:val="18"/>
      </w:rPr>
    </w:pPr>
  </w:p>
  <w:p w14:paraId="4504725E" w14:textId="77777777" w:rsidR="00527BD4" w:rsidRDefault="00527BD4" w:rsidP="008C356D"/>
  <w:p w14:paraId="56A45F75" w14:textId="77777777" w:rsidR="00527BD4" w:rsidRPr="00740712" w:rsidRDefault="00527BD4" w:rsidP="008C356D"/>
  <w:p w14:paraId="7AEEE723" w14:textId="77777777" w:rsidR="00527BD4" w:rsidRPr="00217880" w:rsidRDefault="00527BD4" w:rsidP="008C356D">
    <w:pPr>
      <w:spacing w:line="0" w:lineRule="atLeast"/>
      <w:rPr>
        <w:sz w:val="2"/>
        <w:szCs w:val="2"/>
      </w:rPr>
    </w:pPr>
  </w:p>
  <w:p w14:paraId="3A262F8A" w14:textId="77777777" w:rsidR="00527BD4" w:rsidRDefault="00527BD4" w:rsidP="004F44C2">
    <w:pPr>
      <w:pStyle w:val="Koptekst"/>
      <w:rPr>
        <w:rFonts w:cs="Verdana-Bold"/>
        <w:b/>
        <w:bCs/>
        <w:smallCaps/>
        <w:szCs w:val="18"/>
      </w:rPr>
    </w:pPr>
  </w:p>
  <w:p w14:paraId="65FA847E" w14:textId="77777777" w:rsidR="00527BD4" w:rsidRDefault="00527BD4" w:rsidP="004F44C2"/>
  <w:p w14:paraId="56B9BAED" w14:textId="77777777" w:rsidR="00527BD4" w:rsidRPr="00740712" w:rsidRDefault="00527BD4" w:rsidP="004F44C2"/>
  <w:p w14:paraId="2E44F82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288A" w14:paraId="6442E982" w14:textId="77777777" w:rsidTr="00751A6A">
      <w:trPr>
        <w:trHeight w:val="2636"/>
      </w:trPr>
      <w:tc>
        <w:tcPr>
          <w:tcW w:w="737" w:type="dxa"/>
        </w:tcPr>
        <w:p w14:paraId="2435C812" w14:textId="77777777" w:rsidR="00527BD4" w:rsidRDefault="00527BD4" w:rsidP="00D0609E">
          <w:pPr>
            <w:framePr w:w="6340" w:h="2750" w:hRule="exact" w:hSpace="180" w:wrap="around" w:vAnchor="page" w:hAnchor="text" w:x="3873" w:y="-140"/>
            <w:spacing w:line="240" w:lineRule="auto"/>
          </w:pPr>
        </w:p>
      </w:tc>
      <w:tc>
        <w:tcPr>
          <w:tcW w:w="5156" w:type="dxa"/>
        </w:tcPr>
        <w:p w14:paraId="3E4922EC" w14:textId="77777777" w:rsidR="00527BD4" w:rsidRDefault="00AE63E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8740620" wp14:editId="461BE17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6CD7D0C" w14:textId="77777777" w:rsidR="00F4553F" w:rsidRDefault="00F4553F" w:rsidP="00651CEE">
          <w:pPr>
            <w:framePr w:w="6340" w:h="2750" w:hRule="exact" w:hSpace="180" w:wrap="around" w:vAnchor="page" w:hAnchor="text" w:x="3873" w:y="-140"/>
            <w:spacing w:line="240" w:lineRule="auto"/>
          </w:pPr>
        </w:p>
      </w:tc>
    </w:tr>
  </w:tbl>
  <w:p w14:paraId="76050A3F" w14:textId="77777777" w:rsidR="00527BD4" w:rsidRDefault="00527BD4" w:rsidP="00D0609E">
    <w:pPr>
      <w:framePr w:w="6340" w:h="2750" w:hRule="exact" w:hSpace="180" w:wrap="around" w:vAnchor="page" w:hAnchor="text" w:x="3873" w:y="-140"/>
    </w:pPr>
  </w:p>
  <w:p w14:paraId="3A6713E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288A" w:rsidRPr="00AA701B" w14:paraId="2F156783" w14:textId="77777777" w:rsidTr="00A50CF6">
      <w:tc>
        <w:tcPr>
          <w:tcW w:w="2160" w:type="dxa"/>
        </w:tcPr>
        <w:p w14:paraId="1F73C9C2" w14:textId="77777777" w:rsidR="00527BD4" w:rsidRPr="005819CE" w:rsidRDefault="00AE63EA" w:rsidP="00A50CF6">
          <w:pPr>
            <w:pStyle w:val="Huisstijl-Adres"/>
            <w:rPr>
              <w:b/>
            </w:rPr>
          </w:pPr>
          <w:r>
            <w:rPr>
              <w:b/>
            </w:rPr>
            <w:t>Directoraat-generaal Realisatie Groene Groei</w:t>
          </w:r>
          <w:r w:rsidRPr="005819CE">
            <w:rPr>
              <w:b/>
            </w:rPr>
            <w:br/>
          </w:r>
        </w:p>
        <w:p w14:paraId="380FD179" w14:textId="77777777" w:rsidR="00527BD4" w:rsidRPr="00BE5ED9" w:rsidRDefault="00AE63EA" w:rsidP="00A50CF6">
          <w:pPr>
            <w:pStyle w:val="Huisstijl-Adres"/>
          </w:pPr>
          <w:r>
            <w:rPr>
              <w:b/>
            </w:rPr>
            <w:t>Bezoekadres</w:t>
          </w:r>
          <w:r>
            <w:rPr>
              <w:b/>
            </w:rPr>
            <w:br/>
          </w:r>
          <w:r>
            <w:t>Bezuidenhoutseweg 73</w:t>
          </w:r>
          <w:r w:rsidRPr="005819CE">
            <w:br/>
          </w:r>
          <w:r>
            <w:t>2594 AC Den Haag</w:t>
          </w:r>
        </w:p>
        <w:p w14:paraId="51E3D90F" w14:textId="77777777" w:rsidR="00EF495B" w:rsidRDefault="00AE63EA" w:rsidP="0098788A">
          <w:pPr>
            <w:pStyle w:val="Huisstijl-Adres"/>
          </w:pPr>
          <w:r>
            <w:rPr>
              <w:b/>
            </w:rPr>
            <w:t>Postadres</w:t>
          </w:r>
          <w:r>
            <w:rPr>
              <w:b/>
            </w:rPr>
            <w:br/>
          </w:r>
          <w:r>
            <w:t>Postbus 20401</w:t>
          </w:r>
          <w:r w:rsidRPr="005819CE">
            <w:br/>
            <w:t>2500 E</w:t>
          </w:r>
          <w:r>
            <w:t>K</w:t>
          </w:r>
          <w:r w:rsidRPr="005819CE">
            <w:t xml:space="preserve"> Den Haag</w:t>
          </w:r>
        </w:p>
        <w:p w14:paraId="2D0B06F1" w14:textId="77777777" w:rsidR="00EF495B" w:rsidRPr="005B3814" w:rsidRDefault="00AE63EA" w:rsidP="0098788A">
          <w:pPr>
            <w:pStyle w:val="Huisstijl-Adres"/>
          </w:pPr>
          <w:r>
            <w:rPr>
              <w:b/>
            </w:rPr>
            <w:t>Overheidsidentificatienr</w:t>
          </w:r>
          <w:r>
            <w:rPr>
              <w:b/>
            </w:rPr>
            <w:br/>
          </w:r>
          <w:r w:rsidRPr="005B3814">
            <w:t>00000001003214369000</w:t>
          </w:r>
        </w:p>
        <w:p w14:paraId="5D9EC5C1" w14:textId="06A9D868" w:rsidR="00527BD4" w:rsidRPr="00AA701B" w:rsidRDefault="00AE63E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D288A" w:rsidRPr="00AA701B" w14:paraId="659D6049" w14:textId="77777777" w:rsidTr="00A50CF6">
      <w:trPr>
        <w:trHeight w:hRule="exact" w:val="200"/>
      </w:trPr>
      <w:tc>
        <w:tcPr>
          <w:tcW w:w="2160" w:type="dxa"/>
        </w:tcPr>
        <w:p w14:paraId="6330E3BB" w14:textId="77777777" w:rsidR="00527BD4" w:rsidRPr="00AD21A4" w:rsidRDefault="00527BD4" w:rsidP="00A50CF6"/>
      </w:tc>
    </w:tr>
    <w:tr w:rsidR="008D288A" w14:paraId="13690EC2" w14:textId="77777777" w:rsidTr="00A50CF6">
      <w:tc>
        <w:tcPr>
          <w:tcW w:w="2160" w:type="dxa"/>
        </w:tcPr>
        <w:p w14:paraId="6183CB2D" w14:textId="77777777" w:rsidR="000C0163" w:rsidRPr="005819CE" w:rsidRDefault="00AE63EA" w:rsidP="000C0163">
          <w:pPr>
            <w:pStyle w:val="Huisstijl-Kopje"/>
          </w:pPr>
          <w:r>
            <w:t>Ons kenmerk</w:t>
          </w:r>
          <w:r w:rsidRPr="005819CE">
            <w:t xml:space="preserve"> </w:t>
          </w:r>
        </w:p>
        <w:p w14:paraId="18166474" w14:textId="6F5892E8" w:rsidR="000C0163" w:rsidRPr="005819CE" w:rsidRDefault="00AE63EA" w:rsidP="00AA701B">
          <w:pPr>
            <w:pStyle w:val="Huisstijl-Gegeven"/>
          </w:pPr>
          <w:r>
            <w:t>KGG_DGRGG</w:t>
          </w:r>
          <w:r w:rsidR="00926AE2">
            <w:t xml:space="preserve"> / </w:t>
          </w:r>
          <w:r w:rsidR="00AA701B">
            <w:t>107450891</w:t>
          </w:r>
        </w:p>
        <w:p w14:paraId="2E186738" w14:textId="77777777" w:rsidR="00527BD4" w:rsidRPr="005819CE" w:rsidRDefault="00AE63EA" w:rsidP="00A50CF6">
          <w:pPr>
            <w:pStyle w:val="Huisstijl-Kopje"/>
          </w:pPr>
          <w:r>
            <w:t>Uw kenmerk</w:t>
          </w:r>
        </w:p>
        <w:p w14:paraId="793CA835" w14:textId="77777777" w:rsidR="00527BD4" w:rsidRPr="005819CE" w:rsidRDefault="00AE63EA" w:rsidP="00A50CF6">
          <w:pPr>
            <w:pStyle w:val="Huisstijl-Gegeven"/>
          </w:pPr>
          <w:r>
            <w:t>2026Z15965</w:t>
          </w:r>
        </w:p>
        <w:p w14:paraId="5ADAB545" w14:textId="77777777" w:rsidR="00527BD4" w:rsidRPr="005819CE" w:rsidRDefault="00527BD4" w:rsidP="00AA701B">
          <w:pPr>
            <w:pStyle w:val="Huisstijl-Kopje"/>
          </w:pPr>
        </w:p>
      </w:tc>
    </w:tr>
  </w:tbl>
  <w:p w14:paraId="4067D12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288A" w14:paraId="6C33D332" w14:textId="77777777" w:rsidTr="007610AA">
      <w:trPr>
        <w:trHeight w:val="400"/>
      </w:trPr>
      <w:tc>
        <w:tcPr>
          <w:tcW w:w="7520" w:type="dxa"/>
          <w:gridSpan w:val="2"/>
        </w:tcPr>
        <w:p w14:paraId="69D003EF" w14:textId="77777777" w:rsidR="00527BD4" w:rsidRPr="00BC3B53" w:rsidRDefault="00AE63EA" w:rsidP="00A50CF6">
          <w:pPr>
            <w:pStyle w:val="Huisstijl-Retouradres"/>
          </w:pPr>
          <w:r>
            <w:t>&gt; Retouradres Postbus 20401 2500 EK Den Haag</w:t>
          </w:r>
        </w:p>
      </w:tc>
    </w:tr>
    <w:tr w:rsidR="008D288A" w14:paraId="1CA4E7C5" w14:textId="77777777" w:rsidTr="007610AA">
      <w:tc>
        <w:tcPr>
          <w:tcW w:w="7520" w:type="dxa"/>
          <w:gridSpan w:val="2"/>
        </w:tcPr>
        <w:p w14:paraId="1B3A0A2C" w14:textId="77777777" w:rsidR="00527BD4" w:rsidRPr="00983E8F" w:rsidRDefault="00527BD4" w:rsidP="00A50CF6">
          <w:pPr>
            <w:pStyle w:val="Huisstijl-Rubricering"/>
          </w:pPr>
        </w:p>
      </w:tc>
    </w:tr>
    <w:tr w:rsidR="008D288A" w14:paraId="4C8D003F" w14:textId="77777777" w:rsidTr="007610AA">
      <w:trPr>
        <w:trHeight w:hRule="exact" w:val="2440"/>
      </w:trPr>
      <w:tc>
        <w:tcPr>
          <w:tcW w:w="7520" w:type="dxa"/>
          <w:gridSpan w:val="2"/>
        </w:tcPr>
        <w:p w14:paraId="7D5C235D" w14:textId="77777777" w:rsidR="00527BD4" w:rsidRDefault="00AE63EA" w:rsidP="00A50CF6">
          <w:pPr>
            <w:pStyle w:val="Huisstijl-NAW"/>
          </w:pPr>
          <w:r>
            <w:t xml:space="preserve">De Voorzitter van de Tweede Kamer </w:t>
          </w:r>
        </w:p>
        <w:p w14:paraId="52C5ACD5" w14:textId="77777777" w:rsidR="00D87195" w:rsidRDefault="00AE63EA" w:rsidP="00D87195">
          <w:pPr>
            <w:pStyle w:val="Huisstijl-NAW"/>
          </w:pPr>
          <w:r>
            <w:t>der Staten-Generaal</w:t>
          </w:r>
        </w:p>
        <w:p w14:paraId="04843F93" w14:textId="77777777" w:rsidR="00EA0F13" w:rsidRDefault="00AE63EA" w:rsidP="00EA0F13">
          <w:pPr>
            <w:rPr>
              <w:szCs w:val="18"/>
            </w:rPr>
          </w:pPr>
          <w:r>
            <w:rPr>
              <w:szCs w:val="18"/>
            </w:rPr>
            <w:t>Prinses Irenestraat 6</w:t>
          </w:r>
        </w:p>
        <w:p w14:paraId="608795DC" w14:textId="77777777" w:rsidR="00985E56" w:rsidRDefault="00AE63EA" w:rsidP="00EA0F13">
          <w:r>
            <w:rPr>
              <w:szCs w:val="18"/>
            </w:rPr>
            <w:t>2595 BD  DEN HAAG</w:t>
          </w:r>
        </w:p>
      </w:tc>
    </w:tr>
    <w:tr w:rsidR="008D288A" w14:paraId="77B8934C" w14:textId="77777777" w:rsidTr="007610AA">
      <w:trPr>
        <w:trHeight w:hRule="exact" w:val="400"/>
      </w:trPr>
      <w:tc>
        <w:tcPr>
          <w:tcW w:w="7520" w:type="dxa"/>
          <w:gridSpan w:val="2"/>
        </w:tcPr>
        <w:p w14:paraId="584F5D3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288A" w14:paraId="2990F2C5" w14:textId="77777777" w:rsidTr="007610AA">
      <w:trPr>
        <w:trHeight w:val="240"/>
      </w:trPr>
      <w:tc>
        <w:tcPr>
          <w:tcW w:w="900" w:type="dxa"/>
        </w:tcPr>
        <w:p w14:paraId="7EF7B5E7" w14:textId="77777777" w:rsidR="00527BD4" w:rsidRPr="007709EF" w:rsidRDefault="00AE63EA" w:rsidP="00A50CF6">
          <w:pPr>
            <w:rPr>
              <w:szCs w:val="18"/>
            </w:rPr>
          </w:pPr>
          <w:r>
            <w:rPr>
              <w:szCs w:val="18"/>
            </w:rPr>
            <w:t>Datum</w:t>
          </w:r>
        </w:p>
      </w:tc>
      <w:tc>
        <w:tcPr>
          <w:tcW w:w="6620" w:type="dxa"/>
        </w:tcPr>
        <w:p w14:paraId="000A6352" w14:textId="777D2805" w:rsidR="00527BD4" w:rsidRPr="007709EF" w:rsidRDefault="00AD21A4" w:rsidP="00A50CF6">
          <w:r>
            <w:t>13 juli 2026</w:t>
          </w:r>
        </w:p>
      </w:tc>
    </w:tr>
    <w:tr w:rsidR="008D288A" w14:paraId="28F80556" w14:textId="77777777" w:rsidTr="007610AA">
      <w:trPr>
        <w:trHeight w:val="240"/>
      </w:trPr>
      <w:tc>
        <w:tcPr>
          <w:tcW w:w="900" w:type="dxa"/>
        </w:tcPr>
        <w:p w14:paraId="38BE28F7" w14:textId="77777777" w:rsidR="00527BD4" w:rsidRPr="007709EF" w:rsidRDefault="00AE63EA" w:rsidP="00A50CF6">
          <w:pPr>
            <w:rPr>
              <w:szCs w:val="18"/>
            </w:rPr>
          </w:pPr>
          <w:r>
            <w:rPr>
              <w:szCs w:val="18"/>
            </w:rPr>
            <w:t>Betreft</w:t>
          </w:r>
        </w:p>
      </w:tc>
      <w:tc>
        <w:tcPr>
          <w:tcW w:w="6620" w:type="dxa"/>
        </w:tcPr>
        <w:p w14:paraId="72365216" w14:textId="77777777" w:rsidR="00527BD4" w:rsidRPr="007709EF" w:rsidRDefault="00AE63EA" w:rsidP="00A50CF6">
          <w:r>
            <w:t xml:space="preserve">Beantwoording van de Kamervragen over de gevolgen van de dagvaarding van Tata Steel voor de maatwerkafspraken </w:t>
          </w:r>
        </w:p>
      </w:tc>
    </w:tr>
  </w:tbl>
  <w:p w14:paraId="4DF18B1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FD20E8A">
      <w:start w:val="1"/>
      <w:numFmt w:val="bullet"/>
      <w:pStyle w:val="Lijstopsomteken"/>
      <w:lvlText w:val="•"/>
      <w:lvlJc w:val="left"/>
      <w:pPr>
        <w:tabs>
          <w:tab w:val="num" w:pos="227"/>
        </w:tabs>
        <w:ind w:left="227" w:hanging="227"/>
      </w:pPr>
      <w:rPr>
        <w:rFonts w:ascii="Verdana" w:hAnsi="Verdana" w:hint="default"/>
        <w:sz w:val="18"/>
        <w:szCs w:val="18"/>
      </w:rPr>
    </w:lvl>
    <w:lvl w:ilvl="1" w:tplc="21401C48" w:tentative="1">
      <w:start w:val="1"/>
      <w:numFmt w:val="bullet"/>
      <w:lvlText w:val="o"/>
      <w:lvlJc w:val="left"/>
      <w:pPr>
        <w:tabs>
          <w:tab w:val="num" w:pos="1440"/>
        </w:tabs>
        <w:ind w:left="1440" w:hanging="360"/>
      </w:pPr>
      <w:rPr>
        <w:rFonts w:ascii="Courier New" w:hAnsi="Courier New" w:cs="Courier New" w:hint="default"/>
      </w:rPr>
    </w:lvl>
    <w:lvl w:ilvl="2" w:tplc="5E0EC9EE" w:tentative="1">
      <w:start w:val="1"/>
      <w:numFmt w:val="bullet"/>
      <w:lvlText w:val=""/>
      <w:lvlJc w:val="left"/>
      <w:pPr>
        <w:tabs>
          <w:tab w:val="num" w:pos="2160"/>
        </w:tabs>
        <w:ind w:left="2160" w:hanging="360"/>
      </w:pPr>
      <w:rPr>
        <w:rFonts w:ascii="Wingdings" w:hAnsi="Wingdings" w:hint="default"/>
      </w:rPr>
    </w:lvl>
    <w:lvl w:ilvl="3" w:tplc="55BEE3FA" w:tentative="1">
      <w:start w:val="1"/>
      <w:numFmt w:val="bullet"/>
      <w:lvlText w:val=""/>
      <w:lvlJc w:val="left"/>
      <w:pPr>
        <w:tabs>
          <w:tab w:val="num" w:pos="2880"/>
        </w:tabs>
        <w:ind w:left="2880" w:hanging="360"/>
      </w:pPr>
      <w:rPr>
        <w:rFonts w:ascii="Symbol" w:hAnsi="Symbol" w:hint="default"/>
      </w:rPr>
    </w:lvl>
    <w:lvl w:ilvl="4" w:tplc="7CE4C384" w:tentative="1">
      <w:start w:val="1"/>
      <w:numFmt w:val="bullet"/>
      <w:lvlText w:val="o"/>
      <w:lvlJc w:val="left"/>
      <w:pPr>
        <w:tabs>
          <w:tab w:val="num" w:pos="3600"/>
        </w:tabs>
        <w:ind w:left="3600" w:hanging="360"/>
      </w:pPr>
      <w:rPr>
        <w:rFonts w:ascii="Courier New" w:hAnsi="Courier New" w:cs="Courier New" w:hint="default"/>
      </w:rPr>
    </w:lvl>
    <w:lvl w:ilvl="5" w:tplc="10F261C2" w:tentative="1">
      <w:start w:val="1"/>
      <w:numFmt w:val="bullet"/>
      <w:lvlText w:val=""/>
      <w:lvlJc w:val="left"/>
      <w:pPr>
        <w:tabs>
          <w:tab w:val="num" w:pos="4320"/>
        </w:tabs>
        <w:ind w:left="4320" w:hanging="360"/>
      </w:pPr>
      <w:rPr>
        <w:rFonts w:ascii="Wingdings" w:hAnsi="Wingdings" w:hint="default"/>
      </w:rPr>
    </w:lvl>
    <w:lvl w:ilvl="6" w:tplc="A9E8D220" w:tentative="1">
      <w:start w:val="1"/>
      <w:numFmt w:val="bullet"/>
      <w:lvlText w:val=""/>
      <w:lvlJc w:val="left"/>
      <w:pPr>
        <w:tabs>
          <w:tab w:val="num" w:pos="5040"/>
        </w:tabs>
        <w:ind w:left="5040" w:hanging="360"/>
      </w:pPr>
      <w:rPr>
        <w:rFonts w:ascii="Symbol" w:hAnsi="Symbol" w:hint="default"/>
      </w:rPr>
    </w:lvl>
    <w:lvl w:ilvl="7" w:tplc="D42666B4" w:tentative="1">
      <w:start w:val="1"/>
      <w:numFmt w:val="bullet"/>
      <w:lvlText w:val="o"/>
      <w:lvlJc w:val="left"/>
      <w:pPr>
        <w:tabs>
          <w:tab w:val="num" w:pos="5760"/>
        </w:tabs>
        <w:ind w:left="5760" w:hanging="360"/>
      </w:pPr>
      <w:rPr>
        <w:rFonts w:ascii="Courier New" w:hAnsi="Courier New" w:cs="Courier New" w:hint="default"/>
      </w:rPr>
    </w:lvl>
    <w:lvl w:ilvl="8" w:tplc="822A24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AE2008">
      <w:start w:val="1"/>
      <w:numFmt w:val="bullet"/>
      <w:pStyle w:val="Lijstopsomteken2"/>
      <w:lvlText w:val="–"/>
      <w:lvlJc w:val="left"/>
      <w:pPr>
        <w:tabs>
          <w:tab w:val="num" w:pos="227"/>
        </w:tabs>
        <w:ind w:left="227" w:firstLine="0"/>
      </w:pPr>
      <w:rPr>
        <w:rFonts w:ascii="Verdana" w:hAnsi="Verdana" w:hint="default"/>
      </w:rPr>
    </w:lvl>
    <w:lvl w:ilvl="1" w:tplc="3B22DA96" w:tentative="1">
      <w:start w:val="1"/>
      <w:numFmt w:val="bullet"/>
      <w:lvlText w:val="o"/>
      <w:lvlJc w:val="left"/>
      <w:pPr>
        <w:tabs>
          <w:tab w:val="num" w:pos="1440"/>
        </w:tabs>
        <w:ind w:left="1440" w:hanging="360"/>
      </w:pPr>
      <w:rPr>
        <w:rFonts w:ascii="Courier New" w:hAnsi="Courier New" w:cs="Courier New" w:hint="default"/>
      </w:rPr>
    </w:lvl>
    <w:lvl w:ilvl="2" w:tplc="5D12CE1C" w:tentative="1">
      <w:start w:val="1"/>
      <w:numFmt w:val="bullet"/>
      <w:lvlText w:val=""/>
      <w:lvlJc w:val="left"/>
      <w:pPr>
        <w:tabs>
          <w:tab w:val="num" w:pos="2160"/>
        </w:tabs>
        <w:ind w:left="2160" w:hanging="360"/>
      </w:pPr>
      <w:rPr>
        <w:rFonts w:ascii="Wingdings" w:hAnsi="Wingdings" w:hint="default"/>
      </w:rPr>
    </w:lvl>
    <w:lvl w:ilvl="3" w:tplc="84C28950" w:tentative="1">
      <w:start w:val="1"/>
      <w:numFmt w:val="bullet"/>
      <w:lvlText w:val=""/>
      <w:lvlJc w:val="left"/>
      <w:pPr>
        <w:tabs>
          <w:tab w:val="num" w:pos="2880"/>
        </w:tabs>
        <w:ind w:left="2880" w:hanging="360"/>
      </w:pPr>
      <w:rPr>
        <w:rFonts w:ascii="Symbol" w:hAnsi="Symbol" w:hint="default"/>
      </w:rPr>
    </w:lvl>
    <w:lvl w:ilvl="4" w:tplc="4B28D50C" w:tentative="1">
      <w:start w:val="1"/>
      <w:numFmt w:val="bullet"/>
      <w:lvlText w:val="o"/>
      <w:lvlJc w:val="left"/>
      <w:pPr>
        <w:tabs>
          <w:tab w:val="num" w:pos="3600"/>
        </w:tabs>
        <w:ind w:left="3600" w:hanging="360"/>
      </w:pPr>
      <w:rPr>
        <w:rFonts w:ascii="Courier New" w:hAnsi="Courier New" w:cs="Courier New" w:hint="default"/>
      </w:rPr>
    </w:lvl>
    <w:lvl w:ilvl="5" w:tplc="B3DEEABA" w:tentative="1">
      <w:start w:val="1"/>
      <w:numFmt w:val="bullet"/>
      <w:lvlText w:val=""/>
      <w:lvlJc w:val="left"/>
      <w:pPr>
        <w:tabs>
          <w:tab w:val="num" w:pos="4320"/>
        </w:tabs>
        <w:ind w:left="4320" w:hanging="360"/>
      </w:pPr>
      <w:rPr>
        <w:rFonts w:ascii="Wingdings" w:hAnsi="Wingdings" w:hint="default"/>
      </w:rPr>
    </w:lvl>
    <w:lvl w:ilvl="6" w:tplc="5F36FB40" w:tentative="1">
      <w:start w:val="1"/>
      <w:numFmt w:val="bullet"/>
      <w:lvlText w:val=""/>
      <w:lvlJc w:val="left"/>
      <w:pPr>
        <w:tabs>
          <w:tab w:val="num" w:pos="5040"/>
        </w:tabs>
        <w:ind w:left="5040" w:hanging="360"/>
      </w:pPr>
      <w:rPr>
        <w:rFonts w:ascii="Symbol" w:hAnsi="Symbol" w:hint="default"/>
      </w:rPr>
    </w:lvl>
    <w:lvl w:ilvl="7" w:tplc="501E0AD0" w:tentative="1">
      <w:start w:val="1"/>
      <w:numFmt w:val="bullet"/>
      <w:lvlText w:val="o"/>
      <w:lvlJc w:val="left"/>
      <w:pPr>
        <w:tabs>
          <w:tab w:val="num" w:pos="5760"/>
        </w:tabs>
        <w:ind w:left="5760" w:hanging="360"/>
      </w:pPr>
      <w:rPr>
        <w:rFonts w:ascii="Courier New" w:hAnsi="Courier New" w:cs="Courier New" w:hint="default"/>
      </w:rPr>
    </w:lvl>
    <w:lvl w:ilvl="8" w:tplc="0736DB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42673496">
    <w:abstractNumId w:val="10"/>
  </w:num>
  <w:num w:numId="2" w16cid:durableId="1514221778">
    <w:abstractNumId w:val="7"/>
  </w:num>
  <w:num w:numId="3" w16cid:durableId="1903708570">
    <w:abstractNumId w:val="6"/>
  </w:num>
  <w:num w:numId="4" w16cid:durableId="1928617389">
    <w:abstractNumId w:val="5"/>
  </w:num>
  <w:num w:numId="5" w16cid:durableId="303853771">
    <w:abstractNumId w:val="4"/>
  </w:num>
  <w:num w:numId="6" w16cid:durableId="600063419">
    <w:abstractNumId w:val="8"/>
  </w:num>
  <w:num w:numId="7" w16cid:durableId="1282760989">
    <w:abstractNumId w:val="3"/>
  </w:num>
  <w:num w:numId="8" w16cid:durableId="2009671475">
    <w:abstractNumId w:val="2"/>
  </w:num>
  <w:num w:numId="9" w16cid:durableId="1023164058">
    <w:abstractNumId w:val="1"/>
  </w:num>
  <w:num w:numId="10" w16cid:durableId="1246956011">
    <w:abstractNumId w:val="0"/>
  </w:num>
  <w:num w:numId="11" w16cid:durableId="1399746116">
    <w:abstractNumId w:val="9"/>
  </w:num>
  <w:num w:numId="12" w16cid:durableId="16733920">
    <w:abstractNumId w:val="11"/>
  </w:num>
  <w:num w:numId="13" w16cid:durableId="1059784601">
    <w:abstractNumId w:val="13"/>
  </w:num>
  <w:num w:numId="14" w16cid:durableId="14000555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3AF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AB0"/>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1F7ED7"/>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9DD"/>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526C"/>
    <w:rsid w:val="005461DA"/>
    <w:rsid w:val="005565F9"/>
    <w:rsid w:val="005624F2"/>
    <w:rsid w:val="00573041"/>
    <w:rsid w:val="0057388D"/>
    <w:rsid w:val="00575B80"/>
    <w:rsid w:val="0057620F"/>
    <w:rsid w:val="005819CE"/>
    <w:rsid w:val="0058298D"/>
    <w:rsid w:val="00584C1A"/>
    <w:rsid w:val="00593C2B"/>
    <w:rsid w:val="00595231"/>
    <w:rsid w:val="00596166"/>
    <w:rsid w:val="00596F58"/>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7FBF5A"/>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495"/>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288A"/>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77046"/>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01B"/>
    <w:rsid w:val="00AA7FC9"/>
    <w:rsid w:val="00AB0EED"/>
    <w:rsid w:val="00AB237D"/>
    <w:rsid w:val="00AB5933"/>
    <w:rsid w:val="00AD21A4"/>
    <w:rsid w:val="00AE013D"/>
    <w:rsid w:val="00AE11B7"/>
    <w:rsid w:val="00AE63EA"/>
    <w:rsid w:val="00AE7F68"/>
    <w:rsid w:val="00AF2321"/>
    <w:rsid w:val="00AF52F6"/>
    <w:rsid w:val="00AF52FD"/>
    <w:rsid w:val="00AF54A8"/>
    <w:rsid w:val="00AF7237"/>
    <w:rsid w:val="00B0043A"/>
    <w:rsid w:val="00B00D75"/>
    <w:rsid w:val="00B05086"/>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6795"/>
    <w:rsid w:val="00BE67AC"/>
    <w:rsid w:val="00BE7B41"/>
    <w:rsid w:val="00C036ED"/>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6D7"/>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312B"/>
    <w:rsid w:val="00D5423B"/>
    <w:rsid w:val="00D54E6A"/>
    <w:rsid w:val="00D54F4E"/>
    <w:rsid w:val="00D57A56"/>
    <w:rsid w:val="00D604B3"/>
    <w:rsid w:val="00D60BA4"/>
    <w:rsid w:val="00D62419"/>
    <w:rsid w:val="00D660D6"/>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0968"/>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570893A"/>
    <w:rsid w:val="05E4DEBD"/>
    <w:rsid w:val="05F96D50"/>
    <w:rsid w:val="0638887C"/>
    <w:rsid w:val="06930D98"/>
    <w:rsid w:val="06EC2A34"/>
    <w:rsid w:val="09D594A1"/>
    <w:rsid w:val="0C2C8A18"/>
    <w:rsid w:val="0C576A31"/>
    <w:rsid w:val="0CD2767F"/>
    <w:rsid w:val="0DFF9F8E"/>
    <w:rsid w:val="0E319D90"/>
    <w:rsid w:val="1354C3B7"/>
    <w:rsid w:val="1398A777"/>
    <w:rsid w:val="14CEEE6C"/>
    <w:rsid w:val="158C3D7A"/>
    <w:rsid w:val="160A303B"/>
    <w:rsid w:val="1743BC80"/>
    <w:rsid w:val="1800FE83"/>
    <w:rsid w:val="1828CD8E"/>
    <w:rsid w:val="213B860C"/>
    <w:rsid w:val="225B3581"/>
    <w:rsid w:val="22D9E729"/>
    <w:rsid w:val="248CAEBD"/>
    <w:rsid w:val="25383192"/>
    <w:rsid w:val="27131F29"/>
    <w:rsid w:val="2B46D293"/>
    <w:rsid w:val="2BA641D6"/>
    <w:rsid w:val="2F15CA6C"/>
    <w:rsid w:val="2F6210C0"/>
    <w:rsid w:val="2F988168"/>
    <w:rsid w:val="31D1331B"/>
    <w:rsid w:val="356513A8"/>
    <w:rsid w:val="384DBE84"/>
    <w:rsid w:val="38742FAA"/>
    <w:rsid w:val="3A80B597"/>
    <w:rsid w:val="3AF31D36"/>
    <w:rsid w:val="3E48467A"/>
    <w:rsid w:val="3F62EED0"/>
    <w:rsid w:val="402BF4DE"/>
    <w:rsid w:val="41A72B68"/>
    <w:rsid w:val="42843426"/>
    <w:rsid w:val="42AF42F7"/>
    <w:rsid w:val="436F41D8"/>
    <w:rsid w:val="440D40AD"/>
    <w:rsid w:val="448D3F8A"/>
    <w:rsid w:val="488708D3"/>
    <w:rsid w:val="48BF8686"/>
    <w:rsid w:val="496BC6F4"/>
    <w:rsid w:val="4973CF52"/>
    <w:rsid w:val="4B1C0C6C"/>
    <w:rsid w:val="4B957D86"/>
    <w:rsid w:val="4C5E150D"/>
    <w:rsid w:val="4E3E2619"/>
    <w:rsid w:val="511FE55B"/>
    <w:rsid w:val="52D462A1"/>
    <w:rsid w:val="532E90C2"/>
    <w:rsid w:val="5495331C"/>
    <w:rsid w:val="54B590E9"/>
    <w:rsid w:val="54FC9C62"/>
    <w:rsid w:val="5538517A"/>
    <w:rsid w:val="57E48D88"/>
    <w:rsid w:val="5B87E4BB"/>
    <w:rsid w:val="5D42A48C"/>
    <w:rsid w:val="5DEFB3DE"/>
    <w:rsid w:val="60BAD5E3"/>
    <w:rsid w:val="66ADA201"/>
    <w:rsid w:val="670BB8DA"/>
    <w:rsid w:val="69012810"/>
    <w:rsid w:val="6B35AC09"/>
    <w:rsid w:val="6B75C217"/>
    <w:rsid w:val="6DAB810D"/>
    <w:rsid w:val="726C0F1E"/>
    <w:rsid w:val="74007A34"/>
    <w:rsid w:val="7433E61B"/>
    <w:rsid w:val="77B7ED0E"/>
    <w:rsid w:val="78F0529F"/>
    <w:rsid w:val="7B99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2F6210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510</ap:Words>
  <ap:Characters>2805</ap:Characters>
  <ap:DocSecurity>0</ap:DocSecurity>
  <ap:Lines>23</ap:Lines>
  <ap:Paragraphs>6</ap:Paragraphs>
  <ap:ScaleCrop>false</ap:ScaleCrop>
  <ap:LinksUpToDate>false</ap:LinksUpToDate>
  <ap:CharactersWithSpaces>3309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2026-07-13T14:50:00.0000000Z</dcterms:created>
  <dcterms:modified xsi:type="dcterms:W3CDTF">2026-07-13T14:51:00.0000000Z</dcterms:modified>
  <dc:description>------------------------</dc:description>
  <dc:subject/>
  <keywords/>
  <version/>
  <category/>
</coreProperties>
</file>