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405"/>
        <w:gridCol w:w="4111"/>
        <w:gridCol w:w="2977"/>
        <w:gridCol w:w="1275"/>
        <w:gridCol w:w="3180"/>
      </w:tblGrid>
      <w:tr w:rsidRPr="000F0EFC" w:rsidR="00E11495" w:rsidTr="00E11495" w14:paraId="2B04D435" w14:textId="77777777">
        <w:trPr>
          <w:trHeight w:val="300"/>
        </w:trPr>
        <w:tc>
          <w:tcPr>
            <w:tcW w:w="2405" w:type="dxa"/>
            <w:hideMark/>
          </w:tcPr>
          <w:p w:rsidRPr="000F0EFC" w:rsidR="00E11495" w:rsidP="00E11495" w:rsidRDefault="00E11495" w14:paraId="355D5864" w14:textId="77777777">
            <w:pPr>
              <w:rPr>
                <w:rFonts w:ascii="Times New Roman" w:hAnsi="Times New Roman" w:cs="Times New Roman"/>
                <w:b/>
                <w:bCs/>
              </w:rPr>
            </w:pPr>
            <w:r w:rsidRPr="000F0EFC">
              <w:rPr>
                <w:rFonts w:ascii="Times New Roman" w:hAnsi="Times New Roman" w:cs="Times New Roman"/>
                <w:b/>
                <w:bCs/>
              </w:rPr>
              <w:t>Binnenlandse Zaken en Koninkrijksrelaties</w:t>
            </w:r>
          </w:p>
        </w:tc>
        <w:tc>
          <w:tcPr>
            <w:tcW w:w="4111" w:type="dxa"/>
            <w:hideMark/>
          </w:tcPr>
          <w:p w:rsidRPr="000F0EFC" w:rsidR="00E11495" w:rsidP="00E11495" w:rsidRDefault="00E11495" w14:paraId="5914C88C" w14:textId="17D08A47">
            <w:pPr>
              <w:rPr>
                <w:rFonts w:ascii="Times New Roman" w:hAnsi="Times New Roman" w:cs="Times New Roman"/>
              </w:rPr>
            </w:pPr>
            <w:r w:rsidRPr="000F0EFC">
              <w:rPr>
                <w:rFonts w:ascii="Times New Roman" w:hAnsi="Times New Roman" w:cs="Times New Roman"/>
              </w:rPr>
              <w:t>Beveiliging van gerubriceerde gegevens</w:t>
            </w:r>
          </w:p>
        </w:tc>
        <w:tc>
          <w:tcPr>
            <w:tcW w:w="2977" w:type="dxa"/>
            <w:noWrap/>
            <w:hideMark/>
          </w:tcPr>
          <w:p w:rsidRPr="000F0EFC" w:rsidR="00E11495" w:rsidP="00E11495" w:rsidRDefault="00E11495" w14:paraId="0D5E82FF" w14:textId="33A4D856">
            <w:pPr>
              <w:rPr>
                <w:rFonts w:ascii="Times New Roman" w:hAnsi="Times New Roman" w:cs="Times New Roman"/>
              </w:rPr>
            </w:pPr>
            <w:r w:rsidRPr="000F0EFC">
              <w:rPr>
                <w:rFonts w:ascii="Times New Roman" w:hAnsi="Times New Roman" w:cs="Times New Roman"/>
              </w:rPr>
              <w:t> Duitsland</w:t>
            </w:r>
          </w:p>
        </w:tc>
        <w:tc>
          <w:tcPr>
            <w:tcW w:w="1275" w:type="dxa"/>
            <w:hideMark/>
          </w:tcPr>
          <w:p w:rsidRPr="000F0EFC" w:rsidR="00E11495" w:rsidP="00E11495" w:rsidRDefault="00E11495" w14:paraId="7DD425D5" w14:textId="77777777">
            <w:pPr>
              <w:rPr>
                <w:rFonts w:ascii="Times New Roman" w:hAnsi="Times New Roman" w:cs="Times New Roman"/>
              </w:rPr>
            </w:pPr>
            <w:r w:rsidRPr="000F0EFC">
              <w:rPr>
                <w:rFonts w:ascii="Times New Roman" w:hAnsi="Times New Roman" w:cs="Times New Roman"/>
              </w:rPr>
              <w:t>014259</w:t>
            </w:r>
          </w:p>
        </w:tc>
        <w:tc>
          <w:tcPr>
            <w:tcW w:w="3180" w:type="dxa"/>
            <w:hideMark/>
          </w:tcPr>
          <w:p w:rsidRPr="000F0EFC" w:rsidR="00E11495" w:rsidP="00E11495" w:rsidRDefault="00E11495" w14:paraId="7D9EB058" w14:textId="77777777">
            <w:pPr>
              <w:rPr>
                <w:rFonts w:ascii="Times New Roman" w:hAnsi="Times New Roman" w:cs="Times New Roman"/>
              </w:rPr>
            </w:pPr>
            <w:r w:rsidRPr="000F0EFC">
              <w:rPr>
                <w:rFonts w:ascii="Times New Roman" w:hAnsi="Times New Roman" w:cs="Times New Roman"/>
              </w:rPr>
              <w:t>Het verdrag heeft ten doel de beveiliging van nationale gerubriceerde gegevens die worden uitgewisseld tussen Nederland en Duitsland te waarborgen en regelt dat de informatie die onderling wordt uitgewisseld in beide landen een vergelijkbaar niveau van beveiliging verkrijgt. In het verdrag zijn de veiligheidsprocedures en regelingen voor de beveiliging vastgelegd. De nationale beveiligingsautoriteit voor de uitvoering van het verdrag is in Nederland in dit kader ondergebracht bij de AIVD voor het civiele domein en het Ministerie van Defensie voor het militaire domein. Het verdrag vervangt het verouderde beveiligingsverdrag met Duitsland uit 2001.</w:t>
            </w:r>
          </w:p>
          <w:p w:rsidRPr="000F0EFC" w:rsidR="00E11495" w:rsidP="00E11495" w:rsidRDefault="00E11495" w14:paraId="10964916" w14:textId="77777777">
            <w:pPr>
              <w:rPr>
                <w:rFonts w:ascii="Times New Roman" w:hAnsi="Times New Roman" w:cs="Times New Roman"/>
              </w:rPr>
            </w:pPr>
          </w:p>
          <w:p w:rsidRPr="000F0EFC" w:rsidR="00E11495" w:rsidP="00E11495" w:rsidRDefault="00E11495" w14:paraId="4EBC5B3B" w14:textId="6339D505">
            <w:pPr>
              <w:rPr>
                <w:rFonts w:ascii="Times New Roman" w:hAnsi="Times New Roman" w:cs="Times New Roman"/>
              </w:rPr>
            </w:pPr>
          </w:p>
        </w:tc>
      </w:tr>
      <w:tr w:rsidRPr="000F0EFC" w:rsidR="00E11495" w:rsidTr="00E11495" w14:paraId="4EBCA85F" w14:textId="77777777">
        <w:trPr>
          <w:trHeight w:val="1200"/>
        </w:trPr>
        <w:tc>
          <w:tcPr>
            <w:tcW w:w="2405" w:type="dxa"/>
            <w:vMerge w:val="restart"/>
            <w:hideMark/>
          </w:tcPr>
          <w:p w:rsidRPr="000F0EFC" w:rsidR="00E11495" w:rsidP="00E11495" w:rsidRDefault="00E11495" w14:paraId="734DACB3" w14:textId="77777777">
            <w:pPr>
              <w:rPr>
                <w:rFonts w:ascii="Times New Roman" w:hAnsi="Times New Roman" w:cs="Times New Roman"/>
                <w:b/>
                <w:bCs/>
              </w:rPr>
            </w:pPr>
            <w:r w:rsidRPr="000F0EFC">
              <w:rPr>
                <w:rFonts w:ascii="Times New Roman" w:hAnsi="Times New Roman" w:cs="Times New Roman"/>
                <w:b/>
                <w:bCs/>
              </w:rPr>
              <w:lastRenderedPageBreak/>
              <w:t>Buitenlandse Zaken</w:t>
            </w:r>
          </w:p>
        </w:tc>
        <w:tc>
          <w:tcPr>
            <w:tcW w:w="4111" w:type="dxa"/>
            <w:hideMark/>
          </w:tcPr>
          <w:p w:rsidRPr="000F0EFC" w:rsidR="00E11495" w:rsidP="00E11495" w:rsidRDefault="00E11495" w14:paraId="05E738C1" w14:textId="63B64DB8">
            <w:pPr>
              <w:rPr>
                <w:rFonts w:ascii="Times New Roman" w:hAnsi="Times New Roman" w:cs="Times New Roman"/>
              </w:rPr>
            </w:pPr>
            <w:r w:rsidRPr="000F0EFC">
              <w:rPr>
                <w:rFonts w:ascii="Times New Roman" w:hAnsi="Times New Roman" w:cs="Times New Roman"/>
              </w:rPr>
              <w:t>UNESCO bijeenkomst Den Haag oktober 2026</w:t>
            </w:r>
          </w:p>
        </w:tc>
        <w:tc>
          <w:tcPr>
            <w:tcW w:w="2977" w:type="dxa"/>
            <w:noWrap/>
            <w:hideMark/>
          </w:tcPr>
          <w:p w:rsidRPr="000F0EFC" w:rsidR="00E11495" w:rsidP="00E11495" w:rsidRDefault="00E11495" w14:paraId="127902FB" w14:textId="71D8639D">
            <w:pPr>
              <w:rPr>
                <w:rFonts w:ascii="Times New Roman" w:hAnsi="Times New Roman" w:cs="Times New Roman"/>
              </w:rPr>
            </w:pPr>
            <w:r w:rsidRPr="000F0EFC">
              <w:rPr>
                <w:rFonts w:ascii="Times New Roman" w:hAnsi="Times New Roman" w:cs="Times New Roman"/>
              </w:rPr>
              <w:t>Organisatie der Verenigde Naties voor Onderwijs, Wetenschap en Cultuur (UNESCO)</w:t>
            </w:r>
          </w:p>
        </w:tc>
        <w:tc>
          <w:tcPr>
            <w:tcW w:w="1275" w:type="dxa"/>
            <w:hideMark/>
          </w:tcPr>
          <w:p w:rsidRPr="000F0EFC" w:rsidR="00E11495" w:rsidP="00E11495" w:rsidRDefault="00E11495" w14:paraId="477419DF" w14:textId="77777777">
            <w:pPr>
              <w:rPr>
                <w:rFonts w:ascii="Times New Roman" w:hAnsi="Times New Roman" w:cs="Times New Roman"/>
              </w:rPr>
            </w:pPr>
            <w:r w:rsidRPr="000F0EFC">
              <w:rPr>
                <w:rFonts w:ascii="Times New Roman" w:hAnsi="Times New Roman" w:cs="Times New Roman"/>
              </w:rPr>
              <w:t>014262</w:t>
            </w:r>
          </w:p>
        </w:tc>
        <w:tc>
          <w:tcPr>
            <w:tcW w:w="3180" w:type="dxa"/>
            <w:hideMark/>
          </w:tcPr>
          <w:p w:rsidRPr="000F0EFC" w:rsidR="00E11495" w:rsidP="00E11495" w:rsidRDefault="00E11495" w14:paraId="7214B499" w14:textId="77777777">
            <w:pPr>
              <w:rPr>
                <w:rFonts w:ascii="Times New Roman" w:hAnsi="Times New Roman" w:cs="Times New Roman"/>
              </w:rPr>
            </w:pPr>
            <w:r w:rsidRPr="000F0EFC">
              <w:rPr>
                <w:rFonts w:ascii="Times New Roman" w:hAnsi="Times New Roman" w:cs="Times New Roman"/>
              </w:rPr>
              <w:t>Het verdrag beoogt de wederzijdse verantwoordelijkheden van de UNESCO en Nederland vast te leggen voor een van 28 tot en met 30 oktober 2026 te houden "</w:t>
            </w:r>
            <w:proofErr w:type="spellStart"/>
            <w:r w:rsidRPr="000F0EFC">
              <w:rPr>
                <w:rFonts w:ascii="Times New Roman" w:hAnsi="Times New Roman" w:cs="Times New Roman"/>
              </w:rPr>
              <w:t>Fifth</w:t>
            </w:r>
            <w:proofErr w:type="spellEnd"/>
            <w:r w:rsidRPr="000F0EFC">
              <w:rPr>
                <w:rFonts w:ascii="Times New Roman" w:hAnsi="Times New Roman" w:cs="Times New Roman"/>
              </w:rPr>
              <w:t xml:space="preserve"> UNESCO Global Forum </w:t>
            </w:r>
            <w:proofErr w:type="spellStart"/>
            <w:r w:rsidRPr="000F0EFC">
              <w:rPr>
                <w:rFonts w:ascii="Times New Roman" w:hAnsi="Times New Roman" w:cs="Times New Roman"/>
              </w:rPr>
              <w:t>against</w:t>
            </w:r>
            <w:proofErr w:type="spellEnd"/>
            <w:r w:rsidRPr="000F0EFC">
              <w:rPr>
                <w:rFonts w:ascii="Times New Roman" w:hAnsi="Times New Roman" w:cs="Times New Roman"/>
              </w:rPr>
              <w:t xml:space="preserve"> </w:t>
            </w:r>
            <w:proofErr w:type="spellStart"/>
            <w:r w:rsidRPr="000F0EFC">
              <w:rPr>
                <w:rFonts w:ascii="Times New Roman" w:hAnsi="Times New Roman" w:cs="Times New Roman"/>
              </w:rPr>
              <w:t>Racism</w:t>
            </w:r>
            <w:proofErr w:type="spellEnd"/>
            <w:r w:rsidRPr="000F0EFC">
              <w:rPr>
                <w:rFonts w:ascii="Times New Roman" w:hAnsi="Times New Roman" w:cs="Times New Roman"/>
              </w:rPr>
              <w:t xml:space="preserve"> </w:t>
            </w:r>
            <w:proofErr w:type="spellStart"/>
            <w:r w:rsidRPr="000F0EFC">
              <w:rPr>
                <w:rFonts w:ascii="Times New Roman" w:hAnsi="Times New Roman" w:cs="Times New Roman"/>
              </w:rPr>
              <w:t>and</w:t>
            </w:r>
            <w:proofErr w:type="spellEnd"/>
            <w:r w:rsidRPr="000F0EFC">
              <w:rPr>
                <w:rFonts w:ascii="Times New Roman" w:hAnsi="Times New Roman" w:cs="Times New Roman"/>
              </w:rPr>
              <w:t xml:space="preserve"> </w:t>
            </w:r>
            <w:proofErr w:type="spellStart"/>
            <w:r w:rsidRPr="000F0EFC">
              <w:rPr>
                <w:rFonts w:ascii="Times New Roman" w:hAnsi="Times New Roman" w:cs="Times New Roman"/>
              </w:rPr>
              <w:t>Discrimination</w:t>
            </w:r>
            <w:proofErr w:type="spellEnd"/>
            <w:r w:rsidRPr="000F0EFC">
              <w:rPr>
                <w:rFonts w:ascii="Times New Roman" w:hAnsi="Times New Roman" w:cs="Times New Roman"/>
              </w:rPr>
              <w:t>". Hieronder vallen ook de aan de deelnemers toe te kennen privileges en immuniteiten. Met het oog op de tijdelijke aard van de bijeenkomst zal het verdrag voor niet langer dan een jaar worden gesloten.</w:t>
            </w:r>
          </w:p>
          <w:p w:rsidRPr="000F0EFC" w:rsidR="00E11495" w:rsidP="00E11495" w:rsidRDefault="00E11495" w14:paraId="43D47CED" w14:textId="77777777">
            <w:pPr>
              <w:rPr>
                <w:rFonts w:ascii="Times New Roman" w:hAnsi="Times New Roman" w:cs="Times New Roman"/>
              </w:rPr>
            </w:pPr>
          </w:p>
          <w:p w:rsidRPr="000F0EFC" w:rsidR="00E11495" w:rsidP="00E11495" w:rsidRDefault="00E11495" w14:paraId="4C114CD0" w14:textId="64C25CDF">
            <w:pPr>
              <w:rPr>
                <w:rFonts w:ascii="Times New Roman" w:hAnsi="Times New Roman" w:cs="Times New Roman"/>
              </w:rPr>
            </w:pPr>
          </w:p>
        </w:tc>
      </w:tr>
      <w:tr w:rsidRPr="000F0EFC" w:rsidR="00E11495" w:rsidTr="00E11495" w14:paraId="446F49AB" w14:textId="77777777">
        <w:trPr>
          <w:trHeight w:val="300"/>
        </w:trPr>
        <w:tc>
          <w:tcPr>
            <w:tcW w:w="2405" w:type="dxa"/>
            <w:vMerge/>
            <w:hideMark/>
          </w:tcPr>
          <w:p w:rsidRPr="000F0EFC" w:rsidR="00E11495" w:rsidP="00E11495" w:rsidRDefault="00E11495" w14:paraId="36941210" w14:textId="77777777">
            <w:pPr>
              <w:rPr>
                <w:rFonts w:ascii="Times New Roman" w:hAnsi="Times New Roman" w:cs="Times New Roman"/>
              </w:rPr>
            </w:pPr>
          </w:p>
        </w:tc>
        <w:tc>
          <w:tcPr>
            <w:tcW w:w="4111" w:type="dxa"/>
            <w:hideMark/>
          </w:tcPr>
          <w:p w:rsidRPr="000F0EFC" w:rsidR="00E11495" w:rsidP="00E11495" w:rsidRDefault="00E11495" w14:paraId="6985C993" w14:textId="77777777">
            <w:pPr>
              <w:rPr>
                <w:rFonts w:ascii="Times New Roman" w:hAnsi="Times New Roman" w:cs="Times New Roman"/>
              </w:rPr>
            </w:pPr>
            <w:r w:rsidRPr="000F0EFC">
              <w:rPr>
                <w:rFonts w:ascii="Times New Roman" w:hAnsi="Times New Roman" w:cs="Times New Roman"/>
              </w:rPr>
              <w:t>EUROPOL verbindingsofficieren Armenië</w:t>
            </w:r>
          </w:p>
        </w:tc>
        <w:tc>
          <w:tcPr>
            <w:tcW w:w="2977" w:type="dxa"/>
            <w:noWrap/>
            <w:hideMark/>
          </w:tcPr>
          <w:p w:rsidRPr="000F0EFC" w:rsidR="00E11495" w:rsidP="00E11495" w:rsidRDefault="00E11495" w14:paraId="4C92FD78" w14:textId="3FD62DA4">
            <w:pPr>
              <w:rPr>
                <w:rFonts w:ascii="Times New Roman" w:hAnsi="Times New Roman" w:cs="Times New Roman"/>
              </w:rPr>
            </w:pPr>
            <w:r w:rsidRPr="000F0EFC">
              <w:rPr>
                <w:rFonts w:ascii="Times New Roman" w:hAnsi="Times New Roman" w:cs="Times New Roman"/>
              </w:rPr>
              <w:t>Europol</w:t>
            </w:r>
          </w:p>
        </w:tc>
        <w:tc>
          <w:tcPr>
            <w:tcW w:w="1275" w:type="dxa"/>
            <w:hideMark/>
          </w:tcPr>
          <w:p w:rsidRPr="000F0EFC" w:rsidR="00E11495" w:rsidP="00E11495" w:rsidRDefault="00E11495" w14:paraId="3E12C21B" w14:textId="77777777">
            <w:pPr>
              <w:rPr>
                <w:rFonts w:ascii="Times New Roman" w:hAnsi="Times New Roman" w:cs="Times New Roman"/>
              </w:rPr>
            </w:pPr>
            <w:r w:rsidRPr="000F0EFC">
              <w:rPr>
                <w:rFonts w:ascii="Times New Roman" w:hAnsi="Times New Roman" w:cs="Times New Roman"/>
              </w:rPr>
              <w:t>014256</w:t>
            </w:r>
          </w:p>
        </w:tc>
        <w:tc>
          <w:tcPr>
            <w:tcW w:w="3180" w:type="dxa"/>
            <w:hideMark/>
          </w:tcPr>
          <w:p w:rsidR="00E11495" w:rsidP="00E11495" w:rsidRDefault="00E11495" w14:paraId="7D2E1F2F" w14:textId="77777777">
            <w:pPr>
              <w:rPr>
                <w:rFonts w:ascii="Times New Roman" w:hAnsi="Times New Roman" w:cs="Times New Roman"/>
              </w:rPr>
            </w:pPr>
            <w:r w:rsidRPr="000F0EFC">
              <w:rPr>
                <w:rFonts w:ascii="Times New Roman" w:hAnsi="Times New Roman" w:cs="Times New Roman"/>
              </w:rPr>
              <w:t xml:space="preserve">Op grond van Verordening (EU) 2016/794 inzake Europol worden verbindingsofficieren door Armenië naar Nederland (als vestigingsstaat van Europol) gezonden en bij Europol te Den Haag gedetacheerd. Door de Armeense autoriteiten is verzocht om aan deze </w:t>
            </w:r>
            <w:r w:rsidRPr="000F0EFC">
              <w:rPr>
                <w:rFonts w:ascii="Times New Roman" w:hAnsi="Times New Roman" w:cs="Times New Roman"/>
              </w:rPr>
              <w:lastRenderedPageBreak/>
              <w:t>verbindingsofficieren en hun familieleden voorrechten en immuniteiten toe te kennen. Daartoe wordt met Armenië een verdrag gesloten, overeenkomstig soortgelijke verdragen die het Koninkrijk der Nederlanden met de lidstaten van Europol en derde landen heeft gesloten.</w:t>
            </w:r>
          </w:p>
          <w:p w:rsidRPr="000F0EFC" w:rsidR="000F0EFC" w:rsidP="00E11495" w:rsidRDefault="000F0EFC" w14:paraId="40CB6B33" w14:textId="77777777">
            <w:pPr>
              <w:rPr>
                <w:rFonts w:ascii="Times New Roman" w:hAnsi="Times New Roman" w:cs="Times New Roman"/>
              </w:rPr>
            </w:pPr>
          </w:p>
          <w:p w:rsidRPr="000F0EFC" w:rsidR="00E11495" w:rsidP="00E11495" w:rsidRDefault="00E11495" w14:paraId="70AD53A8" w14:textId="3C96B86E">
            <w:pPr>
              <w:rPr>
                <w:rFonts w:ascii="Times New Roman" w:hAnsi="Times New Roman" w:cs="Times New Roman"/>
              </w:rPr>
            </w:pPr>
          </w:p>
        </w:tc>
      </w:tr>
      <w:tr w:rsidRPr="000F0EFC" w:rsidR="00E11495" w:rsidTr="00E11495" w14:paraId="2F4C125D" w14:textId="77777777">
        <w:trPr>
          <w:trHeight w:val="300"/>
        </w:trPr>
        <w:tc>
          <w:tcPr>
            <w:tcW w:w="2405" w:type="dxa"/>
            <w:vMerge/>
            <w:hideMark/>
          </w:tcPr>
          <w:p w:rsidRPr="000F0EFC" w:rsidR="00E11495" w:rsidP="00E11495" w:rsidRDefault="00E11495" w14:paraId="7C6A05DA" w14:textId="77777777">
            <w:pPr>
              <w:rPr>
                <w:rFonts w:ascii="Times New Roman" w:hAnsi="Times New Roman" w:cs="Times New Roman"/>
              </w:rPr>
            </w:pPr>
          </w:p>
        </w:tc>
        <w:tc>
          <w:tcPr>
            <w:tcW w:w="4111" w:type="dxa"/>
            <w:hideMark/>
          </w:tcPr>
          <w:p w:rsidRPr="000F0EFC" w:rsidR="00E11495" w:rsidP="00E11495" w:rsidRDefault="00E11495" w14:paraId="0A6F6925" w14:textId="77777777">
            <w:pPr>
              <w:rPr>
                <w:rFonts w:ascii="Times New Roman" w:hAnsi="Times New Roman" w:cs="Times New Roman"/>
              </w:rPr>
            </w:pPr>
            <w:r w:rsidRPr="000F0EFC">
              <w:rPr>
                <w:rFonts w:ascii="Times New Roman" w:hAnsi="Times New Roman" w:cs="Times New Roman"/>
              </w:rPr>
              <w:t>EUROPOL verbindingsofficieren Kosovo</w:t>
            </w:r>
          </w:p>
        </w:tc>
        <w:tc>
          <w:tcPr>
            <w:tcW w:w="2977" w:type="dxa"/>
            <w:noWrap/>
            <w:hideMark/>
          </w:tcPr>
          <w:p w:rsidRPr="000F0EFC" w:rsidR="00E11495" w:rsidP="00E11495" w:rsidRDefault="00E11495" w14:paraId="6F21681C" w14:textId="2D50742A">
            <w:pPr>
              <w:rPr>
                <w:rFonts w:ascii="Times New Roman" w:hAnsi="Times New Roman" w:cs="Times New Roman"/>
              </w:rPr>
            </w:pPr>
            <w:r w:rsidRPr="000F0EFC">
              <w:rPr>
                <w:rFonts w:ascii="Times New Roman" w:hAnsi="Times New Roman" w:cs="Times New Roman"/>
              </w:rPr>
              <w:t>Europol</w:t>
            </w:r>
          </w:p>
        </w:tc>
        <w:tc>
          <w:tcPr>
            <w:tcW w:w="1275" w:type="dxa"/>
            <w:hideMark/>
          </w:tcPr>
          <w:p w:rsidRPr="000F0EFC" w:rsidR="00E11495" w:rsidP="00E11495" w:rsidRDefault="00E11495" w14:paraId="6FA3F8CC" w14:textId="77777777">
            <w:pPr>
              <w:rPr>
                <w:rFonts w:ascii="Times New Roman" w:hAnsi="Times New Roman" w:cs="Times New Roman"/>
              </w:rPr>
            </w:pPr>
            <w:r w:rsidRPr="000F0EFC">
              <w:rPr>
                <w:rFonts w:ascii="Times New Roman" w:hAnsi="Times New Roman" w:cs="Times New Roman"/>
              </w:rPr>
              <w:t>014263</w:t>
            </w:r>
          </w:p>
        </w:tc>
        <w:tc>
          <w:tcPr>
            <w:tcW w:w="3180" w:type="dxa"/>
            <w:hideMark/>
          </w:tcPr>
          <w:p w:rsidRPr="000F0EFC" w:rsidR="00E11495" w:rsidP="00E11495" w:rsidRDefault="00E11495" w14:paraId="25231626" w14:textId="77777777">
            <w:pPr>
              <w:rPr>
                <w:rFonts w:ascii="Times New Roman" w:hAnsi="Times New Roman" w:cs="Times New Roman"/>
              </w:rPr>
            </w:pPr>
            <w:r w:rsidRPr="000F0EFC">
              <w:rPr>
                <w:rFonts w:ascii="Times New Roman" w:hAnsi="Times New Roman" w:cs="Times New Roman"/>
              </w:rPr>
              <w:t xml:space="preserve">Op grond van Verordening (EU) 2016/794 inzake Europol worden verbindingsofficieren door Kosovo naar Nederland (als vestigingsstaat van Europol) gezonden en bij Europol te Den Haag gedetacheerd. Door de autoriteiten van Kosovo is verzocht om aan deze verbindingsofficieren en hun familieleden voorrechten en immuniteiten toe te kennen. Daartoe wordt met Kosovo een verdrag gesloten, overeenkomstig soortgelijke </w:t>
            </w:r>
            <w:r w:rsidRPr="000F0EFC">
              <w:rPr>
                <w:rFonts w:ascii="Times New Roman" w:hAnsi="Times New Roman" w:cs="Times New Roman"/>
              </w:rPr>
              <w:lastRenderedPageBreak/>
              <w:t>verdragen die het Koninkrijk der Nederlanden met de lidstaten van Europol en derde landen heeft gesloten.</w:t>
            </w:r>
          </w:p>
          <w:p w:rsidRPr="000F0EFC" w:rsidR="00E11495" w:rsidP="00E11495" w:rsidRDefault="00E11495" w14:paraId="4DD27ACB" w14:textId="77777777">
            <w:pPr>
              <w:rPr>
                <w:rFonts w:ascii="Times New Roman" w:hAnsi="Times New Roman" w:cs="Times New Roman"/>
              </w:rPr>
            </w:pPr>
          </w:p>
          <w:p w:rsidRPr="000F0EFC" w:rsidR="00E11495" w:rsidP="00E11495" w:rsidRDefault="00E11495" w14:paraId="008CA96B" w14:textId="3C72947E">
            <w:pPr>
              <w:rPr>
                <w:rFonts w:ascii="Times New Roman" w:hAnsi="Times New Roman" w:cs="Times New Roman"/>
              </w:rPr>
            </w:pPr>
          </w:p>
        </w:tc>
      </w:tr>
      <w:tr w:rsidRPr="000F0EFC" w:rsidR="00E11495" w:rsidTr="00E11495" w14:paraId="35D40E20" w14:textId="77777777">
        <w:trPr>
          <w:trHeight w:val="300"/>
        </w:trPr>
        <w:tc>
          <w:tcPr>
            <w:tcW w:w="2405" w:type="dxa"/>
            <w:vMerge/>
            <w:hideMark/>
          </w:tcPr>
          <w:p w:rsidRPr="000F0EFC" w:rsidR="00E11495" w:rsidP="00E11495" w:rsidRDefault="00E11495" w14:paraId="14693EE0" w14:textId="77777777">
            <w:pPr>
              <w:rPr>
                <w:rFonts w:ascii="Times New Roman" w:hAnsi="Times New Roman" w:cs="Times New Roman"/>
              </w:rPr>
            </w:pPr>
          </w:p>
        </w:tc>
        <w:tc>
          <w:tcPr>
            <w:tcW w:w="4111" w:type="dxa"/>
            <w:hideMark/>
          </w:tcPr>
          <w:p w:rsidRPr="000F0EFC" w:rsidR="00E11495" w:rsidP="00E11495" w:rsidRDefault="00E11495" w14:paraId="249DC220" w14:textId="77777777">
            <w:pPr>
              <w:rPr>
                <w:rFonts w:ascii="Times New Roman" w:hAnsi="Times New Roman" w:cs="Times New Roman"/>
              </w:rPr>
            </w:pPr>
            <w:r w:rsidRPr="000F0EFC">
              <w:rPr>
                <w:rFonts w:ascii="Times New Roman" w:hAnsi="Times New Roman" w:cs="Times New Roman"/>
              </w:rPr>
              <w:t>EUROPOL verbindingsofficieren Mexico</w:t>
            </w:r>
          </w:p>
        </w:tc>
        <w:tc>
          <w:tcPr>
            <w:tcW w:w="2977" w:type="dxa"/>
            <w:noWrap/>
            <w:hideMark/>
          </w:tcPr>
          <w:p w:rsidRPr="000F0EFC" w:rsidR="00E11495" w:rsidP="00E11495" w:rsidRDefault="00E11495" w14:paraId="532CFDEF" w14:textId="4D0D445E">
            <w:pPr>
              <w:rPr>
                <w:rFonts w:ascii="Times New Roman" w:hAnsi="Times New Roman" w:cs="Times New Roman"/>
              </w:rPr>
            </w:pPr>
            <w:r w:rsidRPr="000F0EFC">
              <w:rPr>
                <w:rFonts w:ascii="Times New Roman" w:hAnsi="Times New Roman" w:cs="Times New Roman"/>
              </w:rPr>
              <w:t>Europol</w:t>
            </w:r>
          </w:p>
        </w:tc>
        <w:tc>
          <w:tcPr>
            <w:tcW w:w="1275" w:type="dxa"/>
            <w:hideMark/>
          </w:tcPr>
          <w:p w:rsidRPr="000F0EFC" w:rsidR="00E11495" w:rsidP="00E11495" w:rsidRDefault="00E11495" w14:paraId="001693C8" w14:textId="77777777">
            <w:pPr>
              <w:rPr>
                <w:rFonts w:ascii="Times New Roman" w:hAnsi="Times New Roman" w:cs="Times New Roman"/>
              </w:rPr>
            </w:pPr>
            <w:r w:rsidRPr="000F0EFC">
              <w:rPr>
                <w:rFonts w:ascii="Times New Roman" w:hAnsi="Times New Roman" w:cs="Times New Roman"/>
              </w:rPr>
              <w:t>014265</w:t>
            </w:r>
          </w:p>
        </w:tc>
        <w:tc>
          <w:tcPr>
            <w:tcW w:w="3180" w:type="dxa"/>
            <w:hideMark/>
          </w:tcPr>
          <w:p w:rsidRPr="000F0EFC" w:rsidR="00E11495" w:rsidP="00E11495" w:rsidRDefault="00E11495" w14:paraId="5BCE4196" w14:textId="77777777">
            <w:pPr>
              <w:rPr>
                <w:rFonts w:ascii="Times New Roman" w:hAnsi="Times New Roman" w:cs="Times New Roman"/>
              </w:rPr>
            </w:pPr>
            <w:r w:rsidRPr="000F0EFC">
              <w:rPr>
                <w:rFonts w:ascii="Times New Roman" w:hAnsi="Times New Roman" w:cs="Times New Roman"/>
              </w:rPr>
              <w:t>Op grond van Verordening (EU) 2016/794 inzake Europol worden verbindingsofficieren door Mexico naar Nederland (als vestigingsstaat van Europol) gezonden en bij Europol te Den Haag gedetacheerd. Door de autoriteiten van Mexico is verzocht om aan deze verbindingsofficieren en hun familieleden voorrechten en immuniteiten toe te kennen. Daartoe wordt met Mexico een verdrag gesloten, overeenkomstig soortgelijke verdragen die het Koninkrijk der Nederlanden met de lidstaten van Europol en derde landen heeft gesloten.</w:t>
            </w:r>
          </w:p>
          <w:p w:rsidRPr="000F0EFC" w:rsidR="000F0EFC" w:rsidP="00E11495" w:rsidRDefault="000F0EFC" w14:paraId="29B99865" w14:textId="77777777">
            <w:pPr>
              <w:rPr>
                <w:rFonts w:ascii="Times New Roman" w:hAnsi="Times New Roman" w:cs="Times New Roman"/>
              </w:rPr>
            </w:pPr>
          </w:p>
          <w:p w:rsidRPr="000F0EFC" w:rsidR="00E11495" w:rsidP="00E11495" w:rsidRDefault="00E11495" w14:paraId="7D300245" w14:textId="717AA2D4">
            <w:pPr>
              <w:rPr>
                <w:rFonts w:ascii="Times New Roman" w:hAnsi="Times New Roman" w:cs="Times New Roman"/>
              </w:rPr>
            </w:pPr>
          </w:p>
        </w:tc>
      </w:tr>
      <w:tr w:rsidRPr="000F0EFC" w:rsidR="00E11495" w:rsidTr="00E11495" w14:paraId="401C1573" w14:textId="77777777">
        <w:trPr>
          <w:trHeight w:val="300"/>
        </w:trPr>
        <w:tc>
          <w:tcPr>
            <w:tcW w:w="2405" w:type="dxa"/>
            <w:vMerge/>
            <w:hideMark/>
          </w:tcPr>
          <w:p w:rsidRPr="000F0EFC" w:rsidR="00E11495" w:rsidP="00E11495" w:rsidRDefault="00E11495" w14:paraId="232EA8E2" w14:textId="77777777">
            <w:pPr>
              <w:rPr>
                <w:rFonts w:ascii="Times New Roman" w:hAnsi="Times New Roman" w:cs="Times New Roman"/>
              </w:rPr>
            </w:pPr>
          </w:p>
        </w:tc>
        <w:tc>
          <w:tcPr>
            <w:tcW w:w="4111" w:type="dxa"/>
            <w:hideMark/>
          </w:tcPr>
          <w:p w:rsidRPr="000F0EFC" w:rsidR="00E11495" w:rsidP="00E11495" w:rsidRDefault="00E11495" w14:paraId="5011B5F9" w14:textId="77777777">
            <w:pPr>
              <w:rPr>
                <w:rFonts w:ascii="Times New Roman" w:hAnsi="Times New Roman" w:cs="Times New Roman"/>
              </w:rPr>
            </w:pPr>
            <w:r w:rsidRPr="000F0EFC">
              <w:rPr>
                <w:rFonts w:ascii="Times New Roman" w:hAnsi="Times New Roman" w:cs="Times New Roman"/>
              </w:rPr>
              <w:t>EUROPOL verbindingsofficieren Turkije</w:t>
            </w:r>
          </w:p>
        </w:tc>
        <w:tc>
          <w:tcPr>
            <w:tcW w:w="2977" w:type="dxa"/>
            <w:noWrap/>
            <w:hideMark/>
          </w:tcPr>
          <w:p w:rsidRPr="000F0EFC" w:rsidR="00E11495" w:rsidP="00E11495" w:rsidRDefault="00E11495" w14:paraId="527F036C" w14:textId="39A48069">
            <w:pPr>
              <w:rPr>
                <w:rFonts w:ascii="Times New Roman" w:hAnsi="Times New Roman" w:cs="Times New Roman"/>
              </w:rPr>
            </w:pPr>
            <w:r w:rsidRPr="000F0EFC">
              <w:rPr>
                <w:rFonts w:ascii="Times New Roman" w:hAnsi="Times New Roman" w:cs="Times New Roman"/>
              </w:rPr>
              <w:t>Europol</w:t>
            </w:r>
          </w:p>
        </w:tc>
        <w:tc>
          <w:tcPr>
            <w:tcW w:w="1275" w:type="dxa"/>
            <w:hideMark/>
          </w:tcPr>
          <w:p w:rsidRPr="000F0EFC" w:rsidR="00E11495" w:rsidP="00E11495" w:rsidRDefault="00E11495" w14:paraId="6DB32AA3" w14:textId="77777777">
            <w:pPr>
              <w:rPr>
                <w:rFonts w:ascii="Times New Roman" w:hAnsi="Times New Roman" w:cs="Times New Roman"/>
              </w:rPr>
            </w:pPr>
            <w:r w:rsidRPr="000F0EFC">
              <w:rPr>
                <w:rFonts w:ascii="Times New Roman" w:hAnsi="Times New Roman" w:cs="Times New Roman"/>
              </w:rPr>
              <w:t>014268</w:t>
            </w:r>
          </w:p>
        </w:tc>
        <w:tc>
          <w:tcPr>
            <w:tcW w:w="3180" w:type="dxa"/>
            <w:hideMark/>
          </w:tcPr>
          <w:p w:rsidR="00E11495" w:rsidP="00E11495" w:rsidRDefault="00E11495" w14:paraId="68E07902" w14:textId="77777777">
            <w:pPr>
              <w:rPr>
                <w:rFonts w:ascii="Times New Roman" w:hAnsi="Times New Roman" w:cs="Times New Roman"/>
              </w:rPr>
            </w:pPr>
            <w:r w:rsidRPr="000F0EFC">
              <w:rPr>
                <w:rFonts w:ascii="Times New Roman" w:hAnsi="Times New Roman" w:cs="Times New Roman"/>
              </w:rPr>
              <w:t>Op grond van Verordening (EU) 2016/794 inzake Europol worden verbindingsofficieren door Turkije naar Nederland (als vestigingsstaat van Europol) gezonden en bij Europol te Den Haag gedetacheerd. Door de autoriteiten van Turkije is verzocht om aan deze verbindingsofficieren en hun familieleden voorrechten en immuniteiten toe te kennen. Daartoe wordt met Turkije een verdrag gesloten, overeenkomstig soortgelijke verdragen die het Koninkrijk der Nederlanden met de lidstaten van Europol en derde landen heeft gesloten.</w:t>
            </w:r>
          </w:p>
          <w:p w:rsidRPr="000F0EFC" w:rsidR="000F0EFC" w:rsidP="00E11495" w:rsidRDefault="000F0EFC" w14:paraId="5D8F60FC" w14:textId="77777777">
            <w:pPr>
              <w:rPr>
                <w:rFonts w:ascii="Times New Roman" w:hAnsi="Times New Roman" w:cs="Times New Roman"/>
              </w:rPr>
            </w:pPr>
          </w:p>
          <w:p w:rsidRPr="000F0EFC" w:rsidR="00E11495" w:rsidP="00E11495" w:rsidRDefault="00E11495" w14:paraId="0D779858" w14:textId="3DA2F20E">
            <w:pPr>
              <w:rPr>
                <w:rFonts w:ascii="Times New Roman" w:hAnsi="Times New Roman" w:cs="Times New Roman"/>
              </w:rPr>
            </w:pPr>
          </w:p>
        </w:tc>
      </w:tr>
      <w:tr w:rsidRPr="000F0EFC" w:rsidR="00E11495" w:rsidTr="00E11495" w14:paraId="689F29E4" w14:textId="77777777">
        <w:trPr>
          <w:trHeight w:val="600"/>
        </w:trPr>
        <w:tc>
          <w:tcPr>
            <w:tcW w:w="2405" w:type="dxa"/>
            <w:vMerge/>
            <w:hideMark/>
          </w:tcPr>
          <w:p w:rsidRPr="000F0EFC" w:rsidR="00E11495" w:rsidP="00E11495" w:rsidRDefault="00E11495" w14:paraId="106FC06F" w14:textId="77777777">
            <w:pPr>
              <w:rPr>
                <w:rFonts w:ascii="Times New Roman" w:hAnsi="Times New Roman" w:cs="Times New Roman"/>
              </w:rPr>
            </w:pPr>
          </w:p>
        </w:tc>
        <w:tc>
          <w:tcPr>
            <w:tcW w:w="4111" w:type="dxa"/>
            <w:hideMark/>
          </w:tcPr>
          <w:p w:rsidRPr="000F0EFC" w:rsidR="00E11495" w:rsidP="00E11495" w:rsidRDefault="00E11495" w14:paraId="2A362C21" w14:textId="77777777">
            <w:pPr>
              <w:rPr>
                <w:rFonts w:ascii="Times New Roman" w:hAnsi="Times New Roman" w:cs="Times New Roman"/>
              </w:rPr>
            </w:pPr>
            <w:r w:rsidRPr="000F0EFC">
              <w:rPr>
                <w:rFonts w:ascii="Times New Roman" w:hAnsi="Times New Roman" w:cs="Times New Roman"/>
              </w:rPr>
              <w:t>IAEA bijeenkomst Utrecht november 2026</w:t>
            </w:r>
          </w:p>
        </w:tc>
        <w:tc>
          <w:tcPr>
            <w:tcW w:w="2977" w:type="dxa"/>
            <w:hideMark/>
          </w:tcPr>
          <w:p w:rsidRPr="000F0EFC" w:rsidR="00E11495" w:rsidP="00E11495" w:rsidRDefault="00E11495" w14:paraId="7B47C49A" w14:textId="77777777">
            <w:pPr>
              <w:rPr>
                <w:rFonts w:ascii="Times New Roman" w:hAnsi="Times New Roman" w:cs="Times New Roman"/>
              </w:rPr>
            </w:pPr>
            <w:r w:rsidRPr="000F0EFC">
              <w:rPr>
                <w:rFonts w:ascii="Times New Roman" w:hAnsi="Times New Roman" w:cs="Times New Roman"/>
              </w:rPr>
              <w:t>IAEA (Internationaal Agentschap voor Atoomenergie)</w:t>
            </w:r>
          </w:p>
        </w:tc>
        <w:tc>
          <w:tcPr>
            <w:tcW w:w="1275" w:type="dxa"/>
            <w:hideMark/>
          </w:tcPr>
          <w:p w:rsidRPr="000F0EFC" w:rsidR="00E11495" w:rsidP="00E11495" w:rsidRDefault="00E11495" w14:paraId="0B4E4741" w14:textId="77777777">
            <w:pPr>
              <w:rPr>
                <w:rFonts w:ascii="Times New Roman" w:hAnsi="Times New Roman" w:cs="Times New Roman"/>
              </w:rPr>
            </w:pPr>
            <w:r w:rsidRPr="000F0EFC">
              <w:rPr>
                <w:rFonts w:ascii="Times New Roman" w:hAnsi="Times New Roman" w:cs="Times New Roman"/>
              </w:rPr>
              <w:t>014267</w:t>
            </w:r>
          </w:p>
        </w:tc>
        <w:tc>
          <w:tcPr>
            <w:tcW w:w="3180" w:type="dxa"/>
            <w:hideMark/>
          </w:tcPr>
          <w:p w:rsidR="00E11495" w:rsidP="00E11495" w:rsidRDefault="00E11495" w14:paraId="0F2C5437" w14:textId="77777777">
            <w:pPr>
              <w:rPr>
                <w:rFonts w:ascii="Times New Roman" w:hAnsi="Times New Roman" w:cs="Times New Roman"/>
              </w:rPr>
            </w:pPr>
            <w:r w:rsidRPr="000F0EFC">
              <w:rPr>
                <w:rFonts w:ascii="Times New Roman" w:hAnsi="Times New Roman" w:cs="Times New Roman"/>
              </w:rPr>
              <w:t xml:space="preserve">Het verdrag beoogt de wederzijdse verantwoordelijkheden van de IAEA en Nederland vast te leggen voor een van 9 tot en met 13 november 2026 te </w:t>
            </w:r>
            <w:r w:rsidRPr="000F0EFC">
              <w:rPr>
                <w:rFonts w:ascii="Times New Roman" w:hAnsi="Times New Roman" w:cs="Times New Roman"/>
              </w:rPr>
              <w:lastRenderedPageBreak/>
              <w:t>houden "</w:t>
            </w:r>
            <w:proofErr w:type="spellStart"/>
            <w:r w:rsidRPr="000F0EFC">
              <w:rPr>
                <w:rFonts w:ascii="Times New Roman" w:hAnsi="Times New Roman" w:cs="Times New Roman"/>
              </w:rPr>
              <w:t>Regional</w:t>
            </w:r>
            <w:proofErr w:type="spellEnd"/>
            <w:r w:rsidRPr="000F0EFC">
              <w:rPr>
                <w:rFonts w:ascii="Times New Roman" w:hAnsi="Times New Roman" w:cs="Times New Roman"/>
              </w:rPr>
              <w:t xml:space="preserve"> Training Course on Practical </w:t>
            </w:r>
            <w:proofErr w:type="spellStart"/>
            <w:r w:rsidRPr="000F0EFC">
              <w:rPr>
                <w:rFonts w:ascii="Times New Roman" w:hAnsi="Times New Roman" w:cs="Times New Roman"/>
              </w:rPr>
              <w:t>Aspects</w:t>
            </w:r>
            <w:proofErr w:type="spellEnd"/>
            <w:r w:rsidRPr="000F0EFC">
              <w:rPr>
                <w:rFonts w:ascii="Times New Roman" w:hAnsi="Times New Roman" w:cs="Times New Roman"/>
              </w:rPr>
              <w:t xml:space="preserve"> of </w:t>
            </w:r>
            <w:proofErr w:type="spellStart"/>
            <w:r w:rsidRPr="000F0EFC">
              <w:rPr>
                <w:rFonts w:ascii="Times New Roman" w:hAnsi="Times New Roman" w:cs="Times New Roman"/>
              </w:rPr>
              <w:t>Paediatric</w:t>
            </w:r>
            <w:proofErr w:type="spellEnd"/>
            <w:r w:rsidRPr="000F0EFC">
              <w:rPr>
                <w:rFonts w:ascii="Times New Roman" w:hAnsi="Times New Roman" w:cs="Times New Roman"/>
              </w:rPr>
              <w:t xml:space="preserve"> </w:t>
            </w:r>
            <w:proofErr w:type="spellStart"/>
            <w:r w:rsidRPr="000F0EFC">
              <w:rPr>
                <w:rFonts w:ascii="Times New Roman" w:hAnsi="Times New Roman" w:cs="Times New Roman"/>
              </w:rPr>
              <w:t>Radiotherapy</w:t>
            </w:r>
            <w:proofErr w:type="spellEnd"/>
            <w:r w:rsidRPr="000F0EFC">
              <w:rPr>
                <w:rFonts w:ascii="Times New Roman" w:hAnsi="Times New Roman" w:cs="Times New Roman"/>
              </w:rPr>
              <w:t xml:space="preserve"> - Module I". Hieronder vallen ook de aan de deelnemers toe te kennen privileges en immuniteiten. Met het oog op de tijdelijke aard van de bijeenkomst zal het verdrag voor niet langer dan een jaar worden gesloten.</w:t>
            </w:r>
          </w:p>
          <w:p w:rsidRPr="000F0EFC" w:rsidR="000F0EFC" w:rsidP="00E11495" w:rsidRDefault="000F0EFC" w14:paraId="6DB93C82" w14:textId="77777777">
            <w:pPr>
              <w:rPr>
                <w:rFonts w:ascii="Times New Roman" w:hAnsi="Times New Roman" w:cs="Times New Roman"/>
              </w:rPr>
            </w:pPr>
          </w:p>
          <w:p w:rsidRPr="000F0EFC" w:rsidR="00E11495" w:rsidP="00E11495" w:rsidRDefault="00E11495" w14:paraId="55102D1A" w14:textId="18269D36">
            <w:pPr>
              <w:rPr>
                <w:rFonts w:ascii="Times New Roman" w:hAnsi="Times New Roman" w:cs="Times New Roman"/>
              </w:rPr>
            </w:pPr>
          </w:p>
        </w:tc>
      </w:tr>
      <w:tr w:rsidRPr="000F0EFC" w:rsidR="00E11495" w:rsidTr="00E11495" w14:paraId="6D111BAB" w14:textId="77777777">
        <w:trPr>
          <w:trHeight w:val="300"/>
        </w:trPr>
        <w:tc>
          <w:tcPr>
            <w:tcW w:w="2405" w:type="dxa"/>
            <w:vMerge/>
            <w:hideMark/>
          </w:tcPr>
          <w:p w:rsidRPr="000F0EFC" w:rsidR="00E11495" w:rsidP="00E11495" w:rsidRDefault="00E11495" w14:paraId="3D16FBCD" w14:textId="77777777">
            <w:pPr>
              <w:rPr>
                <w:rFonts w:ascii="Times New Roman" w:hAnsi="Times New Roman" w:cs="Times New Roman"/>
              </w:rPr>
            </w:pPr>
          </w:p>
        </w:tc>
        <w:tc>
          <w:tcPr>
            <w:tcW w:w="4111" w:type="dxa"/>
            <w:hideMark/>
          </w:tcPr>
          <w:p w:rsidRPr="000F0EFC" w:rsidR="00E11495" w:rsidP="00E11495" w:rsidRDefault="00E11495" w14:paraId="35C6B77F" w14:textId="77777777">
            <w:pPr>
              <w:rPr>
                <w:rFonts w:ascii="Times New Roman" w:hAnsi="Times New Roman" w:cs="Times New Roman"/>
              </w:rPr>
            </w:pPr>
            <w:r w:rsidRPr="000F0EFC">
              <w:rPr>
                <w:rFonts w:ascii="Times New Roman" w:hAnsi="Times New Roman" w:cs="Times New Roman"/>
              </w:rPr>
              <w:t>Luchtvaartverdrag (Sint Maarten)</w:t>
            </w:r>
          </w:p>
        </w:tc>
        <w:tc>
          <w:tcPr>
            <w:tcW w:w="2977" w:type="dxa"/>
            <w:hideMark/>
          </w:tcPr>
          <w:p w:rsidRPr="000F0EFC" w:rsidR="00E11495" w:rsidP="00E11495" w:rsidRDefault="00E11495" w14:paraId="237A5CAE" w14:textId="77777777">
            <w:pPr>
              <w:rPr>
                <w:rFonts w:ascii="Times New Roman" w:hAnsi="Times New Roman" w:cs="Times New Roman"/>
              </w:rPr>
            </w:pPr>
            <w:r w:rsidRPr="000F0EFC">
              <w:rPr>
                <w:rFonts w:ascii="Times New Roman" w:hAnsi="Times New Roman" w:cs="Times New Roman"/>
              </w:rPr>
              <w:t>Trinidad en Tobago</w:t>
            </w:r>
          </w:p>
        </w:tc>
        <w:tc>
          <w:tcPr>
            <w:tcW w:w="1275" w:type="dxa"/>
            <w:hideMark/>
          </w:tcPr>
          <w:p w:rsidRPr="000F0EFC" w:rsidR="00E11495" w:rsidP="00E11495" w:rsidRDefault="00E11495" w14:paraId="28423503" w14:textId="77777777">
            <w:pPr>
              <w:rPr>
                <w:rFonts w:ascii="Times New Roman" w:hAnsi="Times New Roman" w:cs="Times New Roman"/>
              </w:rPr>
            </w:pPr>
            <w:r w:rsidRPr="000F0EFC">
              <w:rPr>
                <w:rFonts w:ascii="Times New Roman" w:hAnsi="Times New Roman" w:cs="Times New Roman"/>
              </w:rPr>
              <w:t>014270</w:t>
            </w:r>
          </w:p>
        </w:tc>
        <w:tc>
          <w:tcPr>
            <w:tcW w:w="3180" w:type="dxa"/>
            <w:hideMark/>
          </w:tcPr>
          <w:p w:rsidRPr="000F0EFC" w:rsidR="00E11495" w:rsidP="00E11495" w:rsidRDefault="00E11495" w14:paraId="7D07ADE1" w14:textId="77777777">
            <w:pPr>
              <w:rPr>
                <w:rFonts w:ascii="Times New Roman" w:hAnsi="Times New Roman" w:cs="Times New Roman"/>
              </w:rPr>
            </w:pPr>
            <w:r w:rsidRPr="000F0EFC">
              <w:rPr>
                <w:rFonts w:ascii="Times New Roman" w:hAnsi="Times New Roman" w:cs="Times New Roman"/>
              </w:rPr>
              <w:t xml:space="preserve">Het verdrag regelt de luchtvaartverbindingen tussen Sint Maarten en Trinidad en Tobago en valt vanwege de liberale inhoud in de categorie “Open Skies”, waarin wordt voorzien in een zo groot mogelijke operationele en commerciële vrijheid voor de aangewezen luchtvaartmaatschappijen van de partijen. Het verdrag stelt geen beperking ten aanzien van aanwijzing van luchtvaartmaatschappijen. Het </w:t>
            </w:r>
            <w:r w:rsidRPr="000F0EFC">
              <w:rPr>
                <w:rFonts w:ascii="Times New Roman" w:hAnsi="Times New Roman" w:cs="Times New Roman"/>
              </w:rPr>
              <w:lastRenderedPageBreak/>
              <w:t xml:space="preserve">verdrag regelt de luchtvaartbetrekkingen tussen Sint Maarten en Trinidad en Tobago, zoals het verlenen van het recht van </w:t>
            </w:r>
            <w:proofErr w:type="spellStart"/>
            <w:r w:rsidRPr="000F0EFC">
              <w:rPr>
                <w:rFonts w:ascii="Times New Roman" w:hAnsi="Times New Roman" w:cs="Times New Roman"/>
              </w:rPr>
              <w:t>overvlucht</w:t>
            </w:r>
            <w:proofErr w:type="spellEnd"/>
            <w:r w:rsidRPr="000F0EFC">
              <w:rPr>
                <w:rFonts w:ascii="Times New Roman" w:hAnsi="Times New Roman" w:cs="Times New Roman"/>
              </w:rPr>
              <w:t xml:space="preserve"> en landing alsmede het recht om in overeenstemming met de routetabel in de bijlage bij het verdrag geregelde luchtdiensten te onderhouden. Verder bevat het verdrag de gebruikelijke bepalingen over veiligheid, beveiliging, tarieven en heffingen.</w:t>
            </w:r>
          </w:p>
          <w:p w:rsidRPr="000F0EFC" w:rsidR="000F0EFC" w:rsidP="00E11495" w:rsidRDefault="000F0EFC" w14:paraId="07788F81" w14:textId="77777777">
            <w:pPr>
              <w:rPr>
                <w:rFonts w:ascii="Times New Roman" w:hAnsi="Times New Roman" w:cs="Times New Roman"/>
              </w:rPr>
            </w:pPr>
          </w:p>
          <w:p w:rsidRPr="000F0EFC" w:rsidR="00E11495" w:rsidP="00E11495" w:rsidRDefault="00E11495" w14:paraId="0EF8779B" w14:textId="0DD67D8F">
            <w:pPr>
              <w:rPr>
                <w:rFonts w:ascii="Times New Roman" w:hAnsi="Times New Roman" w:cs="Times New Roman"/>
              </w:rPr>
            </w:pPr>
          </w:p>
        </w:tc>
      </w:tr>
      <w:tr w:rsidRPr="000F0EFC" w:rsidR="00E11495" w:rsidTr="00E11495" w14:paraId="0381D038" w14:textId="77777777">
        <w:trPr>
          <w:trHeight w:val="300"/>
        </w:trPr>
        <w:tc>
          <w:tcPr>
            <w:tcW w:w="2405" w:type="dxa"/>
            <w:vMerge/>
            <w:hideMark/>
          </w:tcPr>
          <w:p w:rsidRPr="000F0EFC" w:rsidR="00E11495" w:rsidP="00E11495" w:rsidRDefault="00E11495" w14:paraId="445F6F53" w14:textId="77777777">
            <w:pPr>
              <w:rPr>
                <w:rFonts w:ascii="Times New Roman" w:hAnsi="Times New Roman" w:cs="Times New Roman"/>
              </w:rPr>
            </w:pPr>
          </w:p>
        </w:tc>
        <w:tc>
          <w:tcPr>
            <w:tcW w:w="4111" w:type="dxa"/>
            <w:hideMark/>
          </w:tcPr>
          <w:p w:rsidRPr="000F0EFC" w:rsidR="00E11495" w:rsidP="00E11495" w:rsidRDefault="00E11495" w14:paraId="1C3E94E7" w14:textId="4E34EA34">
            <w:pPr>
              <w:rPr>
                <w:rFonts w:ascii="Times New Roman" w:hAnsi="Times New Roman" w:cs="Times New Roman"/>
              </w:rPr>
            </w:pPr>
            <w:r w:rsidRPr="000F0EFC">
              <w:rPr>
                <w:rFonts w:ascii="Times New Roman" w:hAnsi="Times New Roman" w:cs="Times New Roman"/>
              </w:rPr>
              <w:t>Tewerkstelling gezinsleden diplomatieke en consulaire missies Kameroen</w:t>
            </w:r>
          </w:p>
        </w:tc>
        <w:tc>
          <w:tcPr>
            <w:tcW w:w="2977" w:type="dxa"/>
            <w:noWrap/>
            <w:hideMark/>
          </w:tcPr>
          <w:p w:rsidRPr="000F0EFC" w:rsidR="00E11495" w:rsidP="00E11495" w:rsidRDefault="00E11495" w14:paraId="27E31BEA" w14:textId="3901BE6C">
            <w:pPr>
              <w:rPr>
                <w:rFonts w:ascii="Times New Roman" w:hAnsi="Times New Roman" w:cs="Times New Roman"/>
              </w:rPr>
            </w:pPr>
            <w:r w:rsidRPr="000F0EFC">
              <w:rPr>
                <w:rFonts w:ascii="Times New Roman" w:hAnsi="Times New Roman" w:cs="Times New Roman"/>
              </w:rPr>
              <w:t> Kameroen</w:t>
            </w:r>
          </w:p>
        </w:tc>
        <w:tc>
          <w:tcPr>
            <w:tcW w:w="1275" w:type="dxa"/>
            <w:hideMark/>
          </w:tcPr>
          <w:p w:rsidRPr="000F0EFC" w:rsidR="00E11495" w:rsidP="00E11495" w:rsidRDefault="00E11495" w14:paraId="4EB2AA1C" w14:textId="77777777">
            <w:pPr>
              <w:rPr>
                <w:rFonts w:ascii="Times New Roman" w:hAnsi="Times New Roman" w:cs="Times New Roman"/>
              </w:rPr>
            </w:pPr>
            <w:r w:rsidRPr="000F0EFC">
              <w:rPr>
                <w:rFonts w:ascii="Times New Roman" w:hAnsi="Times New Roman" w:cs="Times New Roman"/>
              </w:rPr>
              <w:t>014271</w:t>
            </w:r>
          </w:p>
        </w:tc>
        <w:tc>
          <w:tcPr>
            <w:tcW w:w="3180" w:type="dxa"/>
            <w:hideMark/>
          </w:tcPr>
          <w:p w:rsidRPr="000F0EFC" w:rsidR="00E11495" w:rsidP="00E11495" w:rsidRDefault="00E11495" w14:paraId="5162B19B" w14:textId="77777777">
            <w:pPr>
              <w:rPr>
                <w:rFonts w:ascii="Times New Roman" w:hAnsi="Times New Roman" w:cs="Times New Roman"/>
              </w:rPr>
            </w:pPr>
            <w:r w:rsidRPr="000F0EFC">
              <w:rPr>
                <w:rFonts w:ascii="Times New Roman" w:hAnsi="Times New Roman" w:cs="Times New Roman"/>
              </w:rPr>
              <w:t xml:space="preserve">Het verdrag regelt op basis van reciprociteit de vrije toegang tot de arbeidsmarkt van de gezinsleden van personeel van diplomatieke missies en consulaire posten van de zendstaat in de ontvangende staat. Het verdrag bepaalt onder meer welke gezinsleden in de ontvangende staat mogen werken, aan welke </w:t>
            </w:r>
            <w:r w:rsidRPr="000F0EFC">
              <w:rPr>
                <w:rFonts w:ascii="Times New Roman" w:hAnsi="Times New Roman" w:cs="Times New Roman"/>
              </w:rPr>
              <w:lastRenderedPageBreak/>
              <w:t>voorwaarden zij moeten voldoen om te mogen werken en wat de gevolgen voor de immuniteiten van het werkende gezinslid zijn.</w:t>
            </w:r>
          </w:p>
          <w:p w:rsidRPr="000F0EFC" w:rsidR="00E11495" w:rsidP="00E11495" w:rsidRDefault="00E11495" w14:paraId="3734E6AA" w14:textId="7981F57E">
            <w:pPr>
              <w:rPr>
                <w:rFonts w:ascii="Times New Roman" w:hAnsi="Times New Roman" w:cs="Times New Roman"/>
              </w:rPr>
            </w:pPr>
          </w:p>
        </w:tc>
      </w:tr>
    </w:tbl>
    <w:p w:rsidRPr="000F0EFC" w:rsidR="006C5EDC" w:rsidRDefault="006C5EDC" w14:paraId="491F6488" w14:textId="77777777">
      <w:pPr>
        <w:rPr>
          <w:rFonts w:ascii="Times New Roman" w:hAnsi="Times New Roman" w:cs="Times New Roman"/>
        </w:rPr>
      </w:pPr>
    </w:p>
    <w:sectPr w:rsidRPr="000F0EFC" w:rsidR="006C5EDC" w:rsidSect="00E11495">
      <w:headerReference w:type="default" r:id="rId6"/>
      <w:footerReference w:type="default" r:id="rId7"/>
      <w:pgSz w:w="16838" w:h="11906" w:orient="landscape"/>
      <w:pgMar w:top="1440" w:right="1440" w:bottom="1440" w:left="1440"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0D1AC0" w14:textId="77777777" w:rsidR="007354CB" w:rsidRDefault="007354CB" w:rsidP="00E11495">
      <w:pPr>
        <w:spacing w:after="0" w:line="240" w:lineRule="auto"/>
      </w:pPr>
      <w:r>
        <w:separator/>
      </w:r>
    </w:p>
  </w:endnote>
  <w:endnote w:type="continuationSeparator" w:id="0">
    <w:p w14:paraId="23FBA3AB" w14:textId="77777777" w:rsidR="007354CB" w:rsidRDefault="007354CB" w:rsidP="00E114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18678502"/>
      <w:docPartObj>
        <w:docPartGallery w:val="Page Numbers (Bottom of Page)"/>
        <w:docPartUnique/>
      </w:docPartObj>
    </w:sdtPr>
    <w:sdtEndPr>
      <w:rPr>
        <w:rFonts w:ascii="Times New Roman" w:hAnsi="Times New Roman" w:cs="Times New Roman"/>
        <w:sz w:val="18"/>
        <w:szCs w:val="18"/>
      </w:rPr>
    </w:sdtEndPr>
    <w:sdtContent>
      <w:p w14:paraId="030CF385" w14:textId="0EB44E7A" w:rsidR="000F0EFC" w:rsidRPr="000F0EFC" w:rsidRDefault="000F0EFC">
        <w:pPr>
          <w:pStyle w:val="Footer"/>
          <w:jc w:val="center"/>
          <w:rPr>
            <w:rFonts w:ascii="Times New Roman" w:hAnsi="Times New Roman" w:cs="Times New Roman"/>
            <w:sz w:val="18"/>
            <w:szCs w:val="18"/>
          </w:rPr>
        </w:pPr>
        <w:r w:rsidRPr="000F0EFC">
          <w:rPr>
            <w:rFonts w:ascii="Times New Roman" w:hAnsi="Times New Roman" w:cs="Times New Roman"/>
            <w:sz w:val="18"/>
            <w:szCs w:val="18"/>
          </w:rPr>
          <w:fldChar w:fldCharType="begin"/>
        </w:r>
        <w:r w:rsidRPr="000F0EFC">
          <w:rPr>
            <w:rFonts w:ascii="Times New Roman" w:hAnsi="Times New Roman" w:cs="Times New Roman"/>
            <w:sz w:val="18"/>
            <w:szCs w:val="18"/>
          </w:rPr>
          <w:instrText>PAGE   \* MERGEFORMAT</w:instrText>
        </w:r>
        <w:r w:rsidRPr="000F0EFC">
          <w:rPr>
            <w:rFonts w:ascii="Times New Roman" w:hAnsi="Times New Roman" w:cs="Times New Roman"/>
            <w:sz w:val="18"/>
            <w:szCs w:val="18"/>
          </w:rPr>
          <w:fldChar w:fldCharType="separate"/>
        </w:r>
        <w:r w:rsidRPr="000F0EFC">
          <w:rPr>
            <w:rFonts w:ascii="Times New Roman" w:hAnsi="Times New Roman" w:cs="Times New Roman"/>
            <w:sz w:val="18"/>
            <w:szCs w:val="18"/>
          </w:rPr>
          <w:t>2</w:t>
        </w:r>
        <w:r w:rsidRPr="000F0EFC">
          <w:rPr>
            <w:rFonts w:ascii="Times New Roman" w:hAnsi="Times New Roman" w:cs="Times New Roman"/>
            <w:sz w:val="18"/>
            <w:szCs w:val="18"/>
          </w:rPr>
          <w:fldChar w:fldCharType="end"/>
        </w:r>
      </w:p>
    </w:sdtContent>
  </w:sdt>
  <w:p w14:paraId="7A75BDF0" w14:textId="77777777" w:rsidR="000F0EFC" w:rsidRDefault="000F0E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E2A5EF" w14:textId="77777777" w:rsidR="007354CB" w:rsidRDefault="007354CB" w:rsidP="00E11495">
      <w:pPr>
        <w:spacing w:after="0" w:line="240" w:lineRule="auto"/>
      </w:pPr>
      <w:r>
        <w:separator/>
      </w:r>
    </w:p>
  </w:footnote>
  <w:footnote w:type="continuationSeparator" w:id="0">
    <w:p w14:paraId="38536BC3" w14:textId="77777777" w:rsidR="007354CB" w:rsidRDefault="007354CB" w:rsidP="00E1149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5A9E41" w14:textId="77777777" w:rsidR="00E11495" w:rsidRPr="000F0EFC" w:rsidRDefault="00E11495" w:rsidP="00E11495">
    <w:pPr>
      <w:spacing w:line="256" w:lineRule="auto"/>
      <w:jc w:val="right"/>
      <w:rPr>
        <w:rFonts w:ascii="Times New Roman" w:eastAsia="Times New Roman" w:hAnsi="Times New Roman" w:cs="Times New Roman"/>
        <w:b/>
        <w:kern w:val="0"/>
        <w14:ligatures w14:val="none"/>
      </w:rPr>
    </w:pPr>
    <w:r w:rsidRPr="000F0EFC">
      <w:rPr>
        <w:rFonts w:ascii="Times New Roman" w:eastAsia="Times New Roman" w:hAnsi="Times New Roman" w:cs="Times New Roman"/>
        <w:b/>
        <w:kern w:val="0"/>
        <w14:ligatures w14:val="none"/>
      </w:rPr>
      <w:t>Bijlage 1</w:t>
    </w:r>
  </w:p>
  <w:p w14:paraId="0B75D931" w14:textId="77777777" w:rsidR="00E11495" w:rsidRPr="000F0EFC" w:rsidRDefault="00E11495" w:rsidP="00E11495">
    <w:pPr>
      <w:spacing w:line="256" w:lineRule="auto"/>
      <w:rPr>
        <w:rFonts w:ascii="Times New Roman" w:eastAsia="Times New Roman" w:hAnsi="Times New Roman" w:cs="Times New Roman"/>
        <w:b/>
        <w:kern w:val="0"/>
        <w14:ligatures w14:val="none"/>
      </w:rPr>
    </w:pPr>
    <w:r w:rsidRPr="000F0EFC">
      <w:rPr>
        <w:rFonts w:ascii="Times New Roman" w:eastAsia="Times New Roman" w:hAnsi="Times New Roman" w:cs="Times New Roman"/>
        <w:b/>
        <w:kern w:val="0"/>
        <w14:ligatures w14:val="none"/>
      </w:rPr>
      <w:t xml:space="preserve">Overzicht van </w:t>
    </w:r>
    <w:proofErr w:type="spellStart"/>
    <w:r w:rsidRPr="000F0EFC">
      <w:rPr>
        <w:rFonts w:ascii="Times New Roman" w:eastAsia="Times New Roman" w:hAnsi="Times New Roman" w:cs="Times New Roman"/>
        <w:b/>
        <w:kern w:val="0"/>
        <w14:ligatures w14:val="none"/>
      </w:rPr>
      <w:t>ontwerp-verdragen</w:t>
    </w:r>
    <w:proofErr w:type="spellEnd"/>
    <w:r w:rsidRPr="000F0EFC">
      <w:rPr>
        <w:rFonts w:ascii="Times New Roman" w:eastAsia="Times New Roman" w:hAnsi="Times New Roman" w:cs="Times New Roman"/>
        <w:b/>
        <w:kern w:val="0"/>
        <w14:ligatures w14:val="none"/>
      </w:rPr>
      <w:t xml:space="preserve"> per 1 juli 2026 die vergeleken met de lijst van 1 april 2026 (Kamerstukken II 2025/2026, 23530, 154) NIEUW zijn op de lijst; *= politiek belangrijk</w:t>
    </w:r>
  </w:p>
  <w:p w14:paraId="4319DB68" w14:textId="6284C131" w:rsidR="00E11495" w:rsidRPr="000F0EFC" w:rsidRDefault="00E11495" w:rsidP="00E11495">
    <w:pPr>
      <w:pStyle w:val="Header"/>
    </w:pPr>
    <w:r w:rsidRPr="000F0EFC">
      <w:rPr>
        <w:rFonts w:ascii="Times New Roman" w:eastAsia="Times New Roman" w:hAnsi="Times New Roman" w:cs="Times New Roman"/>
        <w:b/>
        <w:kern w:val="0"/>
        <w14:ligatures w14:val="none"/>
      </w:rPr>
      <w:t xml:space="preserve">Ministerie                       </w:t>
    </w:r>
    <w:r w:rsidR="000F0EFC">
      <w:rPr>
        <w:rFonts w:ascii="Times New Roman" w:eastAsia="Times New Roman" w:hAnsi="Times New Roman" w:cs="Times New Roman"/>
        <w:b/>
        <w:kern w:val="0"/>
        <w14:ligatures w14:val="none"/>
      </w:rPr>
      <w:t xml:space="preserve">  </w:t>
    </w:r>
    <w:r w:rsidRPr="000F0EFC">
      <w:rPr>
        <w:rFonts w:ascii="Times New Roman" w:eastAsia="Times New Roman" w:hAnsi="Times New Roman" w:cs="Times New Roman"/>
        <w:b/>
        <w:kern w:val="0"/>
        <w14:ligatures w14:val="none"/>
      </w:rPr>
      <w:t xml:space="preserve">Onderwerp verdrag               </w:t>
    </w:r>
    <w:r w:rsidR="000F0EFC" w:rsidRPr="000F0EFC">
      <w:rPr>
        <w:rFonts w:ascii="Times New Roman" w:eastAsia="Times New Roman" w:hAnsi="Times New Roman" w:cs="Times New Roman"/>
        <w:b/>
        <w:kern w:val="0"/>
        <w14:ligatures w14:val="none"/>
      </w:rPr>
      <w:t xml:space="preserve">                   </w:t>
    </w:r>
    <w:r w:rsidRPr="000F0EFC">
      <w:rPr>
        <w:rFonts w:ascii="Times New Roman" w:eastAsia="Times New Roman" w:hAnsi="Times New Roman" w:cs="Times New Roman"/>
        <w:b/>
        <w:kern w:val="0"/>
        <w14:ligatures w14:val="none"/>
      </w:rPr>
      <w:t xml:space="preserve">Land/ organisatie </w:t>
    </w:r>
    <w:r w:rsidRPr="000F0EFC">
      <w:rPr>
        <w:rFonts w:ascii="Times New Roman" w:eastAsia="Times New Roman" w:hAnsi="Times New Roman" w:cs="Times New Roman"/>
        <w:b/>
        <w:kern w:val="0"/>
        <w14:ligatures w14:val="none"/>
      </w:rPr>
      <w:tab/>
      <w:t xml:space="preserve">      </w:t>
    </w:r>
    <w:r w:rsidR="000F0EFC" w:rsidRPr="000F0EFC">
      <w:rPr>
        <w:rFonts w:ascii="Times New Roman" w:eastAsia="Times New Roman" w:hAnsi="Times New Roman" w:cs="Times New Roman"/>
        <w:b/>
        <w:kern w:val="0"/>
        <w14:ligatures w14:val="none"/>
      </w:rPr>
      <w:t xml:space="preserve">             </w:t>
    </w:r>
    <w:r w:rsidRPr="000F0EFC">
      <w:rPr>
        <w:rFonts w:ascii="Times New Roman" w:eastAsia="Times New Roman" w:hAnsi="Times New Roman" w:cs="Times New Roman"/>
        <w:b/>
        <w:kern w:val="0"/>
        <w14:ligatures w14:val="none"/>
      </w:rPr>
      <w:t xml:space="preserve">Ref. </w:t>
    </w:r>
    <w:proofErr w:type="spellStart"/>
    <w:r w:rsidRPr="000F0EFC">
      <w:rPr>
        <w:rFonts w:ascii="Times New Roman" w:eastAsia="Times New Roman" w:hAnsi="Times New Roman" w:cs="Times New Roman"/>
        <w:b/>
        <w:kern w:val="0"/>
        <w14:ligatures w14:val="none"/>
      </w:rPr>
      <w:t>nr</w:t>
    </w:r>
    <w:proofErr w:type="spellEnd"/>
    <w:r w:rsidR="000F0EFC" w:rsidRPr="000F0EFC">
      <w:rPr>
        <w:rFonts w:ascii="Times New Roman" w:eastAsia="Times New Roman" w:hAnsi="Times New Roman" w:cs="Times New Roman"/>
        <w:b/>
        <w:kern w:val="0"/>
        <w14:ligatures w14:val="none"/>
      </w:rPr>
      <w:t xml:space="preserve">        </w:t>
    </w:r>
    <w:r w:rsidRPr="000F0EFC">
      <w:rPr>
        <w:rFonts w:ascii="Times New Roman" w:eastAsia="Times New Roman" w:hAnsi="Times New Roman" w:cs="Times New Roman"/>
        <w:b/>
        <w:kern w:val="0"/>
        <w14:ligatures w14:val="none"/>
      </w:rPr>
      <w:t>Doel/ inhoud/ strekking</w:t>
    </w:r>
    <w:r w:rsidR="000F0EFC">
      <w:rPr>
        <w:rFonts w:ascii="Times New Roman" w:eastAsia="Times New Roman" w:hAnsi="Times New Roman" w:cs="Times New Roman"/>
        <w:b/>
        <w:kern w:val="0"/>
        <w14:ligatures w14:val="none"/>
      </w:rPr>
      <w:br/>
    </w:r>
    <w:r w:rsidR="000F0EFC">
      <w:rPr>
        <w:rFonts w:ascii="Times New Roman" w:eastAsia="Times New Roman" w:hAnsi="Times New Roman" w:cs="Times New Roman"/>
        <w:b/>
        <w:kern w:val="0"/>
        <w14:ligatures w14:val="none"/>
      </w:rPr>
      <w:tab/>
    </w:r>
    <w:r w:rsidR="000F0EFC">
      <w:rPr>
        <w:rFonts w:ascii="Times New Roman" w:eastAsia="Times New Roman" w:hAnsi="Times New Roman" w:cs="Times New Roman"/>
        <w:b/>
        <w:kern w:val="0"/>
        <w14:ligatures w14:val="none"/>
      </w:rPr>
      <w:tab/>
    </w:r>
    <w:r w:rsidR="000F0EFC">
      <w:rPr>
        <w:rFonts w:ascii="Times New Roman" w:eastAsia="Times New Roman" w:hAnsi="Times New Roman" w:cs="Times New Roman"/>
        <w:b/>
        <w:kern w:val="0"/>
        <w14:ligatures w14:val="none"/>
      </w:rPr>
      <w:tab/>
    </w:r>
    <w:r w:rsidR="000F0EFC">
      <w:rPr>
        <w:rFonts w:ascii="Times New Roman" w:eastAsia="Times New Roman" w:hAnsi="Times New Roman" w:cs="Times New Roman"/>
        <w:b/>
        <w:kern w:val="0"/>
        <w14:ligatures w14:val="none"/>
      </w:rPr>
      <w:tab/>
    </w:r>
    <w:r w:rsidR="000F0EFC">
      <w:rPr>
        <w:rFonts w:ascii="Times New Roman" w:eastAsia="Times New Roman" w:hAnsi="Times New Roman" w:cs="Times New Roman"/>
        <w:b/>
        <w:kern w:val="0"/>
        <w14:ligatures w14:val="none"/>
      </w:rPr>
      <w:tab/>
      <w:t xml:space="preserve">    verdrag (samenvatting)</w:t>
    </w:r>
  </w:p>
  <w:p w14:paraId="4AD4B394" w14:textId="77777777" w:rsidR="00E11495" w:rsidRDefault="00E1149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1495"/>
    <w:rsid w:val="00033CF5"/>
    <w:rsid w:val="000C0F71"/>
    <w:rsid w:val="000F0EFC"/>
    <w:rsid w:val="0020509E"/>
    <w:rsid w:val="006C5EDC"/>
    <w:rsid w:val="007354CB"/>
    <w:rsid w:val="007A30EA"/>
    <w:rsid w:val="00AA01D5"/>
    <w:rsid w:val="00C36410"/>
    <w:rsid w:val="00CD20DA"/>
    <w:rsid w:val="00E11495"/>
    <w:rsid w:val="00E6136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7644D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1149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1149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1149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1149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1149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1149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1149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1149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1149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1149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1149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1149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1149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1149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1149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1149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1149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11495"/>
    <w:rPr>
      <w:rFonts w:eastAsiaTheme="majorEastAsia" w:cstheme="majorBidi"/>
      <w:color w:val="272727" w:themeColor="text1" w:themeTint="D8"/>
    </w:rPr>
  </w:style>
  <w:style w:type="paragraph" w:styleId="Title">
    <w:name w:val="Title"/>
    <w:basedOn w:val="Normal"/>
    <w:next w:val="Normal"/>
    <w:link w:val="TitleChar"/>
    <w:uiPriority w:val="10"/>
    <w:qFormat/>
    <w:rsid w:val="00E1149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1149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1149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1149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11495"/>
    <w:pPr>
      <w:spacing w:before="160"/>
      <w:jc w:val="center"/>
    </w:pPr>
    <w:rPr>
      <w:i/>
      <w:iCs/>
      <w:color w:val="404040" w:themeColor="text1" w:themeTint="BF"/>
    </w:rPr>
  </w:style>
  <w:style w:type="character" w:customStyle="1" w:styleId="QuoteChar">
    <w:name w:val="Quote Char"/>
    <w:basedOn w:val="DefaultParagraphFont"/>
    <w:link w:val="Quote"/>
    <w:uiPriority w:val="29"/>
    <w:rsid w:val="00E11495"/>
    <w:rPr>
      <w:i/>
      <w:iCs/>
      <w:color w:val="404040" w:themeColor="text1" w:themeTint="BF"/>
    </w:rPr>
  </w:style>
  <w:style w:type="paragraph" w:styleId="ListParagraph">
    <w:name w:val="List Paragraph"/>
    <w:basedOn w:val="Normal"/>
    <w:uiPriority w:val="34"/>
    <w:qFormat/>
    <w:rsid w:val="00E11495"/>
    <w:pPr>
      <w:ind w:left="720"/>
      <w:contextualSpacing/>
    </w:pPr>
  </w:style>
  <w:style w:type="character" w:styleId="IntenseEmphasis">
    <w:name w:val="Intense Emphasis"/>
    <w:basedOn w:val="DefaultParagraphFont"/>
    <w:uiPriority w:val="21"/>
    <w:qFormat/>
    <w:rsid w:val="00E11495"/>
    <w:rPr>
      <w:i/>
      <w:iCs/>
      <w:color w:val="0F4761" w:themeColor="accent1" w:themeShade="BF"/>
    </w:rPr>
  </w:style>
  <w:style w:type="paragraph" w:styleId="IntenseQuote">
    <w:name w:val="Intense Quote"/>
    <w:basedOn w:val="Normal"/>
    <w:next w:val="Normal"/>
    <w:link w:val="IntenseQuoteChar"/>
    <w:uiPriority w:val="30"/>
    <w:qFormat/>
    <w:rsid w:val="00E1149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11495"/>
    <w:rPr>
      <w:i/>
      <w:iCs/>
      <w:color w:val="0F4761" w:themeColor="accent1" w:themeShade="BF"/>
    </w:rPr>
  </w:style>
  <w:style w:type="character" w:styleId="IntenseReference">
    <w:name w:val="Intense Reference"/>
    <w:basedOn w:val="DefaultParagraphFont"/>
    <w:uiPriority w:val="32"/>
    <w:qFormat/>
    <w:rsid w:val="00E11495"/>
    <w:rPr>
      <w:b/>
      <w:bCs/>
      <w:smallCaps/>
      <w:color w:val="0F4761" w:themeColor="accent1" w:themeShade="BF"/>
      <w:spacing w:val="5"/>
    </w:rPr>
  </w:style>
  <w:style w:type="table" w:styleId="TableGrid">
    <w:name w:val="Table Grid"/>
    <w:basedOn w:val="TableNormal"/>
    <w:uiPriority w:val="39"/>
    <w:rsid w:val="00E114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11495"/>
    <w:pPr>
      <w:tabs>
        <w:tab w:val="center" w:pos="4513"/>
        <w:tab w:val="right" w:pos="9026"/>
      </w:tabs>
      <w:spacing w:after="0" w:line="240" w:lineRule="auto"/>
    </w:pPr>
  </w:style>
  <w:style w:type="character" w:customStyle="1" w:styleId="HeaderChar">
    <w:name w:val="Header Char"/>
    <w:basedOn w:val="DefaultParagraphFont"/>
    <w:link w:val="Header"/>
    <w:uiPriority w:val="99"/>
    <w:rsid w:val="00E11495"/>
  </w:style>
  <w:style w:type="paragraph" w:styleId="Footer">
    <w:name w:val="footer"/>
    <w:basedOn w:val="Normal"/>
    <w:link w:val="FooterChar"/>
    <w:uiPriority w:val="99"/>
    <w:unhideWhenUsed/>
    <w:rsid w:val="00E11495"/>
    <w:pPr>
      <w:tabs>
        <w:tab w:val="center" w:pos="4513"/>
        <w:tab w:val="right" w:pos="9026"/>
      </w:tabs>
      <w:spacing w:after="0" w:line="240" w:lineRule="auto"/>
    </w:pPr>
  </w:style>
  <w:style w:type="character" w:customStyle="1" w:styleId="FooterChar">
    <w:name w:val="Footer Char"/>
    <w:basedOn w:val="DefaultParagraphFont"/>
    <w:link w:val="Footer"/>
    <w:uiPriority w:val="99"/>
    <w:rsid w:val="00E1149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89994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8</ap:Pages>
  <ap:Words>846</ap:Words>
  <ap:Characters>4653</ap:Characters>
  <ap:DocSecurity>0</ap:DocSecurity>
  <ap:Lines>38</ap:Lines>
  <ap:Paragraphs>10</ap:Paragraphs>
  <ap:ScaleCrop>false</ap:ScaleCrop>
  <ap:LinksUpToDate>false</ap:LinksUpToDate>
  <ap:CharactersWithSpaces>5489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2026-07-11T13:18:00.0000000Z</dcterms:created>
  <dcterms:modified xsi:type="dcterms:W3CDTF">2026-07-11T13:18:00.0000000Z</dcterms:modified>
  <version/>
  <category/>
</coreProperties>
</file>