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101" w:rsidP="00774CD1" w:rsidRDefault="004C5394" w14:paraId="4229BF15" w14:textId="77777777">
      <w:pPr>
        <w:spacing w:line="276" w:lineRule="auto"/>
      </w:pPr>
      <w:r>
        <w:t>Geachte voorzitter,</w:t>
      </w:r>
    </w:p>
    <w:p w:rsidR="007C5101" w:rsidP="00774CD1" w:rsidRDefault="007C5101" w14:paraId="4229BF16" w14:textId="77777777">
      <w:pPr>
        <w:spacing w:line="276" w:lineRule="auto"/>
      </w:pPr>
    </w:p>
    <w:p w:rsidR="007C5101" w:rsidP="00774CD1" w:rsidRDefault="00207F35" w14:paraId="4229BF17" w14:textId="591D882F">
      <w:pPr>
        <w:spacing w:line="276" w:lineRule="auto"/>
      </w:pPr>
      <w:r>
        <w:t xml:space="preserve">In deze brief zal worden ingegaan op de invulling van de motie </w:t>
      </w:r>
      <w:r w:rsidR="001E5298">
        <w:t xml:space="preserve">van 15 januari jl., ingediend door het lid Bamenga c.s. </w:t>
      </w:r>
      <w:r>
        <w:t xml:space="preserve">om </w:t>
      </w:r>
      <w:r w:rsidRPr="00207F35">
        <w:t>succesvolle programma's in het Grote Merengebied, bijvoorbeeld op het gebied van gezondheid, rechtsstaat, handel en grondstoffen, zo veel mogelijk voort te zetten</w:t>
      </w:r>
      <w:r w:rsidR="00077666">
        <w:t>.</w:t>
      </w:r>
      <w:r w:rsidR="001E5298">
        <w:rPr>
          <w:rStyle w:val="FootnoteReference"/>
        </w:rPr>
        <w:footnoteReference w:id="1"/>
      </w:r>
    </w:p>
    <w:p w:rsidR="007C5101" w:rsidP="00774CD1" w:rsidRDefault="007C5101" w14:paraId="4229BF18" w14:textId="77777777">
      <w:pPr>
        <w:spacing w:line="276" w:lineRule="auto"/>
      </w:pPr>
    </w:p>
    <w:p w:rsidR="00D74308" w:rsidP="00774CD1" w:rsidRDefault="00207F35" w14:paraId="70D259C7" w14:textId="7E7C370F">
      <w:pPr>
        <w:spacing w:line="276" w:lineRule="auto"/>
      </w:pPr>
      <w:bookmarkStart w:name="_Hlk227589930" w:id="0"/>
      <w:r w:rsidRPr="00B039DC">
        <w:t>Het Grote Meren Programma</w:t>
      </w:r>
      <w:r>
        <w:t xml:space="preserve"> (GMP)</w:t>
      </w:r>
      <w:r w:rsidRPr="00B039DC">
        <w:t xml:space="preserve"> richt zich sind</w:t>
      </w:r>
      <w:r>
        <w:t xml:space="preserve">s 2008 </w:t>
      </w:r>
      <w:r w:rsidRPr="00B039DC">
        <w:t>op het bevorderen van stabiliteit in de Grote Meren regio</w:t>
      </w:r>
      <w:r>
        <w:t>,</w:t>
      </w:r>
      <w:r w:rsidRPr="00B039DC">
        <w:t xml:space="preserve"> met Oost-DRC als focusgebied. </w:t>
      </w:r>
      <w:r w:rsidRPr="00207F35">
        <w:t xml:space="preserve">In de </w:t>
      </w:r>
      <w:r w:rsidR="00EC1095">
        <w:t xml:space="preserve">beleidsbrief </w:t>
      </w:r>
      <w:r w:rsidRPr="00207F35">
        <w:t>ontwikkelingshulp van 20 februari 2025</w:t>
      </w:r>
      <w:r w:rsidR="00DC74D1">
        <w:rPr>
          <w:rStyle w:val="FootnoteReference"/>
        </w:rPr>
        <w:footnoteReference w:id="2"/>
      </w:r>
      <w:r w:rsidRPr="00207F35">
        <w:t xml:space="preserve"> is uw Kamer geïnformeerd over het voornemen tot beëindigen van het Grote Meren Programma. Deze keuze is </w:t>
      </w:r>
      <w:r w:rsidR="0003561B">
        <w:t xml:space="preserve">onder meer het </w:t>
      </w:r>
      <w:r w:rsidRPr="00207F35">
        <w:t xml:space="preserve">gevolg van de bezuinigingen op </w:t>
      </w:r>
      <w:r w:rsidR="007E3B73">
        <w:t xml:space="preserve">het </w:t>
      </w:r>
      <w:r w:rsidRPr="00207F35">
        <w:t xml:space="preserve">ontwikkelingssamenwerkingsbudget en de doelgerichtere inzet van de beperkte middelen, zoals toegelicht in voorgenoemde Kamerbrief. </w:t>
      </w:r>
    </w:p>
    <w:p w:rsidR="00D74308" w:rsidP="00774CD1" w:rsidRDefault="00D74308" w14:paraId="18F6F015" w14:textId="77777777">
      <w:pPr>
        <w:spacing w:line="276" w:lineRule="auto"/>
      </w:pPr>
    </w:p>
    <w:p w:rsidR="00950B7B" w:rsidP="00950B7B" w:rsidRDefault="00950B7B" w14:paraId="281D9BF0" w14:textId="77777777">
      <w:pPr>
        <w:spacing w:line="276" w:lineRule="auto"/>
      </w:pPr>
      <w:r w:rsidRPr="00B039DC" w:rsidDel="005848AD">
        <w:t xml:space="preserve">Voor de invulling van </w:t>
      </w:r>
      <w:r w:rsidDel="005848AD">
        <w:t>deze</w:t>
      </w:r>
      <w:r w:rsidRPr="00B039DC" w:rsidDel="005848AD">
        <w:t xml:space="preserve"> motie </w:t>
      </w:r>
      <w:r w:rsidDel="005848AD">
        <w:t xml:space="preserve">blijft </w:t>
      </w:r>
      <w:r>
        <w:t>h</w:t>
      </w:r>
      <w:r w:rsidRPr="00B039DC">
        <w:t>et uitgangspunt dat het GMP als geheel wordt beëindigd</w:t>
      </w:r>
      <w:r>
        <w:t>,</w:t>
      </w:r>
      <w:r w:rsidRPr="00B039DC">
        <w:t xml:space="preserve"> conform </w:t>
      </w:r>
      <w:r>
        <w:t xml:space="preserve">de </w:t>
      </w:r>
      <w:r w:rsidRPr="00B039DC">
        <w:t>eerdere beslissing</w:t>
      </w:r>
      <w:r>
        <w:t xml:space="preserve"> die</w:t>
      </w:r>
      <w:r w:rsidRPr="00B039DC">
        <w:t xml:space="preserve"> reeds </w:t>
      </w:r>
      <w:r>
        <w:t xml:space="preserve">is </w:t>
      </w:r>
      <w:r w:rsidRPr="00B039DC">
        <w:t>gecommuniceerd aan de Kamer</w:t>
      </w:r>
      <w:r>
        <w:t xml:space="preserve">. Ook dit kabinet houdt vast aan </w:t>
      </w:r>
      <w:r w:rsidRPr="00207F35">
        <w:t>de doelgerichte inzet van de beperkte middelen</w:t>
      </w:r>
      <w:r>
        <w:t xml:space="preserve">. Tegelijkertijd deelt het kabinet de zorgen van de Kamer over het </w:t>
      </w:r>
      <w:r w:rsidRPr="00B039DC">
        <w:t>voortdurende conflict tussen DRC en Rwanda</w:t>
      </w:r>
      <w:r>
        <w:t xml:space="preserve">, het </w:t>
      </w:r>
      <w:r w:rsidRPr="00B039DC">
        <w:t>ernstig</w:t>
      </w:r>
      <w:r>
        <w:t>e</w:t>
      </w:r>
      <w:r w:rsidRPr="00B039DC">
        <w:t xml:space="preserve"> risico op regionale spillover, en de immer toenemende humanitaire noden en </w:t>
      </w:r>
      <w:r>
        <w:t>grote</w:t>
      </w:r>
      <w:r w:rsidRPr="00B039DC">
        <w:t xml:space="preserve"> aantallen slachtoffers van seksueel geweld</w:t>
      </w:r>
      <w:r>
        <w:t xml:space="preserve"> in Oost-DRC. Daarom kiest het kabinet voor invulling van betreffende motie op een doelmatige wijze en daar waar de noden het hoogste zijn</w:t>
      </w:r>
      <w:r w:rsidRPr="00B039DC">
        <w:t>.</w:t>
      </w:r>
      <w:r>
        <w:t xml:space="preserve"> </w:t>
      </w:r>
    </w:p>
    <w:p w:rsidR="00950B7B" w:rsidP="00774CD1" w:rsidRDefault="00950B7B" w14:paraId="2A3FC68E" w14:textId="43BA873F">
      <w:pPr>
        <w:spacing w:line="276" w:lineRule="auto"/>
      </w:pPr>
      <w:r>
        <w:t xml:space="preserve">Een programma gericht op seksuele en reproductieve gezondheid en rechten (SRGR) zal worden verlengd met een jaar (EUR 2 miljoen). Hiermee wordt onder andere zorg aan </w:t>
      </w:r>
      <w:r w:rsidRPr="003B2E9F">
        <w:t xml:space="preserve">slachtoffers van seksueel </w:t>
      </w:r>
      <w:r>
        <w:t xml:space="preserve">en gender-gerelateerd </w:t>
      </w:r>
      <w:r w:rsidRPr="003B2E9F">
        <w:t>geweld</w:t>
      </w:r>
      <w:r>
        <w:t xml:space="preserve"> </w:t>
      </w:r>
      <w:r w:rsidRPr="003B2E9F">
        <w:t xml:space="preserve">in </w:t>
      </w:r>
      <w:r>
        <w:t xml:space="preserve">Oost-DRC geboden. </w:t>
      </w:r>
      <w:r w:rsidRPr="00993DEF">
        <w:t xml:space="preserve">Daarnaast zal op het gebied van rechtsstaat, handel en grondstoffen een technische assistentie aan de International Conference on the Great Lakes Region (ICGLR) gefinancierd worden </w:t>
      </w:r>
      <w:r>
        <w:t xml:space="preserve">gedurende 2 jaar (totaal </w:t>
      </w:r>
      <w:r w:rsidRPr="00993DEF">
        <w:t>EUR 4 miljoen</w:t>
      </w:r>
      <w:r>
        <w:t>)</w:t>
      </w:r>
      <w:r w:rsidRPr="00993DEF">
        <w:t xml:space="preserve">. ICGLR is een regionale gouvernementele organisatie met 12 lidstaten, </w:t>
      </w:r>
      <w:r w:rsidRPr="00993DEF">
        <w:lastRenderedPageBreak/>
        <w:t>waaronder zowel DRC als Rwanda, gericht op stabiliteit, economische integratie en het beheer van grondstoffen. Binnen haar mandaat speelt de ICGLR onder meer een rol</w:t>
      </w:r>
      <w:r w:rsidR="00A1386B">
        <w:t xml:space="preserve"> in de</w:t>
      </w:r>
      <w:r w:rsidRPr="00993DEF">
        <w:t xml:space="preserve"> </w:t>
      </w:r>
      <w:r w:rsidRPr="00A1386B" w:rsidR="00A1386B">
        <w:t xml:space="preserve">lopende </w:t>
      </w:r>
      <w:r w:rsidRPr="008B451B" w:rsidR="00A1386B">
        <w:t>vredesprocessen onder leiding van de VS en Qatar.</w:t>
      </w:r>
    </w:p>
    <w:p w:rsidR="00934541" w:rsidP="00774CD1" w:rsidRDefault="00207F35" w14:paraId="580DA22A" w14:textId="50CB0E78">
      <w:pPr>
        <w:spacing w:line="276" w:lineRule="auto"/>
      </w:pPr>
      <w:r w:rsidRPr="00207F35">
        <w:t xml:space="preserve">Het kabinet spant zich er voor in het uitfaseren van het GMP op een verantwoorde manier te laten verlopen. Dit gebeurt onder meer door contracten geleidelijk af te laten lopen, organisaties te ondersteunen door flexibiliteit te bieden om vertraging ten gevolgen van het conflict op te vangen, aandacht te vragen voor de duurzaamheidsplannen van de projecten, het behouden van opgebouwde (kennis)netwerken, en het bieden van ondersteuning bij de transitie en het zoeken naar nieuwe vormen van financiering voor de projecten en uitvoeringsorganisaties. </w:t>
      </w:r>
    </w:p>
    <w:p w:rsidR="00934541" w:rsidP="00774CD1" w:rsidRDefault="00934541" w14:paraId="5A32EF5B" w14:textId="77777777">
      <w:pPr>
        <w:spacing w:line="276" w:lineRule="auto"/>
      </w:pPr>
    </w:p>
    <w:bookmarkEnd w:id="0"/>
    <w:p w:rsidRPr="008B451B" w:rsidR="00311665" w:rsidP="00774CD1" w:rsidRDefault="00E20E6D" w14:paraId="15DCD03C" w14:textId="243ACA3A">
      <w:pPr>
        <w:spacing w:line="276" w:lineRule="auto"/>
      </w:pPr>
      <w:r w:rsidRPr="008B451B">
        <w:t>Zoals toegelicht in de Kamerbrief over de situatie in Congo, d.d. 20 maart 2025</w:t>
      </w:r>
      <w:r w:rsidRPr="008B451B" w:rsidR="006A2C1E">
        <w:rPr>
          <w:rStyle w:val="FootnoteReference"/>
        </w:rPr>
        <w:footnoteReference w:id="3"/>
      </w:r>
      <w:r w:rsidRPr="008B451B">
        <w:t xml:space="preserve">, betekent het uitfaseren van het GMP niet dat Nederland niet langer actief blijft in de Grote Meren regio. Nederland blijft middels de </w:t>
      </w:r>
      <w:r w:rsidRPr="008B451B" w:rsidR="00D77D4A">
        <w:t>a</w:t>
      </w:r>
      <w:r w:rsidRPr="008B451B">
        <w:t xml:space="preserve">mbassades in de regio </w:t>
      </w:r>
      <w:r w:rsidRPr="008B451B" w:rsidR="0003561B">
        <w:t xml:space="preserve">werkzaam </w:t>
      </w:r>
      <w:r w:rsidRPr="008B451B">
        <w:t xml:space="preserve">op </w:t>
      </w:r>
      <w:r w:rsidRPr="008B451B" w:rsidR="004437C9">
        <w:t xml:space="preserve">diverse </w:t>
      </w:r>
      <w:r w:rsidRPr="008B451B">
        <w:t xml:space="preserve">beleidsterreinen, en blijft ook humanitaire hulp bieden </w:t>
      </w:r>
      <w:r w:rsidRPr="008B451B" w:rsidR="008A68B0">
        <w:t>om bij te dragen aan de verlichting van de noden in de DRC</w:t>
      </w:r>
      <w:r w:rsidRPr="008B451B">
        <w:t xml:space="preserve">. </w:t>
      </w:r>
      <w:r w:rsidRPr="008B451B" w:rsidR="00311665">
        <w:t xml:space="preserve">Daarom draagt Nederland dit jaar EUR 8 miljoen bij aan het </w:t>
      </w:r>
      <w:r w:rsidRPr="008B451B" w:rsidR="00311665">
        <w:rPr>
          <w:i/>
          <w:iCs/>
        </w:rPr>
        <w:t>DRC Humanitarian Fund</w:t>
      </w:r>
      <w:r w:rsidRPr="008B451B" w:rsidR="00311665">
        <w:t>. Ook zijn alle humanitaire partners die Nederland met flexibele financiering steunt</w:t>
      </w:r>
      <w:r w:rsidRPr="008B451B" w:rsidR="003E49AB">
        <w:t xml:space="preserve"> (VN</w:t>
      </w:r>
      <w:r w:rsidRPr="008B451B" w:rsidR="000C009D">
        <w:t>-</w:t>
      </w:r>
      <w:r w:rsidRPr="008B451B" w:rsidR="003E49AB">
        <w:t>organisaties, Rode Kruis-beweging en Dutch Relief Alliance)</w:t>
      </w:r>
      <w:r w:rsidRPr="008B451B" w:rsidR="00311665">
        <w:t xml:space="preserve"> actief in het Grote Merengebied, bijvoorbeeld ter ondersteuning van de ontheemdingscrisis en de huidige Ebola uitbraak.</w:t>
      </w:r>
    </w:p>
    <w:p w:rsidRPr="00216A63" w:rsidR="008B451B" w:rsidP="00774CD1" w:rsidRDefault="008B451B" w14:paraId="4ED14DA0" w14:textId="77777777">
      <w:pPr>
        <w:spacing w:line="276" w:lineRule="auto"/>
        <w:rPr>
          <w:highlight w:val="yellow"/>
        </w:rPr>
      </w:pPr>
    </w:p>
    <w:p w:rsidRPr="008B451B" w:rsidR="00814C18" w:rsidP="00774CD1" w:rsidRDefault="000C009D" w14:paraId="12BFF5D2" w14:textId="1A7DF937">
      <w:pPr>
        <w:spacing w:line="276" w:lineRule="auto"/>
      </w:pPr>
      <w:r w:rsidRPr="008B451B">
        <w:t>Verder</w:t>
      </w:r>
      <w:r w:rsidRPr="008B451B" w:rsidR="00E433EC">
        <w:t xml:space="preserve"> blijft Nederland voorlopig </w:t>
      </w:r>
      <w:r w:rsidRPr="008B451B">
        <w:t xml:space="preserve">bijdragen aan lokale en regionale conflictbemiddeling en bescherming van burgers, </w:t>
      </w:r>
      <w:r w:rsidRPr="008B451B" w:rsidR="00E433EC">
        <w:t>via partnerschappen ter ondersteuning van</w:t>
      </w:r>
      <w:r w:rsidRPr="008B451B">
        <w:t xml:space="preserve"> </w:t>
      </w:r>
      <w:r w:rsidRPr="008B451B" w:rsidR="00E433EC">
        <w:t>het maatschappelijk middenveld. Voorts steunt Nederland projecten die bijdragen aan rekenschap voor misdaden uit het verleden door te werken aan het opbouwen van dossiers tegen vermeende schendingen van het internationaal oorlogsrecht.</w:t>
      </w:r>
      <w:r w:rsidRPr="008B451B" w:rsidR="004E2273">
        <w:t xml:space="preserve"> </w:t>
      </w:r>
      <w:r w:rsidRPr="008B451B" w:rsidR="00814C18">
        <w:t xml:space="preserve">Daarnaast is Nederland mede-oprichter en donor van het European Partnership for Responsible Minerals (EPRM), dat sinds 2016 projecten in de DRC, Rwanda en Oeganda financiert om </w:t>
      </w:r>
      <w:r w:rsidRPr="008B451B" w:rsidR="00A1386B">
        <w:t>transparantie in de mijnbouwsector te bevorderen.</w:t>
      </w:r>
    </w:p>
    <w:p w:rsidR="00311665" w:rsidP="00774CD1" w:rsidRDefault="00311665" w14:paraId="7716AA2A" w14:textId="77777777">
      <w:pPr>
        <w:spacing w:line="276" w:lineRule="auto"/>
      </w:pPr>
    </w:p>
    <w:p w:rsidR="00E20E6D" w:rsidP="00774CD1" w:rsidRDefault="00E20E6D" w14:paraId="1FE2AF40" w14:textId="5C2E9EB3">
      <w:pPr>
        <w:spacing w:line="276" w:lineRule="auto"/>
      </w:pPr>
      <w:r w:rsidRPr="00E20E6D">
        <w:t xml:space="preserve">Het kabinet blijft zich </w:t>
      </w:r>
      <w:r>
        <w:t xml:space="preserve">tevens </w:t>
      </w:r>
      <w:r w:rsidRPr="00E20E6D">
        <w:t>inspannen om in Europees verband bij te dragen aan de verscheidene vredesprocessen ter bevordering van regionale stabiliteit en respect voor het internationaal recht</w:t>
      </w:r>
      <w:r>
        <w:t>.</w:t>
      </w:r>
    </w:p>
    <w:p w:rsidR="002F4C45" w:rsidP="00774CD1" w:rsidRDefault="002F4C45" w14:paraId="5C54775C" w14:textId="77777777">
      <w:pPr>
        <w:spacing w:line="276" w:lineRule="auto"/>
      </w:pPr>
    </w:p>
    <w:p w:rsidR="00A220FD" w:rsidP="00774CD1" w:rsidRDefault="00A220FD" w14:paraId="6F856CD5" w14:textId="77777777">
      <w:pPr>
        <w:spacing w:line="276" w:lineRule="auto"/>
      </w:pPr>
    </w:p>
    <w:p w:rsidRPr="002F4C45" w:rsidR="002F4C45" w:rsidP="00774CD1" w:rsidRDefault="002F4C45" w14:paraId="7EB0689B" w14:textId="77777777">
      <w:pPr>
        <w:spacing w:line="276" w:lineRule="auto"/>
      </w:pPr>
      <w:r w:rsidRPr="002F4C45">
        <w:t>De minister van Buitenlandse Handel</w:t>
      </w:r>
    </w:p>
    <w:p w:rsidRPr="002F4C45" w:rsidR="002F4C45" w:rsidP="00774CD1" w:rsidRDefault="002F4C45" w14:paraId="50A9F5D9" w14:textId="77777777">
      <w:pPr>
        <w:spacing w:line="276" w:lineRule="auto"/>
      </w:pPr>
      <w:r w:rsidRPr="002F4C45">
        <w:t>en Ontwikkelingssamenwerking,</w:t>
      </w:r>
    </w:p>
    <w:p w:rsidR="002F4C45" w:rsidP="00774CD1" w:rsidRDefault="002F4C45" w14:paraId="4B9A6187" w14:textId="77777777">
      <w:pPr>
        <w:spacing w:line="276" w:lineRule="auto"/>
      </w:pPr>
    </w:p>
    <w:p w:rsidR="002F4C45" w:rsidP="00774CD1" w:rsidRDefault="002F4C45" w14:paraId="12B66B85" w14:textId="77777777">
      <w:pPr>
        <w:spacing w:line="276" w:lineRule="auto"/>
      </w:pPr>
    </w:p>
    <w:p w:rsidR="00AC0CD8" w:rsidP="00774CD1" w:rsidRDefault="00AC0CD8" w14:paraId="60705765" w14:textId="77777777">
      <w:pPr>
        <w:spacing w:line="276" w:lineRule="auto"/>
      </w:pPr>
    </w:p>
    <w:p w:rsidR="002F4C45" w:rsidP="00774CD1" w:rsidRDefault="002F4C45" w14:paraId="027DADE7" w14:textId="77777777">
      <w:pPr>
        <w:spacing w:line="276" w:lineRule="auto"/>
      </w:pPr>
    </w:p>
    <w:p w:rsidR="00A220FD" w:rsidP="00774CD1" w:rsidRDefault="00A220FD" w14:paraId="44C56622" w14:textId="77777777">
      <w:pPr>
        <w:spacing w:line="276" w:lineRule="auto"/>
      </w:pPr>
    </w:p>
    <w:p w:rsidRPr="002F4C45" w:rsidR="002F4C45" w:rsidP="00774CD1" w:rsidRDefault="002F4C45" w14:paraId="23496345" w14:textId="7B4789C8">
      <w:pPr>
        <w:spacing w:line="276" w:lineRule="auto"/>
      </w:pPr>
      <w:r w:rsidRPr="002F4C45">
        <w:t>S.W. Sjoerdsma</w:t>
      </w:r>
    </w:p>
    <w:p w:rsidR="002F4C45" w:rsidP="00774CD1" w:rsidRDefault="002F4C45" w14:paraId="27DCA1FA" w14:textId="77777777">
      <w:pPr>
        <w:spacing w:line="276" w:lineRule="auto"/>
      </w:pPr>
    </w:p>
    <w:p w:rsidR="007C5101" w:rsidP="00774CD1" w:rsidRDefault="007C5101" w14:paraId="4229BF1C" w14:textId="77777777">
      <w:pPr>
        <w:spacing w:line="276" w:lineRule="auto"/>
      </w:pPr>
    </w:p>
    <w:p w:rsidR="007C5101" w:rsidP="00774CD1" w:rsidRDefault="007C5101" w14:paraId="4229BF1D" w14:textId="77777777">
      <w:pPr>
        <w:spacing w:line="276" w:lineRule="auto"/>
      </w:pPr>
    </w:p>
    <w:sectPr w:rsidR="007C5101" w:rsidSect="00AC0CD8">
      <w:headerReference w:type="default" r:id="rId14"/>
      <w:footerReference w:type="default" r:id="rId15"/>
      <w:headerReference w:type="first" r:id="rId16"/>
      <w:footerReference w:type="first" r:id="rId17"/>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1BC4" w14:textId="77777777" w:rsidR="00C42465" w:rsidRDefault="00C42465">
      <w:pPr>
        <w:spacing w:line="240" w:lineRule="auto"/>
      </w:pPr>
      <w:r>
        <w:separator/>
      </w:r>
    </w:p>
  </w:endnote>
  <w:endnote w:type="continuationSeparator" w:id="0">
    <w:p w14:paraId="4E4C0262" w14:textId="77777777" w:rsidR="00C42465" w:rsidRDefault="00C42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221024"/>
      <w:docPartObj>
        <w:docPartGallery w:val="Page Numbers (Bottom of Page)"/>
        <w:docPartUnique/>
      </w:docPartObj>
    </w:sdtPr>
    <w:sdtContent>
      <w:p w14:paraId="0852E528" w14:textId="2A784AAB" w:rsidR="00774CD1" w:rsidRDefault="00774CD1">
        <w:pPr>
          <w:pStyle w:val="Footer"/>
          <w:jc w:val="center"/>
        </w:pPr>
        <w:r>
          <w:fldChar w:fldCharType="begin"/>
        </w:r>
        <w:r>
          <w:instrText>PAGE   \* MERGEFORMAT</w:instrText>
        </w:r>
        <w:r>
          <w:fldChar w:fldCharType="separate"/>
        </w:r>
        <w:r>
          <w:t>2</w:t>
        </w:r>
        <w:r>
          <w:fldChar w:fldCharType="end"/>
        </w:r>
      </w:p>
    </w:sdtContent>
  </w:sdt>
  <w:p w14:paraId="7C920190" w14:textId="77777777" w:rsidR="00774CD1" w:rsidRDefault="00774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624443"/>
      <w:docPartObj>
        <w:docPartGallery w:val="Page Numbers (Bottom of Page)"/>
        <w:docPartUnique/>
      </w:docPartObj>
    </w:sdtPr>
    <w:sdtContent>
      <w:p w14:paraId="71A8C056" w14:textId="4977EB21" w:rsidR="00774CD1" w:rsidRDefault="00774CD1">
        <w:pPr>
          <w:pStyle w:val="Footer"/>
          <w:jc w:val="center"/>
        </w:pPr>
        <w:r>
          <w:fldChar w:fldCharType="begin"/>
        </w:r>
        <w:r>
          <w:instrText>PAGE   \* MERGEFORMAT</w:instrText>
        </w:r>
        <w:r>
          <w:fldChar w:fldCharType="separate"/>
        </w:r>
        <w:r>
          <w:t>2</w:t>
        </w:r>
        <w:r>
          <w:fldChar w:fldCharType="end"/>
        </w:r>
      </w:p>
    </w:sdtContent>
  </w:sdt>
  <w:p w14:paraId="52ED53CD" w14:textId="77777777" w:rsidR="00774CD1" w:rsidRDefault="00774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C053" w14:textId="77777777" w:rsidR="00C42465" w:rsidRDefault="00C42465">
      <w:pPr>
        <w:spacing w:line="240" w:lineRule="auto"/>
      </w:pPr>
      <w:r>
        <w:separator/>
      </w:r>
    </w:p>
  </w:footnote>
  <w:footnote w:type="continuationSeparator" w:id="0">
    <w:p w14:paraId="59EDC5A7" w14:textId="77777777" w:rsidR="00C42465" w:rsidRDefault="00C42465">
      <w:pPr>
        <w:spacing w:line="240" w:lineRule="auto"/>
      </w:pPr>
      <w:r>
        <w:continuationSeparator/>
      </w:r>
    </w:p>
  </w:footnote>
  <w:footnote w:id="1">
    <w:p w14:paraId="65334BB5" w14:textId="5DCC98CE" w:rsidR="001E5298" w:rsidRPr="004C5394" w:rsidRDefault="001E5298">
      <w:pPr>
        <w:pStyle w:val="FootnoteText"/>
        <w:rPr>
          <w:sz w:val="16"/>
          <w:szCs w:val="16"/>
        </w:rPr>
      </w:pPr>
      <w:r w:rsidRPr="006A2C1E">
        <w:rPr>
          <w:rStyle w:val="FootnoteReference"/>
          <w:sz w:val="16"/>
          <w:szCs w:val="16"/>
        </w:rPr>
        <w:footnoteRef/>
      </w:r>
      <w:r w:rsidRPr="006A2C1E">
        <w:rPr>
          <w:sz w:val="16"/>
          <w:szCs w:val="16"/>
        </w:rPr>
        <w:t xml:space="preserve"> Motie 36 800- XVII, nr. 32</w:t>
      </w:r>
    </w:p>
  </w:footnote>
  <w:footnote w:id="2">
    <w:p w14:paraId="1BFA6630" w14:textId="6A58B609" w:rsidR="00DC74D1" w:rsidRPr="004C5394" w:rsidRDefault="00DC74D1">
      <w:pPr>
        <w:pStyle w:val="FootnoteText"/>
        <w:rPr>
          <w:sz w:val="16"/>
          <w:szCs w:val="16"/>
        </w:rPr>
      </w:pPr>
      <w:r w:rsidRPr="006A2C1E">
        <w:rPr>
          <w:rStyle w:val="FootnoteReference"/>
          <w:sz w:val="16"/>
          <w:szCs w:val="16"/>
        </w:rPr>
        <w:footnoteRef/>
      </w:r>
      <w:r w:rsidRPr="006A2C1E">
        <w:rPr>
          <w:sz w:val="16"/>
          <w:szCs w:val="16"/>
        </w:rPr>
        <w:t xml:space="preserve"> Kamerstuk 36 180 nr. 133</w:t>
      </w:r>
    </w:p>
  </w:footnote>
  <w:footnote w:id="3">
    <w:p w14:paraId="77AFC68F" w14:textId="38A3B876" w:rsidR="006A2C1E" w:rsidRPr="006A2C1E" w:rsidRDefault="006A2C1E">
      <w:pPr>
        <w:pStyle w:val="FootnoteText"/>
        <w:rPr>
          <w:sz w:val="16"/>
          <w:szCs w:val="16"/>
          <w:lang w:val="en-US"/>
        </w:rPr>
      </w:pPr>
      <w:r w:rsidRPr="006A2C1E">
        <w:rPr>
          <w:rStyle w:val="FootnoteReference"/>
          <w:sz w:val="16"/>
          <w:szCs w:val="16"/>
        </w:rPr>
        <w:footnoteRef/>
      </w:r>
      <w:r w:rsidRPr="006A2C1E">
        <w:rPr>
          <w:sz w:val="16"/>
          <w:szCs w:val="16"/>
        </w:rPr>
        <w:t xml:space="preserve"> Kamerstuk 29 237, nr. 208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BF1E" w14:textId="7A1B3EC9" w:rsidR="007C5101" w:rsidRDefault="004C5394">
    <w:r>
      <w:rPr>
        <w:noProof/>
      </w:rPr>
      <mc:AlternateContent>
        <mc:Choice Requires="wps">
          <w:drawing>
            <wp:anchor distT="0" distB="0" distL="0" distR="0" simplePos="0" relativeHeight="251658240" behindDoc="0" locked="1" layoutInCell="1" allowOverlap="1" wp14:anchorId="4229BF22" wp14:editId="54FE75F3">
              <wp:simplePos x="0" y="0"/>
              <wp:positionH relativeFrom="page">
                <wp:posOffset>5920740</wp:posOffset>
              </wp:positionH>
              <wp:positionV relativeFrom="page">
                <wp:posOffset>1965960</wp:posOffset>
              </wp:positionV>
              <wp:extent cx="13792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4229BF55" w14:textId="77777777" w:rsidR="007C5101" w:rsidRDefault="004C5394">
                          <w:pPr>
                            <w:pStyle w:val="Referentiegegevensbold"/>
                          </w:pPr>
                          <w:r>
                            <w:t>Ministerie van Buitenlandse Zaken</w:t>
                          </w:r>
                        </w:p>
                        <w:p w14:paraId="4229BF56" w14:textId="77777777" w:rsidR="007C5101" w:rsidRDefault="007C5101">
                          <w:pPr>
                            <w:pStyle w:val="WitregelW2"/>
                          </w:pPr>
                        </w:p>
                        <w:p w14:paraId="4229BF57" w14:textId="77777777" w:rsidR="007C5101" w:rsidRDefault="004C5394">
                          <w:pPr>
                            <w:pStyle w:val="Referentiegegevensbold"/>
                          </w:pPr>
                          <w:r>
                            <w:t>Onze referentie</w:t>
                          </w:r>
                        </w:p>
                        <w:p w14:paraId="4229BF58" w14:textId="77777777" w:rsidR="007C5101" w:rsidRDefault="004C5394">
                          <w:pPr>
                            <w:pStyle w:val="Referentiegegevens"/>
                          </w:pPr>
                          <w:r>
                            <w:t>BZ2624274</w:t>
                          </w:r>
                        </w:p>
                      </w:txbxContent>
                    </wps:txbx>
                    <wps:bodyPr vert="horz" wrap="square" lIns="0" tIns="0" rIns="0" bIns="0" anchor="t" anchorCtr="0"/>
                  </wps:wsp>
                </a:graphicData>
              </a:graphic>
              <wp14:sizeRelH relativeFrom="margin">
                <wp14:pctWidth>0</wp14:pctWidth>
              </wp14:sizeRelH>
            </wp:anchor>
          </w:drawing>
        </mc:Choice>
        <mc:Fallback>
          <w:pict>
            <v:shapetype w14:anchorId="4229BF22" id="_x0000_t202" coordsize="21600,21600" o:spt="202" path="m,l,21600r21600,l21600,xe">
              <v:stroke joinstyle="miter"/>
              <v:path gradientshapeok="t" o:connecttype="rect"/>
            </v:shapetype>
            <v:shape id="41b1110a-80a4-11ea-b356-6230a4311406" o:spid="_x0000_s1026" type="#_x0000_t202" style="position:absolute;margin-left:466.2pt;margin-top:154.8pt;width:108.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" filled="f" stroked="f">
              <v:textbox inset="0,0,0,0">
                <w:txbxContent>
                  <w:p w14:paraId="4229BF55" w14:textId="77777777" w:rsidR="007C5101" w:rsidRDefault="004C5394">
                    <w:pPr>
                      <w:pStyle w:val="Referentiegegevensbold"/>
                    </w:pPr>
                    <w:r>
                      <w:t>Ministerie van Buitenlandse Zaken</w:t>
                    </w:r>
                  </w:p>
                  <w:p w14:paraId="4229BF56" w14:textId="77777777" w:rsidR="007C5101" w:rsidRDefault="007C5101">
                    <w:pPr>
                      <w:pStyle w:val="WitregelW2"/>
                    </w:pPr>
                  </w:p>
                  <w:p w14:paraId="4229BF57" w14:textId="77777777" w:rsidR="007C5101" w:rsidRDefault="004C5394">
                    <w:pPr>
                      <w:pStyle w:val="Referentiegegevensbold"/>
                    </w:pPr>
                    <w:r>
                      <w:t>Onze referentie</w:t>
                    </w:r>
                  </w:p>
                  <w:p w14:paraId="4229BF58" w14:textId="77777777" w:rsidR="007C5101" w:rsidRDefault="004C5394">
                    <w:pPr>
                      <w:pStyle w:val="Referentiegegevens"/>
                    </w:pPr>
                    <w:r>
                      <w:t>BZ2624274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229BF26" wp14:editId="0244B12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29BF66" w14:textId="77777777" w:rsidR="004C5394" w:rsidRDefault="004C5394"/>
                      </w:txbxContent>
                    </wps:txbx>
                    <wps:bodyPr vert="horz" wrap="square" lIns="0" tIns="0" rIns="0" bIns="0" anchor="t" anchorCtr="0"/>
                  </wps:wsp>
                </a:graphicData>
              </a:graphic>
            </wp:anchor>
          </w:drawing>
        </mc:Choice>
        <mc:Fallback>
          <w:pict>
            <v:shape w14:anchorId="4229BF2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229BF66" w14:textId="77777777" w:rsidR="004C5394" w:rsidRDefault="004C539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BF20" w14:textId="4586B8BD" w:rsidR="007C5101" w:rsidRDefault="004C5394">
    <w:pPr>
      <w:spacing w:after="7131" w:line="14" w:lineRule="exact"/>
    </w:pPr>
    <w:r>
      <w:rPr>
        <w:noProof/>
      </w:rPr>
      <mc:AlternateContent>
        <mc:Choice Requires="wps">
          <w:drawing>
            <wp:anchor distT="0" distB="0" distL="0" distR="0" simplePos="0" relativeHeight="251658243" behindDoc="0" locked="1" layoutInCell="1" allowOverlap="1" wp14:anchorId="4229BF28" wp14:editId="4229BF2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229BF5A" w14:textId="77777777" w:rsidR="004C5394" w:rsidRDefault="004C5394"/>
                      </w:txbxContent>
                    </wps:txbx>
                    <wps:bodyPr vert="horz" wrap="square" lIns="0" tIns="0" rIns="0" bIns="0" anchor="t" anchorCtr="0"/>
                  </wps:wsp>
                </a:graphicData>
              </a:graphic>
            </wp:anchor>
          </w:drawing>
        </mc:Choice>
        <mc:Fallback>
          <w:pict>
            <v:shapetype w14:anchorId="4229BF2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229BF5A" w14:textId="77777777" w:rsidR="004C5394" w:rsidRDefault="004C539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229BF2A" wp14:editId="772AD44A">
              <wp:simplePos x="0" y="0"/>
              <wp:positionH relativeFrom="page">
                <wp:posOffset>998855</wp:posOffset>
              </wp:positionH>
              <wp:positionV relativeFrom="page">
                <wp:posOffset>1981835</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29BF39" w14:textId="77777777" w:rsidR="007C5101" w:rsidRDefault="004C539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229BF2A" id="41b10c0b-80a4-11ea-b356-6230a4311406" o:spid="_x0000_s1029" type="#_x0000_t202" style="position:absolute;margin-left:78.65pt;margin-top:156.05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" filled="f" stroked="f">
              <v:textbox inset="0,0,0,0">
                <w:txbxContent>
                  <w:p w14:paraId="4229BF39" w14:textId="77777777" w:rsidR="007C5101" w:rsidRDefault="004C539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229BF2C" wp14:editId="4229BF2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C5101" w14:paraId="4229BF3C" w14:textId="77777777">
                            <w:tc>
                              <w:tcPr>
                                <w:tcW w:w="678" w:type="dxa"/>
                              </w:tcPr>
                              <w:p w14:paraId="4229BF3A" w14:textId="77777777" w:rsidR="007C5101" w:rsidRDefault="004C5394">
                                <w:r>
                                  <w:t>Datum</w:t>
                                </w:r>
                              </w:p>
                            </w:tc>
                            <w:tc>
                              <w:tcPr>
                                <w:tcW w:w="6851" w:type="dxa"/>
                              </w:tcPr>
                              <w:p w14:paraId="4229BF3B" w14:textId="36997091" w:rsidR="007C5101" w:rsidRDefault="008B451B">
                                <w:r>
                                  <w:t>10</w:t>
                                </w:r>
                                <w:r w:rsidR="00774CD1">
                                  <w:t xml:space="preserve"> </w:t>
                                </w:r>
                                <w:r w:rsidR="004437C9">
                                  <w:t>juli</w:t>
                                </w:r>
                                <w:r w:rsidR="004C5394">
                                  <w:t xml:space="preserve"> 2026</w:t>
                                </w:r>
                              </w:p>
                            </w:tc>
                          </w:tr>
                          <w:tr w:rsidR="007C5101" w14:paraId="4229BF41" w14:textId="77777777">
                            <w:tc>
                              <w:tcPr>
                                <w:tcW w:w="678" w:type="dxa"/>
                              </w:tcPr>
                              <w:p w14:paraId="4229BF3D" w14:textId="77777777" w:rsidR="007C5101" w:rsidRDefault="004C5394">
                                <w:r>
                                  <w:t>Betreft</w:t>
                                </w:r>
                              </w:p>
                              <w:p w14:paraId="4229BF3E" w14:textId="77777777" w:rsidR="007C5101" w:rsidRDefault="007C5101"/>
                            </w:tc>
                            <w:tc>
                              <w:tcPr>
                                <w:tcW w:w="6851" w:type="dxa"/>
                              </w:tcPr>
                              <w:p w14:paraId="4229BF3F" w14:textId="27219868" w:rsidR="007C5101" w:rsidRDefault="004C5394">
                                <w:r>
                                  <w:t>Motie 36 800- XVII, nr. 32 -</w:t>
                                </w:r>
                                <w:r w:rsidR="009C5C0A">
                                  <w:t xml:space="preserve"> </w:t>
                                </w:r>
                                <w:r>
                                  <w:t>Bamenga c.s. over succesvolle programma's in het Grote Merengebied</w:t>
                                </w:r>
                              </w:p>
                              <w:p w14:paraId="4229BF40" w14:textId="77777777" w:rsidR="007C5101" w:rsidRDefault="007C5101"/>
                            </w:tc>
                          </w:tr>
                        </w:tbl>
                        <w:p w14:paraId="4229BF42" w14:textId="77777777" w:rsidR="007C5101" w:rsidRDefault="007C5101"/>
                        <w:p w14:paraId="4229BF43" w14:textId="77777777" w:rsidR="007C5101" w:rsidRDefault="007C5101"/>
                      </w:txbxContent>
                    </wps:txbx>
                    <wps:bodyPr vert="horz" wrap="square" lIns="0" tIns="0" rIns="0" bIns="0" anchor="t" anchorCtr="0"/>
                  </wps:wsp>
                </a:graphicData>
              </a:graphic>
            </wp:anchor>
          </w:drawing>
        </mc:Choice>
        <mc:Fallback>
          <w:pict>
            <v:shape w14:anchorId="4229BF2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C5101" w14:paraId="4229BF3C" w14:textId="77777777">
                      <w:tc>
                        <w:tcPr>
                          <w:tcW w:w="678" w:type="dxa"/>
                        </w:tcPr>
                        <w:p w14:paraId="4229BF3A" w14:textId="77777777" w:rsidR="007C5101" w:rsidRDefault="004C5394">
                          <w:r>
                            <w:t>Datum</w:t>
                          </w:r>
                        </w:p>
                      </w:tc>
                      <w:tc>
                        <w:tcPr>
                          <w:tcW w:w="6851" w:type="dxa"/>
                        </w:tcPr>
                        <w:p w14:paraId="4229BF3B" w14:textId="36997091" w:rsidR="007C5101" w:rsidRDefault="008B451B">
                          <w:r>
                            <w:t>10</w:t>
                          </w:r>
                          <w:r w:rsidR="00774CD1">
                            <w:t xml:space="preserve"> </w:t>
                          </w:r>
                          <w:r w:rsidR="004437C9">
                            <w:t>juli</w:t>
                          </w:r>
                          <w:r w:rsidR="004C5394">
                            <w:t xml:space="preserve"> 2026</w:t>
                          </w:r>
                        </w:p>
                      </w:tc>
                    </w:tr>
                    <w:tr w:rsidR="007C5101" w14:paraId="4229BF41" w14:textId="77777777">
                      <w:tc>
                        <w:tcPr>
                          <w:tcW w:w="678" w:type="dxa"/>
                        </w:tcPr>
                        <w:p w14:paraId="4229BF3D" w14:textId="77777777" w:rsidR="007C5101" w:rsidRDefault="004C5394">
                          <w:r>
                            <w:t>Betreft</w:t>
                          </w:r>
                        </w:p>
                        <w:p w14:paraId="4229BF3E" w14:textId="77777777" w:rsidR="007C5101" w:rsidRDefault="007C5101"/>
                      </w:tc>
                      <w:tc>
                        <w:tcPr>
                          <w:tcW w:w="6851" w:type="dxa"/>
                        </w:tcPr>
                        <w:p w14:paraId="4229BF3F" w14:textId="27219868" w:rsidR="007C5101" w:rsidRDefault="004C5394">
                          <w:r>
                            <w:t>Motie 36 800- XVII, nr. 32 -</w:t>
                          </w:r>
                          <w:r w:rsidR="009C5C0A">
                            <w:t xml:space="preserve"> </w:t>
                          </w:r>
                          <w:r>
                            <w:t>Bamenga c.s. over succesvolle programma's in het Grote Merengebied</w:t>
                          </w:r>
                        </w:p>
                        <w:p w14:paraId="4229BF40" w14:textId="77777777" w:rsidR="007C5101" w:rsidRDefault="007C5101"/>
                      </w:tc>
                    </w:tr>
                  </w:tbl>
                  <w:p w14:paraId="4229BF42" w14:textId="77777777" w:rsidR="007C5101" w:rsidRDefault="007C5101"/>
                  <w:p w14:paraId="4229BF43" w14:textId="77777777" w:rsidR="007C5101" w:rsidRDefault="007C510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229BF2E" wp14:editId="34690720">
              <wp:simplePos x="0" y="0"/>
              <wp:positionH relativeFrom="page">
                <wp:posOffset>5920740</wp:posOffset>
              </wp:positionH>
              <wp:positionV relativeFrom="page">
                <wp:posOffset>1965960</wp:posOffset>
              </wp:positionV>
              <wp:extent cx="13944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446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122D9A7" w14:textId="77777777" w:rsidR="00774CD1" w:rsidRPr="00F51C07" w:rsidRDefault="00774CD1" w:rsidP="00774CD1">
                              <w:pPr>
                                <w:rPr>
                                  <w:b/>
                                  <w:sz w:val="13"/>
                                  <w:szCs w:val="13"/>
                                </w:rPr>
                              </w:pPr>
                              <w:r w:rsidRPr="00FC13FA">
                                <w:rPr>
                                  <w:b/>
                                  <w:sz w:val="13"/>
                                  <w:szCs w:val="13"/>
                                </w:rPr>
                                <w:t>Ministerie van Buitenlandse Zaken</w:t>
                              </w:r>
                            </w:p>
                          </w:sdtContent>
                        </w:sdt>
                        <w:p w14:paraId="7104AF36" w14:textId="77777777" w:rsidR="00774CD1" w:rsidRPr="00EE5E5D" w:rsidRDefault="00774CD1" w:rsidP="00774CD1">
                          <w:pPr>
                            <w:rPr>
                              <w:sz w:val="13"/>
                              <w:szCs w:val="13"/>
                            </w:rPr>
                          </w:pPr>
                          <w:r>
                            <w:rPr>
                              <w:sz w:val="13"/>
                              <w:szCs w:val="13"/>
                            </w:rPr>
                            <w:t>Rijnstraat 8</w:t>
                          </w:r>
                        </w:p>
                        <w:p w14:paraId="5BC298C3" w14:textId="77777777" w:rsidR="00774CD1" w:rsidRPr="0059764A" w:rsidRDefault="00774CD1" w:rsidP="00774CD1">
                          <w:pPr>
                            <w:rPr>
                              <w:sz w:val="13"/>
                              <w:szCs w:val="13"/>
                              <w:lang w:val="da-DK"/>
                            </w:rPr>
                          </w:pPr>
                          <w:r w:rsidRPr="0059764A">
                            <w:rPr>
                              <w:sz w:val="13"/>
                              <w:szCs w:val="13"/>
                              <w:lang w:val="da-DK"/>
                            </w:rPr>
                            <w:t>2515 XP Den Haag</w:t>
                          </w:r>
                        </w:p>
                        <w:p w14:paraId="536B4B47" w14:textId="77777777" w:rsidR="00774CD1" w:rsidRPr="0059764A" w:rsidRDefault="00774CD1" w:rsidP="00774CD1">
                          <w:pPr>
                            <w:rPr>
                              <w:sz w:val="13"/>
                              <w:szCs w:val="13"/>
                              <w:lang w:val="da-DK"/>
                            </w:rPr>
                          </w:pPr>
                          <w:r w:rsidRPr="0059764A">
                            <w:rPr>
                              <w:sz w:val="13"/>
                              <w:szCs w:val="13"/>
                              <w:lang w:val="da-DK"/>
                            </w:rPr>
                            <w:t>Postbus 20061</w:t>
                          </w:r>
                        </w:p>
                        <w:p w14:paraId="5633C5D9" w14:textId="77777777" w:rsidR="00774CD1" w:rsidRPr="0059764A" w:rsidRDefault="00774CD1" w:rsidP="00774CD1">
                          <w:pPr>
                            <w:rPr>
                              <w:sz w:val="13"/>
                              <w:szCs w:val="13"/>
                              <w:lang w:val="da-DK"/>
                            </w:rPr>
                          </w:pPr>
                          <w:r w:rsidRPr="0059764A">
                            <w:rPr>
                              <w:sz w:val="13"/>
                              <w:szCs w:val="13"/>
                              <w:lang w:val="da-DK"/>
                            </w:rPr>
                            <w:t>Nederland</w:t>
                          </w:r>
                        </w:p>
                        <w:p w14:paraId="4229BF48" w14:textId="77777777" w:rsidR="007C5101" w:rsidRPr="00774CD1" w:rsidRDefault="004C5394">
                          <w:pPr>
                            <w:pStyle w:val="Referentiegegevens"/>
                            <w:rPr>
                              <w:lang w:val="da-DK"/>
                            </w:rPr>
                          </w:pPr>
                          <w:r w:rsidRPr="00774CD1">
                            <w:rPr>
                              <w:lang w:val="da-DK"/>
                            </w:rPr>
                            <w:t>www.minbuza.nl</w:t>
                          </w:r>
                        </w:p>
                        <w:p w14:paraId="4229BF49" w14:textId="77777777" w:rsidR="007C5101" w:rsidRPr="00774CD1" w:rsidRDefault="007C5101">
                          <w:pPr>
                            <w:pStyle w:val="WitregelW2"/>
                            <w:rPr>
                              <w:lang w:val="da-DK"/>
                            </w:rPr>
                          </w:pPr>
                        </w:p>
                        <w:p w14:paraId="4229BF4A" w14:textId="77777777" w:rsidR="007C5101" w:rsidRPr="0075628B" w:rsidRDefault="004C5394">
                          <w:pPr>
                            <w:pStyle w:val="Referentiegegevensbold"/>
                          </w:pPr>
                          <w:r w:rsidRPr="0075628B">
                            <w:t>Onze referentie</w:t>
                          </w:r>
                        </w:p>
                        <w:p w14:paraId="4229BF4B" w14:textId="77777777" w:rsidR="007C5101" w:rsidRDefault="004C5394">
                          <w:pPr>
                            <w:pStyle w:val="Referentiegegevens"/>
                          </w:pPr>
                          <w:r>
                            <w:t>BZ2624274</w:t>
                          </w:r>
                        </w:p>
                        <w:p w14:paraId="4229BF4C" w14:textId="77777777" w:rsidR="007C5101" w:rsidRDefault="007C5101">
                          <w:pPr>
                            <w:pStyle w:val="WitregelW1"/>
                          </w:pPr>
                        </w:p>
                        <w:p w14:paraId="4229BF4D" w14:textId="77777777" w:rsidR="007C5101" w:rsidRDefault="004C5394">
                          <w:pPr>
                            <w:pStyle w:val="Referentiegegevensbold"/>
                          </w:pPr>
                          <w:r>
                            <w:t>Uw referentie</w:t>
                          </w:r>
                        </w:p>
                        <w:p w14:paraId="4229BF4E" w14:textId="77777777" w:rsidR="007C5101" w:rsidRDefault="004C5394">
                          <w:pPr>
                            <w:pStyle w:val="Referentiegegevens"/>
                          </w:pPr>
                          <w:r>
                            <w:t>36 800- XVII, nr. 32</w:t>
                          </w:r>
                        </w:p>
                        <w:p w14:paraId="4229BF4F" w14:textId="77777777" w:rsidR="007C5101" w:rsidRDefault="007C5101">
                          <w:pPr>
                            <w:pStyle w:val="WitregelW1"/>
                          </w:pPr>
                        </w:p>
                        <w:p w14:paraId="4229BF50" w14:textId="77777777" w:rsidR="007C5101" w:rsidRDefault="004C5394">
                          <w:pPr>
                            <w:pStyle w:val="Referentiegegevensbold"/>
                          </w:pPr>
                          <w:r>
                            <w:t>Bijlage(n)</w:t>
                          </w:r>
                        </w:p>
                        <w:p w14:paraId="4229BF51" w14:textId="77777777" w:rsidR="007C5101" w:rsidRDefault="004C539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229BF2E" id="41b10cd4-80a4-11ea-b356-6230a4311406" o:spid="_x0000_s1031" type="#_x0000_t202" style="position:absolute;margin-left:466.2pt;margin-top:154.8pt;width:109.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122D9A7" w14:textId="77777777" w:rsidR="00774CD1" w:rsidRPr="00F51C07" w:rsidRDefault="00774CD1" w:rsidP="00774CD1">
                        <w:pPr>
                          <w:rPr>
                            <w:b/>
                            <w:sz w:val="13"/>
                            <w:szCs w:val="13"/>
                          </w:rPr>
                        </w:pPr>
                        <w:r w:rsidRPr="00FC13FA">
                          <w:rPr>
                            <w:b/>
                            <w:sz w:val="13"/>
                            <w:szCs w:val="13"/>
                          </w:rPr>
                          <w:t>Ministerie van Buitenlandse Zaken</w:t>
                        </w:r>
                      </w:p>
                    </w:sdtContent>
                  </w:sdt>
                  <w:p w14:paraId="7104AF36" w14:textId="77777777" w:rsidR="00774CD1" w:rsidRPr="00EE5E5D" w:rsidRDefault="00774CD1" w:rsidP="00774CD1">
                    <w:pPr>
                      <w:rPr>
                        <w:sz w:val="13"/>
                        <w:szCs w:val="13"/>
                      </w:rPr>
                    </w:pPr>
                    <w:r>
                      <w:rPr>
                        <w:sz w:val="13"/>
                        <w:szCs w:val="13"/>
                      </w:rPr>
                      <w:t>Rijnstraat 8</w:t>
                    </w:r>
                  </w:p>
                  <w:p w14:paraId="5BC298C3" w14:textId="77777777" w:rsidR="00774CD1" w:rsidRPr="0059764A" w:rsidRDefault="00774CD1" w:rsidP="00774CD1">
                    <w:pPr>
                      <w:rPr>
                        <w:sz w:val="13"/>
                        <w:szCs w:val="13"/>
                        <w:lang w:val="da-DK"/>
                      </w:rPr>
                    </w:pPr>
                    <w:r w:rsidRPr="0059764A">
                      <w:rPr>
                        <w:sz w:val="13"/>
                        <w:szCs w:val="13"/>
                        <w:lang w:val="da-DK"/>
                      </w:rPr>
                      <w:t>2515 XP Den Haag</w:t>
                    </w:r>
                  </w:p>
                  <w:p w14:paraId="536B4B47" w14:textId="77777777" w:rsidR="00774CD1" w:rsidRPr="0059764A" w:rsidRDefault="00774CD1" w:rsidP="00774CD1">
                    <w:pPr>
                      <w:rPr>
                        <w:sz w:val="13"/>
                        <w:szCs w:val="13"/>
                        <w:lang w:val="da-DK"/>
                      </w:rPr>
                    </w:pPr>
                    <w:r w:rsidRPr="0059764A">
                      <w:rPr>
                        <w:sz w:val="13"/>
                        <w:szCs w:val="13"/>
                        <w:lang w:val="da-DK"/>
                      </w:rPr>
                      <w:t>Postbus 20061</w:t>
                    </w:r>
                  </w:p>
                  <w:p w14:paraId="5633C5D9" w14:textId="77777777" w:rsidR="00774CD1" w:rsidRPr="0059764A" w:rsidRDefault="00774CD1" w:rsidP="00774CD1">
                    <w:pPr>
                      <w:rPr>
                        <w:sz w:val="13"/>
                        <w:szCs w:val="13"/>
                        <w:lang w:val="da-DK"/>
                      </w:rPr>
                    </w:pPr>
                    <w:r w:rsidRPr="0059764A">
                      <w:rPr>
                        <w:sz w:val="13"/>
                        <w:szCs w:val="13"/>
                        <w:lang w:val="da-DK"/>
                      </w:rPr>
                      <w:t>Nederland</w:t>
                    </w:r>
                  </w:p>
                  <w:p w14:paraId="4229BF48" w14:textId="77777777" w:rsidR="007C5101" w:rsidRPr="00774CD1" w:rsidRDefault="004C5394">
                    <w:pPr>
                      <w:pStyle w:val="Referentiegegevens"/>
                      <w:rPr>
                        <w:lang w:val="da-DK"/>
                      </w:rPr>
                    </w:pPr>
                    <w:r w:rsidRPr="00774CD1">
                      <w:rPr>
                        <w:lang w:val="da-DK"/>
                      </w:rPr>
                      <w:t>www.minbuza.nl</w:t>
                    </w:r>
                  </w:p>
                  <w:p w14:paraId="4229BF49" w14:textId="77777777" w:rsidR="007C5101" w:rsidRPr="00774CD1" w:rsidRDefault="007C5101">
                    <w:pPr>
                      <w:pStyle w:val="WitregelW2"/>
                      <w:rPr>
                        <w:lang w:val="da-DK"/>
                      </w:rPr>
                    </w:pPr>
                  </w:p>
                  <w:p w14:paraId="4229BF4A" w14:textId="77777777" w:rsidR="007C5101" w:rsidRPr="0075628B" w:rsidRDefault="004C5394">
                    <w:pPr>
                      <w:pStyle w:val="Referentiegegevensbold"/>
                    </w:pPr>
                    <w:r w:rsidRPr="0075628B">
                      <w:t>Onze referentie</w:t>
                    </w:r>
                  </w:p>
                  <w:p w14:paraId="4229BF4B" w14:textId="77777777" w:rsidR="007C5101" w:rsidRDefault="004C5394">
                    <w:pPr>
                      <w:pStyle w:val="Referentiegegevens"/>
                    </w:pPr>
                    <w:r>
                      <w:t>BZ2624274</w:t>
                    </w:r>
                  </w:p>
                  <w:p w14:paraId="4229BF4C" w14:textId="77777777" w:rsidR="007C5101" w:rsidRDefault="007C5101">
                    <w:pPr>
                      <w:pStyle w:val="WitregelW1"/>
                    </w:pPr>
                  </w:p>
                  <w:p w14:paraId="4229BF4D" w14:textId="77777777" w:rsidR="007C5101" w:rsidRDefault="004C5394">
                    <w:pPr>
                      <w:pStyle w:val="Referentiegegevensbold"/>
                    </w:pPr>
                    <w:r>
                      <w:t>Uw referentie</w:t>
                    </w:r>
                  </w:p>
                  <w:p w14:paraId="4229BF4E" w14:textId="77777777" w:rsidR="007C5101" w:rsidRDefault="004C5394">
                    <w:pPr>
                      <w:pStyle w:val="Referentiegegevens"/>
                    </w:pPr>
                    <w:r>
                      <w:t>36 800- XVII, nr. 32</w:t>
                    </w:r>
                  </w:p>
                  <w:p w14:paraId="4229BF4F" w14:textId="77777777" w:rsidR="007C5101" w:rsidRDefault="007C5101">
                    <w:pPr>
                      <w:pStyle w:val="WitregelW1"/>
                    </w:pPr>
                  </w:p>
                  <w:p w14:paraId="4229BF50" w14:textId="77777777" w:rsidR="007C5101" w:rsidRDefault="004C5394">
                    <w:pPr>
                      <w:pStyle w:val="Referentiegegevensbold"/>
                    </w:pPr>
                    <w:r>
                      <w:t>Bijlage(n)</w:t>
                    </w:r>
                  </w:p>
                  <w:p w14:paraId="4229BF51" w14:textId="77777777" w:rsidR="007C5101" w:rsidRDefault="004C539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229BF32" wp14:editId="5C69FD9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29BF60" w14:textId="77777777" w:rsidR="004C5394" w:rsidRDefault="004C5394"/>
                      </w:txbxContent>
                    </wps:txbx>
                    <wps:bodyPr vert="horz" wrap="square" lIns="0" tIns="0" rIns="0" bIns="0" anchor="t" anchorCtr="0"/>
                  </wps:wsp>
                </a:graphicData>
              </a:graphic>
            </wp:anchor>
          </w:drawing>
        </mc:Choice>
        <mc:Fallback>
          <w:pict>
            <v:shape w14:anchorId="4229BF3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229BF60" w14:textId="77777777" w:rsidR="004C5394" w:rsidRDefault="004C539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229BF34" wp14:editId="4229BF3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29BF53" w14:textId="77777777" w:rsidR="007C5101" w:rsidRDefault="004C5394">
                          <w:pPr>
                            <w:spacing w:line="240" w:lineRule="auto"/>
                          </w:pPr>
                          <w:r>
                            <w:rPr>
                              <w:noProof/>
                            </w:rPr>
                            <w:drawing>
                              <wp:inline distT="0" distB="0" distL="0" distR="0" wp14:anchorId="4229BF5A" wp14:editId="4229BF5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29BF3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229BF53" w14:textId="77777777" w:rsidR="007C5101" w:rsidRDefault="004C5394">
                    <w:pPr>
                      <w:spacing w:line="240" w:lineRule="auto"/>
                    </w:pPr>
                    <w:r>
                      <w:rPr>
                        <w:noProof/>
                      </w:rPr>
                      <w:drawing>
                        <wp:inline distT="0" distB="0" distL="0" distR="0" wp14:anchorId="4229BF5A" wp14:editId="4229BF5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229BF36" wp14:editId="4229BF3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29BF54" w14:textId="77777777" w:rsidR="007C5101" w:rsidRDefault="004C5394">
                          <w:pPr>
                            <w:spacing w:line="240" w:lineRule="auto"/>
                          </w:pPr>
                          <w:r>
                            <w:rPr>
                              <w:noProof/>
                            </w:rPr>
                            <w:drawing>
                              <wp:inline distT="0" distB="0" distL="0" distR="0" wp14:anchorId="4229BF5C" wp14:editId="4229BF5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29BF3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229BF54" w14:textId="77777777" w:rsidR="007C5101" w:rsidRDefault="004C5394">
                    <w:pPr>
                      <w:spacing w:line="240" w:lineRule="auto"/>
                    </w:pPr>
                    <w:r>
                      <w:rPr>
                        <w:noProof/>
                      </w:rPr>
                      <w:drawing>
                        <wp:inline distT="0" distB="0" distL="0" distR="0" wp14:anchorId="4229BF5C" wp14:editId="4229BF5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D8409D"/>
    <w:multiLevelType w:val="multilevel"/>
    <w:tmpl w:val="269EEE6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1B5CA6A"/>
    <w:multiLevelType w:val="multilevel"/>
    <w:tmpl w:val="36038E9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55B3C5B"/>
    <w:multiLevelType w:val="multilevel"/>
    <w:tmpl w:val="E98C26A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2374C8"/>
    <w:multiLevelType w:val="hybridMultilevel"/>
    <w:tmpl w:val="03B47B60"/>
    <w:lvl w:ilvl="0" w:tplc="764A5FB4">
      <w:start w:val="1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BEEA9A"/>
    <w:multiLevelType w:val="multilevel"/>
    <w:tmpl w:val="353FA0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678D8EC"/>
    <w:multiLevelType w:val="multilevel"/>
    <w:tmpl w:val="BAE91A1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08490174">
    <w:abstractNumId w:val="0"/>
  </w:num>
  <w:num w:numId="2" w16cid:durableId="319188727">
    <w:abstractNumId w:val="1"/>
  </w:num>
  <w:num w:numId="3" w16cid:durableId="1529105171">
    <w:abstractNumId w:val="4"/>
  </w:num>
  <w:num w:numId="4" w16cid:durableId="1253507670">
    <w:abstractNumId w:val="5"/>
  </w:num>
  <w:num w:numId="5" w16cid:durableId="1736581703">
    <w:abstractNumId w:val="2"/>
  </w:num>
  <w:num w:numId="6" w16cid:durableId="1379008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01"/>
    <w:rsid w:val="00010DB0"/>
    <w:rsid w:val="0003197A"/>
    <w:rsid w:val="0003561B"/>
    <w:rsid w:val="00040416"/>
    <w:rsid w:val="000526C5"/>
    <w:rsid w:val="000556DD"/>
    <w:rsid w:val="00077666"/>
    <w:rsid w:val="00083DA3"/>
    <w:rsid w:val="00097556"/>
    <w:rsid w:val="000A49AD"/>
    <w:rsid w:val="000B420F"/>
    <w:rsid w:val="000B668B"/>
    <w:rsid w:val="000C009D"/>
    <w:rsid w:val="000D1D29"/>
    <w:rsid w:val="00127FBA"/>
    <w:rsid w:val="0015039F"/>
    <w:rsid w:val="00154C62"/>
    <w:rsid w:val="00156067"/>
    <w:rsid w:val="00184B31"/>
    <w:rsid w:val="0018767A"/>
    <w:rsid w:val="001E5298"/>
    <w:rsid w:val="001F1CD3"/>
    <w:rsid w:val="001F611A"/>
    <w:rsid w:val="00207F35"/>
    <w:rsid w:val="00216A63"/>
    <w:rsid w:val="00232EBB"/>
    <w:rsid w:val="0025156F"/>
    <w:rsid w:val="002D4103"/>
    <w:rsid w:val="002E02E2"/>
    <w:rsid w:val="002F4C45"/>
    <w:rsid w:val="00311665"/>
    <w:rsid w:val="0034623F"/>
    <w:rsid w:val="00366284"/>
    <w:rsid w:val="00374EC9"/>
    <w:rsid w:val="0038333A"/>
    <w:rsid w:val="003B267E"/>
    <w:rsid w:val="003D0D5A"/>
    <w:rsid w:val="003E49AB"/>
    <w:rsid w:val="003F695E"/>
    <w:rsid w:val="004062D2"/>
    <w:rsid w:val="00422597"/>
    <w:rsid w:val="00426DD9"/>
    <w:rsid w:val="00433BE9"/>
    <w:rsid w:val="004437C9"/>
    <w:rsid w:val="004921F4"/>
    <w:rsid w:val="004C5394"/>
    <w:rsid w:val="004E2273"/>
    <w:rsid w:val="00513BE7"/>
    <w:rsid w:val="0051453B"/>
    <w:rsid w:val="00543E8C"/>
    <w:rsid w:val="00591573"/>
    <w:rsid w:val="005F025B"/>
    <w:rsid w:val="00606027"/>
    <w:rsid w:val="00647E44"/>
    <w:rsid w:val="00651350"/>
    <w:rsid w:val="00673A64"/>
    <w:rsid w:val="006A2C1E"/>
    <w:rsid w:val="006C114C"/>
    <w:rsid w:val="006E2292"/>
    <w:rsid w:val="00740E88"/>
    <w:rsid w:val="0075628B"/>
    <w:rsid w:val="0076713D"/>
    <w:rsid w:val="00774CD1"/>
    <w:rsid w:val="00776FD1"/>
    <w:rsid w:val="0078288F"/>
    <w:rsid w:val="00787AEE"/>
    <w:rsid w:val="007B035D"/>
    <w:rsid w:val="007C5101"/>
    <w:rsid w:val="007E3B73"/>
    <w:rsid w:val="008045E3"/>
    <w:rsid w:val="00814C18"/>
    <w:rsid w:val="00817A7B"/>
    <w:rsid w:val="00891D89"/>
    <w:rsid w:val="008A68B0"/>
    <w:rsid w:val="008B451B"/>
    <w:rsid w:val="0091161A"/>
    <w:rsid w:val="00912F07"/>
    <w:rsid w:val="009267B5"/>
    <w:rsid w:val="00934541"/>
    <w:rsid w:val="0094720A"/>
    <w:rsid w:val="00950B7B"/>
    <w:rsid w:val="0099343F"/>
    <w:rsid w:val="00993DEF"/>
    <w:rsid w:val="009A1F60"/>
    <w:rsid w:val="009A6A27"/>
    <w:rsid w:val="009C295F"/>
    <w:rsid w:val="009C5C0A"/>
    <w:rsid w:val="009C6F9A"/>
    <w:rsid w:val="009E48AD"/>
    <w:rsid w:val="009E5914"/>
    <w:rsid w:val="00A107B1"/>
    <w:rsid w:val="00A1386B"/>
    <w:rsid w:val="00A220FD"/>
    <w:rsid w:val="00A3752C"/>
    <w:rsid w:val="00A84707"/>
    <w:rsid w:val="00AC0CD8"/>
    <w:rsid w:val="00BD1569"/>
    <w:rsid w:val="00BE686A"/>
    <w:rsid w:val="00C3784A"/>
    <w:rsid w:val="00C42465"/>
    <w:rsid w:val="00C42BD8"/>
    <w:rsid w:val="00C902FC"/>
    <w:rsid w:val="00CB7CE3"/>
    <w:rsid w:val="00CC2F88"/>
    <w:rsid w:val="00CD6761"/>
    <w:rsid w:val="00CE430C"/>
    <w:rsid w:val="00D738C1"/>
    <w:rsid w:val="00D74308"/>
    <w:rsid w:val="00D77D4A"/>
    <w:rsid w:val="00DA2215"/>
    <w:rsid w:val="00DC74D1"/>
    <w:rsid w:val="00DF2B7C"/>
    <w:rsid w:val="00E20E6D"/>
    <w:rsid w:val="00E377A5"/>
    <w:rsid w:val="00E433EC"/>
    <w:rsid w:val="00E44F81"/>
    <w:rsid w:val="00E67635"/>
    <w:rsid w:val="00E95FBA"/>
    <w:rsid w:val="00EB672A"/>
    <w:rsid w:val="00EC1095"/>
    <w:rsid w:val="00ED3BF1"/>
    <w:rsid w:val="00F17AD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9BF15"/>
  <w15:docId w15:val="{F8FFCD69-637E-4476-87E1-89AEAEAB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207F35"/>
    <w:pPr>
      <w:ind w:left="720"/>
      <w:contextualSpacing/>
    </w:pPr>
  </w:style>
  <w:style w:type="paragraph" w:styleId="Header">
    <w:name w:val="header"/>
    <w:basedOn w:val="Normal"/>
    <w:link w:val="HeaderChar"/>
    <w:uiPriority w:val="99"/>
    <w:unhideWhenUsed/>
    <w:rsid w:val="005F025B"/>
    <w:pPr>
      <w:tabs>
        <w:tab w:val="center" w:pos="4513"/>
        <w:tab w:val="right" w:pos="9026"/>
      </w:tabs>
      <w:spacing w:line="240" w:lineRule="auto"/>
    </w:pPr>
  </w:style>
  <w:style w:type="character" w:customStyle="1" w:styleId="HeaderChar">
    <w:name w:val="Header Char"/>
    <w:basedOn w:val="DefaultParagraphFont"/>
    <w:link w:val="Header"/>
    <w:uiPriority w:val="99"/>
    <w:rsid w:val="005F025B"/>
    <w:rPr>
      <w:rFonts w:ascii="Verdana" w:hAnsi="Verdana"/>
      <w:color w:val="000000"/>
      <w:sz w:val="18"/>
      <w:szCs w:val="18"/>
    </w:rPr>
  </w:style>
  <w:style w:type="paragraph" w:styleId="Footer">
    <w:name w:val="footer"/>
    <w:basedOn w:val="Normal"/>
    <w:link w:val="FooterChar"/>
    <w:uiPriority w:val="99"/>
    <w:unhideWhenUsed/>
    <w:rsid w:val="005F025B"/>
    <w:pPr>
      <w:tabs>
        <w:tab w:val="center" w:pos="4513"/>
        <w:tab w:val="right" w:pos="9026"/>
      </w:tabs>
      <w:spacing w:line="240" w:lineRule="auto"/>
    </w:pPr>
  </w:style>
  <w:style w:type="character" w:customStyle="1" w:styleId="FooterChar">
    <w:name w:val="Footer Char"/>
    <w:basedOn w:val="DefaultParagraphFont"/>
    <w:link w:val="Footer"/>
    <w:uiPriority w:val="99"/>
    <w:rsid w:val="005F025B"/>
    <w:rPr>
      <w:rFonts w:ascii="Verdana" w:hAnsi="Verdana"/>
      <w:color w:val="000000"/>
      <w:sz w:val="18"/>
      <w:szCs w:val="18"/>
    </w:rPr>
  </w:style>
  <w:style w:type="paragraph" w:styleId="FootnoteText">
    <w:name w:val="footnote text"/>
    <w:basedOn w:val="Normal"/>
    <w:link w:val="FootnoteTextChar"/>
    <w:uiPriority w:val="99"/>
    <w:semiHidden/>
    <w:unhideWhenUsed/>
    <w:rsid w:val="001E5298"/>
    <w:pPr>
      <w:spacing w:line="240" w:lineRule="auto"/>
    </w:pPr>
    <w:rPr>
      <w:sz w:val="20"/>
      <w:szCs w:val="20"/>
    </w:rPr>
  </w:style>
  <w:style w:type="character" w:customStyle="1" w:styleId="FootnoteTextChar">
    <w:name w:val="Footnote Text Char"/>
    <w:basedOn w:val="DefaultParagraphFont"/>
    <w:link w:val="FootnoteText"/>
    <w:uiPriority w:val="99"/>
    <w:semiHidden/>
    <w:rsid w:val="001E5298"/>
    <w:rPr>
      <w:rFonts w:ascii="Verdana" w:hAnsi="Verdana"/>
      <w:color w:val="000000"/>
    </w:rPr>
  </w:style>
  <w:style w:type="character" w:styleId="FootnoteReference">
    <w:name w:val="footnote reference"/>
    <w:basedOn w:val="DefaultParagraphFont"/>
    <w:uiPriority w:val="99"/>
    <w:semiHidden/>
    <w:unhideWhenUsed/>
    <w:rsid w:val="001E5298"/>
    <w:rPr>
      <w:vertAlign w:val="superscript"/>
    </w:rPr>
  </w:style>
  <w:style w:type="character" w:styleId="CommentReference">
    <w:name w:val="annotation reference"/>
    <w:basedOn w:val="DefaultParagraphFont"/>
    <w:uiPriority w:val="99"/>
    <w:semiHidden/>
    <w:unhideWhenUsed/>
    <w:rsid w:val="00422597"/>
    <w:rPr>
      <w:sz w:val="16"/>
      <w:szCs w:val="16"/>
    </w:rPr>
  </w:style>
  <w:style w:type="paragraph" w:styleId="CommentText">
    <w:name w:val="annotation text"/>
    <w:basedOn w:val="Normal"/>
    <w:link w:val="CommentTextChar"/>
    <w:uiPriority w:val="99"/>
    <w:unhideWhenUsed/>
    <w:rsid w:val="00422597"/>
    <w:pPr>
      <w:spacing w:line="240" w:lineRule="auto"/>
    </w:pPr>
    <w:rPr>
      <w:sz w:val="20"/>
      <w:szCs w:val="20"/>
    </w:rPr>
  </w:style>
  <w:style w:type="character" w:customStyle="1" w:styleId="CommentTextChar">
    <w:name w:val="Comment Text Char"/>
    <w:basedOn w:val="DefaultParagraphFont"/>
    <w:link w:val="CommentText"/>
    <w:uiPriority w:val="99"/>
    <w:rsid w:val="0042259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22597"/>
    <w:rPr>
      <w:b/>
      <w:bCs/>
    </w:rPr>
  </w:style>
  <w:style w:type="character" w:customStyle="1" w:styleId="CommentSubjectChar">
    <w:name w:val="Comment Subject Char"/>
    <w:basedOn w:val="CommentTextChar"/>
    <w:link w:val="CommentSubject"/>
    <w:uiPriority w:val="99"/>
    <w:semiHidden/>
    <w:rsid w:val="00422597"/>
    <w:rPr>
      <w:rFonts w:ascii="Verdana" w:hAnsi="Verdana"/>
      <w:b/>
      <w:bCs/>
      <w:color w:val="000000"/>
    </w:rPr>
  </w:style>
  <w:style w:type="paragraph" w:styleId="Revision">
    <w:name w:val="Revision"/>
    <w:hidden/>
    <w:uiPriority w:val="99"/>
    <w:semiHidden/>
    <w:rsid w:val="0042259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1928">
      <w:bodyDiv w:val="1"/>
      <w:marLeft w:val="0"/>
      <w:marRight w:val="0"/>
      <w:marTop w:val="0"/>
      <w:marBottom w:val="0"/>
      <w:divBdr>
        <w:top w:val="none" w:sz="0" w:space="0" w:color="auto"/>
        <w:left w:val="none" w:sz="0" w:space="0" w:color="auto"/>
        <w:bottom w:val="none" w:sz="0" w:space="0" w:color="auto"/>
        <w:right w:val="none" w:sz="0" w:space="0" w:color="auto"/>
      </w:divBdr>
    </w:div>
    <w:div w:id="420491927">
      <w:bodyDiv w:val="1"/>
      <w:marLeft w:val="0"/>
      <w:marRight w:val="0"/>
      <w:marTop w:val="0"/>
      <w:marBottom w:val="0"/>
      <w:divBdr>
        <w:top w:val="none" w:sz="0" w:space="0" w:color="auto"/>
        <w:left w:val="none" w:sz="0" w:space="0" w:color="auto"/>
        <w:bottom w:val="none" w:sz="0" w:space="0" w:color="auto"/>
        <w:right w:val="none" w:sz="0" w:space="0" w:color="auto"/>
      </w:divBdr>
    </w:div>
    <w:div w:id="578756715">
      <w:bodyDiv w:val="1"/>
      <w:marLeft w:val="0"/>
      <w:marRight w:val="0"/>
      <w:marTop w:val="0"/>
      <w:marBottom w:val="0"/>
      <w:divBdr>
        <w:top w:val="none" w:sz="0" w:space="0" w:color="auto"/>
        <w:left w:val="none" w:sz="0" w:space="0" w:color="auto"/>
        <w:bottom w:val="none" w:sz="0" w:space="0" w:color="auto"/>
        <w:right w:val="none" w:sz="0" w:space="0" w:color="auto"/>
      </w:divBdr>
    </w:div>
    <w:div w:id="120390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674</ap:Words>
  <ap:Characters>3710</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Motie 36 800- XVII, nr. 32 -  Bamenga c.s. over succesvolle programma's in het Grote Merengebied</vt:lpstr>
    </vt:vector>
  </ap:TitlesOfParts>
  <ap:LinksUpToDate>false</ap:LinksUpToDate>
  <ap:CharactersWithSpaces>4376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2026-07-08T13:59:00.0000000Z</lastPrinted>
  <dcterms:created xsi:type="dcterms:W3CDTF">2026-07-10T07:32:00.0000000Z</dcterms:created>
  <dcterms:modified xsi:type="dcterms:W3CDTF">2026-07-10T07:34:00.0000000Z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0x0101009C7CE436063D44E9BE7DC0259EF7C32F006EB9F9836A634AE58B6169785FD3936F001FD42520B8942348BDC07E3576D46EED</vt:lpwstr>
  </property>
  <property fmtid="{D5CDD505-2E9C-101B-9397-08002B2CF9AE}" pid="3" name="BZDossierTemplate">
    <vt:lpwstr>Motie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54;#United Kingdom|80b18d6d-575e-4fa0-af2e-e3a5dbb5598d</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URL">
    <vt:lpwstr>https://247.plaza.buzaservices.nl/subject/PV-MO2025012026/BZ2624274/Antwoord motie - Motie 36 800- XVII, nr. 32 -  Bamenga c.s. over succesvolle programma's in het Grote Merengebied.docx</vt:lpwstr>
  </property>
  <property fmtid="{D5CDD505-2E9C-101B-9397-08002B2CF9AE}" pid="22" name="BZDossierBudgetManager">
    <vt:lpwstr/>
  </property>
  <property fmtid="{D5CDD505-2E9C-101B-9397-08002B2CF9AE}" pid="23" name="BZDossierSendTo">
    <vt:lpwstr/>
  </property>
  <property fmtid="{D5CDD505-2E9C-101B-9397-08002B2CF9AE}" pid="24" name="_dlc_DocIdItemGuid">
    <vt:lpwstr>fae744ac-2aaa-4fad-b41a-f282410b379a</vt:lpwstr>
  </property>
  <property fmtid="{D5CDD505-2E9C-101B-9397-08002B2CF9AE}" pid="25" name="_docset_NoMedatataSyncRequired">
    <vt:lpwstr>False</vt:lpwstr>
  </property>
</Properties>
</file>