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1C9" w:rsidP="00A721C9" w:rsidRDefault="00A721C9" w14:paraId="0D180BEC" w14:textId="77777777">
      <w:pPr>
        <w:spacing w:line="276" w:lineRule="auto"/>
      </w:pPr>
      <w:bookmarkStart w:name="_Hlk231283260" w:id="0"/>
      <w:bookmarkStart w:name="_Hlk231283102" w:id="1"/>
    </w:p>
    <w:p w:rsidR="009C5007" w:rsidP="00A721C9" w:rsidRDefault="003817CD" w14:paraId="3991B796" w14:textId="12CA1DE4">
      <w:pPr>
        <w:spacing w:line="276" w:lineRule="auto"/>
      </w:pPr>
      <w:r>
        <w:t>Geachte voorzitter,</w:t>
      </w:r>
    </w:p>
    <w:p w:rsidR="001748CB" w:rsidP="00A721C9" w:rsidRDefault="001748CB" w14:paraId="544C7A6A" w14:textId="77777777">
      <w:pPr>
        <w:spacing w:line="276" w:lineRule="auto"/>
      </w:pPr>
    </w:p>
    <w:p w:rsidR="00054251" w:rsidP="00A721C9" w:rsidRDefault="00054251" w14:paraId="289A1A40" w14:textId="1B8D40FE">
      <w:pPr>
        <w:spacing w:line="276" w:lineRule="auto"/>
      </w:pPr>
      <w:r>
        <w:t>Naar aanleiding van de vragen van het Kamerlid Piri (</w:t>
      </w:r>
      <w:r w:rsidR="004A1452">
        <w:t>GL-PvdA</w:t>
      </w:r>
      <w:r>
        <w:t xml:space="preserve">) tijdens het commissiedebat Raad Buitenlandse Zaken d.d. 16 april 2026 </w:t>
      </w:r>
      <w:r w:rsidR="00C14940">
        <w:t>heb ik</w:t>
      </w:r>
      <w:r>
        <w:t xml:space="preserve"> </w:t>
      </w:r>
      <w:r w:rsidR="004A1452">
        <w:t>toegezegd u</w:t>
      </w:r>
      <w:r w:rsidR="00B2105A">
        <w:t xml:space="preserve">w </w:t>
      </w:r>
      <w:r>
        <w:t xml:space="preserve">Kamer </w:t>
      </w:r>
      <w:r w:rsidR="00B2105A">
        <w:t xml:space="preserve">per brief te informeren </w:t>
      </w:r>
      <w:r>
        <w:t>over het besluit</w:t>
      </w:r>
      <w:r w:rsidR="00EC20FC">
        <w:t xml:space="preserve"> van het kabinet</w:t>
      </w:r>
      <w:r>
        <w:t xml:space="preserve"> om de </w:t>
      </w:r>
      <w:r w:rsidR="00C14940">
        <w:t>motie-</w:t>
      </w:r>
      <w:r w:rsidR="00785742">
        <w:t>Piri</w:t>
      </w:r>
      <w:r w:rsidR="004B4C5C">
        <w:rPr>
          <w:rStyle w:val="FootnoteReference"/>
        </w:rPr>
        <w:footnoteReference w:id="1"/>
      </w:r>
      <w:r w:rsidR="00785742">
        <w:t xml:space="preserve"> </w:t>
      </w:r>
      <w:r w:rsidR="00EC20FC">
        <w:t xml:space="preserve">vooralsnog </w:t>
      </w:r>
      <w:r w:rsidR="00785742">
        <w:t xml:space="preserve">in beraad te houden, hangende de </w:t>
      </w:r>
      <w:r>
        <w:t>uitspraak van de Hoge Raad in het cassatieberoep van 42 extern ingehuurde Afghaanse ambassadebewakers</w:t>
      </w:r>
      <w:r w:rsidR="00785742">
        <w:t>.</w:t>
      </w:r>
      <w:r w:rsidR="00A721C9">
        <w:rPr>
          <w:rStyle w:val="FootnoteReference"/>
        </w:rPr>
        <w:footnoteReference w:id="2"/>
      </w:r>
    </w:p>
    <w:p w:rsidR="00054251" w:rsidP="00A721C9" w:rsidRDefault="00054251" w14:paraId="5FBD9564" w14:textId="77777777">
      <w:pPr>
        <w:spacing w:line="276" w:lineRule="auto"/>
      </w:pPr>
    </w:p>
    <w:p w:rsidR="00054251" w:rsidP="00A721C9" w:rsidRDefault="00054251" w14:paraId="4A568703" w14:textId="2F96EFB7">
      <w:pPr>
        <w:spacing w:line="276" w:lineRule="auto"/>
      </w:pPr>
      <w:r>
        <w:t xml:space="preserve">Op 2 december 2025 heeft </w:t>
      </w:r>
      <w:r w:rsidR="004A1452">
        <w:t>u</w:t>
      </w:r>
      <w:r w:rsidR="00547690">
        <w:t>w Kamer een</w:t>
      </w:r>
      <w:r>
        <w:t xml:space="preserve"> motie van het Kamerlid Piri aangenomen waarin zij het kabinet verzoekt om “de gedane toezeggingen van het toenmalige kabinet na te komen en de veilige overbrenging van Afghaanse bewakers, inclusief hun directe gezinnen, naar Nederland per direct te realiseren</w:t>
      </w:r>
      <w:r w:rsidR="00061B12">
        <w:t>.</w:t>
      </w:r>
      <w:r>
        <w:t>”</w:t>
      </w:r>
      <w:r>
        <w:rPr>
          <w:rStyle w:val="FootnoteReference"/>
        </w:rPr>
        <w:footnoteReference w:id="3"/>
      </w:r>
      <w:r>
        <w:t xml:space="preserve"> </w:t>
      </w:r>
      <w:r w:rsidRPr="00547690" w:rsidR="00547690">
        <w:t xml:space="preserve">Het vorige kabinet heeft op 29 december 2025 gecommuniceerd dat zij de motie, hangende de uitspraak van de Hoge Raad, in beraad </w:t>
      </w:r>
      <w:r w:rsidR="00C14940">
        <w:t>zou houden</w:t>
      </w:r>
      <w:r w:rsidR="00061B12">
        <w:t>.</w:t>
      </w:r>
      <w:r w:rsidR="004B4C5C">
        <w:rPr>
          <w:rStyle w:val="FootnoteReference"/>
        </w:rPr>
        <w:footnoteReference w:id="4"/>
      </w:r>
      <w:r w:rsidRPr="00547690" w:rsidR="00547690">
        <w:t xml:space="preserve"> Ook het huidige kabinet heeft op 15 april 2026, in de beantwoording van vragen van de Eerste Kamer, laten weten de motie in beraad te houden</w:t>
      </w:r>
      <w:r w:rsidR="00061B12">
        <w:t>.</w:t>
      </w:r>
      <w:r w:rsidR="004B4C5C">
        <w:rPr>
          <w:rStyle w:val="FootnoteReference"/>
        </w:rPr>
        <w:footnoteReference w:id="5"/>
      </w:r>
      <w:r w:rsidR="00F362C8">
        <w:t xml:space="preserve"> </w:t>
      </w:r>
    </w:p>
    <w:p w:rsidR="00C14940" w:rsidP="00A721C9" w:rsidRDefault="00C14940" w14:paraId="70D68A8A" w14:textId="77777777">
      <w:pPr>
        <w:spacing w:line="276" w:lineRule="auto"/>
      </w:pPr>
    </w:p>
    <w:p w:rsidRPr="00EB45D9" w:rsidR="007B6FE1" w:rsidP="00A721C9" w:rsidRDefault="2C25FD83" w14:paraId="73A9325C" w14:textId="33DE496F">
      <w:pPr>
        <w:spacing w:line="276" w:lineRule="auto"/>
      </w:pPr>
      <w:r>
        <w:t xml:space="preserve">Het kabinet heeft besloten de uitspraak van de Hoge Raad af te wachten omdat de uitkomst van de lopende rechtszaak sturend is voor het handelingsperspectief van het kabinet. Het kabinet wil graag eerst juridische duidelijkheid van de Hoge Raad alvorens een besluit te nemen over de opvolging van de motie-Piri. Het kabinet is er zich van bewust dat dit besluit onzekerheid oplevert voor de betrokken voormalige Afghaanse bewakers en hun gezinnen. Om zo spoedig mogelijk duidelijkheid te krijgen, ook voor alle betrokkenen, heeft het kabinet ingestemd met </w:t>
      </w:r>
      <w:r w:rsidRPr="00EB45D9">
        <w:t xml:space="preserve">een versnelde behandeling van het cassatieberoep. De uitspraak van de Hoge Raad wordt </w:t>
      </w:r>
      <w:r w:rsidRPr="00EB45D9" w:rsidR="001D4726">
        <w:t>begin volgend jaar</w:t>
      </w:r>
      <w:r w:rsidRPr="00EB45D9">
        <w:t xml:space="preserve"> verwacht.</w:t>
      </w:r>
    </w:p>
    <w:p w:rsidRPr="00EB45D9" w:rsidR="2C25FD83" w:rsidP="2C25FD83" w:rsidRDefault="2C25FD83" w14:paraId="2B074124" w14:textId="4DC4A9CB">
      <w:pPr>
        <w:spacing w:line="276" w:lineRule="auto"/>
      </w:pPr>
    </w:p>
    <w:p w:rsidR="3CB13CEC" w:rsidRDefault="3CB13CEC" w14:paraId="34734D0F" w14:textId="042E24C8">
      <w:r w:rsidRPr="00EB45D9">
        <w:rPr>
          <w:rFonts w:eastAsia="Verdana" w:cs="Verdana"/>
        </w:rPr>
        <w:lastRenderedPageBreak/>
        <w:t>Tot slot onderstreept het kabinet graag dat het sinds 15 augustus 2021 een grote inspanning heeft geleverd in het overbrengen van Afghanen die, in verschillende hoedanigheden, hebben bijgedragen aan de Nederlandse inzet in Afghanistan. In samenwerking met verschillende departementen en in een complexe context zijn ruim 4.600 Afghanen overgebracht naar Nederland.</w:t>
      </w:r>
      <w:r w:rsidRPr="3CB13CEC">
        <w:rPr>
          <w:rFonts w:eastAsia="Verdana" w:cs="Verdana"/>
        </w:rPr>
        <w:t xml:space="preserve"> </w:t>
      </w:r>
    </w:p>
    <w:p w:rsidR="007B6FE1" w:rsidP="00A721C9" w:rsidRDefault="007B6FE1" w14:paraId="40EB0DA6" w14:textId="77777777">
      <w:pPr>
        <w:spacing w:line="276" w:lineRule="auto"/>
      </w:pPr>
    </w:p>
    <w:bookmarkEnd w:id="0"/>
    <w:p w:rsidR="009C5007" w:rsidP="00A721C9" w:rsidRDefault="009C5007" w14:paraId="3991B79B" w14:textId="77777777">
      <w:pPr>
        <w:spacing w:line="276" w:lineRule="auto"/>
      </w:pPr>
    </w:p>
    <w:p w:rsidR="009C5007" w:rsidP="00A721C9" w:rsidRDefault="00A721C9" w14:paraId="3991B79C" w14:textId="5DCEFA0F">
      <w:pPr>
        <w:spacing w:line="276" w:lineRule="auto"/>
      </w:pPr>
      <w:r>
        <w:t>De m</w:t>
      </w:r>
      <w:r w:rsidR="001F2180">
        <w:t>inister van Buitenlandse Zaken,</w:t>
      </w:r>
    </w:p>
    <w:p w:rsidR="009C5007" w:rsidP="00A721C9" w:rsidRDefault="009C5007" w14:paraId="3991B79D" w14:textId="77777777">
      <w:pPr>
        <w:spacing w:line="276" w:lineRule="auto"/>
      </w:pPr>
    </w:p>
    <w:p w:rsidR="00A721C9" w:rsidP="00A721C9" w:rsidRDefault="00A721C9" w14:paraId="2A49FCF4" w14:textId="77777777">
      <w:pPr>
        <w:spacing w:line="276" w:lineRule="auto"/>
      </w:pPr>
    </w:p>
    <w:p w:rsidR="00A721C9" w:rsidP="00A721C9" w:rsidRDefault="00A721C9" w14:paraId="243A54AD" w14:textId="77777777">
      <w:pPr>
        <w:spacing w:line="276" w:lineRule="auto"/>
      </w:pPr>
    </w:p>
    <w:p w:rsidR="00A721C9" w:rsidP="00A721C9" w:rsidRDefault="00A721C9" w14:paraId="62524E95" w14:textId="77777777">
      <w:pPr>
        <w:spacing w:line="276" w:lineRule="auto"/>
      </w:pPr>
    </w:p>
    <w:p w:rsidR="00A721C9" w:rsidP="00A721C9" w:rsidRDefault="00A721C9" w14:paraId="57BA1451" w14:textId="77777777">
      <w:pPr>
        <w:spacing w:line="276" w:lineRule="auto"/>
      </w:pPr>
    </w:p>
    <w:p w:rsidR="009C5007" w:rsidP="00A721C9" w:rsidRDefault="003817CD" w14:paraId="3991B79E" w14:textId="0A9D8313">
      <w:pPr>
        <w:spacing w:line="276" w:lineRule="auto"/>
      </w:pPr>
      <w:r>
        <w:t>T.B.W. Berendsen</w:t>
      </w:r>
    </w:p>
    <w:p w:rsidR="009C5007" w:rsidP="00A721C9" w:rsidRDefault="009C5007" w14:paraId="3991B79F" w14:textId="2AA96FAE">
      <w:pPr>
        <w:spacing w:line="276" w:lineRule="auto"/>
      </w:pPr>
    </w:p>
    <w:bookmarkEnd w:id="1"/>
    <w:p w:rsidR="009C5007" w:rsidP="00A721C9" w:rsidRDefault="009C5007" w14:paraId="3991B7A0" w14:textId="77777777">
      <w:pPr>
        <w:spacing w:line="276" w:lineRule="auto"/>
      </w:pPr>
    </w:p>
    <w:sectPr w:rsidR="009C5007" w:rsidSect="0018012D">
      <w:headerReference w:type="default" r:id="rId14"/>
      <w:footerReference w:type="default" r:id="rId15"/>
      <w:headerReference w:type="first" r:id="rId16"/>
      <w:footerReference w:type="first" r:id="rId17"/>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4DDF" w14:textId="77777777" w:rsidR="003817CD" w:rsidRDefault="003817CD">
      <w:pPr>
        <w:spacing w:line="240" w:lineRule="auto"/>
      </w:pPr>
      <w:r>
        <w:separator/>
      </w:r>
    </w:p>
  </w:endnote>
  <w:endnote w:type="continuationSeparator" w:id="0">
    <w:p w14:paraId="33EBD04A" w14:textId="77777777" w:rsidR="003817CD" w:rsidRDefault="00381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086318"/>
      <w:docPartObj>
        <w:docPartGallery w:val="Page Numbers (Bottom of Page)"/>
        <w:docPartUnique/>
      </w:docPartObj>
    </w:sdtPr>
    <w:sdtEndPr/>
    <w:sdtContent>
      <w:p w14:paraId="049D93AE" w14:textId="084CFE6F" w:rsidR="00A721C9" w:rsidRDefault="00A721C9">
        <w:pPr>
          <w:pStyle w:val="Footer"/>
          <w:jc w:val="center"/>
        </w:pPr>
        <w:r>
          <w:fldChar w:fldCharType="begin"/>
        </w:r>
        <w:r>
          <w:instrText>PAGE   \* MERGEFORMAT</w:instrText>
        </w:r>
        <w:r>
          <w:fldChar w:fldCharType="separate"/>
        </w:r>
        <w:r>
          <w:t>2</w:t>
        </w:r>
        <w:r>
          <w:fldChar w:fldCharType="end"/>
        </w:r>
      </w:p>
    </w:sdtContent>
  </w:sdt>
  <w:p w14:paraId="31A43BF9" w14:textId="77777777" w:rsidR="00A721C9" w:rsidRDefault="00A7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051610"/>
      <w:docPartObj>
        <w:docPartGallery w:val="Page Numbers (Bottom of Page)"/>
        <w:docPartUnique/>
      </w:docPartObj>
    </w:sdtPr>
    <w:sdtEndPr/>
    <w:sdtContent>
      <w:p w14:paraId="6C940C18" w14:textId="6A0F0F8D" w:rsidR="00A721C9" w:rsidRDefault="00A721C9">
        <w:pPr>
          <w:pStyle w:val="Footer"/>
          <w:jc w:val="center"/>
        </w:pPr>
        <w:r>
          <w:fldChar w:fldCharType="begin"/>
        </w:r>
        <w:r>
          <w:instrText>PAGE   \* MERGEFORMAT</w:instrText>
        </w:r>
        <w:r>
          <w:fldChar w:fldCharType="separate"/>
        </w:r>
        <w:r>
          <w:t>2</w:t>
        </w:r>
        <w:r>
          <w:fldChar w:fldCharType="end"/>
        </w:r>
      </w:p>
    </w:sdtContent>
  </w:sdt>
  <w:p w14:paraId="0BE3F748" w14:textId="77777777" w:rsidR="00A721C9" w:rsidRDefault="00A7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563F" w14:textId="77777777" w:rsidR="003817CD" w:rsidRDefault="003817CD">
      <w:pPr>
        <w:spacing w:line="240" w:lineRule="auto"/>
      </w:pPr>
      <w:r>
        <w:separator/>
      </w:r>
    </w:p>
  </w:footnote>
  <w:footnote w:type="continuationSeparator" w:id="0">
    <w:p w14:paraId="04D9B3A1" w14:textId="77777777" w:rsidR="003817CD" w:rsidRDefault="003817CD">
      <w:pPr>
        <w:spacing w:line="240" w:lineRule="auto"/>
      </w:pPr>
      <w:r>
        <w:continuationSeparator/>
      </w:r>
    </w:p>
  </w:footnote>
  <w:footnote w:id="1">
    <w:p w14:paraId="0A2ADB92" w14:textId="6F08E181" w:rsidR="004B4C5C" w:rsidRPr="001748CB" w:rsidRDefault="004B4C5C">
      <w:pPr>
        <w:pStyle w:val="FootnoteText"/>
        <w:rPr>
          <w:sz w:val="16"/>
          <w:szCs w:val="16"/>
        </w:rPr>
      </w:pPr>
      <w:r w:rsidRPr="001748CB">
        <w:rPr>
          <w:rStyle w:val="FootnoteReference"/>
          <w:sz w:val="16"/>
          <w:szCs w:val="16"/>
        </w:rPr>
        <w:footnoteRef/>
      </w:r>
      <w:r w:rsidRPr="001748CB">
        <w:rPr>
          <w:sz w:val="16"/>
          <w:szCs w:val="16"/>
        </w:rPr>
        <w:t xml:space="preserve"> Kamerstukken 2025-2026, 36</w:t>
      </w:r>
      <w:r w:rsidR="001748CB">
        <w:rPr>
          <w:sz w:val="16"/>
          <w:szCs w:val="16"/>
        </w:rPr>
        <w:t xml:space="preserve"> </w:t>
      </w:r>
      <w:r w:rsidRPr="001748CB">
        <w:rPr>
          <w:sz w:val="16"/>
          <w:szCs w:val="16"/>
        </w:rPr>
        <w:t>800-V, nr. 23.</w:t>
      </w:r>
    </w:p>
  </w:footnote>
  <w:footnote w:id="2">
    <w:p w14:paraId="7C3914C9" w14:textId="7F4E0453" w:rsidR="00A721C9" w:rsidRPr="001748CB" w:rsidRDefault="00A721C9">
      <w:pPr>
        <w:pStyle w:val="FootnoteText"/>
        <w:rPr>
          <w:sz w:val="16"/>
          <w:szCs w:val="16"/>
        </w:rPr>
      </w:pPr>
      <w:r w:rsidRPr="001748CB">
        <w:rPr>
          <w:rStyle w:val="FootnoteReference"/>
          <w:sz w:val="16"/>
          <w:szCs w:val="16"/>
        </w:rPr>
        <w:footnoteRef/>
      </w:r>
      <w:r w:rsidRPr="001748CB">
        <w:rPr>
          <w:sz w:val="16"/>
          <w:szCs w:val="16"/>
        </w:rPr>
        <w:t xml:space="preserve"> TZ202604-106</w:t>
      </w:r>
    </w:p>
  </w:footnote>
  <w:footnote w:id="3">
    <w:p w14:paraId="0D206868" w14:textId="42C00DB8" w:rsidR="00054251" w:rsidRPr="001748CB" w:rsidRDefault="00054251">
      <w:pPr>
        <w:pStyle w:val="FootnoteText"/>
        <w:rPr>
          <w:sz w:val="16"/>
          <w:szCs w:val="16"/>
        </w:rPr>
      </w:pPr>
      <w:r w:rsidRPr="001748CB">
        <w:rPr>
          <w:rStyle w:val="FootnoteReference"/>
          <w:sz w:val="16"/>
          <w:szCs w:val="16"/>
        </w:rPr>
        <w:footnoteRef/>
      </w:r>
      <w:r w:rsidRPr="001748CB">
        <w:rPr>
          <w:sz w:val="16"/>
          <w:szCs w:val="16"/>
        </w:rPr>
        <w:t xml:space="preserve"> </w:t>
      </w:r>
      <w:r w:rsidR="004B4C5C" w:rsidRPr="001748CB">
        <w:rPr>
          <w:sz w:val="16"/>
          <w:szCs w:val="16"/>
        </w:rPr>
        <w:t>Kamerstukken 2025-2026, 36</w:t>
      </w:r>
      <w:r w:rsidR="001748CB">
        <w:rPr>
          <w:sz w:val="16"/>
          <w:szCs w:val="16"/>
        </w:rPr>
        <w:t xml:space="preserve"> </w:t>
      </w:r>
      <w:r w:rsidR="004B4C5C" w:rsidRPr="001748CB">
        <w:rPr>
          <w:sz w:val="16"/>
          <w:szCs w:val="16"/>
        </w:rPr>
        <w:t>800-V, nr. 23.</w:t>
      </w:r>
    </w:p>
  </w:footnote>
  <w:footnote w:id="4">
    <w:p w14:paraId="1B9C485F" w14:textId="5FB72B6F" w:rsidR="004B4C5C" w:rsidRPr="001748CB" w:rsidRDefault="004B4C5C">
      <w:pPr>
        <w:pStyle w:val="FootnoteText"/>
        <w:rPr>
          <w:sz w:val="16"/>
          <w:szCs w:val="16"/>
        </w:rPr>
      </w:pPr>
      <w:r w:rsidRPr="001748CB">
        <w:rPr>
          <w:rStyle w:val="FootnoteReference"/>
          <w:sz w:val="16"/>
          <w:szCs w:val="16"/>
        </w:rPr>
        <w:footnoteRef/>
      </w:r>
      <w:r w:rsidRPr="001748CB">
        <w:rPr>
          <w:sz w:val="16"/>
          <w:szCs w:val="16"/>
        </w:rPr>
        <w:t xml:space="preserve"> Kamerstukken 2026-2027, 21</w:t>
      </w:r>
      <w:r w:rsidR="001748CB">
        <w:rPr>
          <w:sz w:val="16"/>
          <w:szCs w:val="16"/>
        </w:rPr>
        <w:t xml:space="preserve"> </w:t>
      </w:r>
      <w:r w:rsidRPr="001748CB">
        <w:rPr>
          <w:sz w:val="16"/>
          <w:szCs w:val="16"/>
        </w:rPr>
        <w:t>50</w:t>
      </w:r>
      <w:r w:rsidR="001748CB">
        <w:rPr>
          <w:sz w:val="16"/>
          <w:szCs w:val="16"/>
        </w:rPr>
        <w:t>1</w:t>
      </w:r>
      <w:r w:rsidRPr="001748CB">
        <w:rPr>
          <w:sz w:val="16"/>
          <w:szCs w:val="16"/>
        </w:rPr>
        <w:t>-02, nr. 3345.</w:t>
      </w:r>
    </w:p>
  </w:footnote>
  <w:footnote w:id="5">
    <w:p w14:paraId="49E5C702" w14:textId="110A1C11" w:rsidR="004B4C5C" w:rsidRPr="00A721C9" w:rsidRDefault="004B4C5C">
      <w:pPr>
        <w:pStyle w:val="FootnoteText"/>
      </w:pPr>
      <w:r w:rsidRPr="001748CB">
        <w:rPr>
          <w:rStyle w:val="FootnoteReference"/>
          <w:sz w:val="16"/>
          <w:szCs w:val="16"/>
        </w:rPr>
        <w:footnoteRef/>
      </w:r>
      <w:r w:rsidRPr="001748CB">
        <w:rPr>
          <w:sz w:val="16"/>
          <w:szCs w:val="16"/>
        </w:rPr>
        <w:t xml:space="preserve"> Kamerstukken 2025-2026, 36</w:t>
      </w:r>
      <w:r w:rsidR="001748CB">
        <w:rPr>
          <w:sz w:val="16"/>
          <w:szCs w:val="16"/>
        </w:rPr>
        <w:t xml:space="preserve"> </w:t>
      </w:r>
      <w:r w:rsidRPr="001748CB">
        <w:rPr>
          <w:sz w:val="16"/>
          <w:szCs w:val="16"/>
        </w:rPr>
        <w:t>600, AL</w:t>
      </w:r>
      <w:r w:rsidR="00D44E69" w:rsidRPr="001748C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B7A1" w14:textId="158E365A" w:rsidR="009C5007" w:rsidRDefault="003817CD">
    <w:r>
      <w:rPr>
        <w:noProof/>
      </w:rPr>
      <mc:AlternateContent>
        <mc:Choice Requires="wps">
          <w:drawing>
            <wp:anchor distT="0" distB="0" distL="0" distR="0" simplePos="0" relativeHeight="251658240" behindDoc="0" locked="1" layoutInCell="1" allowOverlap="1" wp14:anchorId="3991B7A5" wp14:editId="67E793FB">
              <wp:simplePos x="0" y="0"/>
              <wp:positionH relativeFrom="page">
                <wp:posOffset>5920740</wp:posOffset>
              </wp:positionH>
              <wp:positionV relativeFrom="page">
                <wp:posOffset>1965960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991B7D6" w14:textId="77777777" w:rsidR="009C5007" w:rsidRDefault="003817CD">
                          <w:pPr>
                            <w:pStyle w:val="Referentiegegevensbold"/>
                          </w:pPr>
                          <w:r>
                            <w:t>Ministerie van Buitenlandse Zaken</w:t>
                          </w:r>
                        </w:p>
                        <w:p w14:paraId="3991B7D7" w14:textId="77777777" w:rsidR="009C5007" w:rsidRDefault="009C5007">
                          <w:pPr>
                            <w:pStyle w:val="WitregelW2"/>
                          </w:pPr>
                        </w:p>
                        <w:p w14:paraId="3991B7D8" w14:textId="77777777" w:rsidR="009C5007" w:rsidRDefault="003817CD">
                          <w:pPr>
                            <w:pStyle w:val="Referentiegegevensbold"/>
                          </w:pPr>
                          <w:r>
                            <w:t>Onze referentie</w:t>
                          </w:r>
                        </w:p>
                        <w:p w14:paraId="3991B7D9" w14:textId="77777777" w:rsidR="009C5007" w:rsidRDefault="003817CD">
                          <w:pPr>
                            <w:pStyle w:val="Referentiegegevens"/>
                          </w:pPr>
                          <w:r>
                            <w:t>BZ2627256</w:t>
                          </w:r>
                        </w:p>
                      </w:txbxContent>
                    </wps:txbx>
                    <wps:bodyPr vert="horz" wrap="square" lIns="0" tIns="0" rIns="0" bIns="0" anchor="t" anchorCtr="0"/>
                  </wps:wsp>
                </a:graphicData>
              </a:graphic>
              <wp14:sizeRelH relativeFrom="margin">
                <wp14:pctWidth>0</wp14:pctWidth>
              </wp14:sizeRelH>
            </wp:anchor>
          </w:drawing>
        </mc:Choice>
        <mc:Fallback>
          <w:pict>
            <v:shapetype w14:anchorId="3991B7A5" id="_x0000_t202" coordsize="21600,21600" o:spt="202" path="m,l,21600r21600,l21600,xe">
              <v:stroke joinstyle="miter"/>
              <v:path gradientshapeok="t" o:connecttype="rect"/>
            </v:shapetype>
            <v:shape id="41b1110a-80a4-11ea-b356-6230a4311406" o:spid="_x0000_s1026" type="#_x0000_t202" style="position:absolute;margin-left:466.2pt;margin-top:154.8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" filled="f" stroked="f">
              <v:textbox inset="0,0,0,0">
                <w:txbxContent>
                  <w:p w14:paraId="3991B7D6" w14:textId="77777777" w:rsidR="009C5007" w:rsidRDefault="003817CD">
                    <w:pPr>
                      <w:pStyle w:val="Referentiegegevensbold"/>
                    </w:pPr>
                    <w:r>
                      <w:t>Ministerie van Buitenlandse Zaken</w:t>
                    </w:r>
                  </w:p>
                  <w:p w14:paraId="3991B7D7" w14:textId="77777777" w:rsidR="009C5007" w:rsidRDefault="009C5007">
                    <w:pPr>
                      <w:pStyle w:val="WitregelW2"/>
                    </w:pPr>
                  </w:p>
                  <w:p w14:paraId="3991B7D8" w14:textId="77777777" w:rsidR="009C5007" w:rsidRDefault="003817CD">
                    <w:pPr>
                      <w:pStyle w:val="Referentiegegevensbold"/>
                    </w:pPr>
                    <w:r>
                      <w:t>Onze referentie</w:t>
                    </w:r>
                  </w:p>
                  <w:p w14:paraId="3991B7D9" w14:textId="77777777" w:rsidR="009C5007" w:rsidRDefault="003817CD">
                    <w:pPr>
                      <w:pStyle w:val="Referentiegegevens"/>
                    </w:pPr>
                    <w:r>
                      <w:t>BZ2627256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991B7A9" wp14:editId="0BC7D51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91B7E8" w14:textId="77777777" w:rsidR="003817CD" w:rsidRDefault="003817CD"/>
                      </w:txbxContent>
                    </wps:txbx>
                    <wps:bodyPr vert="horz" wrap="square" lIns="0" tIns="0" rIns="0" bIns="0" anchor="t" anchorCtr="0"/>
                  </wps:wsp>
                </a:graphicData>
              </a:graphic>
            </wp:anchor>
          </w:drawing>
        </mc:Choice>
        <mc:Fallback>
          <w:pict>
            <v:shape w14:anchorId="3991B7A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91B7E8" w14:textId="77777777" w:rsidR="003817CD" w:rsidRDefault="003817C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B7A3" w14:textId="065F2834" w:rsidR="009C5007" w:rsidRDefault="003817CD">
    <w:pPr>
      <w:spacing w:after="7131" w:line="14" w:lineRule="exact"/>
    </w:pPr>
    <w:r>
      <w:rPr>
        <w:noProof/>
      </w:rPr>
      <mc:AlternateContent>
        <mc:Choice Requires="wps">
          <w:drawing>
            <wp:anchor distT="0" distB="0" distL="0" distR="0" simplePos="0" relativeHeight="251658243" behindDoc="0" locked="1" layoutInCell="1" allowOverlap="1" wp14:anchorId="3991B7AB" wp14:editId="3991B7A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91B7DB" w14:textId="77777777" w:rsidR="003817CD" w:rsidRDefault="003817CD"/>
                      </w:txbxContent>
                    </wps:txbx>
                    <wps:bodyPr vert="horz" wrap="square" lIns="0" tIns="0" rIns="0" bIns="0" anchor="t" anchorCtr="0"/>
                  </wps:wsp>
                </a:graphicData>
              </a:graphic>
            </wp:anchor>
          </w:drawing>
        </mc:Choice>
        <mc:Fallback>
          <w:pict>
            <v:shapetype w14:anchorId="3991B7A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991B7DB" w14:textId="77777777" w:rsidR="003817CD" w:rsidRDefault="003817C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991B7AD" wp14:editId="3991B7A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91B7BC" w14:textId="77777777" w:rsidR="009C5007" w:rsidRDefault="003817C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991B7A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91B7BC" w14:textId="77777777" w:rsidR="009C5007" w:rsidRDefault="003817C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991B7AF" wp14:editId="10D0D157">
              <wp:simplePos x="0" y="0"/>
              <wp:positionH relativeFrom="margin">
                <wp:posOffset>8890</wp:posOffset>
              </wp:positionH>
              <wp:positionV relativeFrom="page">
                <wp:posOffset>3672205</wp:posOffset>
              </wp:positionV>
              <wp:extent cx="4780915" cy="76708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6708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C5007" w14:paraId="3991B7BF" w14:textId="77777777">
                            <w:tc>
                              <w:tcPr>
                                <w:tcW w:w="678" w:type="dxa"/>
                              </w:tcPr>
                              <w:p w14:paraId="3991B7BD" w14:textId="77777777" w:rsidR="009C5007" w:rsidRDefault="003817CD">
                                <w:r>
                                  <w:t>Datum</w:t>
                                </w:r>
                              </w:p>
                            </w:tc>
                            <w:tc>
                              <w:tcPr>
                                <w:tcW w:w="6851" w:type="dxa"/>
                              </w:tcPr>
                              <w:p w14:paraId="3991B7BE" w14:textId="15A96D96" w:rsidR="009C5007" w:rsidRDefault="00882B97">
                                <w:r>
                                  <w:t>10</w:t>
                                </w:r>
                                <w:r w:rsidR="00A721C9">
                                  <w:t xml:space="preserve"> ju</w:t>
                                </w:r>
                                <w:r w:rsidR="0018012D">
                                  <w:t>l</w:t>
                                </w:r>
                                <w:r w:rsidR="00A721C9">
                                  <w:t>i</w:t>
                                </w:r>
                                <w:r w:rsidR="003817CD">
                                  <w:t xml:space="preserve"> 2026</w:t>
                                </w:r>
                              </w:p>
                            </w:tc>
                          </w:tr>
                          <w:tr w:rsidR="009C5007" w14:paraId="3991B7C4" w14:textId="77777777">
                            <w:tc>
                              <w:tcPr>
                                <w:tcW w:w="678" w:type="dxa"/>
                              </w:tcPr>
                              <w:p w14:paraId="3991B7C0" w14:textId="77777777" w:rsidR="009C5007" w:rsidRDefault="003817CD">
                                <w:r>
                                  <w:t>Betreft</w:t>
                                </w:r>
                              </w:p>
                              <w:p w14:paraId="3991B7C1" w14:textId="77777777" w:rsidR="009C5007" w:rsidRDefault="009C5007"/>
                            </w:tc>
                            <w:tc>
                              <w:tcPr>
                                <w:tcW w:w="6851" w:type="dxa"/>
                              </w:tcPr>
                              <w:p w14:paraId="3991B7C2" w14:textId="616D9AD5" w:rsidR="009C5007" w:rsidRDefault="004A1452">
                                <w:r>
                                  <w:t>Kamerbrief inzake</w:t>
                                </w:r>
                                <w:r w:rsidR="003817CD">
                                  <w:t xml:space="preserve"> </w:t>
                                </w:r>
                                <w:r w:rsidR="00E534AF">
                                  <w:t xml:space="preserve">het </w:t>
                                </w:r>
                                <w:r w:rsidR="003817CD">
                                  <w:t xml:space="preserve">besluit </w:t>
                                </w:r>
                                <w:r w:rsidR="00E534AF">
                                  <w:t xml:space="preserve">van het kabinet </w:t>
                                </w:r>
                                <w:r w:rsidR="003817CD">
                                  <w:t xml:space="preserve">om </w:t>
                                </w:r>
                                <w:r w:rsidR="009B5F94">
                                  <w:t>de motie Piri, hangende de uitspraak van de Hoge Raad in de cassatieprocedure van 42 extern ingehuurde Afghaanse ambassadebewakers, in beraad te houden</w:t>
                                </w:r>
                              </w:p>
                              <w:p w14:paraId="3991B7C3" w14:textId="77777777" w:rsidR="009C5007" w:rsidRDefault="009C5007"/>
                            </w:tc>
                          </w:tr>
                        </w:tbl>
                        <w:p w14:paraId="3991B7C5" w14:textId="77777777" w:rsidR="009C5007" w:rsidRDefault="009C5007"/>
                        <w:p w14:paraId="3991B7C6" w14:textId="77777777" w:rsidR="009C5007" w:rsidRDefault="009C500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91B7AF" id="41b10c7e-80a4-11ea-b356-6230a4311406" o:spid="_x0000_s1030" type="#_x0000_t202" style="position:absolute;margin-left:.7pt;margin-top:289.15pt;width:376.45pt;height:60.4pt;z-index:251658245;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C5007" w14:paraId="3991B7BF" w14:textId="77777777">
                      <w:tc>
                        <w:tcPr>
                          <w:tcW w:w="678" w:type="dxa"/>
                        </w:tcPr>
                        <w:p w14:paraId="3991B7BD" w14:textId="77777777" w:rsidR="009C5007" w:rsidRDefault="003817CD">
                          <w:r>
                            <w:t>Datum</w:t>
                          </w:r>
                        </w:p>
                      </w:tc>
                      <w:tc>
                        <w:tcPr>
                          <w:tcW w:w="6851" w:type="dxa"/>
                        </w:tcPr>
                        <w:p w14:paraId="3991B7BE" w14:textId="15A96D96" w:rsidR="009C5007" w:rsidRDefault="00882B97">
                          <w:r>
                            <w:t>10</w:t>
                          </w:r>
                          <w:r w:rsidR="00A721C9">
                            <w:t xml:space="preserve"> ju</w:t>
                          </w:r>
                          <w:r w:rsidR="0018012D">
                            <w:t>l</w:t>
                          </w:r>
                          <w:r w:rsidR="00A721C9">
                            <w:t>i</w:t>
                          </w:r>
                          <w:r w:rsidR="003817CD">
                            <w:t xml:space="preserve"> 2026</w:t>
                          </w:r>
                        </w:p>
                      </w:tc>
                    </w:tr>
                    <w:tr w:rsidR="009C5007" w14:paraId="3991B7C4" w14:textId="77777777">
                      <w:tc>
                        <w:tcPr>
                          <w:tcW w:w="678" w:type="dxa"/>
                        </w:tcPr>
                        <w:p w14:paraId="3991B7C0" w14:textId="77777777" w:rsidR="009C5007" w:rsidRDefault="003817CD">
                          <w:r>
                            <w:t>Betreft</w:t>
                          </w:r>
                        </w:p>
                        <w:p w14:paraId="3991B7C1" w14:textId="77777777" w:rsidR="009C5007" w:rsidRDefault="009C5007"/>
                      </w:tc>
                      <w:tc>
                        <w:tcPr>
                          <w:tcW w:w="6851" w:type="dxa"/>
                        </w:tcPr>
                        <w:p w14:paraId="3991B7C2" w14:textId="616D9AD5" w:rsidR="009C5007" w:rsidRDefault="004A1452">
                          <w:r>
                            <w:t>Kamerbrief inzake</w:t>
                          </w:r>
                          <w:r w:rsidR="003817CD">
                            <w:t xml:space="preserve"> </w:t>
                          </w:r>
                          <w:r w:rsidR="00E534AF">
                            <w:t xml:space="preserve">het </w:t>
                          </w:r>
                          <w:r w:rsidR="003817CD">
                            <w:t xml:space="preserve">besluit </w:t>
                          </w:r>
                          <w:r w:rsidR="00E534AF">
                            <w:t xml:space="preserve">van het kabinet </w:t>
                          </w:r>
                          <w:r w:rsidR="003817CD">
                            <w:t xml:space="preserve">om </w:t>
                          </w:r>
                          <w:r w:rsidR="009B5F94">
                            <w:t>de motie Piri, hangende de uitspraak van de Hoge Raad in de cassatieprocedure van 42 extern ingehuurde Afghaanse ambassadebewakers, in beraad te houden</w:t>
                          </w:r>
                        </w:p>
                        <w:p w14:paraId="3991B7C3" w14:textId="77777777" w:rsidR="009C5007" w:rsidRDefault="009C5007"/>
                      </w:tc>
                    </w:tr>
                  </w:tbl>
                  <w:p w14:paraId="3991B7C5" w14:textId="77777777" w:rsidR="009C5007" w:rsidRDefault="009C5007"/>
                  <w:p w14:paraId="3991B7C6" w14:textId="77777777" w:rsidR="009C5007" w:rsidRDefault="009C5007"/>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3991B7B1" wp14:editId="1C6DC927">
              <wp:simplePos x="0" y="0"/>
              <wp:positionH relativeFrom="page">
                <wp:posOffset>5920740</wp:posOffset>
              </wp:positionH>
              <wp:positionV relativeFrom="page">
                <wp:posOffset>1965960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6418CF2" w14:textId="77777777" w:rsidR="00A721C9" w:rsidRPr="00F51C07" w:rsidRDefault="00A721C9" w:rsidP="00A721C9">
                              <w:pPr>
                                <w:rPr>
                                  <w:b/>
                                  <w:sz w:val="13"/>
                                  <w:szCs w:val="13"/>
                                </w:rPr>
                              </w:pPr>
                              <w:r w:rsidRPr="00FC13FA">
                                <w:rPr>
                                  <w:b/>
                                  <w:sz w:val="13"/>
                                  <w:szCs w:val="13"/>
                                </w:rPr>
                                <w:t>Ministerie van Buitenlandse Zaken</w:t>
                              </w:r>
                            </w:p>
                          </w:sdtContent>
                        </w:sdt>
                        <w:p w14:paraId="7BC90B22" w14:textId="77777777" w:rsidR="00A721C9" w:rsidRPr="00EE5E5D" w:rsidRDefault="00A721C9" w:rsidP="00A721C9">
                          <w:pPr>
                            <w:rPr>
                              <w:sz w:val="13"/>
                              <w:szCs w:val="13"/>
                            </w:rPr>
                          </w:pPr>
                          <w:r>
                            <w:rPr>
                              <w:sz w:val="13"/>
                              <w:szCs w:val="13"/>
                            </w:rPr>
                            <w:t>Rijnstraat 8</w:t>
                          </w:r>
                        </w:p>
                        <w:p w14:paraId="6ABD14C7" w14:textId="77777777" w:rsidR="00A721C9" w:rsidRPr="0059764A" w:rsidRDefault="00A721C9" w:rsidP="00A721C9">
                          <w:pPr>
                            <w:rPr>
                              <w:sz w:val="13"/>
                              <w:szCs w:val="13"/>
                              <w:lang w:val="da-DK"/>
                            </w:rPr>
                          </w:pPr>
                          <w:r w:rsidRPr="0059764A">
                            <w:rPr>
                              <w:sz w:val="13"/>
                              <w:szCs w:val="13"/>
                              <w:lang w:val="da-DK"/>
                            </w:rPr>
                            <w:t>2515 XP Den Haag</w:t>
                          </w:r>
                        </w:p>
                        <w:p w14:paraId="72D31931" w14:textId="77777777" w:rsidR="00A721C9" w:rsidRPr="0059764A" w:rsidRDefault="00A721C9" w:rsidP="00A721C9">
                          <w:pPr>
                            <w:rPr>
                              <w:sz w:val="13"/>
                              <w:szCs w:val="13"/>
                              <w:lang w:val="da-DK"/>
                            </w:rPr>
                          </w:pPr>
                          <w:r w:rsidRPr="0059764A">
                            <w:rPr>
                              <w:sz w:val="13"/>
                              <w:szCs w:val="13"/>
                              <w:lang w:val="da-DK"/>
                            </w:rPr>
                            <w:t>Postbus 20061</w:t>
                          </w:r>
                        </w:p>
                        <w:p w14:paraId="277A5328" w14:textId="77777777" w:rsidR="00A721C9" w:rsidRPr="0059764A" w:rsidRDefault="00A721C9" w:rsidP="00A721C9">
                          <w:pPr>
                            <w:rPr>
                              <w:sz w:val="13"/>
                              <w:szCs w:val="13"/>
                              <w:lang w:val="da-DK"/>
                            </w:rPr>
                          </w:pPr>
                          <w:r w:rsidRPr="0059764A">
                            <w:rPr>
                              <w:sz w:val="13"/>
                              <w:szCs w:val="13"/>
                              <w:lang w:val="da-DK"/>
                            </w:rPr>
                            <w:t>Nederland</w:t>
                          </w:r>
                        </w:p>
                        <w:p w14:paraId="3991B7CA" w14:textId="77777777" w:rsidR="009C5007" w:rsidRPr="00A721C9" w:rsidRDefault="003817CD">
                          <w:pPr>
                            <w:pStyle w:val="Referentiegegevens"/>
                            <w:rPr>
                              <w:lang w:val="da-DK"/>
                            </w:rPr>
                          </w:pPr>
                          <w:r w:rsidRPr="00A721C9">
                            <w:rPr>
                              <w:lang w:val="da-DK"/>
                            </w:rPr>
                            <w:t>www.minbuza.nl</w:t>
                          </w:r>
                        </w:p>
                        <w:p w14:paraId="3991B7CB" w14:textId="77777777" w:rsidR="009C5007" w:rsidRPr="00A721C9" w:rsidRDefault="009C5007">
                          <w:pPr>
                            <w:pStyle w:val="WitregelW2"/>
                            <w:rPr>
                              <w:lang w:val="da-DK"/>
                            </w:rPr>
                          </w:pPr>
                        </w:p>
                        <w:p w14:paraId="3991B7CC" w14:textId="77777777" w:rsidR="009C5007" w:rsidRDefault="003817CD">
                          <w:pPr>
                            <w:pStyle w:val="Referentiegegevensbold"/>
                          </w:pPr>
                          <w:r>
                            <w:t>Onze referentie</w:t>
                          </w:r>
                        </w:p>
                        <w:p w14:paraId="3991B7CD" w14:textId="77777777" w:rsidR="009C5007" w:rsidRDefault="003817CD">
                          <w:pPr>
                            <w:pStyle w:val="Referentiegegevens"/>
                          </w:pPr>
                          <w:r>
                            <w:t>BZ2627256</w:t>
                          </w:r>
                        </w:p>
                        <w:p w14:paraId="3991B7CE" w14:textId="77777777" w:rsidR="009C5007" w:rsidRDefault="009C5007">
                          <w:pPr>
                            <w:pStyle w:val="WitregelW1"/>
                          </w:pPr>
                        </w:p>
                        <w:p w14:paraId="3991B7CF" w14:textId="77777777" w:rsidR="009C5007" w:rsidRDefault="003817CD">
                          <w:pPr>
                            <w:pStyle w:val="Referentiegegevensbold"/>
                          </w:pPr>
                          <w:r>
                            <w:t>Uw referentie</w:t>
                          </w:r>
                        </w:p>
                        <w:p w14:paraId="3991B7D0" w14:textId="77777777" w:rsidR="009C5007" w:rsidRDefault="003817CD">
                          <w:pPr>
                            <w:pStyle w:val="Referentiegegevens"/>
                          </w:pPr>
                          <w:r>
                            <w:t>TZ202604-106</w:t>
                          </w:r>
                        </w:p>
                        <w:p w14:paraId="3991B7D1" w14:textId="77777777" w:rsidR="009C5007" w:rsidRDefault="009C5007">
                          <w:pPr>
                            <w:pStyle w:val="WitregelW1"/>
                          </w:pPr>
                        </w:p>
                        <w:p w14:paraId="3991B7D2" w14:textId="77777777" w:rsidR="009C5007" w:rsidRDefault="003817CD">
                          <w:pPr>
                            <w:pStyle w:val="Referentiegegevensbold"/>
                          </w:pPr>
                          <w:r>
                            <w:t>Bijlage(n)</w:t>
                          </w:r>
                        </w:p>
                        <w:p w14:paraId="3991B7D3" w14:textId="77777777" w:rsidR="009C5007" w:rsidRDefault="003817C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991B7B1" id="41b10cd4-80a4-11ea-b356-6230a4311406" o:spid="_x0000_s1031" type="#_x0000_t202" style="position:absolute;margin-left:466.2pt;margin-top:154.8pt;width:11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6418CF2" w14:textId="77777777" w:rsidR="00A721C9" w:rsidRPr="00F51C07" w:rsidRDefault="00A721C9" w:rsidP="00A721C9">
                        <w:pPr>
                          <w:rPr>
                            <w:b/>
                            <w:sz w:val="13"/>
                            <w:szCs w:val="13"/>
                          </w:rPr>
                        </w:pPr>
                        <w:r w:rsidRPr="00FC13FA">
                          <w:rPr>
                            <w:b/>
                            <w:sz w:val="13"/>
                            <w:szCs w:val="13"/>
                          </w:rPr>
                          <w:t>Ministerie van Buitenlandse Zaken</w:t>
                        </w:r>
                      </w:p>
                    </w:sdtContent>
                  </w:sdt>
                  <w:p w14:paraId="7BC90B22" w14:textId="77777777" w:rsidR="00A721C9" w:rsidRPr="00EE5E5D" w:rsidRDefault="00A721C9" w:rsidP="00A721C9">
                    <w:pPr>
                      <w:rPr>
                        <w:sz w:val="13"/>
                        <w:szCs w:val="13"/>
                      </w:rPr>
                    </w:pPr>
                    <w:r>
                      <w:rPr>
                        <w:sz w:val="13"/>
                        <w:szCs w:val="13"/>
                      </w:rPr>
                      <w:t>Rijnstraat 8</w:t>
                    </w:r>
                  </w:p>
                  <w:p w14:paraId="6ABD14C7" w14:textId="77777777" w:rsidR="00A721C9" w:rsidRPr="0059764A" w:rsidRDefault="00A721C9" w:rsidP="00A721C9">
                    <w:pPr>
                      <w:rPr>
                        <w:sz w:val="13"/>
                        <w:szCs w:val="13"/>
                        <w:lang w:val="da-DK"/>
                      </w:rPr>
                    </w:pPr>
                    <w:r w:rsidRPr="0059764A">
                      <w:rPr>
                        <w:sz w:val="13"/>
                        <w:szCs w:val="13"/>
                        <w:lang w:val="da-DK"/>
                      </w:rPr>
                      <w:t>2515 XP Den Haag</w:t>
                    </w:r>
                  </w:p>
                  <w:p w14:paraId="72D31931" w14:textId="77777777" w:rsidR="00A721C9" w:rsidRPr="0059764A" w:rsidRDefault="00A721C9" w:rsidP="00A721C9">
                    <w:pPr>
                      <w:rPr>
                        <w:sz w:val="13"/>
                        <w:szCs w:val="13"/>
                        <w:lang w:val="da-DK"/>
                      </w:rPr>
                    </w:pPr>
                    <w:r w:rsidRPr="0059764A">
                      <w:rPr>
                        <w:sz w:val="13"/>
                        <w:szCs w:val="13"/>
                        <w:lang w:val="da-DK"/>
                      </w:rPr>
                      <w:t>Postbus 20061</w:t>
                    </w:r>
                  </w:p>
                  <w:p w14:paraId="277A5328" w14:textId="77777777" w:rsidR="00A721C9" w:rsidRPr="0059764A" w:rsidRDefault="00A721C9" w:rsidP="00A721C9">
                    <w:pPr>
                      <w:rPr>
                        <w:sz w:val="13"/>
                        <w:szCs w:val="13"/>
                        <w:lang w:val="da-DK"/>
                      </w:rPr>
                    </w:pPr>
                    <w:r w:rsidRPr="0059764A">
                      <w:rPr>
                        <w:sz w:val="13"/>
                        <w:szCs w:val="13"/>
                        <w:lang w:val="da-DK"/>
                      </w:rPr>
                      <w:t>Nederland</w:t>
                    </w:r>
                  </w:p>
                  <w:p w14:paraId="3991B7CA" w14:textId="77777777" w:rsidR="009C5007" w:rsidRPr="00A721C9" w:rsidRDefault="003817CD">
                    <w:pPr>
                      <w:pStyle w:val="Referentiegegevens"/>
                      <w:rPr>
                        <w:lang w:val="da-DK"/>
                      </w:rPr>
                    </w:pPr>
                    <w:r w:rsidRPr="00A721C9">
                      <w:rPr>
                        <w:lang w:val="da-DK"/>
                      </w:rPr>
                      <w:t>www.minbuza.nl</w:t>
                    </w:r>
                  </w:p>
                  <w:p w14:paraId="3991B7CB" w14:textId="77777777" w:rsidR="009C5007" w:rsidRPr="00A721C9" w:rsidRDefault="009C5007">
                    <w:pPr>
                      <w:pStyle w:val="WitregelW2"/>
                      <w:rPr>
                        <w:lang w:val="da-DK"/>
                      </w:rPr>
                    </w:pPr>
                  </w:p>
                  <w:p w14:paraId="3991B7CC" w14:textId="77777777" w:rsidR="009C5007" w:rsidRDefault="003817CD">
                    <w:pPr>
                      <w:pStyle w:val="Referentiegegevensbold"/>
                    </w:pPr>
                    <w:r>
                      <w:t>Onze referentie</w:t>
                    </w:r>
                  </w:p>
                  <w:p w14:paraId="3991B7CD" w14:textId="77777777" w:rsidR="009C5007" w:rsidRDefault="003817CD">
                    <w:pPr>
                      <w:pStyle w:val="Referentiegegevens"/>
                    </w:pPr>
                    <w:r>
                      <w:t>BZ2627256</w:t>
                    </w:r>
                  </w:p>
                  <w:p w14:paraId="3991B7CE" w14:textId="77777777" w:rsidR="009C5007" w:rsidRDefault="009C5007">
                    <w:pPr>
                      <w:pStyle w:val="WitregelW1"/>
                    </w:pPr>
                  </w:p>
                  <w:p w14:paraId="3991B7CF" w14:textId="77777777" w:rsidR="009C5007" w:rsidRDefault="003817CD">
                    <w:pPr>
                      <w:pStyle w:val="Referentiegegevensbold"/>
                    </w:pPr>
                    <w:r>
                      <w:t>Uw referentie</w:t>
                    </w:r>
                  </w:p>
                  <w:p w14:paraId="3991B7D0" w14:textId="77777777" w:rsidR="009C5007" w:rsidRDefault="003817CD">
                    <w:pPr>
                      <w:pStyle w:val="Referentiegegevens"/>
                    </w:pPr>
                    <w:r>
                      <w:t>TZ202604-106</w:t>
                    </w:r>
                  </w:p>
                  <w:p w14:paraId="3991B7D1" w14:textId="77777777" w:rsidR="009C5007" w:rsidRDefault="009C5007">
                    <w:pPr>
                      <w:pStyle w:val="WitregelW1"/>
                    </w:pPr>
                  </w:p>
                  <w:p w14:paraId="3991B7D2" w14:textId="77777777" w:rsidR="009C5007" w:rsidRDefault="003817CD">
                    <w:pPr>
                      <w:pStyle w:val="Referentiegegevensbold"/>
                    </w:pPr>
                    <w:r>
                      <w:t>Bijlage(n)</w:t>
                    </w:r>
                  </w:p>
                  <w:p w14:paraId="3991B7D3" w14:textId="77777777" w:rsidR="009C5007" w:rsidRDefault="003817C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991B7B5" wp14:editId="0B95FE9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91B7E1" w14:textId="77777777" w:rsidR="003817CD" w:rsidRDefault="003817CD"/>
                      </w:txbxContent>
                    </wps:txbx>
                    <wps:bodyPr vert="horz" wrap="square" lIns="0" tIns="0" rIns="0" bIns="0" anchor="t" anchorCtr="0"/>
                  </wps:wsp>
                </a:graphicData>
              </a:graphic>
            </wp:anchor>
          </w:drawing>
        </mc:Choice>
        <mc:Fallback>
          <w:pict>
            <v:shape w14:anchorId="3991B7B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91B7E1" w14:textId="77777777" w:rsidR="003817CD" w:rsidRDefault="003817C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991B7B7" wp14:editId="3991B7B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91B7E3" w14:textId="77777777" w:rsidR="003817CD" w:rsidRDefault="003817CD"/>
                      </w:txbxContent>
                    </wps:txbx>
                    <wps:bodyPr vert="horz" wrap="square" lIns="0" tIns="0" rIns="0" bIns="0" anchor="t" anchorCtr="0"/>
                  </wps:wsp>
                </a:graphicData>
              </a:graphic>
            </wp:anchor>
          </w:drawing>
        </mc:Choice>
        <mc:Fallback>
          <w:pict>
            <v:shape w14:anchorId="3991B7B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991B7E3" w14:textId="77777777" w:rsidR="003817CD" w:rsidRDefault="003817C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991B7B9" wp14:editId="3991B7B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91B7D5" w14:textId="77777777" w:rsidR="009C5007" w:rsidRDefault="003817CD">
                          <w:pPr>
                            <w:spacing w:line="240" w:lineRule="auto"/>
                          </w:pPr>
                          <w:r>
                            <w:rPr>
                              <w:noProof/>
                            </w:rPr>
                            <w:drawing>
                              <wp:inline distT="0" distB="0" distL="0" distR="0" wp14:anchorId="3991B7DB" wp14:editId="3991B7D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91B7B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991B7D5" w14:textId="77777777" w:rsidR="009C5007" w:rsidRDefault="003817CD">
                    <w:pPr>
                      <w:spacing w:line="240" w:lineRule="auto"/>
                    </w:pPr>
                    <w:r>
                      <w:rPr>
                        <w:noProof/>
                      </w:rPr>
                      <w:drawing>
                        <wp:inline distT="0" distB="0" distL="0" distR="0" wp14:anchorId="3991B7DB" wp14:editId="3991B7D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1CC80"/>
    <w:multiLevelType w:val="multilevel"/>
    <w:tmpl w:val="0D57C11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08F37B0"/>
    <w:multiLevelType w:val="multilevel"/>
    <w:tmpl w:val="E88F700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DEA588"/>
    <w:multiLevelType w:val="multilevel"/>
    <w:tmpl w:val="6FA47E2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63E679E"/>
    <w:multiLevelType w:val="multilevel"/>
    <w:tmpl w:val="9FC5FB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8ED076A"/>
    <w:multiLevelType w:val="multilevel"/>
    <w:tmpl w:val="F16F4AC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9AB597F"/>
    <w:multiLevelType w:val="hybridMultilevel"/>
    <w:tmpl w:val="169A95B0"/>
    <w:lvl w:ilvl="0" w:tplc="EE42130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7881730">
    <w:abstractNumId w:val="4"/>
  </w:num>
  <w:num w:numId="2" w16cid:durableId="1029642193">
    <w:abstractNumId w:val="2"/>
  </w:num>
  <w:num w:numId="3" w16cid:durableId="1527020844">
    <w:abstractNumId w:val="3"/>
  </w:num>
  <w:num w:numId="4" w16cid:durableId="1293949918">
    <w:abstractNumId w:val="0"/>
  </w:num>
  <w:num w:numId="5" w16cid:durableId="1878004680">
    <w:abstractNumId w:val="1"/>
  </w:num>
  <w:num w:numId="6" w16cid:durableId="749547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07"/>
    <w:rsid w:val="0001417F"/>
    <w:rsid w:val="00024B41"/>
    <w:rsid w:val="00026FE3"/>
    <w:rsid w:val="00054251"/>
    <w:rsid w:val="00061B12"/>
    <w:rsid w:val="000A4F50"/>
    <w:rsid w:val="000B5247"/>
    <w:rsid w:val="000D40D0"/>
    <w:rsid w:val="000D4351"/>
    <w:rsid w:val="00167EBF"/>
    <w:rsid w:val="001748CB"/>
    <w:rsid w:val="0018012D"/>
    <w:rsid w:val="0019732E"/>
    <w:rsid w:val="001A7289"/>
    <w:rsid w:val="001B4CF6"/>
    <w:rsid w:val="001D4726"/>
    <w:rsid w:val="001F2180"/>
    <w:rsid w:val="002A6FCE"/>
    <w:rsid w:val="002C7746"/>
    <w:rsid w:val="002D5C57"/>
    <w:rsid w:val="002F5DC5"/>
    <w:rsid w:val="00310A76"/>
    <w:rsid w:val="003574F8"/>
    <w:rsid w:val="003817CD"/>
    <w:rsid w:val="003A6B2C"/>
    <w:rsid w:val="003E5F5A"/>
    <w:rsid w:val="00455708"/>
    <w:rsid w:val="00486F14"/>
    <w:rsid w:val="004952B9"/>
    <w:rsid w:val="004A1452"/>
    <w:rsid w:val="004B242A"/>
    <w:rsid w:val="004B4C5C"/>
    <w:rsid w:val="004F5DB2"/>
    <w:rsid w:val="00534A4F"/>
    <w:rsid w:val="00547690"/>
    <w:rsid w:val="005714AF"/>
    <w:rsid w:val="005D1700"/>
    <w:rsid w:val="00600345"/>
    <w:rsid w:val="006239ED"/>
    <w:rsid w:val="00635DF9"/>
    <w:rsid w:val="00637887"/>
    <w:rsid w:val="00674808"/>
    <w:rsid w:val="006A1063"/>
    <w:rsid w:val="006C2D5A"/>
    <w:rsid w:val="006E1993"/>
    <w:rsid w:val="0076588B"/>
    <w:rsid w:val="007851AE"/>
    <w:rsid w:val="00785742"/>
    <w:rsid w:val="007A0F37"/>
    <w:rsid w:val="007B39A6"/>
    <w:rsid w:val="007B6FE1"/>
    <w:rsid w:val="007C2BDC"/>
    <w:rsid w:val="007E39DE"/>
    <w:rsid w:val="007E6E02"/>
    <w:rsid w:val="00817574"/>
    <w:rsid w:val="00843AB7"/>
    <w:rsid w:val="00847294"/>
    <w:rsid w:val="00882B97"/>
    <w:rsid w:val="008955E5"/>
    <w:rsid w:val="009310D7"/>
    <w:rsid w:val="00974044"/>
    <w:rsid w:val="0097731F"/>
    <w:rsid w:val="009B57F4"/>
    <w:rsid w:val="009B5F94"/>
    <w:rsid w:val="009C5007"/>
    <w:rsid w:val="009D638D"/>
    <w:rsid w:val="009E5FA0"/>
    <w:rsid w:val="00A00BA4"/>
    <w:rsid w:val="00A01D58"/>
    <w:rsid w:val="00A07663"/>
    <w:rsid w:val="00A16BFB"/>
    <w:rsid w:val="00A22C44"/>
    <w:rsid w:val="00A24B33"/>
    <w:rsid w:val="00A35732"/>
    <w:rsid w:val="00A376D6"/>
    <w:rsid w:val="00A403AE"/>
    <w:rsid w:val="00A721C9"/>
    <w:rsid w:val="00AA56EA"/>
    <w:rsid w:val="00B101D9"/>
    <w:rsid w:val="00B2105A"/>
    <w:rsid w:val="00B27D80"/>
    <w:rsid w:val="00B41C77"/>
    <w:rsid w:val="00B61461"/>
    <w:rsid w:val="00B6523B"/>
    <w:rsid w:val="00BA3934"/>
    <w:rsid w:val="00BE1B65"/>
    <w:rsid w:val="00BE2CE3"/>
    <w:rsid w:val="00BF0EDD"/>
    <w:rsid w:val="00C14940"/>
    <w:rsid w:val="00C652D6"/>
    <w:rsid w:val="00CA57D1"/>
    <w:rsid w:val="00CC1276"/>
    <w:rsid w:val="00CF2865"/>
    <w:rsid w:val="00D011FB"/>
    <w:rsid w:val="00D1401C"/>
    <w:rsid w:val="00D274F6"/>
    <w:rsid w:val="00D44E69"/>
    <w:rsid w:val="00D958E7"/>
    <w:rsid w:val="00DD1403"/>
    <w:rsid w:val="00DD1FE7"/>
    <w:rsid w:val="00E23C82"/>
    <w:rsid w:val="00E31D72"/>
    <w:rsid w:val="00E534AF"/>
    <w:rsid w:val="00E92A45"/>
    <w:rsid w:val="00EB45D9"/>
    <w:rsid w:val="00EC20FC"/>
    <w:rsid w:val="00ED0620"/>
    <w:rsid w:val="00EE3216"/>
    <w:rsid w:val="00F2287B"/>
    <w:rsid w:val="00F362C8"/>
    <w:rsid w:val="00F557AE"/>
    <w:rsid w:val="00F64B4A"/>
    <w:rsid w:val="00F850D5"/>
    <w:rsid w:val="00FA2FB7"/>
    <w:rsid w:val="00FA4180"/>
    <w:rsid w:val="2C25FD83"/>
    <w:rsid w:val="3CB13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91B796"/>
  <w15:docId w15:val="{32B69088-F064-4A61-9AAE-7DFB296B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785742"/>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54251"/>
    <w:pPr>
      <w:spacing w:line="240" w:lineRule="auto"/>
    </w:pPr>
    <w:rPr>
      <w:sz w:val="20"/>
      <w:szCs w:val="20"/>
    </w:rPr>
  </w:style>
  <w:style w:type="character" w:customStyle="1" w:styleId="FootnoteTextChar">
    <w:name w:val="Footnote Text Char"/>
    <w:basedOn w:val="DefaultParagraphFont"/>
    <w:link w:val="FootnoteText"/>
    <w:uiPriority w:val="99"/>
    <w:semiHidden/>
    <w:rsid w:val="00054251"/>
    <w:rPr>
      <w:rFonts w:ascii="Verdana" w:hAnsi="Verdana"/>
      <w:color w:val="000000"/>
    </w:rPr>
  </w:style>
  <w:style w:type="character" w:styleId="FootnoteReference">
    <w:name w:val="footnote reference"/>
    <w:basedOn w:val="DefaultParagraphFont"/>
    <w:uiPriority w:val="99"/>
    <w:semiHidden/>
    <w:unhideWhenUsed/>
    <w:rsid w:val="00054251"/>
    <w:rPr>
      <w:vertAlign w:val="superscript"/>
    </w:rPr>
  </w:style>
  <w:style w:type="paragraph" w:styleId="Header">
    <w:name w:val="header"/>
    <w:basedOn w:val="Normal"/>
    <w:link w:val="HeaderChar"/>
    <w:uiPriority w:val="99"/>
    <w:unhideWhenUsed/>
    <w:rsid w:val="00E23C82"/>
    <w:pPr>
      <w:tabs>
        <w:tab w:val="center" w:pos="4513"/>
        <w:tab w:val="right" w:pos="9026"/>
      </w:tabs>
      <w:spacing w:line="240" w:lineRule="auto"/>
    </w:pPr>
  </w:style>
  <w:style w:type="character" w:customStyle="1" w:styleId="HeaderChar">
    <w:name w:val="Header Char"/>
    <w:basedOn w:val="DefaultParagraphFont"/>
    <w:link w:val="Header"/>
    <w:uiPriority w:val="99"/>
    <w:rsid w:val="00E23C82"/>
    <w:rPr>
      <w:rFonts w:ascii="Verdana" w:hAnsi="Verdana"/>
      <w:color w:val="000000"/>
      <w:sz w:val="18"/>
      <w:szCs w:val="18"/>
    </w:rPr>
  </w:style>
  <w:style w:type="paragraph" w:styleId="Footer">
    <w:name w:val="footer"/>
    <w:basedOn w:val="Normal"/>
    <w:link w:val="FooterChar"/>
    <w:uiPriority w:val="99"/>
    <w:unhideWhenUsed/>
    <w:rsid w:val="00E23C82"/>
    <w:pPr>
      <w:tabs>
        <w:tab w:val="center" w:pos="4513"/>
        <w:tab w:val="right" w:pos="9026"/>
      </w:tabs>
      <w:spacing w:line="240" w:lineRule="auto"/>
    </w:pPr>
  </w:style>
  <w:style w:type="character" w:customStyle="1" w:styleId="FooterChar">
    <w:name w:val="Footer Char"/>
    <w:basedOn w:val="DefaultParagraphFont"/>
    <w:link w:val="Footer"/>
    <w:uiPriority w:val="99"/>
    <w:rsid w:val="00E23C82"/>
    <w:rPr>
      <w:rFonts w:ascii="Verdana" w:hAnsi="Verdana"/>
      <w:color w:val="000000"/>
      <w:sz w:val="18"/>
      <w:szCs w:val="18"/>
    </w:rPr>
  </w:style>
  <w:style w:type="character" w:styleId="CommentReference">
    <w:name w:val="annotation reference"/>
    <w:basedOn w:val="DefaultParagraphFont"/>
    <w:uiPriority w:val="99"/>
    <w:semiHidden/>
    <w:unhideWhenUsed/>
    <w:rsid w:val="00A376D6"/>
    <w:rPr>
      <w:sz w:val="16"/>
      <w:szCs w:val="16"/>
    </w:rPr>
  </w:style>
  <w:style w:type="paragraph" w:styleId="CommentText">
    <w:name w:val="annotation text"/>
    <w:basedOn w:val="Normal"/>
    <w:link w:val="CommentTextChar"/>
    <w:uiPriority w:val="99"/>
    <w:unhideWhenUsed/>
    <w:rsid w:val="00A376D6"/>
    <w:pPr>
      <w:spacing w:line="240" w:lineRule="auto"/>
    </w:pPr>
    <w:rPr>
      <w:sz w:val="20"/>
      <w:szCs w:val="20"/>
    </w:rPr>
  </w:style>
  <w:style w:type="character" w:customStyle="1" w:styleId="CommentTextChar">
    <w:name w:val="Comment Text Char"/>
    <w:basedOn w:val="DefaultParagraphFont"/>
    <w:link w:val="CommentText"/>
    <w:uiPriority w:val="99"/>
    <w:rsid w:val="00A376D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376D6"/>
    <w:rPr>
      <w:b/>
      <w:bCs/>
    </w:rPr>
  </w:style>
  <w:style w:type="character" w:customStyle="1" w:styleId="CommentSubjectChar">
    <w:name w:val="Comment Subject Char"/>
    <w:basedOn w:val="CommentTextChar"/>
    <w:link w:val="CommentSubject"/>
    <w:uiPriority w:val="99"/>
    <w:semiHidden/>
    <w:rsid w:val="00A376D6"/>
    <w:rPr>
      <w:rFonts w:ascii="Verdana" w:hAnsi="Verdana"/>
      <w:b/>
      <w:bCs/>
      <w:color w:val="000000"/>
    </w:rPr>
  </w:style>
  <w:style w:type="paragraph" w:styleId="Revision">
    <w:name w:val="Revision"/>
    <w:hidden/>
    <w:uiPriority w:val="99"/>
    <w:semiHidden/>
    <w:rsid w:val="00486F14"/>
    <w:pPr>
      <w:autoSpaceDN/>
      <w:textAlignment w:val="auto"/>
    </w:pPr>
    <w:rPr>
      <w:rFonts w:ascii="Verdana" w:hAnsi="Verdana"/>
      <w:color w:val="000000"/>
      <w:sz w:val="18"/>
      <w:szCs w:val="18"/>
    </w:rPr>
  </w:style>
  <w:style w:type="paragraph" w:styleId="ListParagraph">
    <w:name w:val="List Paragraph"/>
    <w:basedOn w:val="Normal"/>
    <w:uiPriority w:val="34"/>
    <w:rsid w:val="00357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321</ap:Words>
  <ap:Characters>1769</ap:Characters>
  <ap:DocSecurity>0</ap:DocSecurity>
  <ap:Lines>14</ap:Lines>
  <ap:Paragraphs>4</ap:Paragraphs>
  <ap:ScaleCrop>false</ap:ScaleCrop>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2026-07-08T14:26:00.0000000Z</lastPrinted>
  <dcterms:created xsi:type="dcterms:W3CDTF">2026-07-10T09:08:00.0000000Z</dcterms:created>
  <dcterms:modified xsi:type="dcterms:W3CDTF">2026-07-10T09:08:00.0000000Z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0x0101009C7CE436063D44E9BE7DC0259EF7C32F006EB9F9836A634AE58B6169785FD3936F00D0BFD0E305C7C345B42543D86FA71BCA</vt:lpwstr>
  </property>
  <property fmtid="{D5CDD505-2E9C-101B-9397-08002B2CF9AE}" pid="3" name="BZDossierTemplate">
    <vt:lpwstr>Toezegging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https://247.plaza.buzaservices.nl/subject/PV-TZ2026012026/BZ2627256/Reguliere%20kamerbrief%20-%20TZ%20M%20-%20brief%20over%20besluit%20om%20de%20uitspraak%20vd%20HR%20in%20cassatie%20in%20zaak%20vd%20Afgh.%20bewakers%20af%20te%20wachten.docx, </vt:lpwstr>
  </property>
  <property fmtid="{D5CDD505-2E9C-101B-9397-08002B2CF9AE}" pid="24" name="_dlc_DocIdItemGuid">
    <vt:lpwstr>da58f533-42b8-46ac-8f58-f36376154bf7</vt:lpwstr>
  </property>
  <property fmtid="{D5CDD505-2E9C-101B-9397-08002B2CF9AE}" pid="25" name="_docset_NoMedatataSyncRequired">
    <vt:lpwstr>False</vt:lpwstr>
  </property>
</Properties>
</file>