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D6D53" w:rsidTr="00D9561B" w14:paraId="31F1F4AE" w14:textId="77777777">
        <w:trPr>
          <w:trHeight w:val="1514"/>
        </w:trPr>
        <w:tc>
          <w:tcPr>
            <w:tcW w:w="7522" w:type="dxa"/>
            <w:tcBorders>
              <w:top w:val="nil"/>
              <w:left w:val="nil"/>
              <w:bottom w:val="nil"/>
              <w:right w:val="nil"/>
            </w:tcBorders>
            <w:tcMar>
              <w:left w:w="0" w:type="dxa"/>
              <w:right w:w="0" w:type="dxa"/>
            </w:tcMar>
          </w:tcPr>
          <w:p w:rsidR="00374412" w:rsidP="00D9561B" w:rsidRDefault="00822D24" w14:paraId="40C9C2FE" w14:textId="77777777">
            <w:r>
              <w:t>De v</w:t>
            </w:r>
            <w:r w:rsidR="008E3932">
              <w:t>oorzitter van de Tweede Kamer der Staten-Generaal</w:t>
            </w:r>
          </w:p>
          <w:p w:rsidR="00374412" w:rsidP="00D9561B" w:rsidRDefault="00822D24" w14:paraId="174A6F0E" w14:textId="77777777">
            <w:r>
              <w:t>Postbus 20018</w:t>
            </w:r>
          </w:p>
          <w:p w:rsidR="008E3932" w:rsidP="00D9561B" w:rsidRDefault="00822D24" w14:paraId="1D932B5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D6D53" w:rsidTr="00FF66F9" w14:paraId="41C81831" w14:textId="77777777">
        <w:trPr>
          <w:trHeight w:val="289" w:hRule="exact"/>
        </w:trPr>
        <w:tc>
          <w:tcPr>
            <w:tcW w:w="929" w:type="dxa"/>
          </w:tcPr>
          <w:p w:rsidRPr="00434042" w:rsidR="0005404B" w:rsidP="00FF66F9" w:rsidRDefault="00822D24" w14:paraId="2A4495C6" w14:textId="77777777">
            <w:pPr>
              <w:rPr>
                <w:lang w:eastAsia="en-US"/>
              </w:rPr>
            </w:pPr>
            <w:r>
              <w:rPr>
                <w:lang w:eastAsia="en-US"/>
              </w:rPr>
              <w:t>Datum</w:t>
            </w:r>
          </w:p>
        </w:tc>
        <w:tc>
          <w:tcPr>
            <w:tcW w:w="6581" w:type="dxa"/>
          </w:tcPr>
          <w:p w:rsidRPr="00434042" w:rsidR="0005404B" w:rsidP="00FF66F9" w:rsidRDefault="00F40D36" w14:paraId="24328940" w14:textId="296FC174">
            <w:pPr>
              <w:rPr>
                <w:lang w:eastAsia="en-US"/>
              </w:rPr>
            </w:pPr>
            <w:r>
              <w:rPr>
                <w:lang w:eastAsia="en-US"/>
              </w:rPr>
              <w:t>10 juli 2026</w:t>
            </w:r>
          </w:p>
        </w:tc>
      </w:tr>
      <w:tr w:rsidR="00BD6D53" w:rsidTr="00FF66F9" w14:paraId="0E5C4126" w14:textId="77777777">
        <w:trPr>
          <w:trHeight w:val="368"/>
        </w:trPr>
        <w:tc>
          <w:tcPr>
            <w:tcW w:w="929" w:type="dxa"/>
          </w:tcPr>
          <w:p w:rsidR="0005404B" w:rsidP="00FF66F9" w:rsidRDefault="00822D24" w14:paraId="3454F5A1" w14:textId="77777777">
            <w:pPr>
              <w:rPr>
                <w:lang w:eastAsia="en-US"/>
              </w:rPr>
            </w:pPr>
            <w:r>
              <w:rPr>
                <w:lang w:eastAsia="en-US"/>
              </w:rPr>
              <w:t>Betreft</w:t>
            </w:r>
          </w:p>
        </w:tc>
        <w:tc>
          <w:tcPr>
            <w:tcW w:w="6581" w:type="dxa"/>
          </w:tcPr>
          <w:p w:rsidR="0005404B" w:rsidP="00FF66F9" w:rsidRDefault="00822D24" w14:paraId="3A5FF58F" w14:textId="77777777">
            <w:pPr>
              <w:rPr>
                <w:lang w:eastAsia="en-US"/>
              </w:rPr>
            </w:pPr>
            <w:r>
              <w:rPr>
                <w:lang w:eastAsia="en-US"/>
              </w:rPr>
              <w:t>Geannoteerde Agenda informele Raad voor Concurrentievermogen 21 juli 2026 te Dublin</w:t>
            </w:r>
          </w:p>
        </w:tc>
      </w:tr>
    </w:tbl>
    <w:p w:rsidR="00BD6D53" w:rsidRDefault="001C2C36" w14:paraId="043C0C4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129A8" w:rsidR="00BD6D53" w:rsidTr="00A421A1" w14:paraId="555A7EF4" w14:textId="77777777">
        <w:tc>
          <w:tcPr>
            <w:tcW w:w="2160" w:type="dxa"/>
          </w:tcPr>
          <w:p w:rsidRPr="00F53C9D" w:rsidR="006205C0" w:rsidP="00686AED" w:rsidRDefault="00822D24" w14:paraId="0EAEA4A2" w14:textId="77777777">
            <w:pPr>
              <w:pStyle w:val="Colofonkop"/>
              <w:framePr w:hSpace="0" w:wrap="auto" w:hAnchor="text" w:vAnchor="margin" w:xAlign="left" w:yAlign="inline"/>
            </w:pPr>
            <w:r>
              <w:t>Onderzoek en Wetenschapsbeleid</w:t>
            </w:r>
          </w:p>
          <w:p w:rsidR="006205C0" w:rsidP="00A421A1" w:rsidRDefault="00822D24" w14:paraId="5CEE82DD" w14:textId="77777777">
            <w:pPr>
              <w:pStyle w:val="Huisstijl-Gegeven"/>
              <w:spacing w:after="0"/>
            </w:pPr>
            <w:r>
              <w:t xml:space="preserve">Rijnstraat 50 </w:t>
            </w:r>
          </w:p>
          <w:p w:rsidR="004425A7" w:rsidP="00E972A2" w:rsidRDefault="00822D24" w14:paraId="451F31F9" w14:textId="77777777">
            <w:pPr>
              <w:pStyle w:val="Huisstijl-Gegeven"/>
              <w:spacing w:after="0"/>
            </w:pPr>
            <w:r>
              <w:t>Den Haag</w:t>
            </w:r>
          </w:p>
          <w:p w:rsidR="004425A7" w:rsidP="00E972A2" w:rsidRDefault="00822D24" w14:paraId="58CD078E" w14:textId="77777777">
            <w:pPr>
              <w:pStyle w:val="Huisstijl-Gegeven"/>
              <w:spacing w:after="0"/>
            </w:pPr>
            <w:r>
              <w:t>Postbus 16375</w:t>
            </w:r>
          </w:p>
          <w:p w:rsidR="004425A7" w:rsidP="00E972A2" w:rsidRDefault="00822D24" w14:paraId="4CA7B438" w14:textId="77777777">
            <w:pPr>
              <w:pStyle w:val="Huisstijl-Gegeven"/>
              <w:spacing w:after="0"/>
            </w:pPr>
            <w:r>
              <w:t>2500 BJ Den Haag</w:t>
            </w:r>
          </w:p>
          <w:p w:rsidR="004425A7" w:rsidP="00E972A2" w:rsidRDefault="00822D24" w14:paraId="58B995D2" w14:textId="77777777">
            <w:pPr>
              <w:pStyle w:val="Huisstijl-Gegeven"/>
              <w:spacing w:after="90"/>
            </w:pPr>
            <w:r>
              <w:t>www.rijksoverheid.nl</w:t>
            </w:r>
          </w:p>
          <w:p w:rsidRPr="00D86CC6" w:rsidR="006205C0" w:rsidP="00A421A1" w:rsidRDefault="00822D24" w14:paraId="62B56C15" w14:textId="77777777">
            <w:pPr>
              <w:spacing w:line="180" w:lineRule="exact"/>
              <w:rPr>
                <w:b/>
                <w:sz w:val="13"/>
                <w:szCs w:val="13"/>
              </w:rPr>
            </w:pPr>
            <w:r>
              <w:rPr>
                <w:b/>
                <w:sz w:val="13"/>
                <w:szCs w:val="13"/>
              </w:rPr>
              <w:t>Contactpersoon</w:t>
            </w:r>
          </w:p>
          <w:p w:rsidR="006205C0" w:rsidP="00A421A1" w:rsidRDefault="006205C0" w14:paraId="0FAFB32D" w14:textId="77777777">
            <w:pPr>
              <w:spacing w:line="180" w:lineRule="exact"/>
              <w:rPr>
                <w:sz w:val="13"/>
                <w:szCs w:val="13"/>
              </w:rPr>
            </w:pPr>
          </w:p>
          <w:p w:rsidR="00F40D36" w:rsidP="00A421A1" w:rsidRDefault="00F40D36" w14:paraId="58B205A4" w14:textId="77777777">
            <w:pPr>
              <w:spacing w:line="180" w:lineRule="exact"/>
              <w:rPr>
                <w:sz w:val="13"/>
                <w:szCs w:val="13"/>
              </w:rPr>
            </w:pPr>
          </w:p>
          <w:p w:rsidRPr="007129A8" w:rsidR="00F40D36" w:rsidP="00A421A1" w:rsidRDefault="00F40D36" w14:paraId="3FD7D02F" w14:textId="3C26BAD1">
            <w:pPr>
              <w:spacing w:line="180" w:lineRule="exact"/>
              <w:rPr>
                <w:sz w:val="13"/>
                <w:szCs w:val="13"/>
                <w:lang w:val="en-US"/>
              </w:rPr>
            </w:pPr>
          </w:p>
        </w:tc>
      </w:tr>
      <w:tr w:rsidRPr="007129A8" w:rsidR="00BD6D53" w:rsidTr="00A421A1" w14:paraId="279C87F3" w14:textId="77777777">
        <w:trPr>
          <w:trHeight w:val="200" w:hRule="exact"/>
        </w:trPr>
        <w:tc>
          <w:tcPr>
            <w:tcW w:w="2160" w:type="dxa"/>
          </w:tcPr>
          <w:p w:rsidRPr="007129A8" w:rsidR="006205C0" w:rsidP="00A421A1" w:rsidRDefault="006205C0" w14:paraId="0BC5355A" w14:textId="77777777">
            <w:pPr>
              <w:spacing w:after="90" w:line="180" w:lineRule="exact"/>
              <w:rPr>
                <w:sz w:val="13"/>
                <w:szCs w:val="13"/>
                <w:lang w:val="en-US"/>
              </w:rPr>
            </w:pPr>
          </w:p>
        </w:tc>
      </w:tr>
      <w:tr w:rsidR="00BD6D53" w:rsidTr="00A421A1" w14:paraId="16890F1A" w14:textId="77777777">
        <w:trPr>
          <w:trHeight w:val="450"/>
        </w:trPr>
        <w:tc>
          <w:tcPr>
            <w:tcW w:w="2160" w:type="dxa"/>
          </w:tcPr>
          <w:p w:rsidR="00F51A76" w:rsidP="00A421A1" w:rsidRDefault="00822D24" w14:paraId="3B184F57" w14:textId="77777777">
            <w:pPr>
              <w:spacing w:line="180" w:lineRule="exact"/>
              <w:rPr>
                <w:b/>
                <w:sz w:val="13"/>
                <w:szCs w:val="13"/>
              </w:rPr>
            </w:pPr>
            <w:r>
              <w:rPr>
                <w:b/>
                <w:sz w:val="13"/>
                <w:szCs w:val="13"/>
              </w:rPr>
              <w:t>Onze referentie</w:t>
            </w:r>
          </w:p>
          <w:p w:rsidRPr="00FA7882" w:rsidR="006205C0" w:rsidP="00215356" w:rsidRDefault="00822D24" w14:paraId="2EA8A32F" w14:textId="77777777">
            <w:pPr>
              <w:spacing w:line="180" w:lineRule="exact"/>
              <w:rPr>
                <w:sz w:val="13"/>
                <w:szCs w:val="13"/>
              </w:rPr>
            </w:pPr>
            <w:r>
              <w:rPr>
                <w:sz w:val="13"/>
                <w:szCs w:val="13"/>
              </w:rPr>
              <w:t>65117245</w:t>
            </w:r>
          </w:p>
        </w:tc>
      </w:tr>
      <w:tr w:rsidR="00BD6D53" w:rsidTr="00D130C0" w14:paraId="7DA47E4B" w14:textId="77777777">
        <w:trPr>
          <w:trHeight w:val="113"/>
        </w:trPr>
        <w:tc>
          <w:tcPr>
            <w:tcW w:w="2160" w:type="dxa"/>
          </w:tcPr>
          <w:p w:rsidRPr="00C5333A" w:rsidR="006205C0" w:rsidP="00D36088" w:rsidRDefault="00822D24" w14:paraId="231527CC" w14:textId="77777777">
            <w:pPr>
              <w:tabs>
                <w:tab w:val="center" w:pos="1080"/>
              </w:tabs>
              <w:spacing w:line="180" w:lineRule="exact"/>
              <w:rPr>
                <w:sz w:val="13"/>
                <w:szCs w:val="13"/>
              </w:rPr>
            </w:pPr>
            <w:r>
              <w:rPr>
                <w:b/>
                <w:sz w:val="13"/>
                <w:szCs w:val="13"/>
              </w:rPr>
              <w:t>Bijlagen</w:t>
            </w:r>
          </w:p>
        </w:tc>
      </w:tr>
      <w:tr w:rsidR="00BD6D53" w:rsidTr="00D130C0" w14:paraId="254F62B7" w14:textId="77777777">
        <w:trPr>
          <w:trHeight w:val="113"/>
        </w:trPr>
        <w:tc>
          <w:tcPr>
            <w:tcW w:w="2160" w:type="dxa"/>
          </w:tcPr>
          <w:p w:rsidRPr="00D74F66" w:rsidR="006205C0" w:rsidP="00A421A1" w:rsidRDefault="006205C0" w14:paraId="2A8E0480" w14:textId="77777777">
            <w:pPr>
              <w:spacing w:after="90" w:line="180" w:lineRule="exact"/>
              <w:rPr>
                <w:sz w:val="13"/>
              </w:rPr>
            </w:pPr>
          </w:p>
        </w:tc>
      </w:tr>
    </w:tbl>
    <w:p w:rsidR="00215356" w:rsidRDefault="00215356" w14:paraId="718AD381" w14:textId="77777777"/>
    <w:p w:rsidRPr="007129A8" w:rsidR="007129A8" w:rsidP="007129A8" w:rsidRDefault="007129A8" w14:paraId="29F80355" w14:textId="062BE9A7">
      <w:r w:rsidRPr="007129A8">
        <w:t xml:space="preserve">Hierbij bied ik uw Kamer, mede namens de minister van Economische Zaken en Klimaat, de Geannoteerde Agenda </w:t>
      </w:r>
      <w:r>
        <w:t xml:space="preserve">aan </w:t>
      </w:r>
      <w:r w:rsidRPr="007129A8">
        <w:t xml:space="preserve">voor de informele Raad voor Concurrentievermogen van </w:t>
      </w:r>
      <w:r>
        <w:t>2</w:t>
      </w:r>
      <w:r w:rsidRPr="007129A8">
        <w:t xml:space="preserve">1 </w:t>
      </w:r>
      <w:r>
        <w:t>juli te Dublin voor het</w:t>
      </w:r>
      <w:r w:rsidRPr="007129A8">
        <w:t xml:space="preserve"> onderdeel onderzoek &amp; innovatie. </w:t>
      </w:r>
    </w:p>
    <w:p w:rsidR="006205C0" w:rsidP="00A421A1" w:rsidRDefault="006205C0" w14:paraId="75E0F193" w14:textId="77777777"/>
    <w:p w:rsidR="00105677" w:rsidP="00CA35E4" w:rsidRDefault="006F0901" w14:paraId="51A07C07" w14:textId="60EFDFC6">
      <w:r>
        <w:t xml:space="preserve">Ik wil u verder via deze weg informeren over het op 26 juni jongstleden gesloten gedeeltelijke Raadsakkoord over het nieuwe Europese kaderprogramma </w:t>
      </w:r>
      <w:r w:rsidR="007B7264">
        <w:t>voor</w:t>
      </w:r>
      <w:r>
        <w:t xml:space="preserve"> onderzoek en innovatie, Horizon Europe (2028-2034).</w:t>
      </w:r>
    </w:p>
    <w:p w:rsidR="00820DDA" w:rsidP="00CA35E4" w:rsidRDefault="00820DDA" w14:paraId="14C2FA7A" w14:textId="77777777"/>
    <w:p w:rsidR="007851C4" w:rsidP="00CA35E4" w:rsidRDefault="00822D24" w14:paraId="170FDD4F" w14:textId="77777777">
      <w:r w:rsidRPr="007851C4">
        <w:t xml:space="preserve"> </w:t>
      </w:r>
    </w:p>
    <w:p w:rsidR="007851C4" w:rsidP="00CA35E4" w:rsidRDefault="007851C4" w14:paraId="56A9E202" w14:textId="77777777"/>
    <w:p w:rsidR="00820DDA" w:rsidP="00CA35E4" w:rsidRDefault="00822D24" w14:paraId="4E505D6A" w14:textId="77777777">
      <w:r>
        <w:t>De minister van Onderwijs, Cultuur en Wetenschap,</w:t>
      </w:r>
    </w:p>
    <w:p w:rsidR="000F521E" w:rsidP="003A7160" w:rsidRDefault="000F521E" w14:paraId="7C1C7A8E" w14:textId="77777777"/>
    <w:p w:rsidR="000F521E" w:rsidP="003A7160" w:rsidRDefault="000F521E" w14:paraId="6B968BA0" w14:textId="77777777"/>
    <w:p w:rsidR="000F521E" w:rsidP="003A7160" w:rsidRDefault="000F521E" w14:paraId="097764A7" w14:textId="77777777"/>
    <w:p w:rsidR="000F521E" w:rsidP="003A7160" w:rsidRDefault="000F521E" w14:paraId="445D00F5" w14:textId="77777777"/>
    <w:p w:rsidR="007129A8" w:rsidP="003A7160" w:rsidRDefault="00822D24" w14:paraId="3EFA89E0" w14:textId="14FF1CC0">
      <w:pPr>
        <w:rPr>
          <w:lang w:eastAsia="en-US"/>
        </w:rPr>
      </w:pPr>
      <w:r w:rsidRPr="006C6CF8">
        <w:rPr>
          <w:lang w:eastAsia="en-US"/>
        </w:rPr>
        <w:t>Rianne Letschert</w:t>
      </w:r>
    </w:p>
    <w:p w:rsidR="007129A8" w:rsidRDefault="007129A8" w14:paraId="19FE9EDC" w14:textId="77777777">
      <w:pPr>
        <w:spacing w:line="240" w:lineRule="auto"/>
        <w:rPr>
          <w:lang w:eastAsia="en-US"/>
        </w:rPr>
      </w:pPr>
      <w:r>
        <w:rPr>
          <w:lang w:eastAsia="en-US"/>
        </w:rPr>
        <w:br w:type="page"/>
      </w:r>
    </w:p>
    <w:p w:rsidR="00121930" w:rsidP="00121930" w:rsidRDefault="00121930" w14:paraId="40350DC9" w14:textId="77777777">
      <w:pPr>
        <w:rPr>
          <w:rFonts w:eastAsia="Calibri" w:cs="Arial"/>
          <w:b/>
          <w:bCs/>
          <w:kern w:val="2"/>
          <w:szCs w:val="18"/>
          <w:lang w:eastAsia="en-US"/>
          <w14:ligatures w14:val="standardContextual"/>
        </w:rPr>
      </w:pPr>
      <w:r w:rsidRPr="007129A8">
        <w:rPr>
          <w:rFonts w:eastAsia="Calibri" w:cs="Arial"/>
          <w:b/>
          <w:bCs/>
          <w:kern w:val="2"/>
          <w:szCs w:val="18"/>
          <w:lang w:eastAsia="en-US"/>
          <w14:ligatures w14:val="standardContextual"/>
        </w:rPr>
        <w:lastRenderedPageBreak/>
        <w:t xml:space="preserve">Beleidsdebat 1 </w:t>
      </w:r>
    </w:p>
    <w:p w:rsidRPr="007129A8" w:rsidR="00121930" w:rsidP="00121930" w:rsidRDefault="00121930" w14:paraId="4E5EA0D9" w14:textId="77777777">
      <w:pPr>
        <w:rPr>
          <w:rFonts w:eastAsia="Calibri" w:cs="Arial"/>
          <w:b/>
          <w:bCs/>
          <w:kern w:val="2"/>
          <w:szCs w:val="18"/>
          <w:lang w:eastAsia="en-US"/>
          <w14:ligatures w14:val="standardContextual"/>
        </w:rPr>
      </w:pPr>
      <w:r w:rsidRPr="007129A8">
        <w:rPr>
          <w:rFonts w:eastAsia="Calibri" w:cs="Arial"/>
          <w:b/>
          <w:bCs/>
          <w:kern w:val="2"/>
          <w:szCs w:val="18"/>
          <w:lang w:eastAsia="en-US"/>
          <w14:ligatures w14:val="standardContextual"/>
        </w:rPr>
        <w:t>Een Europa, een markt: de totstandkoming van een markt voor onderzoek en innovatie</w:t>
      </w:r>
    </w:p>
    <w:p w:rsidRPr="007129A8" w:rsidR="00121930" w:rsidP="00121930" w:rsidRDefault="00121930" w14:paraId="1F4D93F4" w14:textId="77777777">
      <w:pPr>
        <w:rPr>
          <w:rFonts w:eastAsia="Calibri" w:cs="Arial"/>
          <w:b/>
          <w:bCs/>
          <w:kern w:val="2"/>
          <w:szCs w:val="18"/>
          <w:lang w:eastAsia="en-US"/>
          <w14:ligatures w14:val="standardContextual"/>
        </w:rPr>
      </w:pPr>
    </w:p>
    <w:p w:rsidRPr="007129A8" w:rsidR="00121930" w:rsidP="00121930" w:rsidRDefault="00121930" w14:paraId="7E31B96D" w14:textId="77777777">
      <w:pPr>
        <w:rPr>
          <w:rFonts w:eastAsia="Calibri" w:cs="Arial"/>
          <w:i/>
          <w:iCs/>
          <w:kern w:val="2"/>
          <w:szCs w:val="18"/>
          <w:lang w:eastAsia="en-US"/>
          <w14:ligatures w14:val="standardContextual"/>
        </w:rPr>
      </w:pPr>
      <w:r w:rsidRPr="007129A8">
        <w:rPr>
          <w:rFonts w:eastAsia="Calibri" w:cs="Arial"/>
          <w:i/>
          <w:iCs/>
          <w:kern w:val="2"/>
          <w:szCs w:val="18"/>
          <w:lang w:eastAsia="en-US"/>
          <w14:ligatures w14:val="standardContextual"/>
        </w:rPr>
        <w:t>Beleidsdebat</w:t>
      </w:r>
    </w:p>
    <w:p w:rsidR="00121930" w:rsidP="00121930" w:rsidRDefault="00121930" w14:paraId="54A376DE" w14:textId="77777777">
      <w:pPr>
        <w:rPr>
          <w:rFonts w:eastAsia="Calibri" w:cs="Arial"/>
          <w:kern w:val="2"/>
          <w:szCs w:val="18"/>
          <w:lang w:eastAsia="en-US"/>
          <w14:ligatures w14:val="standardContextual"/>
        </w:rPr>
      </w:pPr>
      <w:r w:rsidRPr="007129A8">
        <w:rPr>
          <w:rFonts w:eastAsia="Calibri" w:cs="Arial"/>
          <w:kern w:val="2"/>
          <w:szCs w:val="18"/>
          <w:lang w:eastAsia="en-US"/>
          <w14:ligatures w14:val="standardContextual"/>
        </w:rPr>
        <w:t xml:space="preserve">De Raad onderzoekt tijdens een beleidsdebat welke stappen gezet kunnen worden om een gezamenlijke Europese markt te ontwikkelen op het gebied van onderzoek en innovatie (O&amp;I), op basis van de </w:t>
      </w:r>
      <w:proofErr w:type="spellStart"/>
      <w:r w:rsidRPr="007129A8">
        <w:rPr>
          <w:rFonts w:eastAsia="Calibri" w:cs="Arial"/>
          <w:i/>
          <w:iCs/>
          <w:kern w:val="2"/>
          <w:szCs w:val="18"/>
          <w:lang w:eastAsia="en-US"/>
          <w14:ligatures w14:val="standardContextual"/>
        </w:rPr>
        <w:t>One</w:t>
      </w:r>
      <w:proofErr w:type="spellEnd"/>
      <w:r w:rsidRPr="007129A8">
        <w:rPr>
          <w:rFonts w:eastAsia="Calibri" w:cs="Arial"/>
          <w:i/>
          <w:iCs/>
          <w:kern w:val="2"/>
          <w:szCs w:val="18"/>
          <w:lang w:eastAsia="en-US"/>
          <w14:ligatures w14:val="standardContextual"/>
        </w:rPr>
        <w:t xml:space="preserve"> Europe, </w:t>
      </w:r>
      <w:proofErr w:type="spellStart"/>
      <w:r w:rsidRPr="007129A8">
        <w:rPr>
          <w:rFonts w:eastAsia="Calibri" w:cs="Arial"/>
          <w:i/>
          <w:iCs/>
          <w:kern w:val="2"/>
          <w:szCs w:val="18"/>
          <w:lang w:eastAsia="en-US"/>
          <w14:ligatures w14:val="standardContextual"/>
        </w:rPr>
        <w:t>One</w:t>
      </w:r>
      <w:proofErr w:type="spellEnd"/>
      <w:r w:rsidRPr="007129A8">
        <w:rPr>
          <w:rFonts w:eastAsia="Calibri" w:cs="Arial"/>
          <w:i/>
          <w:iCs/>
          <w:kern w:val="2"/>
          <w:szCs w:val="18"/>
          <w:lang w:eastAsia="en-US"/>
          <w14:ligatures w14:val="standardContextual"/>
        </w:rPr>
        <w:t xml:space="preserve"> Market </w:t>
      </w:r>
      <w:r w:rsidRPr="007129A8">
        <w:rPr>
          <w:rFonts w:eastAsia="Calibri" w:cs="Arial"/>
          <w:kern w:val="2"/>
          <w:szCs w:val="18"/>
          <w:lang w:eastAsia="en-US"/>
          <w14:ligatures w14:val="standardContextual"/>
        </w:rPr>
        <w:t>routekaart</w:t>
      </w:r>
      <w:r w:rsidRPr="007129A8">
        <w:rPr>
          <w:rFonts w:eastAsia="Calibri" w:cs="Arial"/>
          <w:kern w:val="2"/>
          <w:szCs w:val="18"/>
          <w:vertAlign w:val="superscript"/>
          <w:lang w:eastAsia="en-US"/>
          <w14:ligatures w14:val="standardContextual"/>
        </w:rPr>
        <w:footnoteReference w:id="1"/>
      </w:r>
      <w:r w:rsidRPr="007129A8">
        <w:rPr>
          <w:rFonts w:eastAsia="Calibri" w:cs="Arial"/>
          <w:kern w:val="2"/>
          <w:szCs w:val="18"/>
          <w:lang w:eastAsia="en-US"/>
          <w14:ligatures w14:val="standardContextual"/>
        </w:rPr>
        <w:t xml:space="preserve"> (2026), die onder andere voortkomt uit de </w:t>
      </w:r>
      <w:proofErr w:type="spellStart"/>
      <w:r w:rsidRPr="007129A8">
        <w:rPr>
          <w:rFonts w:eastAsia="Calibri" w:cs="Arial"/>
          <w:kern w:val="2"/>
          <w:szCs w:val="18"/>
          <w:lang w:eastAsia="en-US"/>
          <w14:ligatures w14:val="standardContextual"/>
        </w:rPr>
        <w:t>Draghi</w:t>
      </w:r>
      <w:proofErr w:type="spellEnd"/>
      <w:r w:rsidRPr="007129A8">
        <w:rPr>
          <w:rFonts w:eastAsia="Calibri" w:cs="Arial"/>
          <w:kern w:val="2"/>
          <w:szCs w:val="18"/>
          <w:vertAlign w:val="superscript"/>
          <w:lang w:eastAsia="en-US"/>
          <w14:ligatures w14:val="standardContextual"/>
        </w:rPr>
        <w:footnoteReference w:id="2"/>
      </w:r>
      <w:r>
        <w:rPr>
          <w:rFonts w:eastAsia="Calibri" w:cs="Arial"/>
          <w:kern w:val="2"/>
          <w:szCs w:val="18"/>
          <w:lang w:eastAsia="en-US"/>
          <w14:ligatures w14:val="standardContextual"/>
        </w:rPr>
        <w:t>-</w:t>
      </w:r>
      <w:r w:rsidRPr="007129A8">
        <w:rPr>
          <w:rFonts w:eastAsia="Calibri" w:cs="Arial"/>
          <w:kern w:val="2"/>
          <w:szCs w:val="18"/>
          <w:lang w:eastAsia="en-US"/>
          <w14:ligatures w14:val="standardContextual"/>
        </w:rPr>
        <w:t xml:space="preserve"> en </w:t>
      </w:r>
      <w:proofErr w:type="spellStart"/>
      <w:r w:rsidRPr="007129A8">
        <w:rPr>
          <w:rFonts w:eastAsia="Calibri" w:cs="Arial"/>
          <w:kern w:val="2"/>
          <w:szCs w:val="18"/>
          <w:lang w:eastAsia="en-US"/>
          <w14:ligatures w14:val="standardContextual"/>
        </w:rPr>
        <w:t>Letta</w:t>
      </w:r>
      <w:proofErr w:type="spellEnd"/>
      <w:r w:rsidRPr="007129A8">
        <w:rPr>
          <w:rFonts w:eastAsia="Calibri" w:cs="Arial"/>
          <w:kern w:val="2"/>
          <w:szCs w:val="18"/>
          <w:vertAlign w:val="superscript"/>
          <w:lang w:eastAsia="en-US"/>
          <w14:ligatures w14:val="standardContextual"/>
        </w:rPr>
        <w:footnoteReference w:id="3"/>
      </w:r>
      <w:r>
        <w:rPr>
          <w:rFonts w:eastAsia="Calibri" w:cs="Arial"/>
          <w:kern w:val="2"/>
          <w:szCs w:val="18"/>
          <w:lang w:eastAsia="en-US"/>
          <w14:ligatures w14:val="standardContextual"/>
        </w:rPr>
        <w:t>-</w:t>
      </w:r>
      <w:r w:rsidRPr="007129A8">
        <w:rPr>
          <w:rFonts w:eastAsia="Calibri" w:cs="Arial"/>
          <w:kern w:val="2"/>
          <w:szCs w:val="18"/>
          <w:lang w:eastAsia="en-US"/>
          <w14:ligatures w14:val="standardContextual"/>
        </w:rPr>
        <w:t xml:space="preserve">rapporten (2024). </w:t>
      </w:r>
    </w:p>
    <w:p w:rsidR="00121930" w:rsidP="00121930" w:rsidRDefault="00121930" w14:paraId="1E140E9F" w14:textId="77777777">
      <w:pPr>
        <w:rPr>
          <w:rFonts w:eastAsia="Calibri" w:cs="Arial"/>
          <w:kern w:val="2"/>
          <w:szCs w:val="18"/>
          <w:lang w:eastAsia="en-US"/>
          <w14:ligatures w14:val="standardContextual"/>
        </w:rPr>
      </w:pPr>
    </w:p>
    <w:p w:rsidRPr="007129A8" w:rsidR="00121930" w:rsidP="00121930" w:rsidRDefault="00121930" w14:paraId="0281B9CA" w14:textId="56805FBE">
      <w:pPr>
        <w:rPr>
          <w:rFonts w:eastAsia="Calibri" w:cs="Arial"/>
          <w:kern w:val="2"/>
          <w:szCs w:val="18"/>
          <w:lang w:eastAsia="en-US"/>
          <w14:ligatures w14:val="standardContextual"/>
        </w:rPr>
      </w:pPr>
      <w:r w:rsidRPr="007129A8">
        <w:rPr>
          <w:rFonts w:eastAsia="Calibri" w:cs="Arial"/>
          <w:kern w:val="2"/>
          <w:szCs w:val="18"/>
          <w:lang w:eastAsia="en-US"/>
          <w14:ligatures w14:val="standardContextual"/>
        </w:rPr>
        <w:t xml:space="preserve">Het </w:t>
      </w:r>
      <w:r w:rsidR="001C44D6">
        <w:rPr>
          <w:rFonts w:eastAsia="Calibri" w:cs="Arial"/>
          <w:kern w:val="2"/>
          <w:szCs w:val="18"/>
          <w:lang w:eastAsia="en-US"/>
          <w14:ligatures w14:val="standardContextual"/>
        </w:rPr>
        <w:t xml:space="preserve">Ierse </w:t>
      </w:r>
      <w:r w:rsidRPr="007129A8">
        <w:rPr>
          <w:rFonts w:eastAsia="Calibri" w:cs="Arial"/>
          <w:kern w:val="2"/>
          <w:szCs w:val="18"/>
          <w:lang w:eastAsia="en-US"/>
          <w14:ligatures w14:val="standardContextual"/>
        </w:rPr>
        <w:t xml:space="preserve">voorzitterschap wil die ambitie vormgeven door met de lidstaten te identificeren welke acties uit de routekaart prioritair zijn om ervoor te zorgen dat er in Europa vrije, grenzeloze uitwisseling plaatsvindt van </w:t>
      </w:r>
      <w:r>
        <w:rPr>
          <w:rFonts w:eastAsia="Calibri" w:cs="Arial"/>
          <w:kern w:val="2"/>
          <w:szCs w:val="18"/>
          <w:lang w:eastAsia="en-US"/>
          <w14:ligatures w14:val="standardContextual"/>
        </w:rPr>
        <w:t>O&amp;I</w:t>
      </w:r>
      <w:r w:rsidRPr="007129A8">
        <w:rPr>
          <w:rFonts w:eastAsia="Calibri" w:cs="Arial"/>
          <w:kern w:val="2"/>
          <w:szCs w:val="18"/>
          <w:lang w:eastAsia="en-US"/>
          <w14:ligatures w14:val="standardContextual"/>
        </w:rPr>
        <w:t xml:space="preserve">. Dit wordt ook wel de ‘vijfde vrijheid’ genoemd. </w:t>
      </w:r>
      <w:r>
        <w:rPr>
          <w:rFonts w:eastAsia="Calibri" w:cs="Arial"/>
          <w:kern w:val="2"/>
          <w:szCs w:val="18"/>
          <w:lang w:eastAsia="en-US"/>
          <w14:ligatures w14:val="standardContextual"/>
        </w:rPr>
        <w:t xml:space="preserve">Het voorzitterschap geeft zelf aan dat het met name </w:t>
      </w:r>
      <w:r w:rsidRPr="007129A8">
        <w:rPr>
          <w:rFonts w:eastAsia="Calibri" w:cs="Arial"/>
          <w:kern w:val="2"/>
          <w:szCs w:val="18"/>
          <w:lang w:eastAsia="en-US"/>
          <w14:ligatures w14:val="standardContextual"/>
        </w:rPr>
        <w:t xml:space="preserve">belangrijk </w:t>
      </w:r>
      <w:r>
        <w:rPr>
          <w:rFonts w:eastAsia="Calibri" w:cs="Arial"/>
          <w:kern w:val="2"/>
          <w:szCs w:val="18"/>
          <w:lang w:eastAsia="en-US"/>
          <w14:ligatures w14:val="standardContextual"/>
        </w:rPr>
        <w:t xml:space="preserve">is </w:t>
      </w:r>
      <w:r w:rsidR="00124C49">
        <w:rPr>
          <w:rFonts w:eastAsia="Calibri" w:cs="Arial"/>
          <w:kern w:val="2"/>
          <w:szCs w:val="18"/>
          <w:lang w:eastAsia="en-US"/>
          <w14:ligatures w14:val="standardContextual"/>
        </w:rPr>
        <w:t xml:space="preserve">om </w:t>
      </w:r>
      <w:r w:rsidRPr="007129A8">
        <w:rPr>
          <w:rFonts w:eastAsia="Calibri" w:cs="Arial"/>
          <w:kern w:val="2"/>
          <w:szCs w:val="18"/>
          <w:lang w:eastAsia="en-US"/>
          <w14:ligatures w14:val="standardContextual"/>
        </w:rPr>
        <w:t xml:space="preserve">rekening te houden met de diversiteit van de nationale O&amp;I-systemen en </w:t>
      </w:r>
      <w:r>
        <w:rPr>
          <w:rFonts w:eastAsia="Calibri" w:cs="Arial"/>
          <w:kern w:val="2"/>
          <w:szCs w:val="18"/>
          <w:lang w:eastAsia="en-US"/>
          <w14:ligatures w14:val="standardContextual"/>
        </w:rPr>
        <w:t xml:space="preserve">dat </w:t>
      </w:r>
      <w:r w:rsidRPr="007129A8">
        <w:rPr>
          <w:rFonts w:eastAsia="Calibri" w:cs="Arial"/>
          <w:kern w:val="2"/>
          <w:szCs w:val="18"/>
          <w:lang w:eastAsia="en-US"/>
          <w14:ligatures w14:val="standardContextual"/>
        </w:rPr>
        <w:t>het principe van subsidiariteit</w:t>
      </w:r>
      <w:r>
        <w:rPr>
          <w:rFonts w:eastAsia="Calibri" w:cs="Arial"/>
          <w:kern w:val="2"/>
          <w:szCs w:val="18"/>
          <w:lang w:eastAsia="en-US"/>
          <w14:ligatures w14:val="standardContextual"/>
        </w:rPr>
        <w:t xml:space="preserve"> gerespecteerd zal blijven</w:t>
      </w:r>
      <w:r w:rsidRPr="007129A8">
        <w:rPr>
          <w:rFonts w:eastAsia="Calibri" w:cs="Arial"/>
          <w:kern w:val="2"/>
          <w:szCs w:val="18"/>
          <w:lang w:eastAsia="en-US"/>
          <w14:ligatures w14:val="standardContextual"/>
        </w:rPr>
        <w:t>.</w:t>
      </w:r>
    </w:p>
    <w:p w:rsidRPr="007129A8" w:rsidR="00121930" w:rsidP="00121930" w:rsidRDefault="00121930" w14:paraId="45C12D8F" w14:textId="77777777">
      <w:pPr>
        <w:rPr>
          <w:rFonts w:eastAsia="Calibri" w:cs="Arial"/>
          <w:i/>
          <w:iCs/>
          <w:kern w:val="2"/>
          <w:szCs w:val="18"/>
          <w:lang w:eastAsia="en-US"/>
          <w14:ligatures w14:val="standardContextual"/>
        </w:rPr>
      </w:pPr>
    </w:p>
    <w:p w:rsidRPr="007129A8" w:rsidR="00121930" w:rsidP="00121930" w:rsidRDefault="00121930" w14:paraId="1EFDA31E" w14:textId="77777777">
      <w:pPr>
        <w:rPr>
          <w:rFonts w:eastAsia="Calibri" w:cs="Arial"/>
          <w:i/>
          <w:iCs/>
          <w:kern w:val="2"/>
          <w:szCs w:val="18"/>
          <w:lang w:eastAsia="en-US"/>
          <w14:ligatures w14:val="standardContextual"/>
        </w:rPr>
      </w:pPr>
      <w:r w:rsidRPr="007129A8">
        <w:rPr>
          <w:rFonts w:eastAsia="Calibri" w:cs="Arial"/>
          <w:i/>
          <w:iCs/>
          <w:kern w:val="2"/>
          <w:szCs w:val="18"/>
          <w:lang w:eastAsia="en-US"/>
          <w14:ligatures w14:val="standardContextual"/>
        </w:rPr>
        <w:t>Nederlandse positie</w:t>
      </w:r>
    </w:p>
    <w:p w:rsidR="00121930" w:rsidP="00121930" w:rsidRDefault="00121930" w14:paraId="03676A0D" w14:textId="77777777">
      <w:pPr>
        <w:rPr>
          <w:rFonts w:eastAsia="Calibri" w:cs="Arial"/>
          <w:kern w:val="2"/>
          <w:szCs w:val="18"/>
          <w:lang w:eastAsia="en-US"/>
          <w14:ligatures w14:val="standardContextual"/>
        </w:rPr>
      </w:pPr>
      <w:r>
        <w:rPr>
          <w:rFonts w:eastAsia="Calibri" w:cs="Arial"/>
          <w:kern w:val="2"/>
          <w:szCs w:val="18"/>
          <w:lang w:eastAsia="en-US"/>
          <w14:ligatures w14:val="standardContextual"/>
        </w:rPr>
        <w:t>Het kabinet</w:t>
      </w:r>
      <w:r w:rsidRPr="007129A8">
        <w:rPr>
          <w:rFonts w:eastAsia="Calibri" w:cs="Arial"/>
          <w:kern w:val="2"/>
          <w:szCs w:val="18"/>
          <w:lang w:eastAsia="en-US"/>
          <w14:ligatures w14:val="standardContextual"/>
        </w:rPr>
        <w:t xml:space="preserve"> vindt dat </w:t>
      </w:r>
      <w:r>
        <w:rPr>
          <w:rFonts w:eastAsia="Calibri" w:cs="Arial"/>
          <w:kern w:val="2"/>
          <w:szCs w:val="18"/>
          <w:lang w:eastAsia="en-US"/>
          <w14:ligatures w14:val="standardContextual"/>
        </w:rPr>
        <w:t xml:space="preserve">O&amp;I in Europa een </w:t>
      </w:r>
      <w:r w:rsidRPr="007129A8">
        <w:rPr>
          <w:rFonts w:eastAsia="Calibri" w:cs="Arial"/>
          <w:kern w:val="2"/>
          <w:szCs w:val="18"/>
          <w:lang w:eastAsia="en-US"/>
          <w14:ligatures w14:val="standardContextual"/>
        </w:rPr>
        <w:t xml:space="preserve">cruciale rol </w:t>
      </w:r>
      <w:r>
        <w:rPr>
          <w:rFonts w:eastAsia="Calibri" w:cs="Arial"/>
          <w:kern w:val="2"/>
          <w:szCs w:val="18"/>
          <w:lang w:eastAsia="en-US"/>
          <w14:ligatures w14:val="standardContextual"/>
        </w:rPr>
        <w:t xml:space="preserve">speelt </w:t>
      </w:r>
      <w:r w:rsidRPr="007129A8">
        <w:rPr>
          <w:rFonts w:eastAsia="Calibri" w:cs="Arial"/>
          <w:kern w:val="2"/>
          <w:szCs w:val="18"/>
          <w:lang w:eastAsia="en-US"/>
          <w14:ligatures w14:val="standardContextual"/>
        </w:rPr>
        <w:t xml:space="preserve">in het versterken van het Europese concurrentievermogen op de lange termijn. Daarom verwelkomt </w:t>
      </w:r>
      <w:r>
        <w:rPr>
          <w:rFonts w:eastAsia="Calibri" w:cs="Arial"/>
          <w:kern w:val="2"/>
          <w:szCs w:val="18"/>
          <w:lang w:eastAsia="en-US"/>
          <w14:ligatures w14:val="standardContextual"/>
        </w:rPr>
        <w:t>het kabinet</w:t>
      </w:r>
      <w:r w:rsidRPr="007129A8">
        <w:rPr>
          <w:rFonts w:eastAsia="Calibri" w:cs="Arial"/>
          <w:kern w:val="2"/>
          <w:szCs w:val="18"/>
          <w:lang w:eastAsia="en-US"/>
          <w14:ligatures w14:val="standardContextual"/>
        </w:rPr>
        <w:t xml:space="preserve"> een concrete uitwerking van de</w:t>
      </w:r>
      <w:r w:rsidRPr="007129A8">
        <w:rPr>
          <w:rFonts w:eastAsia="Calibri" w:cs="Arial"/>
          <w:i/>
          <w:iCs/>
          <w:kern w:val="2"/>
          <w:szCs w:val="18"/>
          <w:lang w:eastAsia="en-US"/>
          <w14:ligatures w14:val="standardContextual"/>
        </w:rPr>
        <w:t xml:space="preserve"> </w:t>
      </w:r>
      <w:r w:rsidRPr="007129A8">
        <w:rPr>
          <w:rFonts w:eastAsia="Calibri" w:cs="Arial"/>
          <w:kern w:val="2"/>
          <w:szCs w:val="18"/>
          <w:lang w:eastAsia="en-US"/>
          <w14:ligatures w14:val="standardContextual"/>
        </w:rPr>
        <w:t xml:space="preserve">vijfde vrijheid, </w:t>
      </w:r>
      <w:r>
        <w:rPr>
          <w:rFonts w:eastAsia="Calibri" w:cs="Arial"/>
          <w:kern w:val="2"/>
          <w:szCs w:val="18"/>
          <w:lang w:eastAsia="en-US"/>
          <w14:ligatures w14:val="standardContextual"/>
        </w:rPr>
        <w:t>waarbij inderdaad het</w:t>
      </w:r>
      <w:r w:rsidRPr="007129A8">
        <w:rPr>
          <w:rFonts w:eastAsia="Calibri" w:cs="Arial"/>
          <w:kern w:val="2"/>
          <w:szCs w:val="18"/>
          <w:lang w:eastAsia="en-US"/>
          <w14:ligatures w14:val="standardContextual"/>
        </w:rPr>
        <w:t xml:space="preserve"> subsidiariteitsbeginsel </w:t>
      </w:r>
      <w:r>
        <w:rPr>
          <w:rFonts w:eastAsia="Calibri" w:cs="Arial"/>
          <w:kern w:val="2"/>
          <w:szCs w:val="18"/>
          <w:lang w:eastAsia="en-US"/>
          <w14:ligatures w14:val="standardContextual"/>
        </w:rPr>
        <w:t xml:space="preserve">in stand blijft </w:t>
      </w:r>
      <w:r w:rsidRPr="007129A8">
        <w:rPr>
          <w:rFonts w:eastAsia="Calibri" w:cs="Arial"/>
          <w:kern w:val="2"/>
          <w:szCs w:val="18"/>
          <w:lang w:eastAsia="en-US"/>
          <w14:ligatures w14:val="standardContextual"/>
        </w:rPr>
        <w:t>en nationale diversiteit</w:t>
      </w:r>
      <w:r>
        <w:rPr>
          <w:rFonts w:eastAsia="Calibri" w:cs="Arial"/>
          <w:kern w:val="2"/>
          <w:szCs w:val="18"/>
          <w:lang w:eastAsia="en-US"/>
          <w14:ligatures w14:val="standardContextual"/>
        </w:rPr>
        <w:t xml:space="preserve"> wordt gerespecteerd</w:t>
      </w:r>
      <w:r w:rsidRPr="007129A8">
        <w:rPr>
          <w:rFonts w:eastAsia="Calibri" w:cs="Arial"/>
          <w:kern w:val="2"/>
          <w:szCs w:val="18"/>
          <w:lang w:eastAsia="en-US"/>
          <w14:ligatures w14:val="standardContextual"/>
        </w:rPr>
        <w:t xml:space="preserve">. </w:t>
      </w:r>
    </w:p>
    <w:p w:rsidR="00121930" w:rsidP="00121930" w:rsidRDefault="00121930" w14:paraId="315C3862" w14:textId="77777777">
      <w:pPr>
        <w:rPr>
          <w:rFonts w:eastAsia="Calibri" w:cs="Arial"/>
          <w:kern w:val="2"/>
          <w:szCs w:val="18"/>
          <w:lang w:eastAsia="en-US"/>
          <w14:ligatures w14:val="standardContextual"/>
        </w:rPr>
      </w:pPr>
    </w:p>
    <w:p w:rsidRPr="007129A8" w:rsidR="00121930" w:rsidP="00121930" w:rsidRDefault="00121930" w14:paraId="39EBE244" w14:textId="69F91518">
      <w:pPr>
        <w:rPr>
          <w:rFonts w:eastAsia="Calibri" w:cs="Arial"/>
          <w:kern w:val="2"/>
          <w:szCs w:val="18"/>
          <w:lang w:eastAsia="en-US"/>
          <w14:ligatures w14:val="standardContextual"/>
        </w:rPr>
      </w:pPr>
      <w:r>
        <w:rPr>
          <w:rFonts w:eastAsia="Calibri" w:cs="Arial"/>
          <w:kern w:val="2"/>
          <w:szCs w:val="18"/>
          <w:lang w:eastAsia="en-US"/>
          <w14:ligatures w14:val="standardContextual"/>
        </w:rPr>
        <w:t xml:space="preserve">Het kabinet </w:t>
      </w:r>
      <w:r w:rsidRPr="007129A8">
        <w:rPr>
          <w:rFonts w:eastAsia="Calibri" w:cs="Arial"/>
          <w:kern w:val="2"/>
          <w:szCs w:val="18"/>
          <w:lang w:eastAsia="en-US"/>
          <w14:ligatures w14:val="standardContextual"/>
        </w:rPr>
        <w:t xml:space="preserve">vindt het relevant </w:t>
      </w:r>
      <w:r>
        <w:rPr>
          <w:rFonts w:eastAsia="Calibri" w:cs="Arial"/>
          <w:kern w:val="2"/>
          <w:szCs w:val="18"/>
          <w:lang w:eastAsia="en-US"/>
          <w14:ligatures w14:val="standardContextual"/>
        </w:rPr>
        <w:t xml:space="preserve">om de </w:t>
      </w:r>
      <w:r w:rsidRPr="007129A8">
        <w:rPr>
          <w:rFonts w:eastAsia="Calibri" w:cs="Arial"/>
          <w:kern w:val="2"/>
          <w:szCs w:val="18"/>
          <w:lang w:eastAsia="en-US"/>
          <w14:ligatures w14:val="standardContextual"/>
        </w:rPr>
        <w:t xml:space="preserve">vervolmaking van de vijfde vrijheid </w:t>
      </w:r>
      <w:r>
        <w:rPr>
          <w:rFonts w:eastAsia="Calibri" w:cs="Arial"/>
          <w:kern w:val="2"/>
          <w:szCs w:val="18"/>
          <w:lang w:eastAsia="en-US"/>
          <w14:ligatures w14:val="standardContextual"/>
        </w:rPr>
        <w:t>verder vorm te geven. V</w:t>
      </w:r>
      <w:r w:rsidRPr="007129A8">
        <w:rPr>
          <w:rFonts w:eastAsia="Calibri" w:cs="Arial"/>
          <w:kern w:val="2"/>
          <w:szCs w:val="18"/>
          <w:lang w:eastAsia="en-US"/>
          <w14:ligatures w14:val="standardContextual"/>
        </w:rPr>
        <w:t xml:space="preserve">erschillende initiatieven </w:t>
      </w:r>
      <w:r>
        <w:rPr>
          <w:rFonts w:eastAsia="Calibri" w:cs="Arial"/>
          <w:kern w:val="2"/>
          <w:szCs w:val="18"/>
          <w:lang w:eastAsia="en-US"/>
          <w14:ligatures w14:val="standardContextual"/>
        </w:rPr>
        <w:t>spelen hier al een rol in</w:t>
      </w:r>
      <w:r w:rsidRPr="007129A8">
        <w:rPr>
          <w:rFonts w:eastAsia="Calibri" w:cs="Arial"/>
          <w:kern w:val="2"/>
          <w:szCs w:val="18"/>
          <w:lang w:eastAsia="en-US"/>
          <w14:ligatures w14:val="standardContextual"/>
        </w:rPr>
        <w:t>, zoals de Europese Onderzoeksruimte voor onderzoek en innovatie (ERA)</w:t>
      </w:r>
      <w:r>
        <w:rPr>
          <w:rStyle w:val="Voetnootmarkering"/>
          <w:rFonts w:eastAsia="Calibri" w:cs="Arial"/>
          <w:kern w:val="2"/>
          <w:szCs w:val="18"/>
          <w:lang w:eastAsia="en-US"/>
          <w14:ligatures w14:val="standardContextual"/>
        </w:rPr>
        <w:footnoteReference w:id="4"/>
      </w:r>
      <w:r>
        <w:rPr>
          <w:rFonts w:eastAsia="Calibri" w:cs="Arial"/>
          <w:kern w:val="2"/>
          <w:szCs w:val="18"/>
          <w:lang w:eastAsia="en-US"/>
          <w14:ligatures w14:val="standardContextual"/>
        </w:rPr>
        <w:t>, EU Inc.</w:t>
      </w:r>
      <w:r>
        <w:rPr>
          <w:rStyle w:val="Voetnootmarkering"/>
          <w:rFonts w:eastAsia="Calibri" w:cs="Arial"/>
          <w:kern w:val="2"/>
          <w:szCs w:val="18"/>
          <w:lang w:eastAsia="en-US"/>
          <w14:ligatures w14:val="standardContextual"/>
        </w:rPr>
        <w:footnoteReference w:id="5"/>
      </w:r>
      <w:r w:rsidRPr="007129A8">
        <w:rPr>
          <w:rFonts w:eastAsia="Calibri" w:cs="Arial"/>
          <w:kern w:val="2"/>
          <w:szCs w:val="18"/>
          <w:lang w:eastAsia="en-US"/>
          <w14:ligatures w14:val="standardContextual"/>
        </w:rPr>
        <w:t xml:space="preserve"> en </w:t>
      </w:r>
      <w:r>
        <w:rPr>
          <w:rFonts w:eastAsia="Calibri" w:cs="Arial"/>
          <w:kern w:val="2"/>
          <w:szCs w:val="18"/>
          <w:lang w:eastAsia="en-US"/>
          <w14:ligatures w14:val="standardContextual"/>
        </w:rPr>
        <w:t xml:space="preserve">het Europese kaderprogramma voor O&amp;I, </w:t>
      </w:r>
      <w:r w:rsidRPr="007129A8">
        <w:rPr>
          <w:rFonts w:eastAsia="Calibri" w:cs="Arial"/>
          <w:kern w:val="2"/>
          <w:szCs w:val="18"/>
          <w:lang w:eastAsia="en-US"/>
          <w14:ligatures w14:val="standardContextual"/>
        </w:rPr>
        <w:t xml:space="preserve">Horizon Europe. </w:t>
      </w:r>
    </w:p>
    <w:p w:rsidRPr="007129A8" w:rsidR="00121930" w:rsidP="00121930" w:rsidRDefault="00121930" w14:paraId="29541C4D" w14:textId="77777777">
      <w:pPr>
        <w:rPr>
          <w:rFonts w:eastAsia="Calibri" w:cs="Arial"/>
          <w:i/>
          <w:iCs/>
          <w:kern w:val="2"/>
          <w:szCs w:val="18"/>
          <w:lang w:eastAsia="en-US"/>
          <w14:ligatures w14:val="standardContextual"/>
        </w:rPr>
      </w:pPr>
      <w:r w:rsidRPr="007129A8">
        <w:rPr>
          <w:rFonts w:eastAsia="Calibri" w:cs="Arial"/>
          <w:i/>
          <w:iCs/>
          <w:kern w:val="2"/>
          <w:szCs w:val="18"/>
          <w:lang w:eastAsia="en-US"/>
          <w14:ligatures w14:val="standardContextual"/>
        </w:rPr>
        <w:br/>
        <w:t>Krachtenveld</w:t>
      </w:r>
    </w:p>
    <w:p w:rsidRPr="007129A8" w:rsidR="00121930" w:rsidP="00121930" w:rsidRDefault="00121930" w14:paraId="1ACE8865" w14:textId="36D77A68">
      <w:pPr>
        <w:rPr>
          <w:rFonts w:eastAsia="Calibri" w:cs="Arial"/>
          <w:kern w:val="2"/>
          <w:szCs w:val="18"/>
          <w:lang w:eastAsia="en-US"/>
          <w14:ligatures w14:val="standardContextual"/>
        </w:rPr>
      </w:pPr>
      <w:r>
        <w:rPr>
          <w:rFonts w:eastAsia="Calibri" w:cs="Arial"/>
          <w:kern w:val="2"/>
          <w:szCs w:val="18"/>
          <w:lang w:eastAsia="en-US"/>
          <w14:ligatures w14:val="standardContextual"/>
        </w:rPr>
        <w:t xml:space="preserve">Er is </w:t>
      </w:r>
      <w:r w:rsidR="00184F0D">
        <w:rPr>
          <w:rFonts w:eastAsia="Calibri" w:cs="Arial"/>
          <w:kern w:val="2"/>
          <w:szCs w:val="18"/>
          <w:lang w:eastAsia="en-US"/>
          <w14:ligatures w14:val="standardContextual"/>
        </w:rPr>
        <w:t>veel</w:t>
      </w:r>
      <w:r>
        <w:rPr>
          <w:rFonts w:eastAsia="Calibri" w:cs="Arial"/>
          <w:kern w:val="2"/>
          <w:szCs w:val="18"/>
          <w:lang w:eastAsia="en-US"/>
          <w14:ligatures w14:val="standardContextual"/>
        </w:rPr>
        <w:t xml:space="preserve"> aandacht voor O&amp;I en de rol ervan in het Europese concurrentievermogen, als ook voor </w:t>
      </w:r>
      <w:r w:rsidRPr="007129A8">
        <w:rPr>
          <w:rFonts w:eastAsia="Calibri" w:cs="Arial"/>
          <w:kern w:val="2"/>
          <w:szCs w:val="18"/>
          <w:lang w:eastAsia="en-US"/>
          <w14:ligatures w14:val="standardContextual"/>
        </w:rPr>
        <w:t>het ontwikkelen van de vijfde vrijheid</w:t>
      </w:r>
      <w:r>
        <w:rPr>
          <w:rFonts w:eastAsia="Calibri" w:cs="Arial"/>
          <w:kern w:val="2"/>
          <w:szCs w:val="18"/>
          <w:lang w:eastAsia="en-US"/>
          <w14:ligatures w14:val="standardContextual"/>
        </w:rPr>
        <w:t>. Hierbij moet worden aangegeven dat</w:t>
      </w:r>
      <w:r w:rsidRPr="007129A8">
        <w:rPr>
          <w:rFonts w:eastAsia="Calibri" w:cs="Arial"/>
          <w:kern w:val="2"/>
          <w:szCs w:val="18"/>
          <w:lang w:eastAsia="en-US"/>
          <w14:ligatures w14:val="standardContextual"/>
        </w:rPr>
        <w:t xml:space="preserve"> er nog geen brede consensus</w:t>
      </w:r>
      <w:r>
        <w:rPr>
          <w:rFonts w:eastAsia="Calibri" w:cs="Arial"/>
          <w:kern w:val="2"/>
          <w:szCs w:val="18"/>
          <w:lang w:eastAsia="en-US"/>
          <w14:ligatures w14:val="standardContextual"/>
        </w:rPr>
        <w:t xml:space="preserve"> is</w:t>
      </w:r>
      <w:r w:rsidRPr="007129A8">
        <w:rPr>
          <w:rFonts w:eastAsia="Calibri" w:cs="Arial"/>
          <w:kern w:val="2"/>
          <w:szCs w:val="18"/>
          <w:lang w:eastAsia="en-US"/>
          <w14:ligatures w14:val="standardContextual"/>
        </w:rPr>
        <w:t xml:space="preserve"> over wat deze vijfde vrijheid concreet zou moeten behelzen. </w:t>
      </w:r>
    </w:p>
    <w:p w:rsidR="00121930" w:rsidP="00121930" w:rsidRDefault="00121930" w14:paraId="00535D0B" w14:textId="77777777">
      <w:pPr>
        <w:rPr>
          <w:rFonts w:eastAsia="Aptos"/>
          <w:b/>
          <w:bCs/>
          <w:kern w:val="2"/>
          <w:szCs w:val="18"/>
          <w:lang w:eastAsia="en-US"/>
          <w14:ligatures w14:val="standardContextual"/>
        </w:rPr>
      </w:pPr>
    </w:p>
    <w:p w:rsidR="00C12489" w:rsidRDefault="00C12489" w14:paraId="612F4376" w14:textId="77777777">
      <w:pPr>
        <w:spacing w:line="240" w:lineRule="auto"/>
        <w:rPr>
          <w:rFonts w:eastAsia="Aptos"/>
          <w:b/>
          <w:bCs/>
          <w:kern w:val="2"/>
          <w:szCs w:val="18"/>
          <w:lang w:eastAsia="en-US"/>
          <w14:ligatures w14:val="standardContextual"/>
        </w:rPr>
      </w:pPr>
      <w:r>
        <w:rPr>
          <w:rFonts w:eastAsia="Aptos"/>
          <w:b/>
          <w:bCs/>
          <w:kern w:val="2"/>
          <w:szCs w:val="18"/>
          <w:lang w:eastAsia="en-US"/>
          <w14:ligatures w14:val="standardContextual"/>
        </w:rPr>
        <w:br w:type="page"/>
      </w:r>
    </w:p>
    <w:p w:rsidR="00121930" w:rsidP="00121930" w:rsidRDefault="00121930" w14:paraId="19251403" w14:textId="436A5442">
      <w:pPr>
        <w:rPr>
          <w:rFonts w:eastAsia="Aptos"/>
          <w:b/>
          <w:bCs/>
          <w:kern w:val="2"/>
          <w:szCs w:val="18"/>
          <w:lang w:eastAsia="en-US"/>
          <w14:ligatures w14:val="standardContextual"/>
        </w:rPr>
      </w:pPr>
      <w:r>
        <w:rPr>
          <w:rFonts w:eastAsia="Aptos"/>
          <w:b/>
          <w:bCs/>
          <w:kern w:val="2"/>
          <w:szCs w:val="18"/>
          <w:lang w:eastAsia="en-US"/>
          <w14:ligatures w14:val="standardContextual"/>
        </w:rPr>
        <w:lastRenderedPageBreak/>
        <w:t>Beleidsdebat 2</w:t>
      </w:r>
    </w:p>
    <w:p w:rsidRPr="006F0901" w:rsidR="00121930" w:rsidP="00121930" w:rsidRDefault="00121930" w14:paraId="3E7D8697" w14:textId="77777777">
      <w:pPr>
        <w:rPr>
          <w:rFonts w:eastAsia="Aptos"/>
          <w:b/>
          <w:bCs/>
          <w:kern w:val="2"/>
          <w:szCs w:val="18"/>
          <w:lang w:eastAsia="en-US"/>
          <w14:ligatures w14:val="standardContextual"/>
        </w:rPr>
      </w:pPr>
      <w:r w:rsidRPr="006F0901">
        <w:rPr>
          <w:rFonts w:eastAsia="Aptos"/>
          <w:b/>
          <w:bCs/>
          <w:kern w:val="2"/>
          <w:szCs w:val="18"/>
          <w:lang w:eastAsia="en-US"/>
          <w14:ligatures w14:val="standardContextual"/>
        </w:rPr>
        <w:t>Een Europa, een markt: onze innovatieprestaties verbeteren</w:t>
      </w:r>
    </w:p>
    <w:p w:rsidRPr="006F0901" w:rsidR="00121930" w:rsidP="00121930" w:rsidRDefault="00121930" w14:paraId="70A12C58" w14:textId="77777777">
      <w:pPr>
        <w:rPr>
          <w:rFonts w:eastAsia="Aptos"/>
          <w:b/>
          <w:bCs/>
          <w:kern w:val="2"/>
          <w:szCs w:val="18"/>
          <w:lang w:eastAsia="en-US"/>
          <w14:ligatures w14:val="standardContextual"/>
        </w:rPr>
      </w:pPr>
    </w:p>
    <w:p w:rsidRPr="006F0901" w:rsidR="00121930" w:rsidP="00121930" w:rsidRDefault="00121930" w14:paraId="722F280C" w14:textId="77777777">
      <w:pPr>
        <w:rPr>
          <w:rFonts w:eastAsia="Aptos"/>
          <w:i/>
          <w:iCs/>
          <w:kern w:val="2"/>
          <w:szCs w:val="18"/>
          <w:lang w:eastAsia="en-US"/>
          <w14:ligatures w14:val="standardContextual"/>
        </w:rPr>
      </w:pPr>
      <w:r w:rsidRPr="006F0901">
        <w:rPr>
          <w:rFonts w:eastAsia="Aptos"/>
          <w:i/>
          <w:iCs/>
          <w:kern w:val="2"/>
          <w:szCs w:val="18"/>
          <w:lang w:eastAsia="en-US"/>
          <w14:ligatures w14:val="standardContextual"/>
        </w:rPr>
        <w:t>Beleidsdebat</w:t>
      </w:r>
    </w:p>
    <w:p w:rsidR="00121930" w:rsidP="00121930" w:rsidRDefault="00121930" w14:paraId="16204CC6" w14:textId="77777777">
      <w:pPr>
        <w:rPr>
          <w:rFonts w:eastAsia="Aptos"/>
          <w:kern w:val="2"/>
          <w:szCs w:val="18"/>
          <w:lang w:eastAsia="en-US"/>
          <w14:ligatures w14:val="standardContextual"/>
        </w:rPr>
      </w:pPr>
      <w:r w:rsidRPr="006F0901">
        <w:rPr>
          <w:rFonts w:eastAsia="Aptos"/>
          <w:kern w:val="2"/>
          <w:szCs w:val="18"/>
          <w:lang w:eastAsia="en-US"/>
          <w14:ligatures w14:val="standardContextual"/>
        </w:rPr>
        <w:t xml:space="preserve">De Raad houdt een beleidsdebat over het verbeteren van Europa’s innovatieprestaties. </w:t>
      </w:r>
    </w:p>
    <w:p w:rsidR="00B029FF" w:rsidP="00121930" w:rsidRDefault="00B029FF" w14:paraId="20BB4E1F" w14:textId="77777777">
      <w:pPr>
        <w:rPr>
          <w:rFonts w:eastAsia="Aptos"/>
          <w:kern w:val="2"/>
          <w:szCs w:val="18"/>
          <w:lang w:eastAsia="en-US"/>
          <w14:ligatures w14:val="standardContextual"/>
        </w:rPr>
      </w:pPr>
    </w:p>
    <w:p w:rsidR="00121930" w:rsidP="00121930" w:rsidRDefault="00121930" w14:paraId="702DF782" w14:textId="04694493">
      <w:pPr>
        <w:rPr>
          <w:rFonts w:eastAsia="Aptos"/>
          <w:kern w:val="2"/>
          <w:szCs w:val="18"/>
          <w:lang w:eastAsia="en-US"/>
          <w14:ligatures w14:val="standardContextual"/>
        </w:rPr>
      </w:pPr>
      <w:r w:rsidRPr="006F0901">
        <w:rPr>
          <w:rFonts w:eastAsia="Aptos"/>
          <w:kern w:val="2"/>
          <w:szCs w:val="18"/>
          <w:lang w:eastAsia="en-US"/>
          <w14:ligatures w14:val="standardContextual"/>
        </w:rPr>
        <w:t xml:space="preserve">Het </w:t>
      </w:r>
      <w:r w:rsidR="001C44D6">
        <w:rPr>
          <w:rFonts w:eastAsia="Aptos"/>
          <w:kern w:val="2"/>
          <w:szCs w:val="18"/>
          <w:lang w:eastAsia="en-US"/>
          <w14:ligatures w14:val="standardContextual"/>
        </w:rPr>
        <w:t xml:space="preserve">Ierse </w:t>
      </w:r>
      <w:r w:rsidRPr="006F0901">
        <w:rPr>
          <w:rFonts w:eastAsia="Aptos"/>
          <w:kern w:val="2"/>
          <w:szCs w:val="18"/>
          <w:lang w:eastAsia="en-US"/>
          <w14:ligatures w14:val="standardContextual"/>
        </w:rPr>
        <w:t xml:space="preserve">voorzitterschap wil reflecteren op de vraag hoe effectief bestaande innovatie-instrumenten zijn, met name ten aanzien van de valorisatie en commercialisering van Europees onderzoek. Daarbij stelt het voorzitterschap de vraag hoe een coherent en passend portfolio van instrumenten ingericht kan worden, waarbij het huidige instrumentarium als uitgangspunt wordt gebruikt en bekeken wordt wat daarin verbeterd kan worden. </w:t>
      </w:r>
    </w:p>
    <w:p w:rsidR="00121930" w:rsidP="00121930" w:rsidRDefault="00121930" w14:paraId="2E7D1D2E" w14:textId="77777777">
      <w:pPr>
        <w:rPr>
          <w:rFonts w:eastAsia="Aptos"/>
          <w:kern w:val="2"/>
          <w:szCs w:val="18"/>
          <w:lang w:eastAsia="en-US"/>
          <w14:ligatures w14:val="standardContextual"/>
        </w:rPr>
      </w:pPr>
    </w:p>
    <w:p w:rsidRPr="006F0901" w:rsidR="00121930" w:rsidP="00121930" w:rsidRDefault="00121930" w14:paraId="10D5375E" w14:textId="77777777">
      <w:pPr>
        <w:rPr>
          <w:rFonts w:eastAsia="Aptos"/>
          <w:kern w:val="2"/>
          <w:szCs w:val="18"/>
          <w:lang w:eastAsia="en-US"/>
          <w14:ligatures w14:val="standardContextual"/>
        </w:rPr>
      </w:pPr>
      <w:r w:rsidRPr="006F0901">
        <w:rPr>
          <w:rFonts w:eastAsia="Aptos"/>
          <w:kern w:val="2"/>
          <w:szCs w:val="18"/>
          <w:lang w:eastAsia="en-US"/>
          <w14:ligatures w14:val="standardContextual"/>
        </w:rPr>
        <w:t xml:space="preserve">Ook zal besproken worden welke lessen er te trekken zijn uit nationale en regionale innovatie-ecosystemen die aantonen hoe samenwerking tussen overheid, onderzoekers, industrie en investeerders succesvol ideeën verder kan brengen, van onderzoek tot uitrol. </w:t>
      </w:r>
    </w:p>
    <w:p w:rsidR="00121930" w:rsidP="00121930" w:rsidRDefault="00121930" w14:paraId="5EB9D9D4" w14:textId="77777777">
      <w:pPr>
        <w:rPr>
          <w:rFonts w:eastAsia="Aptos"/>
          <w:i/>
          <w:iCs/>
          <w:kern w:val="2"/>
          <w:szCs w:val="18"/>
          <w:lang w:eastAsia="en-US"/>
          <w14:ligatures w14:val="standardContextual"/>
        </w:rPr>
      </w:pPr>
    </w:p>
    <w:p w:rsidRPr="006F0901" w:rsidR="00121930" w:rsidP="00121930" w:rsidRDefault="00121930" w14:paraId="1AE67B33" w14:textId="77777777">
      <w:pPr>
        <w:rPr>
          <w:rFonts w:eastAsia="Aptos"/>
          <w:i/>
          <w:iCs/>
          <w:kern w:val="2"/>
          <w:szCs w:val="18"/>
          <w:lang w:eastAsia="en-US"/>
          <w14:ligatures w14:val="standardContextual"/>
        </w:rPr>
      </w:pPr>
      <w:r w:rsidRPr="006F0901">
        <w:rPr>
          <w:rFonts w:eastAsia="Aptos"/>
          <w:i/>
          <w:iCs/>
          <w:kern w:val="2"/>
          <w:szCs w:val="18"/>
          <w:lang w:eastAsia="en-US"/>
          <w14:ligatures w14:val="standardContextual"/>
        </w:rPr>
        <w:t>Nederlandse positie</w:t>
      </w:r>
    </w:p>
    <w:p w:rsidR="00121930" w:rsidP="00121930" w:rsidRDefault="00121930" w14:paraId="17111D8F" w14:textId="6CC15F97">
      <w:pPr>
        <w:rPr>
          <w:rFonts w:eastAsia="Aptos"/>
          <w:kern w:val="2"/>
          <w:szCs w:val="18"/>
          <w:lang w:eastAsia="en-US"/>
          <w14:ligatures w14:val="standardContextual"/>
        </w:rPr>
      </w:pPr>
      <w:r>
        <w:rPr>
          <w:rFonts w:eastAsia="Aptos"/>
          <w:kern w:val="2"/>
          <w:szCs w:val="18"/>
          <w:lang w:eastAsia="en-US"/>
          <w14:ligatures w14:val="standardContextual"/>
        </w:rPr>
        <w:t>Het kabinet</w:t>
      </w:r>
      <w:r w:rsidRPr="006F0901">
        <w:rPr>
          <w:rFonts w:eastAsia="Aptos"/>
          <w:kern w:val="2"/>
          <w:szCs w:val="18"/>
          <w:lang w:eastAsia="en-US"/>
          <w14:ligatures w14:val="standardContextual"/>
        </w:rPr>
        <w:t xml:space="preserve"> is van mening dat coherente inzet op het volledige spectrum van kennisontwikkeling – van fundamenteel en toegepast onderzoek tot introductie op de markt – essentieel is om onderzoek effectief te valoriseren en commercialiseren</w:t>
      </w:r>
      <w:r>
        <w:rPr>
          <w:rFonts w:eastAsia="Aptos"/>
          <w:kern w:val="2"/>
          <w:szCs w:val="18"/>
          <w:lang w:eastAsia="en-US"/>
          <w14:ligatures w14:val="standardContextual"/>
        </w:rPr>
        <w:t xml:space="preserve">. Deze aanpak borgt dat O&amp;I de rol van katalysator voor concurrentievermogen goed kan vervullen. Om de effectiviteit hiervan nog groter te laten zijn, steunt Nederland het voorstel om </w:t>
      </w:r>
      <w:r w:rsidRPr="006F0901">
        <w:rPr>
          <w:rFonts w:eastAsia="Aptos"/>
          <w:kern w:val="2"/>
          <w:szCs w:val="18"/>
          <w:lang w:eastAsia="en-US"/>
          <w14:ligatures w14:val="standardContextual"/>
        </w:rPr>
        <w:t xml:space="preserve">binnen het huidige instrumentarium meer aandacht </w:t>
      </w:r>
      <w:r>
        <w:rPr>
          <w:rFonts w:eastAsia="Aptos"/>
          <w:kern w:val="2"/>
          <w:szCs w:val="18"/>
          <w:lang w:eastAsia="en-US"/>
          <w14:ligatures w14:val="standardContextual"/>
        </w:rPr>
        <w:t>te vragen</w:t>
      </w:r>
      <w:r w:rsidRPr="006F0901">
        <w:rPr>
          <w:rFonts w:eastAsia="Aptos"/>
          <w:kern w:val="2"/>
          <w:szCs w:val="18"/>
          <w:lang w:eastAsia="en-US"/>
          <w14:ligatures w14:val="standardContextual"/>
        </w:rPr>
        <w:t xml:space="preserve"> voor valorisatie. </w:t>
      </w:r>
    </w:p>
    <w:p w:rsidR="00121930" w:rsidP="00121930" w:rsidRDefault="00121930" w14:paraId="06A7BC1D" w14:textId="77777777">
      <w:pPr>
        <w:rPr>
          <w:rFonts w:eastAsia="Aptos"/>
          <w:kern w:val="2"/>
          <w:szCs w:val="18"/>
          <w:lang w:eastAsia="en-US"/>
          <w14:ligatures w14:val="standardContextual"/>
        </w:rPr>
      </w:pPr>
    </w:p>
    <w:p w:rsidRPr="006F0901" w:rsidR="00121930" w:rsidP="00121930" w:rsidRDefault="00121930" w14:paraId="6BE84ABF" w14:textId="43D64579">
      <w:pPr>
        <w:rPr>
          <w:rFonts w:eastAsia="Aptos"/>
          <w:kern w:val="2"/>
          <w:szCs w:val="18"/>
          <w:lang w:eastAsia="en-US"/>
          <w14:ligatures w14:val="standardContextual"/>
        </w:rPr>
      </w:pPr>
      <w:r>
        <w:rPr>
          <w:rFonts w:eastAsia="Aptos"/>
          <w:kern w:val="2"/>
          <w:szCs w:val="18"/>
          <w:lang w:eastAsia="en-US"/>
          <w14:ligatures w14:val="standardContextual"/>
        </w:rPr>
        <w:t>In h</w:t>
      </w:r>
      <w:r w:rsidRPr="006F0901">
        <w:rPr>
          <w:rFonts w:eastAsia="Aptos"/>
          <w:kern w:val="2"/>
          <w:szCs w:val="18"/>
          <w:lang w:eastAsia="en-US"/>
          <w14:ligatures w14:val="standardContextual"/>
        </w:rPr>
        <w:t>et voorstel van de Europese Commissie voor het nieuwe kaderprogramma Horizon Europe (2028-2034)</w:t>
      </w:r>
      <w:r>
        <w:rPr>
          <w:rFonts w:eastAsia="Aptos"/>
          <w:kern w:val="2"/>
          <w:szCs w:val="18"/>
          <w:lang w:eastAsia="en-US"/>
          <w14:ligatures w14:val="standardContextual"/>
        </w:rPr>
        <w:t xml:space="preserve"> </w:t>
      </w:r>
      <w:r w:rsidRPr="006F0901">
        <w:rPr>
          <w:rFonts w:eastAsia="Aptos"/>
          <w:kern w:val="2"/>
          <w:szCs w:val="18"/>
          <w:lang w:eastAsia="en-US"/>
          <w14:ligatures w14:val="standardContextual"/>
        </w:rPr>
        <w:t>is</w:t>
      </w:r>
      <w:r>
        <w:rPr>
          <w:rFonts w:eastAsia="Aptos"/>
          <w:kern w:val="2"/>
          <w:szCs w:val="18"/>
          <w:lang w:eastAsia="en-US"/>
          <w14:ligatures w14:val="standardContextual"/>
        </w:rPr>
        <w:t xml:space="preserve"> voorgesteld</w:t>
      </w:r>
      <w:r w:rsidRPr="006F0901">
        <w:rPr>
          <w:rFonts w:eastAsia="Aptos"/>
          <w:kern w:val="2"/>
          <w:szCs w:val="18"/>
          <w:lang w:eastAsia="en-US"/>
          <w14:ligatures w14:val="standardContextual"/>
        </w:rPr>
        <w:t xml:space="preserve"> om de huidige opzet</w:t>
      </w:r>
      <w:r>
        <w:rPr>
          <w:rFonts w:eastAsia="Aptos"/>
          <w:kern w:val="2"/>
          <w:szCs w:val="18"/>
          <w:lang w:eastAsia="en-US"/>
          <w14:ligatures w14:val="standardContextual"/>
        </w:rPr>
        <w:t xml:space="preserve">, </w:t>
      </w:r>
      <w:r w:rsidRPr="006F0901">
        <w:rPr>
          <w:rFonts w:eastAsia="Aptos"/>
          <w:kern w:val="2"/>
          <w:szCs w:val="18"/>
          <w:lang w:eastAsia="en-US"/>
          <w14:ligatures w14:val="standardContextual"/>
        </w:rPr>
        <w:t>die de gehele kennisketen bedient</w:t>
      </w:r>
      <w:r>
        <w:rPr>
          <w:rFonts w:eastAsia="Aptos"/>
          <w:kern w:val="2"/>
          <w:szCs w:val="18"/>
          <w:lang w:eastAsia="en-US"/>
          <w14:ligatures w14:val="standardContextual"/>
        </w:rPr>
        <w:t>,</w:t>
      </w:r>
      <w:r w:rsidRPr="006F0901">
        <w:rPr>
          <w:rFonts w:eastAsia="Aptos"/>
          <w:kern w:val="2"/>
          <w:szCs w:val="18"/>
          <w:lang w:eastAsia="en-US"/>
          <w14:ligatures w14:val="standardContextual"/>
        </w:rPr>
        <w:t xml:space="preserve"> grotendeels voort te zetten en de European </w:t>
      </w:r>
      <w:proofErr w:type="spellStart"/>
      <w:r w:rsidRPr="006F0901">
        <w:rPr>
          <w:rFonts w:eastAsia="Aptos"/>
          <w:kern w:val="2"/>
          <w:szCs w:val="18"/>
          <w:lang w:eastAsia="en-US"/>
          <w14:ligatures w14:val="standardContextual"/>
        </w:rPr>
        <w:t>Innovation</w:t>
      </w:r>
      <w:proofErr w:type="spellEnd"/>
      <w:r w:rsidRPr="006F0901">
        <w:rPr>
          <w:rFonts w:eastAsia="Aptos"/>
          <w:kern w:val="2"/>
          <w:szCs w:val="18"/>
          <w:lang w:eastAsia="en-US"/>
          <w14:ligatures w14:val="standardContextual"/>
        </w:rPr>
        <w:t xml:space="preserve"> Council (EIC) binnen deze opzet te versterken zodat er meer aandacht kom</w:t>
      </w:r>
      <w:r>
        <w:rPr>
          <w:rFonts w:eastAsia="Aptos"/>
          <w:kern w:val="2"/>
          <w:szCs w:val="18"/>
          <w:lang w:eastAsia="en-US"/>
          <w14:ligatures w14:val="standardContextual"/>
        </w:rPr>
        <w:t>t</w:t>
      </w:r>
      <w:r w:rsidRPr="006F0901">
        <w:rPr>
          <w:rFonts w:eastAsia="Aptos"/>
          <w:kern w:val="2"/>
          <w:szCs w:val="18"/>
          <w:lang w:eastAsia="en-US"/>
          <w14:ligatures w14:val="standardContextual"/>
        </w:rPr>
        <w:t xml:space="preserve"> voor valorisatie. Het kabinet heeft uw Kamer eerder laten weten dat dit voorstel op instemming van Nederland kan rekenen</w:t>
      </w:r>
      <w:r>
        <w:rPr>
          <w:rFonts w:eastAsia="Aptos"/>
          <w:kern w:val="2"/>
          <w:szCs w:val="18"/>
          <w:lang w:eastAsia="en-US"/>
          <w14:ligatures w14:val="standardContextual"/>
        </w:rPr>
        <w:t>.</w:t>
      </w:r>
      <w:r w:rsidRPr="006F0901">
        <w:rPr>
          <w:rFonts w:eastAsia="Aptos"/>
          <w:kern w:val="2"/>
          <w:szCs w:val="18"/>
          <w:vertAlign w:val="superscript"/>
          <w:lang w:eastAsia="en-US"/>
          <w14:ligatures w14:val="standardContextual"/>
        </w:rPr>
        <w:footnoteReference w:id="6"/>
      </w:r>
      <w:r w:rsidRPr="006F0901">
        <w:rPr>
          <w:rFonts w:eastAsia="Aptos"/>
          <w:kern w:val="2"/>
          <w:szCs w:val="18"/>
          <w:lang w:eastAsia="en-US"/>
          <w14:ligatures w14:val="standardContextual"/>
        </w:rPr>
        <w:t xml:space="preserve"> </w:t>
      </w:r>
    </w:p>
    <w:p w:rsidR="00121930" w:rsidP="00121930" w:rsidRDefault="00121930" w14:paraId="498873A7" w14:textId="77777777">
      <w:pPr>
        <w:rPr>
          <w:rFonts w:eastAsia="Aptos"/>
          <w:kern w:val="2"/>
          <w:szCs w:val="18"/>
          <w:lang w:eastAsia="en-US"/>
          <w14:ligatures w14:val="standardContextual"/>
        </w:rPr>
      </w:pPr>
    </w:p>
    <w:p w:rsidR="00C12489" w:rsidP="00121930" w:rsidRDefault="00121930" w14:paraId="23F0D64A" w14:textId="77777777">
      <w:pPr>
        <w:rPr>
          <w:rFonts w:eastAsia="Aptos"/>
          <w:i/>
          <w:iCs/>
          <w:kern w:val="2"/>
          <w:szCs w:val="18"/>
          <w:lang w:eastAsia="en-US"/>
          <w14:ligatures w14:val="standardContextual"/>
        </w:rPr>
      </w:pPr>
      <w:r>
        <w:rPr>
          <w:rFonts w:eastAsia="Aptos"/>
          <w:kern w:val="2"/>
          <w:szCs w:val="18"/>
          <w:lang w:eastAsia="en-US"/>
          <w14:ligatures w14:val="standardContextual"/>
        </w:rPr>
        <w:t xml:space="preserve">Op de vraag welke lessen Nederland trekt betreffende </w:t>
      </w:r>
      <w:r w:rsidRPr="006F0901">
        <w:rPr>
          <w:rFonts w:eastAsia="Aptos"/>
          <w:kern w:val="2"/>
          <w:szCs w:val="18"/>
          <w:lang w:eastAsia="en-US"/>
          <w14:ligatures w14:val="standardContextual"/>
        </w:rPr>
        <w:t>samenwerking binnen innovatie-ecosystemen</w:t>
      </w:r>
      <w:r>
        <w:rPr>
          <w:rFonts w:eastAsia="Aptos"/>
          <w:kern w:val="2"/>
          <w:szCs w:val="18"/>
          <w:lang w:eastAsia="en-US"/>
          <w14:ligatures w14:val="standardContextual"/>
        </w:rPr>
        <w:t>,</w:t>
      </w:r>
      <w:r w:rsidRPr="006F0901">
        <w:rPr>
          <w:rFonts w:eastAsia="Aptos"/>
          <w:kern w:val="2"/>
          <w:szCs w:val="18"/>
          <w:lang w:eastAsia="en-US"/>
          <w14:ligatures w14:val="standardContextual"/>
        </w:rPr>
        <w:t xml:space="preserve"> zal </w:t>
      </w:r>
      <w:r>
        <w:rPr>
          <w:rFonts w:eastAsia="Aptos"/>
          <w:kern w:val="2"/>
          <w:szCs w:val="18"/>
          <w:lang w:eastAsia="en-US"/>
          <w14:ligatures w14:val="standardContextual"/>
        </w:rPr>
        <w:t xml:space="preserve">worden </w:t>
      </w:r>
      <w:r w:rsidRPr="006F0901">
        <w:rPr>
          <w:rFonts w:eastAsia="Aptos"/>
          <w:kern w:val="2"/>
          <w:szCs w:val="18"/>
          <w:lang w:eastAsia="en-US"/>
          <w14:ligatures w14:val="standardContextual"/>
        </w:rPr>
        <w:t>in</w:t>
      </w:r>
      <w:r>
        <w:rPr>
          <w:rFonts w:eastAsia="Aptos"/>
          <w:kern w:val="2"/>
          <w:szCs w:val="18"/>
          <w:lang w:eastAsia="en-US"/>
          <w14:ligatures w14:val="standardContextual"/>
        </w:rPr>
        <w:t>gebracht</w:t>
      </w:r>
      <w:r w:rsidRPr="006F0901">
        <w:rPr>
          <w:rFonts w:eastAsia="Aptos"/>
          <w:kern w:val="2"/>
          <w:szCs w:val="18"/>
          <w:lang w:eastAsia="en-US"/>
          <w14:ligatures w14:val="standardContextual"/>
        </w:rPr>
        <w:t xml:space="preserve"> dat </w:t>
      </w:r>
      <w:r>
        <w:rPr>
          <w:rFonts w:eastAsia="Aptos"/>
          <w:kern w:val="2"/>
          <w:szCs w:val="18"/>
          <w:lang w:eastAsia="en-US"/>
          <w14:ligatures w14:val="standardContextual"/>
        </w:rPr>
        <w:t>het essentieel is dat er</w:t>
      </w:r>
      <w:r w:rsidRPr="006F0901">
        <w:rPr>
          <w:rFonts w:eastAsia="Aptos"/>
          <w:kern w:val="2"/>
          <w:szCs w:val="18"/>
          <w:lang w:eastAsia="en-US"/>
          <w14:ligatures w14:val="standardContextual"/>
        </w:rPr>
        <w:t xml:space="preserve"> lang</w:t>
      </w:r>
      <w:r>
        <w:rPr>
          <w:rFonts w:eastAsia="Aptos"/>
          <w:kern w:val="2"/>
          <w:szCs w:val="18"/>
          <w:lang w:eastAsia="en-US"/>
          <w14:ligatures w14:val="standardContextual"/>
        </w:rPr>
        <w:t>ja</w:t>
      </w:r>
      <w:r w:rsidRPr="006F0901">
        <w:rPr>
          <w:rFonts w:eastAsia="Aptos"/>
          <w:kern w:val="2"/>
          <w:szCs w:val="18"/>
          <w:lang w:eastAsia="en-US"/>
          <w14:ligatures w14:val="standardContextual"/>
        </w:rPr>
        <w:t xml:space="preserve">rige, thematisch </w:t>
      </w:r>
      <w:r>
        <w:rPr>
          <w:rFonts w:eastAsia="Aptos"/>
          <w:kern w:val="2"/>
          <w:szCs w:val="18"/>
          <w:lang w:eastAsia="en-US"/>
          <w14:ligatures w14:val="standardContextual"/>
        </w:rPr>
        <w:t>gefocuste</w:t>
      </w:r>
      <w:r w:rsidRPr="006F0901">
        <w:rPr>
          <w:rFonts w:eastAsia="Aptos"/>
          <w:kern w:val="2"/>
          <w:szCs w:val="18"/>
          <w:lang w:eastAsia="en-US"/>
          <w14:ligatures w14:val="standardContextual"/>
        </w:rPr>
        <w:t xml:space="preserve"> en substantiële samenwerking tussen verschillende publieke en private partijen, waaronder overheden, onderwijs- en onderzoeksinstellingen, mkb, industrie en investeerders</w:t>
      </w:r>
      <w:r>
        <w:rPr>
          <w:rFonts w:eastAsia="Aptos"/>
          <w:kern w:val="2"/>
          <w:szCs w:val="18"/>
          <w:lang w:eastAsia="en-US"/>
          <w14:ligatures w14:val="standardContextual"/>
        </w:rPr>
        <w:t xml:space="preserve"> wordt gerealiseerd. Alleen zo kan </w:t>
      </w:r>
      <w:r w:rsidRPr="006F0901">
        <w:rPr>
          <w:rFonts w:eastAsia="Aptos"/>
          <w:kern w:val="2"/>
          <w:szCs w:val="18"/>
          <w:lang w:eastAsia="en-US"/>
          <w14:ligatures w14:val="standardContextual"/>
        </w:rPr>
        <w:t xml:space="preserve">de weg van idee tot markt </w:t>
      </w:r>
      <w:r>
        <w:rPr>
          <w:rFonts w:eastAsia="Aptos"/>
          <w:kern w:val="2"/>
          <w:szCs w:val="18"/>
          <w:lang w:eastAsia="en-US"/>
          <w14:ligatures w14:val="standardContextual"/>
        </w:rPr>
        <w:t>goed worden geborgd en het Nederlandse en Europese concurrentievermogen worden versterkt.</w:t>
      </w:r>
      <w:r w:rsidRPr="006F0901">
        <w:rPr>
          <w:rFonts w:eastAsia="Aptos"/>
          <w:kern w:val="2"/>
          <w:szCs w:val="18"/>
          <w:lang w:eastAsia="en-US"/>
          <w14:ligatures w14:val="standardContextual"/>
        </w:rPr>
        <w:br/>
      </w:r>
      <w:r w:rsidRPr="006F0901">
        <w:rPr>
          <w:rFonts w:eastAsia="Aptos"/>
          <w:i/>
          <w:iCs/>
          <w:kern w:val="2"/>
          <w:szCs w:val="18"/>
          <w:lang w:eastAsia="en-US"/>
          <w14:ligatures w14:val="standardContextual"/>
        </w:rPr>
        <w:br/>
      </w:r>
    </w:p>
    <w:p w:rsidR="00C12489" w:rsidRDefault="00C12489" w14:paraId="2C6C109A" w14:textId="77777777">
      <w:pPr>
        <w:spacing w:line="240" w:lineRule="auto"/>
        <w:rPr>
          <w:rFonts w:eastAsia="Aptos"/>
          <w:i/>
          <w:iCs/>
          <w:kern w:val="2"/>
          <w:szCs w:val="18"/>
          <w:lang w:eastAsia="en-US"/>
          <w14:ligatures w14:val="standardContextual"/>
        </w:rPr>
      </w:pPr>
      <w:r>
        <w:rPr>
          <w:rFonts w:eastAsia="Aptos"/>
          <w:i/>
          <w:iCs/>
          <w:kern w:val="2"/>
          <w:szCs w:val="18"/>
          <w:lang w:eastAsia="en-US"/>
          <w14:ligatures w14:val="standardContextual"/>
        </w:rPr>
        <w:br w:type="page"/>
      </w:r>
    </w:p>
    <w:p w:rsidRPr="006F0901" w:rsidR="00121930" w:rsidP="00121930" w:rsidRDefault="00121930" w14:paraId="12C9A7A9" w14:textId="69599312">
      <w:pPr>
        <w:rPr>
          <w:rFonts w:eastAsia="Aptos"/>
          <w:i/>
          <w:iCs/>
          <w:kern w:val="2"/>
          <w:szCs w:val="18"/>
          <w:lang w:eastAsia="en-US"/>
          <w14:ligatures w14:val="standardContextual"/>
        </w:rPr>
      </w:pPr>
      <w:r w:rsidRPr="006F0901">
        <w:rPr>
          <w:rFonts w:eastAsia="Aptos"/>
          <w:i/>
          <w:iCs/>
          <w:kern w:val="2"/>
          <w:szCs w:val="18"/>
          <w:lang w:eastAsia="en-US"/>
          <w14:ligatures w14:val="standardContextual"/>
        </w:rPr>
        <w:lastRenderedPageBreak/>
        <w:t>Krachtenveld</w:t>
      </w:r>
    </w:p>
    <w:p w:rsidRPr="006F0901" w:rsidR="00121930" w:rsidP="00121930" w:rsidRDefault="00121930" w14:paraId="5D31B7A3" w14:textId="77777777">
      <w:pPr>
        <w:rPr>
          <w:rFonts w:eastAsia="Aptos"/>
          <w:kern w:val="2"/>
          <w:szCs w:val="18"/>
          <w:lang w:eastAsia="en-US"/>
          <w14:ligatures w14:val="standardContextual"/>
        </w:rPr>
      </w:pPr>
      <w:r w:rsidRPr="006F0901">
        <w:rPr>
          <w:rFonts w:eastAsia="Aptos"/>
          <w:kern w:val="2"/>
          <w:szCs w:val="18"/>
          <w:lang w:eastAsia="en-US"/>
          <w14:ligatures w14:val="standardContextual"/>
        </w:rPr>
        <w:t>Zoals blijkt uit het gedeeltelijke Raadsakkoord over het nieuwe kaderprogramma Horizon Europe (2028-2034) is er brede steun voor het voortzetten van de integrale inzet op het volledige spectrum van kennisontwikkeling en de EIC daarbinnen. Daarnaast is er enige consensus over de noodzakelijke randvoorwaarden voor succesvolle innovatie-ecosystemen, waarbij verschillen in opvattingen worden gekleurd door het gedifferentieerde landschap aan innovatie-ecosystemen binnen Europa.</w:t>
      </w:r>
      <w:r w:rsidRPr="006F0901">
        <w:rPr>
          <w:rFonts w:eastAsia="Aptos"/>
          <w:kern w:val="2"/>
          <w:szCs w:val="18"/>
          <w:lang w:eastAsia="en-US"/>
          <w14:ligatures w14:val="standardContextual"/>
        </w:rPr>
        <w:br/>
      </w:r>
    </w:p>
    <w:p w:rsidR="00121930" w:rsidP="00121930" w:rsidRDefault="00121930" w14:paraId="575EDFB9" w14:textId="77777777"/>
    <w:p w:rsidR="00121930" w:rsidP="00121930" w:rsidRDefault="00121930" w14:paraId="6DB9B18B" w14:textId="77777777">
      <w:pPr>
        <w:spacing w:line="240" w:lineRule="auto"/>
        <w:rPr>
          <w:b/>
          <w:bCs/>
          <w:szCs w:val="18"/>
          <w:lang w:eastAsia="zh-CN"/>
        </w:rPr>
      </w:pPr>
      <w:r>
        <w:rPr>
          <w:b/>
          <w:bCs/>
          <w:szCs w:val="18"/>
          <w:lang w:eastAsia="zh-CN"/>
        </w:rPr>
        <w:br w:type="page"/>
      </w:r>
    </w:p>
    <w:p w:rsidRPr="006F0901" w:rsidR="00121930" w:rsidP="00121930" w:rsidRDefault="00121930" w14:paraId="07DD0C93" w14:textId="77777777">
      <w:pPr>
        <w:spacing w:line="276" w:lineRule="auto"/>
        <w:rPr>
          <w:b/>
          <w:bCs/>
          <w:szCs w:val="18"/>
          <w:lang w:eastAsia="zh-CN"/>
        </w:rPr>
      </w:pPr>
      <w:r w:rsidRPr="006F0901">
        <w:rPr>
          <w:b/>
          <w:bCs/>
          <w:szCs w:val="18"/>
          <w:lang w:eastAsia="zh-CN"/>
        </w:rPr>
        <w:lastRenderedPageBreak/>
        <w:t xml:space="preserve">Raadsakkoord Horizon Europe </w:t>
      </w:r>
    </w:p>
    <w:p w:rsidRPr="006F0901" w:rsidR="00121930" w:rsidP="00121930" w:rsidRDefault="00121930" w14:paraId="4638063E" w14:textId="77777777">
      <w:pPr>
        <w:spacing w:line="276" w:lineRule="auto"/>
        <w:rPr>
          <w:szCs w:val="18"/>
          <w:lang w:eastAsia="zh-CN"/>
        </w:rPr>
      </w:pPr>
    </w:p>
    <w:p w:rsidRPr="006F0901" w:rsidR="00121930" w:rsidP="001C44D6" w:rsidRDefault="001C44D6" w14:paraId="126AE90F" w14:textId="4AC68FA7">
      <w:pPr>
        <w:spacing w:line="276" w:lineRule="auto"/>
        <w:ind w:left="-3"/>
        <w:rPr>
          <w:szCs w:val="18"/>
          <w:lang w:eastAsia="zh-CN"/>
        </w:rPr>
      </w:pPr>
      <w:r>
        <w:rPr>
          <w:szCs w:val="18"/>
          <w:lang w:eastAsia="zh-CN"/>
        </w:rPr>
        <w:t>Het kabinet grijpt</w:t>
      </w:r>
      <w:r w:rsidRPr="006F0901" w:rsidR="00121930">
        <w:rPr>
          <w:szCs w:val="18"/>
          <w:lang w:eastAsia="zh-CN"/>
        </w:rPr>
        <w:t xml:space="preserve"> deze gelegenheid graag aan om uw Kamer op de hoogte te stellen dat de Raad een deelakkoord heeft bereikt op Horizon Europe</w:t>
      </w:r>
      <w:r w:rsidR="00121930">
        <w:rPr>
          <w:szCs w:val="18"/>
          <w:lang w:eastAsia="zh-CN"/>
        </w:rPr>
        <w:t xml:space="preserve"> (2028-2034)</w:t>
      </w:r>
      <w:r w:rsidRPr="006F0901" w:rsidR="00121930">
        <w:rPr>
          <w:szCs w:val="18"/>
          <w:lang w:eastAsia="zh-CN"/>
        </w:rPr>
        <w:t>. Eind juni</w:t>
      </w:r>
      <w:r w:rsidR="00121930">
        <w:rPr>
          <w:szCs w:val="18"/>
          <w:lang w:eastAsia="zh-CN"/>
        </w:rPr>
        <w:t xml:space="preserve"> jongstleden</w:t>
      </w:r>
      <w:r w:rsidRPr="006F0901" w:rsidR="00121930">
        <w:rPr>
          <w:szCs w:val="18"/>
          <w:lang w:eastAsia="zh-CN"/>
        </w:rPr>
        <w:t xml:space="preserve"> </w:t>
      </w:r>
      <w:r w:rsidR="00121930">
        <w:rPr>
          <w:szCs w:val="18"/>
          <w:lang w:eastAsia="zh-CN"/>
        </w:rPr>
        <w:t>hebben</w:t>
      </w:r>
      <w:r w:rsidRPr="006F0901" w:rsidR="00121930">
        <w:rPr>
          <w:szCs w:val="18"/>
          <w:lang w:eastAsia="zh-CN"/>
        </w:rPr>
        <w:t xml:space="preserve"> alle </w:t>
      </w:r>
      <w:r w:rsidR="00121930">
        <w:rPr>
          <w:szCs w:val="18"/>
          <w:lang w:eastAsia="zh-CN"/>
        </w:rPr>
        <w:t>l</w:t>
      </w:r>
      <w:r w:rsidRPr="006F0901" w:rsidR="00121930">
        <w:rPr>
          <w:szCs w:val="18"/>
          <w:lang w:eastAsia="zh-CN"/>
        </w:rPr>
        <w:t>idstaten in</w:t>
      </w:r>
      <w:r w:rsidR="00121930">
        <w:rPr>
          <w:szCs w:val="18"/>
          <w:lang w:eastAsia="zh-CN"/>
        </w:rPr>
        <w:t>ge</w:t>
      </w:r>
      <w:r w:rsidRPr="006F0901" w:rsidR="00121930">
        <w:rPr>
          <w:szCs w:val="18"/>
          <w:lang w:eastAsia="zh-CN"/>
        </w:rPr>
        <w:t>stem</w:t>
      </w:r>
      <w:r w:rsidR="00121930">
        <w:rPr>
          <w:szCs w:val="18"/>
          <w:lang w:eastAsia="zh-CN"/>
        </w:rPr>
        <w:t>d</w:t>
      </w:r>
      <w:r w:rsidRPr="006F0901" w:rsidR="00121930">
        <w:rPr>
          <w:szCs w:val="18"/>
          <w:lang w:eastAsia="zh-CN"/>
        </w:rPr>
        <w:t xml:space="preserve"> met deze gedeeltelijke algemene oriëntatie (</w:t>
      </w:r>
      <w:proofErr w:type="spellStart"/>
      <w:r w:rsidRPr="006F0901" w:rsidR="00121930">
        <w:rPr>
          <w:i/>
          <w:iCs/>
          <w:szCs w:val="18"/>
          <w:lang w:eastAsia="zh-CN"/>
        </w:rPr>
        <w:t>Partial</w:t>
      </w:r>
      <w:proofErr w:type="spellEnd"/>
      <w:r w:rsidRPr="006F0901" w:rsidR="00121930">
        <w:rPr>
          <w:i/>
          <w:iCs/>
          <w:szCs w:val="18"/>
          <w:lang w:eastAsia="zh-CN"/>
        </w:rPr>
        <w:t xml:space="preserve"> General Approach</w:t>
      </w:r>
      <w:r w:rsidRPr="006F0901" w:rsidR="00121930">
        <w:rPr>
          <w:szCs w:val="18"/>
          <w:lang w:eastAsia="zh-CN"/>
        </w:rPr>
        <w:t xml:space="preserve">) in </w:t>
      </w:r>
      <w:proofErr w:type="spellStart"/>
      <w:r w:rsidRPr="006F0901" w:rsidR="00121930">
        <w:rPr>
          <w:szCs w:val="18"/>
          <w:lang w:eastAsia="zh-CN"/>
        </w:rPr>
        <w:t>Coreper</w:t>
      </w:r>
      <w:proofErr w:type="spellEnd"/>
      <w:r w:rsidRPr="006F0901" w:rsidR="00121930">
        <w:rPr>
          <w:szCs w:val="18"/>
          <w:lang w:eastAsia="zh-CN"/>
        </w:rPr>
        <w:t xml:space="preserve">, waarna deze vervolgens in de Energie Raad van 26 juni </w:t>
      </w:r>
      <w:r w:rsidR="00121930">
        <w:rPr>
          <w:szCs w:val="18"/>
          <w:lang w:eastAsia="zh-CN"/>
        </w:rPr>
        <w:t xml:space="preserve">jongstleden </w:t>
      </w:r>
      <w:r w:rsidRPr="006F0901" w:rsidR="00121930">
        <w:rPr>
          <w:szCs w:val="18"/>
          <w:lang w:eastAsia="zh-CN"/>
        </w:rPr>
        <w:t>formeel is vastgesteld. In deze fase van het onderhandelingsproces betreft het een gedeeltelijk standpunt omdat enkele elementen van het voorstel raken aan bredere onderhandelingen. Dit gaat onder andere over de budgetindicaties in de context van onderhandelingen over het meerjarig financieel kader (MFK) en de samenhang van het Horizon-programma met andere Europese programma’s onder het MFK. Deze bredere onderhandelingen vinden separaat plaats. Het deelakkoord op Horizon Europe vormt het mandaat van de Raad voor de verdere onderhandelingen met het Europese Parlement (EP) en de Commissie (de ‘</w:t>
      </w:r>
      <w:proofErr w:type="spellStart"/>
      <w:r w:rsidRPr="006F0901" w:rsidR="00121930">
        <w:rPr>
          <w:szCs w:val="18"/>
          <w:lang w:eastAsia="zh-CN"/>
        </w:rPr>
        <w:t>triloog</w:t>
      </w:r>
      <w:proofErr w:type="spellEnd"/>
      <w:r w:rsidRPr="006F0901" w:rsidR="00121930">
        <w:rPr>
          <w:szCs w:val="18"/>
          <w:lang w:eastAsia="zh-CN"/>
        </w:rPr>
        <w:t xml:space="preserve">’). Dit proces start naar verwachting in het najaar onder het Ierse voorzitterschap. </w:t>
      </w:r>
    </w:p>
    <w:p w:rsidRPr="006F0901" w:rsidR="00121930" w:rsidP="00121930" w:rsidRDefault="00121930" w14:paraId="2A7B9F58" w14:textId="77777777">
      <w:pPr>
        <w:spacing w:line="276" w:lineRule="auto"/>
        <w:rPr>
          <w:szCs w:val="18"/>
          <w:lang w:eastAsia="zh-CN"/>
        </w:rPr>
      </w:pPr>
    </w:p>
    <w:p w:rsidR="00121930" w:rsidP="00121930" w:rsidRDefault="00121930" w14:paraId="639CC3F7" w14:textId="77777777">
      <w:pPr>
        <w:spacing w:line="276" w:lineRule="auto"/>
        <w:rPr>
          <w:szCs w:val="18"/>
          <w:lang w:eastAsia="zh-CN"/>
        </w:rPr>
      </w:pPr>
      <w:r w:rsidRPr="006F0901">
        <w:rPr>
          <w:szCs w:val="18"/>
          <w:lang w:eastAsia="zh-CN"/>
        </w:rPr>
        <w:t>Het deelakkoord van de Raad is in overeenstemming met de Nederlandse inzet ten aanzien van het Commissievoorstel voor een ambitieus kaderprogramma gebaseerd op excellentie, open competitie en impact</w:t>
      </w:r>
      <w:r>
        <w:rPr>
          <w:szCs w:val="18"/>
          <w:lang w:eastAsia="zh-CN"/>
        </w:rPr>
        <w:t>.</w:t>
      </w:r>
      <w:r w:rsidRPr="006F0901">
        <w:rPr>
          <w:szCs w:val="18"/>
          <w:vertAlign w:val="superscript"/>
          <w:lang w:eastAsia="zh-CN"/>
        </w:rPr>
        <w:footnoteReference w:id="7"/>
      </w:r>
      <w:r w:rsidRPr="006F0901">
        <w:rPr>
          <w:szCs w:val="18"/>
          <w:lang w:eastAsia="zh-CN"/>
        </w:rPr>
        <w:t xml:space="preserve"> Ook wordt de rol van lidstaten bij de strategische prioritering van </w:t>
      </w:r>
      <w:r>
        <w:rPr>
          <w:szCs w:val="18"/>
          <w:lang w:eastAsia="zh-CN"/>
        </w:rPr>
        <w:t>O&amp;I</w:t>
      </w:r>
      <w:r w:rsidRPr="006F0901">
        <w:rPr>
          <w:szCs w:val="18"/>
          <w:lang w:eastAsia="zh-CN"/>
        </w:rPr>
        <w:t xml:space="preserve"> versterkt, wat belangrijk is voor de aansluiting met het Europese </w:t>
      </w:r>
      <w:proofErr w:type="spellStart"/>
      <w:r w:rsidRPr="006F0901">
        <w:rPr>
          <w:szCs w:val="18"/>
          <w:lang w:eastAsia="zh-CN"/>
        </w:rPr>
        <w:t>Concurrentievermogenfonds</w:t>
      </w:r>
      <w:proofErr w:type="spellEnd"/>
      <w:r w:rsidRPr="006F0901">
        <w:rPr>
          <w:szCs w:val="18"/>
          <w:lang w:eastAsia="zh-CN"/>
        </w:rPr>
        <w:t xml:space="preserve"> (ECF). </w:t>
      </w:r>
    </w:p>
    <w:p w:rsidR="00121930" w:rsidP="00121930" w:rsidRDefault="00121930" w14:paraId="1016C222" w14:textId="77777777">
      <w:pPr>
        <w:spacing w:line="276" w:lineRule="auto"/>
        <w:rPr>
          <w:szCs w:val="18"/>
          <w:lang w:eastAsia="zh-CN"/>
        </w:rPr>
      </w:pPr>
    </w:p>
    <w:p w:rsidR="00121930" w:rsidP="00121930" w:rsidRDefault="00121930" w14:paraId="54225F4D" w14:textId="77777777">
      <w:pPr>
        <w:spacing w:line="276" w:lineRule="auto"/>
        <w:rPr>
          <w:szCs w:val="18"/>
          <w:lang w:eastAsia="zh-CN"/>
        </w:rPr>
      </w:pPr>
      <w:r w:rsidRPr="006F0901">
        <w:rPr>
          <w:szCs w:val="18"/>
          <w:lang w:eastAsia="zh-CN"/>
        </w:rPr>
        <w:t xml:space="preserve">Daarnaast zijn verschillende Nederlandse prioriteiten in de tekst verwerkt. Zo is kennisveiligheid beter verankerd, zijn de autonomie van de ERC </w:t>
      </w:r>
      <w:r>
        <w:rPr>
          <w:szCs w:val="18"/>
          <w:lang w:eastAsia="zh-CN"/>
        </w:rPr>
        <w:t xml:space="preserve">(European Research Council) </w:t>
      </w:r>
      <w:r w:rsidRPr="006F0901">
        <w:rPr>
          <w:szCs w:val="18"/>
          <w:lang w:eastAsia="zh-CN"/>
        </w:rPr>
        <w:t xml:space="preserve">en het bottom-up karakter van onderzoek sterker geborgd en zijn de regels voor Europese partnerschappen verduidelijkt. Nederland zal in de verdere uitwerking van de partnerschappen er voor waken dat de beoogde harmonisatie en simplificatie niet ten koste gaat van de aansluiting op nationale wetgeving en procedures. Daarnaast blijft, net als in het huidige programma, de formele invloed van lidstaten via de </w:t>
      </w:r>
      <w:proofErr w:type="spellStart"/>
      <w:r w:rsidRPr="006F0901">
        <w:rPr>
          <w:szCs w:val="18"/>
          <w:lang w:eastAsia="zh-CN"/>
        </w:rPr>
        <w:t>comitologie</w:t>
      </w:r>
      <w:proofErr w:type="spellEnd"/>
      <w:r w:rsidRPr="006F0901">
        <w:rPr>
          <w:szCs w:val="18"/>
          <w:lang w:eastAsia="zh-CN"/>
        </w:rPr>
        <w:t xml:space="preserve"> behouden en blijft </w:t>
      </w:r>
      <w:proofErr w:type="spellStart"/>
      <w:r w:rsidRPr="006F0901">
        <w:rPr>
          <w:i/>
          <w:iCs/>
          <w:szCs w:val="18"/>
          <w:lang w:eastAsia="zh-CN"/>
        </w:rPr>
        <w:t>widening</w:t>
      </w:r>
      <w:proofErr w:type="spellEnd"/>
      <w:r w:rsidRPr="006F0901">
        <w:rPr>
          <w:i/>
          <w:iCs/>
          <w:szCs w:val="18"/>
          <w:lang w:eastAsia="zh-CN"/>
        </w:rPr>
        <w:t xml:space="preserve"> </w:t>
      </w:r>
      <w:proofErr w:type="spellStart"/>
      <w:r w:rsidRPr="006F0901">
        <w:rPr>
          <w:i/>
          <w:iCs/>
          <w:szCs w:val="18"/>
          <w:lang w:eastAsia="zh-CN"/>
        </w:rPr>
        <w:t>participation</w:t>
      </w:r>
      <w:proofErr w:type="spellEnd"/>
      <w:r w:rsidRPr="006F0901">
        <w:rPr>
          <w:szCs w:val="18"/>
          <w:lang w:eastAsia="zh-CN"/>
        </w:rPr>
        <w:t xml:space="preserve"> beperkt tot een afzonderlijk onderdeel van het programma. Verder legt de Raad </w:t>
      </w:r>
      <w:r>
        <w:rPr>
          <w:szCs w:val="18"/>
          <w:lang w:eastAsia="zh-CN"/>
        </w:rPr>
        <w:t xml:space="preserve">ten opzichte van het Commissievoorstel </w:t>
      </w:r>
      <w:r w:rsidRPr="006F0901">
        <w:rPr>
          <w:szCs w:val="18"/>
          <w:lang w:eastAsia="zh-CN"/>
        </w:rPr>
        <w:t xml:space="preserve">meer nadruk op het belang van grensoverschrijdende samenwerking, </w:t>
      </w:r>
      <w:proofErr w:type="spellStart"/>
      <w:r w:rsidRPr="006F0901">
        <w:rPr>
          <w:szCs w:val="18"/>
          <w:lang w:eastAsia="zh-CN"/>
        </w:rPr>
        <w:t>dual-use</w:t>
      </w:r>
      <w:proofErr w:type="spellEnd"/>
      <w:r w:rsidRPr="006F0901">
        <w:rPr>
          <w:szCs w:val="18"/>
          <w:lang w:eastAsia="zh-CN"/>
        </w:rPr>
        <w:t xml:space="preserve"> toepassingen, gendergelijkheid en </w:t>
      </w:r>
      <w:proofErr w:type="spellStart"/>
      <w:r w:rsidRPr="006F0901">
        <w:rPr>
          <w:szCs w:val="18"/>
          <w:lang w:eastAsia="zh-CN"/>
        </w:rPr>
        <w:t>synergieën</w:t>
      </w:r>
      <w:proofErr w:type="spellEnd"/>
      <w:r w:rsidRPr="006F0901">
        <w:rPr>
          <w:szCs w:val="18"/>
          <w:lang w:eastAsia="zh-CN"/>
        </w:rPr>
        <w:t xml:space="preserve"> met andere EU-programma’s. </w:t>
      </w:r>
    </w:p>
    <w:p w:rsidR="00121930" w:rsidP="00121930" w:rsidRDefault="00121930" w14:paraId="45AEFBB7" w14:textId="77777777">
      <w:pPr>
        <w:spacing w:line="276" w:lineRule="auto"/>
        <w:rPr>
          <w:szCs w:val="18"/>
          <w:lang w:eastAsia="zh-CN"/>
        </w:rPr>
      </w:pPr>
    </w:p>
    <w:p w:rsidRPr="00820DDA" w:rsidR="00820DDA" w:rsidP="00121930" w:rsidRDefault="00121930" w14:paraId="2189ACF7" w14:textId="2AC118D3">
      <w:pPr>
        <w:spacing w:line="276" w:lineRule="auto"/>
      </w:pPr>
      <w:r w:rsidRPr="006F0901">
        <w:rPr>
          <w:szCs w:val="18"/>
          <w:lang w:eastAsia="zh-CN"/>
        </w:rPr>
        <w:t>De Raad heeft daarnaast plafonds aangebracht aan de financiering voor partnerschappen, defensie-innovatie en de bouw of upgrade van onderzoeks</w:t>
      </w:r>
      <w:r>
        <w:rPr>
          <w:szCs w:val="18"/>
          <w:lang w:eastAsia="zh-CN"/>
        </w:rPr>
        <w:t>-</w:t>
      </w:r>
      <w:r w:rsidRPr="006F0901">
        <w:rPr>
          <w:szCs w:val="18"/>
          <w:lang w:eastAsia="zh-CN"/>
        </w:rPr>
        <w:t xml:space="preserve"> en technologie-infrastructuren. Dit is in lijn met de Nederlandse inzet dat het zwaartepunt van de beschikbare middelen bij civiele toepassingen ligt - gezien de op defensie toegespitste O&amp;I-mogelijkheden in het ECF</w:t>
      </w:r>
      <w:r>
        <w:rPr>
          <w:szCs w:val="18"/>
          <w:lang w:eastAsia="zh-CN"/>
        </w:rPr>
        <w:t xml:space="preserve"> </w:t>
      </w:r>
      <w:r w:rsidRPr="006F0901">
        <w:rPr>
          <w:szCs w:val="18"/>
          <w:lang w:eastAsia="zh-CN"/>
        </w:rPr>
        <w:t xml:space="preserve">- en dat de bijdrage aan de bouw van nieuwe infrastructuren niet naar één of enkele zeer kostbare, grote faciliteiten gaat waardoor er (te) weinig ruimte overblijft voor het financieren van cruciale, kleinere, maar even belangrijke, infrastructuren. </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2DF39" w14:textId="77777777" w:rsidR="006A618F" w:rsidRDefault="006A618F">
      <w:r>
        <w:separator/>
      </w:r>
    </w:p>
    <w:p w14:paraId="340A4BE6" w14:textId="77777777" w:rsidR="006A618F" w:rsidRDefault="006A618F"/>
  </w:endnote>
  <w:endnote w:type="continuationSeparator" w:id="0">
    <w:p w14:paraId="6A679424" w14:textId="77777777" w:rsidR="006A618F" w:rsidRDefault="006A618F">
      <w:r>
        <w:continuationSeparator/>
      </w:r>
    </w:p>
    <w:p w14:paraId="22AB0684" w14:textId="77777777" w:rsidR="006A618F" w:rsidRDefault="006A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E57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505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D6D53" w14:paraId="6D630A0C" w14:textId="77777777" w:rsidTr="004C7E1D">
      <w:trPr>
        <w:trHeight w:hRule="exact" w:val="357"/>
      </w:trPr>
      <w:tc>
        <w:tcPr>
          <w:tcW w:w="7603" w:type="dxa"/>
        </w:tcPr>
        <w:p w14:paraId="66A5CDFA" w14:textId="77777777" w:rsidR="002F71BB" w:rsidRPr="004C7E1D" w:rsidRDefault="002F71BB" w:rsidP="004C7E1D">
          <w:pPr>
            <w:spacing w:line="180" w:lineRule="exact"/>
            <w:rPr>
              <w:sz w:val="13"/>
              <w:szCs w:val="13"/>
            </w:rPr>
          </w:pPr>
        </w:p>
      </w:tc>
      <w:tc>
        <w:tcPr>
          <w:tcW w:w="2172" w:type="dxa"/>
        </w:tcPr>
        <w:p w14:paraId="01DBEEC1" w14:textId="04B41C08" w:rsidR="002F71BB" w:rsidRPr="004C7E1D" w:rsidRDefault="00822D2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2489">
            <w:rPr>
              <w:szCs w:val="13"/>
            </w:rPr>
            <w:t>5</w:t>
          </w:r>
          <w:r w:rsidRPr="004C7E1D">
            <w:rPr>
              <w:szCs w:val="13"/>
            </w:rPr>
            <w:fldChar w:fldCharType="end"/>
          </w:r>
        </w:p>
      </w:tc>
    </w:tr>
  </w:tbl>
  <w:p w14:paraId="0B85677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BD6D53" w14:paraId="56AC5ACC" w14:textId="77777777" w:rsidTr="004C7E1D">
      <w:trPr>
        <w:trHeight w:hRule="exact" w:val="357"/>
      </w:trPr>
      <w:tc>
        <w:tcPr>
          <w:tcW w:w="7709" w:type="dxa"/>
        </w:tcPr>
        <w:p w14:paraId="0D9416CD" w14:textId="77777777" w:rsidR="00D17084" w:rsidRPr="004C7E1D" w:rsidRDefault="00D17084" w:rsidP="004C7E1D">
          <w:pPr>
            <w:spacing w:line="180" w:lineRule="exact"/>
            <w:rPr>
              <w:sz w:val="13"/>
              <w:szCs w:val="13"/>
            </w:rPr>
          </w:pPr>
        </w:p>
      </w:tc>
      <w:tc>
        <w:tcPr>
          <w:tcW w:w="2060" w:type="dxa"/>
        </w:tcPr>
        <w:p w14:paraId="053B800E" w14:textId="3FE3E5C0" w:rsidR="00D17084" w:rsidRPr="004C7E1D" w:rsidRDefault="00822D2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12489">
            <w:rPr>
              <w:szCs w:val="13"/>
            </w:rPr>
            <w:t>5</w:t>
          </w:r>
          <w:r w:rsidRPr="004C7E1D">
            <w:rPr>
              <w:szCs w:val="13"/>
            </w:rPr>
            <w:fldChar w:fldCharType="end"/>
          </w:r>
        </w:p>
      </w:tc>
    </w:tr>
  </w:tbl>
  <w:p w14:paraId="2D24296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BE97" w14:textId="77777777" w:rsidR="006A618F" w:rsidRDefault="006A618F">
      <w:r>
        <w:separator/>
      </w:r>
    </w:p>
    <w:p w14:paraId="5D54A5C8" w14:textId="77777777" w:rsidR="006A618F" w:rsidRDefault="006A618F"/>
  </w:footnote>
  <w:footnote w:type="continuationSeparator" w:id="0">
    <w:p w14:paraId="392B8241" w14:textId="77777777" w:rsidR="006A618F" w:rsidRDefault="006A618F">
      <w:r>
        <w:continuationSeparator/>
      </w:r>
    </w:p>
    <w:p w14:paraId="5530B73A" w14:textId="77777777" w:rsidR="006A618F" w:rsidRDefault="006A618F"/>
  </w:footnote>
  <w:footnote w:id="1">
    <w:p w14:paraId="207CBDAF" w14:textId="77777777" w:rsidR="00121930" w:rsidRPr="007129A8" w:rsidRDefault="00121930" w:rsidP="00121930">
      <w:pPr>
        <w:pStyle w:val="Voetnoottekst"/>
        <w:rPr>
          <w:lang w:val="en-US"/>
        </w:rPr>
      </w:pPr>
      <w:r>
        <w:rPr>
          <w:rStyle w:val="Voetnootmarkering"/>
        </w:rPr>
        <w:footnoteRef/>
      </w:r>
      <w:r w:rsidRPr="007129A8">
        <w:rPr>
          <w:lang w:val="en-US"/>
        </w:rPr>
        <w:t xml:space="preserve"> </w:t>
      </w:r>
      <w:hyperlink r:id="rId1" w:history="1">
        <w:r w:rsidRPr="007129A8">
          <w:rPr>
            <w:rStyle w:val="Hyperlink"/>
            <w:lang w:val="en-US"/>
          </w:rPr>
          <w:t>One Europe, One Market roadmap - European Commission</w:t>
        </w:r>
      </w:hyperlink>
    </w:p>
  </w:footnote>
  <w:footnote w:id="2">
    <w:p w14:paraId="6C85A63B" w14:textId="77777777" w:rsidR="00121930" w:rsidRPr="007129A8" w:rsidRDefault="00121930" w:rsidP="00121930">
      <w:pPr>
        <w:pStyle w:val="Voetnoottekst"/>
        <w:rPr>
          <w:lang w:val="en-US"/>
        </w:rPr>
      </w:pPr>
      <w:r>
        <w:rPr>
          <w:rStyle w:val="Voetnootmarkering"/>
        </w:rPr>
        <w:footnoteRef/>
      </w:r>
      <w:r w:rsidRPr="007129A8">
        <w:rPr>
          <w:lang w:val="en-US"/>
        </w:rPr>
        <w:t xml:space="preserve"> </w:t>
      </w:r>
      <w:hyperlink r:id="rId2" w:history="1">
        <w:r w:rsidRPr="007129A8">
          <w:rPr>
            <w:rStyle w:val="Hyperlink"/>
            <w:lang w:val="en-US"/>
          </w:rPr>
          <w:t>The Draghi report on EU competitiveness</w:t>
        </w:r>
      </w:hyperlink>
      <w:r w:rsidRPr="007129A8">
        <w:rPr>
          <w:lang w:val="en-US"/>
        </w:rPr>
        <w:t xml:space="preserve"> (2024)</w:t>
      </w:r>
    </w:p>
  </w:footnote>
  <w:footnote w:id="3">
    <w:p w14:paraId="5E472675" w14:textId="77777777" w:rsidR="00121930" w:rsidRPr="007129A8" w:rsidRDefault="00121930" w:rsidP="00121930">
      <w:pPr>
        <w:pStyle w:val="Voetnoottekst"/>
        <w:rPr>
          <w:lang w:val="en-US"/>
        </w:rPr>
      </w:pPr>
      <w:r>
        <w:rPr>
          <w:rStyle w:val="Voetnootmarkering"/>
        </w:rPr>
        <w:footnoteRef/>
      </w:r>
      <w:r w:rsidRPr="007129A8">
        <w:rPr>
          <w:lang w:val="en-US"/>
        </w:rPr>
        <w:t xml:space="preserve"> </w:t>
      </w:r>
      <w:hyperlink r:id="rId3" w:history="1">
        <w:r w:rsidRPr="007129A8">
          <w:rPr>
            <w:rStyle w:val="Hyperlink"/>
            <w:lang w:val="en-US"/>
          </w:rPr>
          <w:t>Enrico Letta - Much more than a market (2024)</w:t>
        </w:r>
      </w:hyperlink>
    </w:p>
  </w:footnote>
  <w:footnote w:id="4">
    <w:p w14:paraId="6A9B4E9D" w14:textId="77777777" w:rsidR="00121930" w:rsidRPr="007129A8" w:rsidRDefault="00121930" w:rsidP="00121930">
      <w:pPr>
        <w:pStyle w:val="Voetnoottekst"/>
        <w:rPr>
          <w:lang w:val="en-US"/>
        </w:rPr>
      </w:pPr>
      <w:r>
        <w:rPr>
          <w:rStyle w:val="Voetnootmarkering"/>
        </w:rPr>
        <w:footnoteRef/>
      </w:r>
      <w:r w:rsidRPr="007129A8">
        <w:rPr>
          <w:lang w:val="en-US"/>
        </w:rPr>
        <w:t xml:space="preserve"> </w:t>
      </w:r>
      <w:hyperlink r:id="rId4" w:history="1">
        <w:r w:rsidRPr="00A11EC6">
          <w:rPr>
            <w:rStyle w:val="Hyperlink"/>
            <w:lang w:val="en-US"/>
          </w:rPr>
          <w:t>https://www.consilium.europa.eu/nl/policies/european-research-area/</w:t>
        </w:r>
      </w:hyperlink>
      <w:r>
        <w:rPr>
          <w:lang w:val="en-US"/>
        </w:rPr>
        <w:t xml:space="preserve"> </w:t>
      </w:r>
    </w:p>
  </w:footnote>
  <w:footnote w:id="5">
    <w:p w14:paraId="6323BD64" w14:textId="77777777" w:rsidR="00121930" w:rsidRPr="00CD7712" w:rsidRDefault="00121930" w:rsidP="00121930">
      <w:pPr>
        <w:pStyle w:val="Voetnoottekst"/>
        <w:rPr>
          <w:lang w:val="en-US"/>
        </w:rPr>
      </w:pPr>
      <w:r>
        <w:rPr>
          <w:rStyle w:val="Voetnootmarkering"/>
        </w:rPr>
        <w:footnoteRef/>
      </w:r>
      <w:r w:rsidRPr="00CD7712">
        <w:rPr>
          <w:lang w:val="en-US"/>
        </w:rPr>
        <w:t xml:space="preserve"> </w:t>
      </w:r>
      <w:hyperlink r:id="rId5" w:history="1">
        <w:r w:rsidRPr="00CD7712">
          <w:rPr>
            <w:rStyle w:val="Hyperlink"/>
            <w:lang w:val="en-US"/>
          </w:rPr>
          <w:t>https://commission.europa.eu/news-and-media/news/eu-inc-making-business-easier-european-union-2026-03-18_en</w:t>
        </w:r>
      </w:hyperlink>
      <w:r>
        <w:rPr>
          <w:lang w:val="en-US"/>
        </w:rPr>
        <w:t xml:space="preserve"> </w:t>
      </w:r>
    </w:p>
  </w:footnote>
  <w:footnote w:id="6">
    <w:p w14:paraId="6D2595CB" w14:textId="77777777" w:rsidR="00121930" w:rsidRPr="00B737EE" w:rsidRDefault="00121930" w:rsidP="00121930">
      <w:pPr>
        <w:pStyle w:val="Voetnoottekst"/>
      </w:pPr>
      <w:r w:rsidRPr="00797BAD">
        <w:rPr>
          <w:rStyle w:val="Voetnootmarkering"/>
        </w:rPr>
        <w:footnoteRef/>
      </w:r>
      <w:r w:rsidRPr="00B737EE">
        <w:t xml:space="preserve"> </w:t>
      </w:r>
      <w:hyperlink r:id="rId6" w:history="1">
        <w:r w:rsidRPr="006F0901">
          <w:rPr>
            <w:color w:val="0000FF"/>
            <w:szCs w:val="13"/>
            <w:u w:val="single"/>
          </w:rPr>
          <w:t>Fiche 12: [MFK] Voorstel Verordening en Besluit Horizon Europa – het Europese kaderprogramma voor onderzoek en innovatie | Rijksoverheid.nl</w:t>
        </w:r>
      </w:hyperlink>
      <w:r w:rsidRPr="00B737EE">
        <w:rPr>
          <w:sz w:val="22"/>
          <w:szCs w:val="22"/>
        </w:rPr>
        <w:t xml:space="preserve"> </w:t>
      </w:r>
    </w:p>
  </w:footnote>
  <w:footnote w:id="7">
    <w:p w14:paraId="55F07F3C" w14:textId="77777777" w:rsidR="00121930" w:rsidRDefault="00121930" w:rsidP="00121930">
      <w:pPr>
        <w:pStyle w:val="Voetnoottekst"/>
      </w:pPr>
      <w:r>
        <w:rPr>
          <w:rStyle w:val="Voetnootmarkering"/>
        </w:rPr>
        <w:footnoteRef/>
      </w:r>
      <w:r>
        <w:t xml:space="preserve"> </w:t>
      </w:r>
      <w:hyperlink r:id="rId7" w:history="1">
        <w:r w:rsidRPr="00FD3571">
          <w:rPr>
            <w:rStyle w:val="Hyperlink"/>
            <w:sz w:val="14"/>
            <w:szCs w:val="14"/>
          </w:rPr>
          <w:t>Nieuwe Commissievoorstellen en initiatieven van de lidstaten van de Europese Unie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F90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BD6D53" w14:paraId="1FEC0CAE" w14:textId="77777777" w:rsidTr="006D2D53">
      <w:trPr>
        <w:trHeight w:hRule="exact" w:val="400"/>
      </w:trPr>
      <w:tc>
        <w:tcPr>
          <w:tcW w:w="7518" w:type="dxa"/>
        </w:tcPr>
        <w:p w14:paraId="005A3691" w14:textId="77777777" w:rsidR="00527BD4" w:rsidRPr="00275984" w:rsidRDefault="00527BD4" w:rsidP="00BF4427">
          <w:pPr>
            <w:pStyle w:val="Huisstijl-Rubricering"/>
          </w:pPr>
        </w:p>
      </w:tc>
    </w:tr>
  </w:tbl>
  <w:p w14:paraId="3DAF24F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D6D53" w14:paraId="50AB08F3" w14:textId="77777777" w:rsidTr="003B528D">
      <w:tc>
        <w:tcPr>
          <w:tcW w:w="2160" w:type="dxa"/>
        </w:tcPr>
        <w:p w14:paraId="0328D61F" w14:textId="77777777" w:rsidR="002F71BB" w:rsidRPr="000407BB" w:rsidRDefault="00822D24" w:rsidP="005D283A">
          <w:pPr>
            <w:pStyle w:val="Colofonkop"/>
            <w:framePr w:hSpace="0" w:wrap="auto" w:vAnchor="margin" w:hAnchor="text" w:xAlign="left" w:yAlign="inline"/>
          </w:pPr>
          <w:r>
            <w:t>Onze referentie</w:t>
          </w:r>
        </w:p>
      </w:tc>
    </w:tr>
    <w:tr w:rsidR="00BD6D53" w14:paraId="6159EB63" w14:textId="77777777" w:rsidTr="002F71BB">
      <w:trPr>
        <w:trHeight w:val="259"/>
      </w:trPr>
      <w:tc>
        <w:tcPr>
          <w:tcW w:w="2160" w:type="dxa"/>
        </w:tcPr>
        <w:p w14:paraId="4C833A21" w14:textId="77777777" w:rsidR="00E35CF4" w:rsidRPr="005D283A" w:rsidRDefault="00822D24" w:rsidP="0049501A">
          <w:pPr>
            <w:spacing w:line="180" w:lineRule="exact"/>
            <w:rPr>
              <w:sz w:val="13"/>
              <w:szCs w:val="13"/>
            </w:rPr>
          </w:pPr>
          <w:r>
            <w:rPr>
              <w:sz w:val="13"/>
              <w:szCs w:val="13"/>
            </w:rPr>
            <w:t>65117245</w:t>
          </w:r>
        </w:p>
      </w:tc>
    </w:tr>
  </w:tbl>
  <w:p w14:paraId="51A8284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6D53" w14:paraId="568559DB" w14:textId="77777777" w:rsidTr="001377D4">
      <w:trPr>
        <w:trHeight w:val="2636"/>
      </w:trPr>
      <w:tc>
        <w:tcPr>
          <w:tcW w:w="737" w:type="dxa"/>
        </w:tcPr>
        <w:p w14:paraId="48FCB87E" w14:textId="77777777" w:rsidR="00704845" w:rsidRDefault="00704845" w:rsidP="0047126E">
          <w:pPr>
            <w:framePr w:w="6339" w:h="2750" w:hRule="exact" w:hSpace="181" w:wrap="around" w:vAnchor="page" w:hAnchor="page" w:x="5586" w:y="1"/>
            <w:spacing w:line="240" w:lineRule="auto"/>
          </w:pPr>
        </w:p>
      </w:tc>
      <w:tc>
        <w:tcPr>
          <w:tcW w:w="5156" w:type="dxa"/>
        </w:tcPr>
        <w:p w14:paraId="223E877A" w14:textId="77777777" w:rsidR="00704845" w:rsidRDefault="00822D24" w:rsidP="0047126E">
          <w:pPr>
            <w:framePr w:w="3873" w:h="2625" w:hRule="exact" w:wrap="around" w:vAnchor="page" w:hAnchor="page" w:x="6323" w:y="1"/>
          </w:pPr>
          <w:r>
            <w:rPr>
              <w:noProof/>
              <w:lang w:val="en-US" w:eastAsia="en-US"/>
            </w:rPr>
            <w:drawing>
              <wp:inline distT="0" distB="0" distL="0" distR="0" wp14:anchorId="7B2C985E" wp14:editId="78DE3E9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3E014A8" w14:textId="77777777" w:rsidR="00483ECA" w:rsidRDefault="00483ECA" w:rsidP="00D037A9"/>
      </w:tc>
    </w:tr>
  </w:tbl>
  <w:p w14:paraId="54D504D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D6D53" w14:paraId="66B19282" w14:textId="77777777" w:rsidTr="0008539E">
      <w:trPr>
        <w:trHeight w:hRule="exact" w:val="572"/>
      </w:trPr>
      <w:tc>
        <w:tcPr>
          <w:tcW w:w="7520" w:type="dxa"/>
        </w:tcPr>
        <w:p w14:paraId="0B26B31A" w14:textId="77777777" w:rsidR="00527BD4" w:rsidRPr="00963440" w:rsidRDefault="00822D24" w:rsidP="00210BA3">
          <w:pPr>
            <w:pStyle w:val="Huisstijl-Adres"/>
            <w:spacing w:after="0"/>
          </w:pPr>
          <w:r w:rsidRPr="009E3B07">
            <w:t>&gt;Retouradres </w:t>
          </w:r>
          <w:r>
            <w:t>Postbus 16375 2500 BJ Den Haag</w:t>
          </w:r>
          <w:r w:rsidRPr="009E3B07">
            <w:t xml:space="preserve"> </w:t>
          </w:r>
        </w:p>
      </w:tc>
    </w:tr>
    <w:tr w:rsidR="00BD6D53" w14:paraId="6C344EBD" w14:textId="77777777" w:rsidTr="00E776C6">
      <w:trPr>
        <w:cantSplit/>
        <w:trHeight w:hRule="exact" w:val="238"/>
      </w:trPr>
      <w:tc>
        <w:tcPr>
          <w:tcW w:w="7520" w:type="dxa"/>
        </w:tcPr>
        <w:p w14:paraId="454E698E" w14:textId="77777777" w:rsidR="00093ABC" w:rsidRPr="00963440" w:rsidRDefault="00093ABC" w:rsidP="00963440"/>
      </w:tc>
    </w:tr>
    <w:tr w:rsidR="00BD6D53" w14:paraId="5FB93B65" w14:textId="77777777" w:rsidTr="00E776C6">
      <w:trPr>
        <w:cantSplit/>
        <w:trHeight w:hRule="exact" w:val="1520"/>
      </w:trPr>
      <w:tc>
        <w:tcPr>
          <w:tcW w:w="7520" w:type="dxa"/>
        </w:tcPr>
        <w:p w14:paraId="2DBDA6EA" w14:textId="77777777" w:rsidR="00A604D3" w:rsidRPr="00963440" w:rsidRDefault="00A604D3" w:rsidP="00963440"/>
      </w:tc>
    </w:tr>
    <w:tr w:rsidR="00BD6D53" w14:paraId="097B748A" w14:textId="77777777" w:rsidTr="00E776C6">
      <w:trPr>
        <w:trHeight w:hRule="exact" w:val="1077"/>
      </w:trPr>
      <w:tc>
        <w:tcPr>
          <w:tcW w:w="7520" w:type="dxa"/>
        </w:tcPr>
        <w:p w14:paraId="60286A1B" w14:textId="77777777" w:rsidR="00892BA5" w:rsidRPr="00035E67" w:rsidRDefault="00892BA5" w:rsidP="00892BA5">
          <w:pPr>
            <w:tabs>
              <w:tab w:val="left" w:pos="740"/>
            </w:tabs>
            <w:autoSpaceDE w:val="0"/>
            <w:autoSpaceDN w:val="0"/>
            <w:adjustRightInd w:val="0"/>
            <w:rPr>
              <w:rFonts w:cs="Verdana"/>
              <w:szCs w:val="18"/>
            </w:rPr>
          </w:pPr>
        </w:p>
      </w:tc>
    </w:tr>
  </w:tbl>
  <w:p w14:paraId="603286BB" w14:textId="77777777" w:rsidR="006F273B" w:rsidRDefault="006F273B" w:rsidP="00BC4AE3">
    <w:pPr>
      <w:pStyle w:val="Koptekst"/>
    </w:pPr>
  </w:p>
  <w:p w14:paraId="0D67A168" w14:textId="77777777" w:rsidR="00153BD0" w:rsidRDefault="00153BD0" w:rsidP="00BC4AE3">
    <w:pPr>
      <w:pStyle w:val="Koptekst"/>
    </w:pPr>
  </w:p>
  <w:p w14:paraId="5BA7D4B7" w14:textId="77777777" w:rsidR="0044605E" w:rsidRDefault="0044605E" w:rsidP="00BC4AE3">
    <w:pPr>
      <w:pStyle w:val="Koptekst"/>
    </w:pPr>
  </w:p>
  <w:p w14:paraId="50986AB0" w14:textId="77777777" w:rsidR="0044605E" w:rsidRDefault="0044605E" w:rsidP="00BC4AE3">
    <w:pPr>
      <w:pStyle w:val="Koptekst"/>
    </w:pPr>
  </w:p>
  <w:p w14:paraId="0241C59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FE414D8">
      <w:start w:val="1"/>
      <w:numFmt w:val="bullet"/>
      <w:pStyle w:val="Lijstopsomteken"/>
      <w:lvlText w:val="•"/>
      <w:lvlJc w:val="left"/>
      <w:pPr>
        <w:tabs>
          <w:tab w:val="num" w:pos="227"/>
        </w:tabs>
        <w:ind w:left="227" w:hanging="227"/>
      </w:pPr>
      <w:rPr>
        <w:rFonts w:ascii="Verdana" w:hAnsi="Verdana" w:hint="default"/>
        <w:sz w:val="18"/>
        <w:szCs w:val="18"/>
      </w:rPr>
    </w:lvl>
    <w:lvl w:ilvl="1" w:tplc="E370D358" w:tentative="1">
      <w:start w:val="1"/>
      <w:numFmt w:val="bullet"/>
      <w:lvlText w:val="o"/>
      <w:lvlJc w:val="left"/>
      <w:pPr>
        <w:tabs>
          <w:tab w:val="num" w:pos="1440"/>
        </w:tabs>
        <w:ind w:left="1440" w:hanging="360"/>
      </w:pPr>
      <w:rPr>
        <w:rFonts w:ascii="Courier New" w:hAnsi="Courier New" w:cs="Courier New" w:hint="default"/>
      </w:rPr>
    </w:lvl>
    <w:lvl w:ilvl="2" w:tplc="95240986" w:tentative="1">
      <w:start w:val="1"/>
      <w:numFmt w:val="bullet"/>
      <w:lvlText w:val=""/>
      <w:lvlJc w:val="left"/>
      <w:pPr>
        <w:tabs>
          <w:tab w:val="num" w:pos="2160"/>
        </w:tabs>
        <w:ind w:left="2160" w:hanging="360"/>
      </w:pPr>
      <w:rPr>
        <w:rFonts w:ascii="Wingdings" w:hAnsi="Wingdings" w:hint="default"/>
      </w:rPr>
    </w:lvl>
    <w:lvl w:ilvl="3" w:tplc="D99E032A" w:tentative="1">
      <w:start w:val="1"/>
      <w:numFmt w:val="bullet"/>
      <w:lvlText w:val=""/>
      <w:lvlJc w:val="left"/>
      <w:pPr>
        <w:tabs>
          <w:tab w:val="num" w:pos="2880"/>
        </w:tabs>
        <w:ind w:left="2880" w:hanging="360"/>
      </w:pPr>
      <w:rPr>
        <w:rFonts w:ascii="Symbol" w:hAnsi="Symbol" w:hint="default"/>
      </w:rPr>
    </w:lvl>
    <w:lvl w:ilvl="4" w:tplc="9C4EF71C" w:tentative="1">
      <w:start w:val="1"/>
      <w:numFmt w:val="bullet"/>
      <w:lvlText w:val="o"/>
      <w:lvlJc w:val="left"/>
      <w:pPr>
        <w:tabs>
          <w:tab w:val="num" w:pos="3600"/>
        </w:tabs>
        <w:ind w:left="3600" w:hanging="360"/>
      </w:pPr>
      <w:rPr>
        <w:rFonts w:ascii="Courier New" w:hAnsi="Courier New" w:cs="Courier New" w:hint="default"/>
      </w:rPr>
    </w:lvl>
    <w:lvl w:ilvl="5" w:tplc="A7421C60" w:tentative="1">
      <w:start w:val="1"/>
      <w:numFmt w:val="bullet"/>
      <w:lvlText w:val=""/>
      <w:lvlJc w:val="left"/>
      <w:pPr>
        <w:tabs>
          <w:tab w:val="num" w:pos="4320"/>
        </w:tabs>
        <w:ind w:left="4320" w:hanging="360"/>
      </w:pPr>
      <w:rPr>
        <w:rFonts w:ascii="Wingdings" w:hAnsi="Wingdings" w:hint="default"/>
      </w:rPr>
    </w:lvl>
    <w:lvl w:ilvl="6" w:tplc="DCBCB2A4" w:tentative="1">
      <w:start w:val="1"/>
      <w:numFmt w:val="bullet"/>
      <w:lvlText w:val=""/>
      <w:lvlJc w:val="left"/>
      <w:pPr>
        <w:tabs>
          <w:tab w:val="num" w:pos="5040"/>
        </w:tabs>
        <w:ind w:left="5040" w:hanging="360"/>
      </w:pPr>
      <w:rPr>
        <w:rFonts w:ascii="Symbol" w:hAnsi="Symbol" w:hint="default"/>
      </w:rPr>
    </w:lvl>
    <w:lvl w:ilvl="7" w:tplc="ABC2CF94" w:tentative="1">
      <w:start w:val="1"/>
      <w:numFmt w:val="bullet"/>
      <w:lvlText w:val="o"/>
      <w:lvlJc w:val="left"/>
      <w:pPr>
        <w:tabs>
          <w:tab w:val="num" w:pos="5760"/>
        </w:tabs>
        <w:ind w:left="5760" w:hanging="360"/>
      </w:pPr>
      <w:rPr>
        <w:rFonts w:ascii="Courier New" w:hAnsi="Courier New" w:cs="Courier New" w:hint="default"/>
      </w:rPr>
    </w:lvl>
    <w:lvl w:ilvl="8" w:tplc="D674AB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046BE6E">
      <w:start w:val="1"/>
      <w:numFmt w:val="bullet"/>
      <w:pStyle w:val="Lijstopsomteken2"/>
      <w:lvlText w:val="–"/>
      <w:lvlJc w:val="left"/>
      <w:pPr>
        <w:tabs>
          <w:tab w:val="num" w:pos="227"/>
        </w:tabs>
        <w:ind w:left="227" w:firstLine="0"/>
      </w:pPr>
      <w:rPr>
        <w:rFonts w:ascii="Verdana" w:hAnsi="Verdana" w:hint="default"/>
      </w:rPr>
    </w:lvl>
    <w:lvl w:ilvl="1" w:tplc="2F8672A2" w:tentative="1">
      <w:start w:val="1"/>
      <w:numFmt w:val="bullet"/>
      <w:lvlText w:val="o"/>
      <w:lvlJc w:val="left"/>
      <w:pPr>
        <w:tabs>
          <w:tab w:val="num" w:pos="1440"/>
        </w:tabs>
        <w:ind w:left="1440" w:hanging="360"/>
      </w:pPr>
      <w:rPr>
        <w:rFonts w:ascii="Courier New" w:hAnsi="Courier New" w:cs="Courier New" w:hint="default"/>
      </w:rPr>
    </w:lvl>
    <w:lvl w:ilvl="2" w:tplc="1C9ACA64" w:tentative="1">
      <w:start w:val="1"/>
      <w:numFmt w:val="bullet"/>
      <w:lvlText w:val=""/>
      <w:lvlJc w:val="left"/>
      <w:pPr>
        <w:tabs>
          <w:tab w:val="num" w:pos="2160"/>
        </w:tabs>
        <w:ind w:left="2160" w:hanging="360"/>
      </w:pPr>
      <w:rPr>
        <w:rFonts w:ascii="Wingdings" w:hAnsi="Wingdings" w:hint="default"/>
      </w:rPr>
    </w:lvl>
    <w:lvl w:ilvl="3" w:tplc="D23AA46A" w:tentative="1">
      <w:start w:val="1"/>
      <w:numFmt w:val="bullet"/>
      <w:lvlText w:val=""/>
      <w:lvlJc w:val="left"/>
      <w:pPr>
        <w:tabs>
          <w:tab w:val="num" w:pos="2880"/>
        </w:tabs>
        <w:ind w:left="2880" w:hanging="360"/>
      </w:pPr>
      <w:rPr>
        <w:rFonts w:ascii="Symbol" w:hAnsi="Symbol" w:hint="default"/>
      </w:rPr>
    </w:lvl>
    <w:lvl w:ilvl="4" w:tplc="DE46B6A2" w:tentative="1">
      <w:start w:val="1"/>
      <w:numFmt w:val="bullet"/>
      <w:lvlText w:val="o"/>
      <w:lvlJc w:val="left"/>
      <w:pPr>
        <w:tabs>
          <w:tab w:val="num" w:pos="3600"/>
        </w:tabs>
        <w:ind w:left="3600" w:hanging="360"/>
      </w:pPr>
      <w:rPr>
        <w:rFonts w:ascii="Courier New" w:hAnsi="Courier New" w:cs="Courier New" w:hint="default"/>
      </w:rPr>
    </w:lvl>
    <w:lvl w:ilvl="5" w:tplc="03C4BB38" w:tentative="1">
      <w:start w:val="1"/>
      <w:numFmt w:val="bullet"/>
      <w:lvlText w:val=""/>
      <w:lvlJc w:val="left"/>
      <w:pPr>
        <w:tabs>
          <w:tab w:val="num" w:pos="4320"/>
        </w:tabs>
        <w:ind w:left="4320" w:hanging="360"/>
      </w:pPr>
      <w:rPr>
        <w:rFonts w:ascii="Wingdings" w:hAnsi="Wingdings" w:hint="default"/>
      </w:rPr>
    </w:lvl>
    <w:lvl w:ilvl="6" w:tplc="C8AAC28A" w:tentative="1">
      <w:start w:val="1"/>
      <w:numFmt w:val="bullet"/>
      <w:lvlText w:val=""/>
      <w:lvlJc w:val="left"/>
      <w:pPr>
        <w:tabs>
          <w:tab w:val="num" w:pos="5040"/>
        </w:tabs>
        <w:ind w:left="5040" w:hanging="360"/>
      </w:pPr>
      <w:rPr>
        <w:rFonts w:ascii="Symbol" w:hAnsi="Symbol" w:hint="default"/>
      </w:rPr>
    </w:lvl>
    <w:lvl w:ilvl="7" w:tplc="9B8261A2" w:tentative="1">
      <w:start w:val="1"/>
      <w:numFmt w:val="bullet"/>
      <w:lvlText w:val="o"/>
      <w:lvlJc w:val="left"/>
      <w:pPr>
        <w:tabs>
          <w:tab w:val="num" w:pos="5760"/>
        </w:tabs>
        <w:ind w:left="5760" w:hanging="360"/>
      </w:pPr>
      <w:rPr>
        <w:rFonts w:ascii="Courier New" w:hAnsi="Courier New" w:cs="Courier New" w:hint="default"/>
      </w:rPr>
    </w:lvl>
    <w:lvl w:ilvl="8" w:tplc="E57EC4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7419301">
    <w:abstractNumId w:val="10"/>
  </w:num>
  <w:num w:numId="2" w16cid:durableId="1035890631">
    <w:abstractNumId w:val="7"/>
  </w:num>
  <w:num w:numId="3" w16cid:durableId="579219204">
    <w:abstractNumId w:val="6"/>
  </w:num>
  <w:num w:numId="4" w16cid:durableId="822359464">
    <w:abstractNumId w:val="5"/>
  </w:num>
  <w:num w:numId="5" w16cid:durableId="474571776">
    <w:abstractNumId w:val="4"/>
  </w:num>
  <w:num w:numId="6" w16cid:durableId="1674069147">
    <w:abstractNumId w:val="8"/>
  </w:num>
  <w:num w:numId="7" w16cid:durableId="354308515">
    <w:abstractNumId w:val="3"/>
  </w:num>
  <w:num w:numId="8" w16cid:durableId="77755704">
    <w:abstractNumId w:val="2"/>
  </w:num>
  <w:num w:numId="9" w16cid:durableId="368800288">
    <w:abstractNumId w:val="1"/>
  </w:num>
  <w:num w:numId="10" w16cid:durableId="1308515102">
    <w:abstractNumId w:val="0"/>
  </w:num>
  <w:num w:numId="11" w16cid:durableId="730470673">
    <w:abstractNumId w:val="9"/>
  </w:num>
  <w:num w:numId="12" w16cid:durableId="1284265165">
    <w:abstractNumId w:val="11"/>
  </w:num>
  <w:num w:numId="13" w16cid:durableId="710808661">
    <w:abstractNumId w:val="13"/>
  </w:num>
  <w:num w:numId="14" w16cid:durableId="14296946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2EE"/>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0F6F97"/>
    <w:rsid w:val="00100203"/>
    <w:rsid w:val="00104B4D"/>
    <w:rsid w:val="00105677"/>
    <w:rsid w:val="00114DF7"/>
    <w:rsid w:val="001177B4"/>
    <w:rsid w:val="00121930"/>
    <w:rsid w:val="00122CF9"/>
    <w:rsid w:val="00123704"/>
    <w:rsid w:val="00124C49"/>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F0D"/>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4D6"/>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55CA8"/>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6DB7"/>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26729"/>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18D8"/>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618F"/>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901"/>
    <w:rsid w:val="006F0F93"/>
    <w:rsid w:val="006F273B"/>
    <w:rsid w:val="006F31F2"/>
    <w:rsid w:val="00704845"/>
    <w:rsid w:val="00706AB3"/>
    <w:rsid w:val="007129A8"/>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073A"/>
    <w:rsid w:val="007A26BD"/>
    <w:rsid w:val="007A4105"/>
    <w:rsid w:val="007A4F0E"/>
    <w:rsid w:val="007A514C"/>
    <w:rsid w:val="007B0D8E"/>
    <w:rsid w:val="007B4503"/>
    <w:rsid w:val="007B7264"/>
    <w:rsid w:val="007C03C9"/>
    <w:rsid w:val="007C16D8"/>
    <w:rsid w:val="007C406E"/>
    <w:rsid w:val="007C5183"/>
    <w:rsid w:val="007C7573"/>
    <w:rsid w:val="007E14E4"/>
    <w:rsid w:val="007E2B20"/>
    <w:rsid w:val="007F5331"/>
    <w:rsid w:val="00800CCA"/>
    <w:rsid w:val="008020F2"/>
    <w:rsid w:val="00806120"/>
    <w:rsid w:val="00807B79"/>
    <w:rsid w:val="00810C93"/>
    <w:rsid w:val="00812028"/>
    <w:rsid w:val="00812DD8"/>
    <w:rsid w:val="00813082"/>
    <w:rsid w:val="00813527"/>
    <w:rsid w:val="00814120"/>
    <w:rsid w:val="00814D03"/>
    <w:rsid w:val="00815C7E"/>
    <w:rsid w:val="00820DDA"/>
    <w:rsid w:val="00821114"/>
    <w:rsid w:val="008211EF"/>
    <w:rsid w:val="00821FC1"/>
    <w:rsid w:val="00822D24"/>
    <w:rsid w:val="008267CC"/>
    <w:rsid w:val="0083178B"/>
    <w:rsid w:val="00833695"/>
    <w:rsid w:val="008336B7"/>
    <w:rsid w:val="00833A8E"/>
    <w:rsid w:val="0084255A"/>
    <w:rsid w:val="00842CD8"/>
    <w:rsid w:val="008431FA"/>
    <w:rsid w:val="008547BA"/>
    <w:rsid w:val="008553C7"/>
    <w:rsid w:val="008566BD"/>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48DC"/>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29FF"/>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6ED"/>
    <w:rsid w:val="00BC0D9E"/>
    <w:rsid w:val="00BC3B53"/>
    <w:rsid w:val="00BC3B96"/>
    <w:rsid w:val="00BC4AE3"/>
    <w:rsid w:val="00BC5B28"/>
    <w:rsid w:val="00BC7264"/>
    <w:rsid w:val="00BD6D53"/>
    <w:rsid w:val="00BE17D4"/>
    <w:rsid w:val="00BE3F88"/>
    <w:rsid w:val="00BE4756"/>
    <w:rsid w:val="00BE5364"/>
    <w:rsid w:val="00BE5ED9"/>
    <w:rsid w:val="00BE7B41"/>
    <w:rsid w:val="00BF4427"/>
    <w:rsid w:val="00BF46B6"/>
    <w:rsid w:val="00BF5675"/>
    <w:rsid w:val="00C12489"/>
    <w:rsid w:val="00C15A91"/>
    <w:rsid w:val="00C206F1"/>
    <w:rsid w:val="00C2159D"/>
    <w:rsid w:val="00C217E1"/>
    <w:rsid w:val="00C219B1"/>
    <w:rsid w:val="00C231E2"/>
    <w:rsid w:val="00C23344"/>
    <w:rsid w:val="00C2703D"/>
    <w:rsid w:val="00C3523B"/>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D36"/>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E8672"/>
  <w15:docId w15:val="{ABF76D2B-6A3E-4424-9D6A-1A9DD1F9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7129A8"/>
    <w:rPr>
      <w:vertAlign w:val="superscript"/>
    </w:rPr>
  </w:style>
  <w:style w:type="character" w:styleId="Onopgelostemelding">
    <w:name w:val="Unresolved Mention"/>
    <w:basedOn w:val="Standaardalinea-lettertype"/>
    <w:uiPriority w:val="99"/>
    <w:semiHidden/>
    <w:unhideWhenUsed/>
    <w:rsid w:val="007129A8"/>
    <w:rPr>
      <w:color w:val="605E5C"/>
      <w:shd w:val="clear" w:color="auto" w:fill="E1DFDD"/>
    </w:rPr>
  </w:style>
  <w:style w:type="character" w:customStyle="1" w:styleId="VoetnoottekstChar">
    <w:name w:val="Voetnoottekst Char"/>
    <w:basedOn w:val="Standaardalinea-lettertype"/>
    <w:link w:val="Voetnoottekst"/>
    <w:semiHidden/>
    <w:rsid w:val="00121930"/>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media/ny3j24sm/much-more-than-a-market-report-by-enrico-letta.pdf" TargetMode="External"/><Relationship Id="rId7" Type="http://schemas.openxmlformats.org/officeDocument/2006/relationships/hyperlink" Target="https://www.tweedekamer.nl/kamerstukken/brieven_regering/detail?id=2025Z16823&amp;did=2025D39007" TargetMode="External"/><Relationship Id="rId2" Type="http://schemas.openxmlformats.org/officeDocument/2006/relationships/hyperlink" Target="https://commission.europa.eu/topics/competitiveness/draghi-report_en" TargetMode="External"/><Relationship Id="rId1" Type="http://schemas.openxmlformats.org/officeDocument/2006/relationships/hyperlink" Target="https://commission.europa.eu/topics/competitiveness/one-europe-one-market-roadmap_en" TargetMode="External"/><Relationship Id="rId6" Type="http://schemas.openxmlformats.org/officeDocument/2006/relationships/hyperlink" Target="https://www.rijksoverheid.nl/documenten/2025/09/12/bnc-fiche-mfk-voorstel-verordening-en-besluit-horizon-europa-het-europese-kaderprogramma-voor-onderzoek-en-innovatie" TargetMode="External"/><Relationship Id="rId5" Type="http://schemas.openxmlformats.org/officeDocument/2006/relationships/hyperlink" Target="https://commission.europa.eu/news-and-media/news/eu-inc-making-business-easier-european-union-2026-03-18_en" TargetMode="External"/><Relationship Id="rId4" Type="http://schemas.openxmlformats.org/officeDocument/2006/relationships/hyperlink" Target="https://www.consilium.europa.eu/nl/policies/european-research-are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1302</ap:Words>
  <ap:Characters>7165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2026-07-10T11:57:00.0000000Z</dcterms:created>
  <dcterms:modified xsi:type="dcterms:W3CDTF">2026-07-10T11:57:00.0000000Z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O217MEE</vt:lpwstr>
  </property>
  <property fmtid="{D5CDD505-2E9C-101B-9397-08002B2CF9AE}" pid="3" name="Author">
    <vt:lpwstr>O217MEE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Raad voor Concurrentievermogen 21 juli 2026 te Dublin</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O217MEE</vt:lpwstr>
  </property>
</Properties>
</file>