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2026Z16056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juli 2026)</w:t>
        <w:br/>
      </w:r>
    </w:p>
    <w:p>
      <w:r>
        <w:t xml:space="preserve">Vragen van het lid Kisteman (VVD) aan de minister en staatssecretaris van Onderwijs, Cultuur en Wetenschap over de Kamerbrief ‘Uitkomsten onderzoek bestuurlijk handelen Stichting Islamitisch Onderwijs (SIO)’ (2026Z16048).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Klopt het dat de Onderwijsinspectie opnieuw wanbeheer heeft geconstateerd bij Stichting Islamitisch Onderwijs (SIO), het bevoegd gezag van het Cornelius Haga Lyceum?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Kunt u aangeven op welke punten dit wanbeheer precies ziet?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Deelt u de mening dat het onacceptabel is dat leerlingen jarenlang onderwijs krijgen dat tekortschiet, terwijl het bevoegd gezag er niet in slaagt de noodzakelijke verbeteringen door te voeren?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Kunt u duiden hoe een school waarbij al jarenlang ernstige zorgen bestaan over bestuurs- en onderwijskwaliteit en naleving van wettelijke eisen nog steeds door hetzelfde gezag wordt bestuurd?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Bent u bereid om zo snel mogelijk gebruik te maken van uw bevoegdheden om in te grijpen bij dit wanbeheer? Zo ja, hoe?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Welke mogelijkheden bestaan er om het huidige bestuur geheel of gedeeltelijk te vervangen wanneer sprake is van langdurig wanbeheer?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Is sluiting van de school mogelijk wanneer de kwaliteit en continuïteit van het onderwijs onvoldoende gewaarborgd is? Zo ja, onder welke voorwaarden?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Hoe wordt op dit moment gewaarborgd dat de leerlingen goed onderwijs krijgen en geen verdere leerachterstanden oplopen?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Welke lessen vallen er volgens u uit deze casus te trekken voor het toezicht op nieuwe scholen en kleine schoolbesturen, in het bijzonder wanneer sprake is van gebrekkig intern toezicht?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Bent u van mening dat het huidige instrumentarium van de Inspectie voldoende is om in te grijpen bij scholen waar langdurig sprake is van zeer zwak onderwijs of wanbeheer?</w:t>
      </w:r>
      <w:r>
        <w:br/>
      </w:r>
    </w:p>
    <w:p>
      <w:pPr>
        <w:pStyle w:val="ListParagraph"/>
        <w:numPr>
          <w:ilvl w:val="0"/>
          <w:numId w:val="100513600"/>
        </w:numPr>
        <w:ind w:left="360"/>
      </w:pPr>
      <w:r>
        <w:t xml:space="preserve">Welke gevolgen heeft deze conclusie van de Inspectie voor de aanvragen die zijn gedaan voor het stichten van nieuwe scholen in bijvoorbeeld Almere en Tilburg?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