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BBC" w:rsidP="00A056D2" w:rsidRDefault="00380BBC" w14:paraId="4201F47A" w14:textId="47F17F75"/>
    <w:p w:rsidR="00380BBC" w:rsidP="00A056D2" w:rsidRDefault="00380BBC" w14:paraId="600CD166" w14:textId="77777777">
      <w:pPr>
        <w:rPr>
          <w:b/>
        </w:rPr>
      </w:pPr>
    </w:p>
    <w:p w:rsidR="00380BBC" w:rsidP="00A056D2" w:rsidRDefault="00380BBC" w14:paraId="66CA112A" w14:textId="77777777">
      <w:pPr>
        <w:rPr>
          <w:b/>
        </w:rPr>
      </w:pPr>
    </w:p>
    <w:p w:rsidRPr="00F529DA" w:rsidR="00877731" w:rsidP="00877731" w:rsidRDefault="00877731" w14:paraId="4C0F599F" w14:textId="77777777">
      <w:pPr>
        <w:rPr>
          <w:b/>
        </w:rPr>
      </w:pPr>
      <w:r w:rsidRPr="00F529DA">
        <w:rPr>
          <w:b/>
        </w:rPr>
        <w:t>Memorie van toelichting</w:t>
      </w:r>
    </w:p>
    <w:p w:rsidRPr="00F529DA" w:rsidR="00877731" w:rsidP="00877731" w:rsidRDefault="00877731" w14:paraId="03EE0B72" w14:textId="77777777"/>
    <w:p w:rsidRPr="00F529DA" w:rsidR="00877731" w:rsidP="00877731" w:rsidRDefault="00877731" w14:paraId="5E39D05B" w14:textId="77777777">
      <w:r w:rsidRPr="00F529DA">
        <w:t>Inhoudsopgave</w:t>
      </w:r>
    </w:p>
    <w:p w:rsidRPr="00F529DA" w:rsidR="00877731" w:rsidP="00877731" w:rsidRDefault="00877731" w14:paraId="6AFB18E2" w14:textId="77777777"/>
    <w:p w:rsidRPr="00F529DA" w:rsidR="00877731" w:rsidP="00877731" w:rsidRDefault="00877731" w14:paraId="3DF69089" w14:textId="77777777">
      <w:r w:rsidRPr="00F529DA">
        <w:t>I. Algemeen</w:t>
      </w:r>
      <w:r w:rsidRPr="00F529DA">
        <w:tab/>
      </w:r>
    </w:p>
    <w:p w:rsidRPr="00F529DA" w:rsidR="00877731" w:rsidP="00877731" w:rsidRDefault="00877731" w14:paraId="3713AA1E" w14:textId="77777777">
      <w:r w:rsidRPr="00F529DA">
        <w:t>1.</w:t>
      </w:r>
      <w:r w:rsidRPr="00F529DA">
        <w:tab/>
        <w:t>Inleiding</w:t>
      </w:r>
      <w:r w:rsidRPr="00F529DA">
        <w:tab/>
      </w:r>
    </w:p>
    <w:p w:rsidRPr="00F529DA" w:rsidR="00877731" w:rsidP="00877731" w:rsidRDefault="00877731" w14:paraId="08720C48" w14:textId="77777777">
      <w:r w:rsidRPr="00F529DA">
        <w:t>2.</w:t>
      </w:r>
      <w:r w:rsidRPr="00F529DA">
        <w:tab/>
        <w:t>Algemeen</w:t>
      </w:r>
      <w:r w:rsidRPr="00F529DA">
        <w:tab/>
      </w:r>
    </w:p>
    <w:p w:rsidRPr="00F529DA" w:rsidR="00877731" w:rsidP="00877731" w:rsidRDefault="00877731" w14:paraId="1A4DCF4B" w14:textId="77777777">
      <w:r w:rsidRPr="00F529DA">
        <w:t>2.1</w:t>
      </w:r>
      <w:r w:rsidRPr="00F529DA">
        <w:tab/>
        <w:t>Context vierjarige subsidiestelstel</w:t>
      </w:r>
      <w:r w:rsidRPr="00F529DA">
        <w:tab/>
      </w:r>
    </w:p>
    <w:p w:rsidRPr="00F529DA" w:rsidR="00877731" w:rsidP="00877731" w:rsidRDefault="00877731" w14:paraId="36163F5F" w14:textId="77777777">
      <w:r w:rsidRPr="00F529DA">
        <w:t>2.2</w:t>
      </w:r>
      <w:r w:rsidRPr="00F529DA">
        <w:tab/>
        <w:t>Aanleiding wetswijziging</w:t>
      </w:r>
      <w:r w:rsidRPr="00F529DA">
        <w:tab/>
      </w:r>
    </w:p>
    <w:p w:rsidRPr="00F529DA" w:rsidR="00877731" w:rsidP="00877731" w:rsidRDefault="00877731" w14:paraId="0E89F229" w14:textId="77777777">
      <w:r w:rsidRPr="00F529DA">
        <w:t>2.3</w:t>
      </w:r>
      <w:r w:rsidRPr="00F529DA">
        <w:tab/>
        <w:t>Probleemomschrijving</w:t>
      </w:r>
      <w:r w:rsidRPr="00F529DA">
        <w:tab/>
      </w:r>
    </w:p>
    <w:p w:rsidR="00877731" w:rsidP="00877731" w:rsidRDefault="00877731" w14:paraId="5D1BCFC8" w14:textId="77777777">
      <w:r w:rsidRPr="00F529DA">
        <w:t>2.4</w:t>
      </w:r>
      <w:r w:rsidRPr="00F529DA">
        <w:tab/>
        <w:t>Motivering instrumentkeuze</w:t>
      </w:r>
      <w:r w:rsidRPr="00F529DA">
        <w:tab/>
      </w:r>
    </w:p>
    <w:p w:rsidRPr="00F529DA" w:rsidR="004B3B1E" w:rsidP="00877731" w:rsidRDefault="004B3B1E" w14:paraId="5298BEC2" w14:textId="056BBA8C">
      <w:r>
        <w:t>2.5</w:t>
      </w:r>
      <w:r>
        <w:tab/>
        <w:t>Risico-mitigatie</w:t>
      </w:r>
    </w:p>
    <w:p w:rsidRPr="00F529DA" w:rsidR="00877731" w:rsidP="00877731" w:rsidRDefault="00877731" w14:paraId="0EFF110A" w14:textId="77777777">
      <w:r w:rsidRPr="00F529DA">
        <w:t>3.</w:t>
      </w:r>
      <w:r w:rsidRPr="00F529DA">
        <w:tab/>
        <w:t>Wetsvoorstel</w:t>
      </w:r>
      <w:r w:rsidRPr="00F529DA">
        <w:tab/>
      </w:r>
    </w:p>
    <w:p w:rsidRPr="00F529DA" w:rsidR="00877731" w:rsidP="00877731" w:rsidRDefault="00877731" w14:paraId="6A3D56E4" w14:textId="77777777">
      <w:r w:rsidRPr="00F529DA">
        <w:t>3.1</w:t>
      </w:r>
      <w:r w:rsidRPr="00F529DA">
        <w:tab/>
        <w:t>Doel van het wetsvoorstel</w:t>
      </w:r>
      <w:r w:rsidRPr="00F529DA">
        <w:tab/>
      </w:r>
    </w:p>
    <w:p w:rsidRPr="00F529DA" w:rsidR="00877731" w:rsidP="00877731" w:rsidRDefault="00877731" w14:paraId="4E3B53C0" w14:textId="77777777">
      <w:r w:rsidRPr="00F529DA">
        <w:t>3.2</w:t>
      </w:r>
      <w:r w:rsidRPr="00F529DA">
        <w:tab/>
        <w:t>Inhoud van het wetsvoorstel</w:t>
      </w:r>
      <w:r w:rsidRPr="00F529DA">
        <w:tab/>
      </w:r>
    </w:p>
    <w:p w:rsidRPr="00F529DA" w:rsidR="00877731" w:rsidP="00877731" w:rsidRDefault="00877731" w14:paraId="5508CE4E" w14:textId="77777777">
      <w:r w:rsidRPr="00F529DA">
        <w:t>3.3</w:t>
      </w:r>
      <w:r w:rsidRPr="00F529DA">
        <w:tab/>
        <w:t>Verhouding tot nationale wetgeving</w:t>
      </w:r>
      <w:r w:rsidRPr="00F529DA">
        <w:tab/>
      </w:r>
    </w:p>
    <w:p w:rsidRPr="00F529DA" w:rsidR="00877731" w:rsidP="00877731" w:rsidRDefault="00877731" w14:paraId="4DDF7335" w14:textId="77777777">
      <w:r w:rsidRPr="00F529DA">
        <w:t>4.</w:t>
      </w:r>
      <w:r w:rsidRPr="00F529DA">
        <w:tab/>
        <w:t>Doeltreffendheid en doelmatigheid</w:t>
      </w:r>
      <w:r w:rsidRPr="00F529DA">
        <w:tab/>
      </w:r>
    </w:p>
    <w:p w:rsidRPr="00F529DA" w:rsidR="00877731" w:rsidP="00877731" w:rsidRDefault="00877731" w14:paraId="10538F2D" w14:textId="77777777">
      <w:r w:rsidRPr="00F529DA">
        <w:t>5.</w:t>
      </w:r>
      <w:r w:rsidRPr="00F529DA">
        <w:tab/>
        <w:t>Monitoring en evaluatie</w:t>
      </w:r>
      <w:r w:rsidRPr="00F529DA">
        <w:tab/>
      </w:r>
    </w:p>
    <w:p w:rsidRPr="00F529DA" w:rsidR="00877731" w:rsidP="00877731" w:rsidRDefault="00877731" w14:paraId="70A8596F" w14:textId="77777777">
      <w:r w:rsidRPr="00F529DA">
        <w:t>6.</w:t>
      </w:r>
      <w:r w:rsidRPr="00F529DA">
        <w:tab/>
        <w:t>Financiële gevolgen</w:t>
      </w:r>
      <w:r w:rsidRPr="00F529DA">
        <w:tab/>
      </w:r>
    </w:p>
    <w:p w:rsidRPr="00F529DA" w:rsidR="00877731" w:rsidP="00877731" w:rsidRDefault="00877731" w14:paraId="057BD7FC" w14:textId="77777777">
      <w:r w:rsidRPr="00F529DA">
        <w:t>7.</w:t>
      </w:r>
      <w:r w:rsidRPr="00F529DA">
        <w:tab/>
        <w:t>Gevolgen voor bedrijfsleven</w:t>
      </w:r>
      <w:r w:rsidRPr="00F529DA">
        <w:tab/>
      </w:r>
    </w:p>
    <w:p w:rsidRPr="00F529DA" w:rsidR="00877731" w:rsidP="00877731" w:rsidRDefault="00877731" w14:paraId="7B199E4F" w14:textId="77777777">
      <w:r w:rsidRPr="00F529DA">
        <w:t>8.</w:t>
      </w:r>
      <w:r w:rsidRPr="00F529DA">
        <w:tab/>
        <w:t>Gevolgen voor decentrale overheden</w:t>
      </w:r>
      <w:r w:rsidRPr="00F529DA">
        <w:tab/>
      </w:r>
    </w:p>
    <w:p w:rsidRPr="00F529DA" w:rsidR="00877731" w:rsidP="00877731" w:rsidRDefault="00877731" w14:paraId="20DB2CA5" w14:textId="77777777">
      <w:r w:rsidRPr="00F529DA">
        <w:t>9.</w:t>
      </w:r>
      <w:r w:rsidRPr="00F529DA">
        <w:tab/>
        <w:t>Toetsen en consultatie</w:t>
      </w:r>
      <w:r w:rsidRPr="00F529DA">
        <w:tab/>
      </w:r>
    </w:p>
    <w:p w:rsidRPr="00F529DA" w:rsidR="00877731" w:rsidP="00877731" w:rsidRDefault="00877731" w14:paraId="134C77CE" w14:textId="77777777">
      <w:r w:rsidRPr="00F529DA">
        <w:t xml:space="preserve">9.1 </w:t>
      </w:r>
      <w:r w:rsidRPr="00F529DA">
        <w:tab/>
        <w:t>Uitvoerings- en handhavingsgevolgen</w:t>
      </w:r>
    </w:p>
    <w:p w:rsidRPr="00F529DA" w:rsidR="00877731" w:rsidP="00877731" w:rsidRDefault="00877731" w14:paraId="779CE6B6" w14:textId="266B37D2">
      <w:r w:rsidRPr="00F529DA">
        <w:t xml:space="preserve">9.1 </w:t>
      </w:r>
      <w:r w:rsidRPr="00F529DA">
        <w:tab/>
        <w:t>Ministerie van Onderwijs, Cultuur en Wetenschap</w:t>
      </w:r>
    </w:p>
    <w:p w:rsidRPr="00F529DA" w:rsidR="00877731" w:rsidP="00877731" w:rsidRDefault="00877731" w14:paraId="594BBBE4" w14:textId="7A493D8A">
      <w:r w:rsidRPr="00F529DA">
        <w:t>9.</w:t>
      </w:r>
      <w:r w:rsidRPr="00F529DA" w:rsidR="00011725">
        <w:t>2</w:t>
      </w:r>
      <w:r w:rsidRPr="00F529DA">
        <w:tab/>
        <w:t>Raad voor cultuur</w:t>
      </w:r>
    </w:p>
    <w:p w:rsidRPr="00F529DA" w:rsidR="00877731" w:rsidP="00877731" w:rsidRDefault="00877731" w14:paraId="497409B2" w14:textId="66CAD78F">
      <w:r w:rsidRPr="00F529DA">
        <w:t>9.</w:t>
      </w:r>
      <w:r w:rsidRPr="00F529DA" w:rsidR="00011725">
        <w:t>3</w:t>
      </w:r>
      <w:r w:rsidRPr="00F529DA">
        <w:t xml:space="preserve"> </w:t>
      </w:r>
      <w:r w:rsidRPr="00F529DA">
        <w:tab/>
        <w:t>Rijkscultuurfondsen</w:t>
      </w:r>
    </w:p>
    <w:p w:rsidRPr="00F529DA" w:rsidR="00261933" w:rsidP="00261933" w:rsidRDefault="00261933" w14:paraId="1711F02A" w14:textId="532F635C">
      <w:r w:rsidRPr="00F529DA">
        <w:t>10.</w:t>
      </w:r>
      <w:r w:rsidRPr="00F529DA">
        <w:tab/>
        <w:t xml:space="preserve">Advies en </w:t>
      </w:r>
      <w:r w:rsidRPr="00F529DA" w:rsidR="000130D9">
        <w:t>internet</w:t>
      </w:r>
      <w:r w:rsidRPr="00F529DA">
        <w:t>consultatie</w:t>
      </w:r>
    </w:p>
    <w:p w:rsidRPr="00F529DA" w:rsidR="00261933" w:rsidP="00261933" w:rsidRDefault="00261933" w14:paraId="263729A4" w14:textId="6E151ACF">
      <w:r w:rsidRPr="00F529DA">
        <w:t xml:space="preserve">10.1 </w:t>
      </w:r>
      <w:r w:rsidRPr="00F529DA">
        <w:tab/>
      </w:r>
      <w:r w:rsidRPr="00F529DA" w:rsidR="00254E54">
        <w:t xml:space="preserve">Advies </w:t>
      </w:r>
      <w:r w:rsidRPr="00F529DA">
        <w:t xml:space="preserve">Adviescollege </w:t>
      </w:r>
      <w:r w:rsidRPr="00F529DA" w:rsidR="00011725">
        <w:t>t</w:t>
      </w:r>
      <w:r w:rsidRPr="00F529DA">
        <w:t xml:space="preserve">oetsing </w:t>
      </w:r>
      <w:r w:rsidRPr="00F529DA" w:rsidR="00011725">
        <w:t>r</w:t>
      </w:r>
      <w:r w:rsidRPr="00F529DA">
        <w:t>egeldruk</w:t>
      </w:r>
    </w:p>
    <w:p w:rsidRPr="00F529DA" w:rsidR="00261933" w:rsidP="00261933" w:rsidRDefault="00261933" w14:paraId="2D453CC4" w14:textId="5708E89D">
      <w:r w:rsidRPr="00F529DA">
        <w:t xml:space="preserve">10.2 </w:t>
      </w:r>
      <w:r w:rsidRPr="00F529DA">
        <w:tab/>
      </w:r>
      <w:r w:rsidRPr="00F529DA" w:rsidR="00254E54">
        <w:t xml:space="preserve">Advies </w:t>
      </w:r>
      <w:r w:rsidRPr="00F529DA">
        <w:t>Raad voor cultuur</w:t>
      </w:r>
    </w:p>
    <w:p w:rsidRPr="00F529DA" w:rsidR="00261933" w:rsidP="00261933" w:rsidRDefault="00261933" w14:paraId="5438E9EB" w14:textId="77777777">
      <w:r w:rsidRPr="00F529DA">
        <w:t>10.3</w:t>
      </w:r>
      <w:r w:rsidRPr="00F529DA">
        <w:tab/>
        <w:t>Internetconsultatie</w:t>
      </w:r>
    </w:p>
    <w:p w:rsidRPr="00F529DA" w:rsidR="00261933" w:rsidP="00261933" w:rsidRDefault="00261933" w14:paraId="2672B77C" w14:textId="3AB264AC">
      <w:r w:rsidRPr="00F529DA">
        <w:t>11.</w:t>
      </w:r>
      <w:r w:rsidRPr="00F529DA">
        <w:tab/>
      </w:r>
      <w:r w:rsidRPr="00F529DA" w:rsidR="00011725">
        <w:t>Uitvoerings- en handhavingsgevolgen</w:t>
      </w:r>
      <w:r w:rsidRPr="00F529DA">
        <w:tab/>
      </w:r>
    </w:p>
    <w:p w:rsidRPr="00F529DA" w:rsidR="00261933" w:rsidP="00261933" w:rsidRDefault="00261933" w14:paraId="19F5E518" w14:textId="77777777">
      <w:r w:rsidRPr="00F529DA">
        <w:t>11.1</w:t>
      </w:r>
      <w:r w:rsidRPr="00F529DA">
        <w:tab/>
        <w:t>Inwerkingtreding</w:t>
      </w:r>
      <w:r w:rsidRPr="00F529DA">
        <w:tab/>
      </w:r>
    </w:p>
    <w:p w:rsidRPr="00F529DA" w:rsidR="00877731" w:rsidP="00877731" w:rsidRDefault="00261933" w14:paraId="2E9F60CA" w14:textId="7F8C00E9">
      <w:r w:rsidRPr="00F529DA">
        <w:t>11.2</w:t>
      </w:r>
      <w:r w:rsidRPr="00F529DA">
        <w:tab/>
        <w:t>Overgangs</w:t>
      </w:r>
      <w:r w:rsidRPr="00F529DA" w:rsidR="00011725">
        <w:t>bepaling</w:t>
      </w:r>
      <w:r w:rsidRPr="00F529DA">
        <w:tab/>
      </w:r>
      <w:r w:rsidRPr="00F529DA" w:rsidR="00877731">
        <w:tab/>
      </w:r>
    </w:p>
    <w:p w:rsidRPr="00F529DA" w:rsidR="00877731" w:rsidP="00877731" w:rsidRDefault="00877731" w14:paraId="3350F4E2" w14:textId="77777777"/>
    <w:p w:rsidRPr="00F529DA" w:rsidR="00877731" w:rsidP="00877731" w:rsidRDefault="00877731" w14:paraId="43CF513A" w14:textId="77777777">
      <w:r w:rsidRPr="00F529DA">
        <w:t>II. Artikelsgewijze toelichting</w:t>
      </w:r>
    </w:p>
    <w:p w:rsidRPr="00F529DA" w:rsidR="00877731" w:rsidP="00877731" w:rsidRDefault="00877731" w14:paraId="036BF0B8" w14:textId="77777777"/>
    <w:p w:rsidRPr="00F529DA" w:rsidR="00877731" w:rsidP="00877731" w:rsidRDefault="00877731" w14:paraId="5EFE83BB" w14:textId="77777777">
      <w:pPr>
        <w:keepNext/>
        <w:keepLines/>
        <w:spacing w:before="160" w:after="80" w:line="276" w:lineRule="auto"/>
        <w:ind w:left="360" w:hanging="360"/>
        <w:outlineLvl w:val="1"/>
        <w:rPr>
          <w:b/>
          <w:kern w:val="2"/>
          <w:szCs w:val="32"/>
          <w14:ligatures w14:val="standardContextual"/>
        </w:rPr>
      </w:pPr>
      <w:bookmarkStart w:name="_Toc210384023" w:id="0"/>
      <w:r w:rsidRPr="00F529DA">
        <w:rPr>
          <w:b/>
          <w:kern w:val="2"/>
          <w:szCs w:val="32"/>
          <w14:ligatures w14:val="standardContextual"/>
        </w:rPr>
        <w:t>I. Algemeen</w:t>
      </w:r>
      <w:bookmarkEnd w:id="0"/>
    </w:p>
    <w:p w:rsidRPr="00F529DA" w:rsidR="00877731" w:rsidP="00877731" w:rsidRDefault="00877731" w14:paraId="6510824F"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84024" w:id="1"/>
      <w:r w:rsidRPr="00F529DA">
        <w:rPr>
          <w:b/>
          <w:kern w:val="2"/>
          <w:szCs w:val="32"/>
          <w14:ligatures w14:val="standardContextual"/>
        </w:rPr>
        <w:t>Inleiding</w:t>
      </w:r>
      <w:bookmarkEnd w:id="1"/>
    </w:p>
    <w:p w:rsidRPr="00F529DA" w:rsidR="00877731" w:rsidP="00877731" w:rsidRDefault="00877731" w14:paraId="456407AF" w14:textId="09F4DBEF">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Wet op het specifiek cultuurbeleid (hierna: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legt de wettelijke taak van de minister van Onderwijs, Cultuur en Wetenschap (hierna: de minister) vast ten aanzien van het in stand houden, ontwikkelen, sociaal en geografisch spreiden of anderszins verbreiden van cultuuruitingen en het vormen van cultuurbeleid.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biedt een wettelijke grondslag om in dat kader specifieke uitkeringen te verstrekken en nadere regels te stellen over de subsidiëring van cultuuruitingen. Daarnaast richt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de Raad voor cultuur op en machtigt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de minister om </w:t>
      </w:r>
      <w:proofErr w:type="spellStart"/>
      <w:r w:rsidRPr="00F529DA">
        <w:rPr>
          <w:rFonts w:eastAsia="Calibri"/>
          <w:kern w:val="2"/>
          <w:szCs w:val="22"/>
          <w14:ligatures w14:val="standardContextual"/>
        </w:rPr>
        <w:t>rijkscultuurfondsen</w:t>
      </w:r>
      <w:proofErr w:type="spellEnd"/>
      <w:r w:rsidRPr="00F529DA">
        <w:rPr>
          <w:rFonts w:eastAsia="Calibri"/>
          <w:kern w:val="2"/>
          <w:szCs w:val="22"/>
          <w14:ligatures w14:val="standardContextual"/>
        </w:rPr>
        <w:t xml:space="preserve"> (hierna: fondsen) op te richten. Met de subsidiëring en de fondsen draagt het </w:t>
      </w:r>
      <w:r w:rsidRPr="00F529DA" w:rsidR="00C14129">
        <w:rPr>
          <w:rFonts w:eastAsia="Calibri"/>
          <w:kern w:val="2"/>
          <w:szCs w:val="22"/>
          <w14:ligatures w14:val="standardContextual"/>
        </w:rPr>
        <w:t>R</w:t>
      </w:r>
      <w:r w:rsidRPr="00F529DA">
        <w:rPr>
          <w:rFonts w:eastAsia="Calibri"/>
          <w:kern w:val="2"/>
          <w:szCs w:val="22"/>
          <w14:ligatures w14:val="standardContextual"/>
        </w:rPr>
        <w:t xml:space="preserve">ijk bij aan een landelijk gespreid aanbod van culturele voorzieningen van hoge kwaliteit. Zo regelt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in artikel 4a, eerste lid, dat de minister eenmaal per vier jaar bij ministeriële regeling regels vaststelt voor de verstrekking van subsidies in de op die periode volgende periode van vier kalenderjaren. </w:t>
      </w:r>
      <w:r w:rsidRPr="00F529DA" w:rsidR="002E25CD">
        <w:rPr>
          <w:rFonts w:eastAsia="Calibri"/>
          <w:kern w:val="2"/>
          <w:szCs w:val="22"/>
          <w14:ligatures w14:val="standardContextual"/>
        </w:rPr>
        <w:t>In dit geval gaat het om de R</w:t>
      </w:r>
      <w:r w:rsidRPr="00F529DA">
        <w:rPr>
          <w:rFonts w:eastAsia="Calibri"/>
          <w:kern w:val="2"/>
          <w:szCs w:val="22"/>
          <w14:ligatures w14:val="standardContextual"/>
        </w:rPr>
        <w:t xml:space="preserve">egeling op het specifiek cultuurbeleid (hierna: </w:t>
      </w:r>
      <w:proofErr w:type="spellStart"/>
      <w:r w:rsidRPr="00F529DA">
        <w:rPr>
          <w:rFonts w:eastAsia="Calibri"/>
          <w:kern w:val="2"/>
          <w:szCs w:val="22"/>
          <w14:ligatures w14:val="standardContextual"/>
        </w:rPr>
        <w:t>Rsc</w:t>
      </w:r>
      <w:proofErr w:type="spellEnd"/>
      <w:r w:rsidRPr="00F529DA">
        <w:rPr>
          <w:rFonts w:eastAsia="Calibri"/>
          <w:kern w:val="2"/>
          <w:szCs w:val="22"/>
          <w14:ligatures w14:val="standardContextual"/>
        </w:rPr>
        <w:t xml:space="preserve">). </w:t>
      </w:r>
    </w:p>
    <w:p w:rsidRPr="00F529DA" w:rsidR="00877731" w:rsidP="00877731" w:rsidRDefault="00877731" w14:paraId="2987AF80" w14:textId="77777777">
      <w:pPr>
        <w:spacing w:line="276" w:lineRule="auto"/>
        <w:rPr>
          <w:rFonts w:eastAsia="Calibri"/>
          <w:kern w:val="2"/>
          <w:szCs w:val="22"/>
          <w14:ligatures w14:val="standardContextual"/>
        </w:rPr>
      </w:pPr>
    </w:p>
    <w:p w:rsidR="00590385" w:rsidP="00877731" w:rsidRDefault="00877731" w14:paraId="110C7B05" w14:textId="61987FF5">
      <w:pPr>
        <w:spacing w:line="276" w:lineRule="auto"/>
        <w:rPr>
          <w:rFonts w:eastAsia="Calibri"/>
          <w:kern w:val="2"/>
          <w:szCs w:val="22"/>
          <w14:ligatures w14:val="standardContextual"/>
        </w:rPr>
      </w:pPr>
      <w:r w:rsidRPr="00F529DA">
        <w:rPr>
          <w:rFonts w:eastAsia="Calibri"/>
          <w:kern w:val="2"/>
          <w:szCs w:val="22"/>
          <w14:ligatures w14:val="standardContextual"/>
        </w:rPr>
        <w:lastRenderedPageBreak/>
        <w:t xml:space="preserve">De wens van de </w:t>
      </w:r>
      <w:r w:rsidR="00B148C8">
        <w:rPr>
          <w:rFonts w:eastAsia="Calibri"/>
          <w:kern w:val="2"/>
          <w:szCs w:val="22"/>
          <w14:ligatures w14:val="standardContextual"/>
        </w:rPr>
        <w:t>regering</w:t>
      </w:r>
      <w:r w:rsidRPr="00F529DA">
        <w:rPr>
          <w:rFonts w:eastAsia="Calibri"/>
          <w:kern w:val="2"/>
          <w:szCs w:val="22"/>
          <w14:ligatures w14:val="standardContextual"/>
        </w:rPr>
        <w:t xml:space="preserve"> is om </w:t>
      </w:r>
      <w:r w:rsidR="00FB3100">
        <w:rPr>
          <w:rFonts w:eastAsia="Calibri"/>
          <w:kern w:val="2"/>
          <w:szCs w:val="22"/>
          <w14:ligatures w14:val="standardContextual"/>
        </w:rPr>
        <w:t>de</w:t>
      </w:r>
      <w:r w:rsidRPr="00F529DA" w:rsidR="00FB3100">
        <w:rPr>
          <w:rFonts w:eastAsia="Calibri"/>
          <w:kern w:val="2"/>
          <w:szCs w:val="22"/>
          <w14:ligatures w14:val="standardContextual"/>
        </w:rPr>
        <w:t xml:space="preserve"> </w:t>
      </w:r>
      <w:r w:rsidRPr="00F529DA">
        <w:rPr>
          <w:rFonts w:eastAsia="Calibri"/>
          <w:kern w:val="2"/>
          <w:szCs w:val="22"/>
          <w14:ligatures w14:val="standardContextual"/>
        </w:rPr>
        <w:t>beleidscyclus aan te passen naar acht jaar, zodat een langere maximale financieringstermijn wordt gecreëerd die beter aansluit op de praktijk van een deel van de culturele sector.</w:t>
      </w:r>
      <w:r w:rsidR="00E77D86">
        <w:rPr>
          <w:rFonts w:eastAsia="Calibri"/>
          <w:kern w:val="2"/>
          <w:szCs w:val="22"/>
          <w14:ligatures w14:val="standardContextual"/>
        </w:rPr>
        <w:t xml:space="preserve"> </w:t>
      </w:r>
      <w:r w:rsidRPr="00F529DA">
        <w:rPr>
          <w:rFonts w:eastAsia="Calibri"/>
          <w:kern w:val="2"/>
          <w:szCs w:val="22"/>
          <w14:ligatures w14:val="standardContextual"/>
        </w:rPr>
        <w:t>De aangepaste beleidscyclus biedt de ruimte om te werken aan de vermindering van de administratieve en financiële laste</w:t>
      </w:r>
      <w:r w:rsidR="00E77D86">
        <w:rPr>
          <w:rFonts w:eastAsia="Calibri"/>
          <w:kern w:val="2"/>
          <w:szCs w:val="22"/>
          <w14:ligatures w14:val="standardContextual"/>
        </w:rPr>
        <w:t>n</w:t>
      </w:r>
      <w:r w:rsidRPr="00F529DA">
        <w:rPr>
          <w:rFonts w:eastAsia="Calibri"/>
          <w:kern w:val="2"/>
          <w:szCs w:val="22"/>
          <w14:ligatures w14:val="standardContextual"/>
        </w:rPr>
        <w:t xml:space="preserve">, meer </w:t>
      </w:r>
      <w:r w:rsidRPr="00F529DA" w:rsidR="002E25CD">
        <w:rPr>
          <w:rFonts w:eastAsia="Calibri"/>
          <w:kern w:val="2"/>
          <w:szCs w:val="22"/>
          <w14:ligatures w14:val="standardContextual"/>
        </w:rPr>
        <w:t xml:space="preserve">rust te brengen </w:t>
      </w:r>
      <w:r w:rsidRPr="00F529DA">
        <w:rPr>
          <w:rFonts w:eastAsia="Calibri"/>
          <w:kern w:val="2"/>
          <w:szCs w:val="22"/>
          <w14:ligatures w14:val="standardContextual"/>
        </w:rPr>
        <w:t>in de subsidieperiodes</w:t>
      </w:r>
      <w:r w:rsidR="00FB3100">
        <w:rPr>
          <w:rFonts w:eastAsia="Calibri"/>
          <w:kern w:val="2"/>
          <w:szCs w:val="22"/>
          <w14:ligatures w14:val="standardContextual"/>
        </w:rPr>
        <w:t xml:space="preserve"> en </w:t>
      </w:r>
      <w:r w:rsidRPr="00F529DA">
        <w:rPr>
          <w:rFonts w:eastAsia="Calibri"/>
          <w:kern w:val="2"/>
          <w:szCs w:val="22"/>
          <w14:ligatures w14:val="standardContextual"/>
        </w:rPr>
        <w:t>meer ruimte voor langetermijninvesteringen en artistieke ontwikkeling</w:t>
      </w:r>
      <w:r w:rsidR="00590385">
        <w:rPr>
          <w:rFonts w:eastAsia="Calibri"/>
          <w:kern w:val="2"/>
          <w:szCs w:val="22"/>
          <w14:ligatures w14:val="standardContextual"/>
        </w:rPr>
        <w:t xml:space="preserve">. </w:t>
      </w:r>
      <w:r w:rsidRPr="00590385" w:rsidR="00590385">
        <w:rPr>
          <w:rFonts w:eastAsia="Calibri"/>
          <w:kern w:val="2"/>
          <w:szCs w:val="22"/>
          <w14:ligatures w14:val="standardContextual"/>
        </w:rPr>
        <w:t xml:space="preserve">Hiervoor is een wijziging van de </w:t>
      </w:r>
      <w:proofErr w:type="spellStart"/>
      <w:r w:rsidRPr="00590385" w:rsidR="00590385">
        <w:rPr>
          <w:rFonts w:eastAsia="Calibri"/>
          <w:kern w:val="2"/>
          <w:szCs w:val="22"/>
          <w14:ligatures w14:val="standardContextual"/>
        </w:rPr>
        <w:t>Wsc</w:t>
      </w:r>
      <w:proofErr w:type="spellEnd"/>
      <w:r w:rsidRPr="00590385" w:rsidR="00590385">
        <w:rPr>
          <w:rFonts w:eastAsia="Calibri"/>
          <w:kern w:val="2"/>
          <w:szCs w:val="22"/>
          <w14:ligatures w14:val="standardContextual"/>
        </w:rPr>
        <w:t xml:space="preserve"> nodig. </w:t>
      </w:r>
    </w:p>
    <w:p w:rsidR="00FB3100" w:rsidP="00877731" w:rsidRDefault="00FB3100" w14:paraId="1FD8346D" w14:textId="77777777">
      <w:pPr>
        <w:spacing w:line="276" w:lineRule="auto"/>
        <w:rPr>
          <w:rFonts w:eastAsia="Calibri"/>
          <w:kern w:val="2"/>
          <w:szCs w:val="22"/>
          <w14:ligatures w14:val="standardContextual"/>
        </w:rPr>
      </w:pPr>
    </w:p>
    <w:p w:rsidR="00877731" w:rsidP="00877731" w:rsidRDefault="006E56C6" w14:paraId="55647CB1" w14:textId="5FEC3C37">
      <w:pPr>
        <w:spacing w:line="276" w:lineRule="auto"/>
        <w:rPr>
          <w:rFonts w:eastAsia="Calibri"/>
          <w:kern w:val="2"/>
          <w:szCs w:val="22"/>
          <w14:ligatures w14:val="standardContextual"/>
        </w:rPr>
      </w:pPr>
      <w:r w:rsidRPr="006E56C6">
        <w:rPr>
          <w:rFonts w:eastAsia="Calibri"/>
          <w:kern w:val="2"/>
          <w:szCs w:val="22"/>
          <w14:ligatures w14:val="standardContextual"/>
        </w:rPr>
        <w:t>Een maximale termijn van acht jaar sluit beter aan bij de diversiteit van organisaties in de culturele sector. Hierdoor kunnen subsidies met verschillende looptijden worden aangeboden, zodat beter kan worden aangesloten bij de behoeften van verschillende categorieën instellinge</w:t>
      </w:r>
      <w:r>
        <w:rPr>
          <w:rFonts w:eastAsia="Calibri"/>
          <w:kern w:val="2"/>
          <w:szCs w:val="22"/>
          <w14:ligatures w14:val="standardContextual"/>
        </w:rPr>
        <w:t xml:space="preserve">n. </w:t>
      </w:r>
      <w:r w:rsidR="00861D8E">
        <w:rPr>
          <w:rFonts w:eastAsia="Calibri"/>
          <w:kern w:val="2"/>
          <w:szCs w:val="22"/>
          <w14:ligatures w14:val="standardContextual"/>
        </w:rPr>
        <w:t>Welke termijn per categorie het meest passend</w:t>
      </w:r>
      <w:r w:rsidR="008A2288">
        <w:rPr>
          <w:rFonts w:eastAsia="Calibri"/>
          <w:kern w:val="2"/>
          <w:szCs w:val="22"/>
          <w14:ligatures w14:val="standardContextual"/>
        </w:rPr>
        <w:t xml:space="preserve"> is</w:t>
      </w:r>
      <w:r w:rsidR="00AD4580">
        <w:rPr>
          <w:rFonts w:eastAsia="Calibri"/>
          <w:kern w:val="2"/>
          <w:szCs w:val="22"/>
          <w14:ligatures w14:val="standardContextual"/>
        </w:rPr>
        <w:t>,</w:t>
      </w:r>
      <w:r w:rsidR="00861D8E">
        <w:rPr>
          <w:rFonts w:eastAsia="Calibri"/>
          <w:kern w:val="2"/>
          <w:szCs w:val="22"/>
          <w14:ligatures w14:val="standardContextual"/>
        </w:rPr>
        <w:t xml:space="preserve"> zal worden uitgewerkt in de </w:t>
      </w:r>
      <w:proofErr w:type="spellStart"/>
      <w:r w:rsidR="00861D8E">
        <w:rPr>
          <w:rFonts w:eastAsia="Calibri"/>
          <w:kern w:val="2"/>
          <w:szCs w:val="22"/>
          <w14:ligatures w14:val="standardContextual"/>
        </w:rPr>
        <w:t>Rsc</w:t>
      </w:r>
      <w:proofErr w:type="spellEnd"/>
      <w:r w:rsidR="00861D8E">
        <w:rPr>
          <w:rFonts w:eastAsia="Calibri"/>
          <w:kern w:val="2"/>
          <w:szCs w:val="22"/>
          <w14:ligatures w14:val="standardContextual"/>
        </w:rPr>
        <w:t xml:space="preserve"> en de </w:t>
      </w:r>
      <w:r>
        <w:rPr>
          <w:rFonts w:eastAsia="Calibri"/>
          <w:kern w:val="2"/>
          <w:szCs w:val="22"/>
          <w14:ligatures w14:val="standardContextual"/>
        </w:rPr>
        <w:t>beleidskaders</w:t>
      </w:r>
      <w:r w:rsidR="00861D8E">
        <w:rPr>
          <w:rFonts w:eastAsia="Calibri"/>
          <w:kern w:val="2"/>
          <w:szCs w:val="22"/>
          <w14:ligatures w14:val="standardContextual"/>
        </w:rPr>
        <w:t xml:space="preserve"> van de fondsen. De fondsen hebben door onderhavige wetswijziging de mogelijkheid een langjarige visie hierover op te stellen.</w:t>
      </w:r>
      <w:r w:rsidRPr="00F529DA" w:rsidR="00877731">
        <w:rPr>
          <w:rFonts w:eastAsia="Calibri"/>
          <w:kern w:val="2"/>
          <w:szCs w:val="22"/>
          <w14:ligatures w14:val="standardContextual"/>
        </w:rPr>
        <w:t xml:space="preserve"> </w:t>
      </w:r>
    </w:p>
    <w:p w:rsidR="00422A3F" w:rsidP="00877731" w:rsidRDefault="00422A3F" w14:paraId="4ACBCB61" w14:textId="77777777">
      <w:pPr>
        <w:spacing w:line="276" w:lineRule="auto"/>
        <w:rPr>
          <w:rFonts w:eastAsia="Calibri"/>
          <w:kern w:val="2"/>
          <w:szCs w:val="22"/>
          <w14:ligatures w14:val="standardContextual"/>
        </w:rPr>
      </w:pPr>
    </w:p>
    <w:p w:rsidRPr="00F529DA" w:rsidR="00877731" w:rsidP="00877731" w:rsidRDefault="00877731" w14:paraId="0B107F2D"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84025" w:id="2"/>
      <w:r w:rsidRPr="00F529DA">
        <w:rPr>
          <w:b/>
          <w:kern w:val="2"/>
          <w:szCs w:val="32"/>
          <w14:ligatures w14:val="standardContextual"/>
        </w:rPr>
        <w:t>Algemeen</w:t>
      </w:r>
      <w:bookmarkEnd w:id="2"/>
    </w:p>
    <w:p w:rsidRPr="00F529DA" w:rsidR="00877731" w:rsidP="00877731" w:rsidRDefault="00877731" w14:paraId="12EB91E7" w14:textId="77777777">
      <w:pPr>
        <w:keepNext/>
        <w:keepLines/>
        <w:numPr>
          <w:ilvl w:val="1"/>
          <w:numId w:val="0"/>
        </w:numPr>
        <w:spacing w:before="160" w:after="80" w:line="276" w:lineRule="auto"/>
        <w:ind w:left="792" w:hanging="84"/>
        <w:outlineLvl w:val="2"/>
        <w:rPr>
          <w:b/>
          <w:kern w:val="2"/>
          <w:szCs w:val="28"/>
          <w14:ligatures w14:val="standardContextual"/>
        </w:rPr>
      </w:pPr>
      <w:bookmarkStart w:name="_Toc210384026" w:id="3"/>
      <w:r w:rsidRPr="00F529DA">
        <w:rPr>
          <w:b/>
          <w:kern w:val="2"/>
          <w:szCs w:val="28"/>
          <w14:ligatures w14:val="standardContextual"/>
        </w:rPr>
        <w:t>2.1 Context vierjarige subsidiestelstel</w:t>
      </w:r>
      <w:bookmarkEnd w:id="3"/>
    </w:p>
    <w:p w:rsidRPr="00F529DA" w:rsidR="00877731" w:rsidP="007F6D48" w:rsidRDefault="00877731" w14:paraId="7249195D" w14:textId="097102A3">
      <w:pPr>
        <w:spacing w:line="276" w:lineRule="auto"/>
        <w:rPr>
          <w:rFonts w:eastAsia="Calibri"/>
          <w:kern w:val="2"/>
          <w:szCs w:val="22"/>
          <w14:ligatures w14:val="standardContextual"/>
        </w:rPr>
      </w:pPr>
      <w:r w:rsidRPr="00F529DA">
        <w:rPr>
          <w:rFonts w:eastAsia="Calibri"/>
          <w:kern w:val="2"/>
          <w:szCs w:val="22"/>
          <w14:ligatures w14:val="standardContextual"/>
        </w:rPr>
        <w:t>Het subsidiestelsel zoals wij het nu kennen vindt zijn oorsprong in 2005.</w:t>
      </w:r>
      <w:r w:rsidRPr="00F529DA">
        <w:rPr>
          <w:rFonts w:eastAsia="Calibri"/>
          <w:kern w:val="2"/>
          <w:szCs w:val="22"/>
          <w:vertAlign w:val="superscript"/>
          <w14:ligatures w14:val="standardContextual"/>
        </w:rPr>
        <w:footnoteReference w:id="1"/>
      </w:r>
      <w:r w:rsidRPr="00F529DA">
        <w:rPr>
          <w:rFonts w:eastAsia="Calibri"/>
          <w:kern w:val="2"/>
          <w:szCs w:val="22"/>
          <w14:ligatures w14:val="standardContextual"/>
        </w:rPr>
        <w:t xml:space="preserve"> Een sterk toegenomen aantal aanvragen, de verhoogde eisen van de procedure en de rechtsbescherming maakte dat het subsidiestelstel zich had ontwikkeld tot een “hoge graad van (beheersmatige) rationaliteit</w:t>
      </w:r>
      <w:r w:rsidR="00AD4580">
        <w:rPr>
          <w:rFonts w:eastAsia="Calibri"/>
          <w:kern w:val="2"/>
          <w:szCs w:val="22"/>
          <w14:ligatures w14:val="standardContextual"/>
        </w:rPr>
        <w:t>”</w:t>
      </w:r>
      <w:r w:rsidRPr="00F529DA">
        <w:rPr>
          <w:rFonts w:eastAsia="Calibri"/>
          <w:kern w:val="2"/>
          <w:szCs w:val="22"/>
          <w14:ligatures w14:val="standardContextual"/>
        </w:rPr>
        <w:t>.</w:t>
      </w:r>
      <w:r w:rsidR="007F6D48">
        <w:rPr>
          <w:rFonts w:eastAsia="Calibri"/>
          <w:kern w:val="2"/>
          <w:szCs w:val="22"/>
          <w14:ligatures w14:val="standardContextual"/>
        </w:rPr>
        <w:t xml:space="preserve"> </w:t>
      </w:r>
      <w:r w:rsidRPr="007F6D48" w:rsidR="007F6D48">
        <w:rPr>
          <w:rFonts w:eastAsia="Calibri"/>
          <w:kern w:val="2"/>
          <w:szCs w:val="22"/>
          <w14:ligatures w14:val="standardContextual"/>
        </w:rPr>
        <w:t xml:space="preserve">Er </w:t>
      </w:r>
      <w:r w:rsidR="00DC2734">
        <w:rPr>
          <w:rFonts w:eastAsia="Calibri"/>
          <w:kern w:val="2"/>
          <w:szCs w:val="22"/>
          <w14:ligatures w14:val="standardContextual"/>
        </w:rPr>
        <w:t xml:space="preserve">is </w:t>
      </w:r>
      <w:r w:rsidR="00AD4580">
        <w:rPr>
          <w:rFonts w:eastAsia="Calibri"/>
          <w:kern w:val="2"/>
          <w:szCs w:val="22"/>
          <w14:ligatures w14:val="standardContextual"/>
        </w:rPr>
        <w:t>volgens de toenmalig</w:t>
      </w:r>
      <w:r w:rsidR="00A349E0">
        <w:rPr>
          <w:rFonts w:eastAsia="Calibri"/>
          <w:kern w:val="2"/>
          <w:szCs w:val="22"/>
          <w14:ligatures w14:val="standardContextual"/>
        </w:rPr>
        <w:t>e</w:t>
      </w:r>
      <w:r w:rsidR="00AD4580">
        <w:rPr>
          <w:rFonts w:eastAsia="Calibri"/>
          <w:kern w:val="2"/>
          <w:szCs w:val="22"/>
          <w14:ligatures w14:val="standardContextual"/>
        </w:rPr>
        <w:t xml:space="preserve"> minister van Onderwijs, Cultuur en Wetenschap “</w:t>
      </w:r>
      <w:r w:rsidRPr="007F6D48" w:rsidR="007F6D48">
        <w:rPr>
          <w:rFonts w:eastAsia="Calibri"/>
          <w:kern w:val="2"/>
          <w:szCs w:val="22"/>
          <w14:ligatures w14:val="standardContextual"/>
        </w:rPr>
        <w:t xml:space="preserve">nauwelijks een speld tussen te krijgen. De prijs die voor </w:t>
      </w:r>
      <w:r w:rsidR="00AD4580">
        <w:rPr>
          <w:rFonts w:eastAsia="Calibri"/>
          <w:kern w:val="2"/>
          <w:szCs w:val="22"/>
          <w14:ligatures w14:val="standardContextual"/>
        </w:rPr>
        <w:t xml:space="preserve">de </w:t>
      </w:r>
      <w:r w:rsidRPr="007F6D48" w:rsidR="007F6D48">
        <w:rPr>
          <w:rFonts w:eastAsia="Calibri"/>
          <w:kern w:val="2"/>
          <w:szCs w:val="22"/>
          <w14:ligatures w14:val="standardContextual"/>
        </w:rPr>
        <w:t>soliditeit betaald moet worden is dat niemand er meer goed bij kan</w:t>
      </w:r>
      <w:r w:rsidR="00AD4580">
        <w:rPr>
          <w:rFonts w:eastAsia="Calibri"/>
          <w:kern w:val="2"/>
          <w:szCs w:val="22"/>
          <w14:ligatures w14:val="standardContextual"/>
        </w:rPr>
        <w:t xml:space="preserve">.” Men concludeerde dat het ook voor </w:t>
      </w:r>
      <w:r w:rsidRPr="007F6D48" w:rsidR="007F6D48">
        <w:rPr>
          <w:rFonts w:eastAsia="Calibri"/>
          <w:kern w:val="2"/>
          <w:szCs w:val="22"/>
          <w14:ligatures w14:val="standardContextual"/>
        </w:rPr>
        <w:t xml:space="preserve">stakeholders en medebestuurders lastig </w:t>
      </w:r>
      <w:r w:rsidR="00AD4580">
        <w:rPr>
          <w:rFonts w:eastAsia="Calibri"/>
          <w:kern w:val="2"/>
          <w:szCs w:val="22"/>
          <w14:ligatures w14:val="standardContextual"/>
        </w:rPr>
        <w:t xml:space="preserve">was </w:t>
      </w:r>
      <w:r w:rsidRPr="007F6D48" w:rsidR="007F6D48">
        <w:rPr>
          <w:rFonts w:eastAsia="Calibri"/>
          <w:kern w:val="2"/>
          <w:szCs w:val="22"/>
          <w14:ligatures w14:val="standardContextual"/>
        </w:rPr>
        <w:t xml:space="preserve">om er invloed op uit te oefenen. De systematiek wordt als ‘dichtgetimmerd’ en ‘gesloten’ ervaren. </w:t>
      </w:r>
      <w:r w:rsidRPr="00F529DA">
        <w:rPr>
          <w:rFonts w:eastAsia="Calibri"/>
          <w:kern w:val="2"/>
          <w:szCs w:val="22"/>
          <w14:ligatures w14:val="standardContextual"/>
        </w:rPr>
        <w:t>De oplossing werd gevonden in een benadering waarbij niet de duur en status van een subsidie van doorslaggevend belang was, maar de vraag welk arrangement de culturele organisatie het beste toerustte. Er werd een onderscheid gemaakt tussen drie afzonderlijke categorieën van organisaties die voor een aaneengesloten periode van vier jaar konden worden gesubsidieerd.</w:t>
      </w:r>
      <w:r w:rsidRPr="00F529DA">
        <w:rPr>
          <w:rFonts w:eastAsia="Calibri" w:cs="Calibri"/>
          <w:kern w:val="2"/>
          <w:szCs w:val="18"/>
          <w:vertAlign w:val="superscript"/>
          <w14:ligatures w14:val="standardContextual"/>
        </w:rPr>
        <w:footnoteReference w:id="2"/>
      </w:r>
      <w:r w:rsidRPr="00F529DA">
        <w:rPr>
          <w:rFonts w:eastAsia="Calibri"/>
          <w:kern w:val="2"/>
          <w:szCs w:val="22"/>
          <w14:ligatures w14:val="standardContextual"/>
        </w:rPr>
        <w:t xml:space="preserve"> Ten eerste een categorie organisaties</w:t>
      </w:r>
      <w:r w:rsidRPr="00F529DA" w:rsidDel="00AA580E">
        <w:rPr>
          <w:rFonts w:eastAsia="Calibri"/>
          <w:kern w:val="2"/>
          <w:szCs w:val="22"/>
          <w14:ligatures w14:val="standardContextual"/>
        </w:rPr>
        <w:t xml:space="preserve"> </w:t>
      </w:r>
      <w:r w:rsidRPr="00F529DA">
        <w:rPr>
          <w:rFonts w:eastAsia="Calibri"/>
          <w:kern w:val="2"/>
          <w:szCs w:val="22"/>
          <w14:ligatures w14:val="standardContextual"/>
        </w:rPr>
        <w:t xml:space="preserve">waarbij náást (artistieke) kwaliteit ook beleidsmatige overwegingen over de positie in het culturele bestel een rol speelden. Zij werden op basis van een vierjarige subsidieregeling direct door het </w:t>
      </w:r>
      <w:r w:rsidRPr="00F529DA" w:rsidR="00C14129">
        <w:rPr>
          <w:rFonts w:eastAsia="Calibri"/>
          <w:kern w:val="2"/>
          <w:szCs w:val="22"/>
          <w14:ligatures w14:val="standardContextual"/>
        </w:rPr>
        <w:t>R</w:t>
      </w:r>
      <w:r w:rsidRPr="00F529DA">
        <w:rPr>
          <w:rFonts w:eastAsia="Calibri"/>
          <w:kern w:val="2"/>
          <w:szCs w:val="22"/>
          <w14:ligatures w14:val="standardContextual"/>
        </w:rPr>
        <w:t>ijk gefinancierd. Ten tweede een categorie organisaties die een zodanige positie in het culturele bestel vervul</w:t>
      </w:r>
      <w:r w:rsidRPr="00F529DA" w:rsidR="00261933">
        <w:rPr>
          <w:rFonts w:eastAsia="Calibri"/>
          <w:kern w:val="2"/>
          <w:szCs w:val="22"/>
          <w14:ligatures w14:val="standardContextual"/>
        </w:rPr>
        <w:t>d</w:t>
      </w:r>
      <w:r w:rsidRPr="00F529DA">
        <w:rPr>
          <w:rFonts w:eastAsia="Calibri"/>
          <w:kern w:val="2"/>
          <w:szCs w:val="22"/>
          <w14:ligatures w14:val="standardContextual"/>
        </w:rPr>
        <w:t>en dat ze alleen goed te beoordelen waren in samenhang met instellingen die eenzelfde positie hebben. Zij kregen een langjarig perspectief waarbij alleen de hoogte van de subsidie eens per vier jaar werd aangepast.</w:t>
      </w:r>
      <w:r w:rsidRPr="00F529DA">
        <w:rPr>
          <w:rFonts w:eastAsia="Calibri" w:cs="Calibri"/>
          <w:kern w:val="2"/>
          <w:szCs w:val="18"/>
          <w:vertAlign w:val="superscript"/>
          <w14:ligatures w14:val="standardContextual"/>
        </w:rPr>
        <w:footnoteReference w:id="3"/>
      </w:r>
      <w:r w:rsidRPr="00F529DA">
        <w:rPr>
          <w:rFonts w:eastAsia="Calibri"/>
          <w:kern w:val="2"/>
          <w:szCs w:val="22"/>
          <w14:ligatures w14:val="standardContextual"/>
        </w:rPr>
        <w:t xml:space="preserve"> Een laatste categorie organisaties, waarbij de artistieke overwegingen de doorslag gaven, werd overgeheveld naar de fondsen. De eerste twee categorieën vormden de landelijke culturele infrastructuur.</w:t>
      </w:r>
      <w:r w:rsidRPr="00F529DA">
        <w:rPr>
          <w:rFonts w:eastAsia="Calibri" w:cs="Calibri"/>
          <w:kern w:val="2"/>
          <w:szCs w:val="18"/>
          <w:vertAlign w:val="superscript"/>
          <w14:ligatures w14:val="standardContextual"/>
        </w:rPr>
        <w:footnoteReference w:id="4"/>
      </w:r>
      <w:r w:rsidRPr="00F529DA">
        <w:rPr>
          <w:rFonts w:eastAsia="Calibri"/>
          <w:kern w:val="2"/>
          <w:szCs w:val="22"/>
          <w14:ligatures w14:val="standardContextual"/>
        </w:rPr>
        <w:t xml:space="preserve"> Vanaf 2008 werden ook de fondsen, op advies van de Raad voor cultuur, tot de landelijke culturele infrastructuur gerekend.</w:t>
      </w:r>
      <w:r w:rsidRPr="00F529DA">
        <w:rPr>
          <w:rFonts w:eastAsia="Calibri"/>
          <w:kern w:val="2"/>
          <w:szCs w:val="22"/>
          <w:vertAlign w:val="superscript"/>
          <w14:ligatures w14:val="standardContextual"/>
        </w:rPr>
        <w:footnoteReference w:id="5"/>
      </w:r>
      <w:r w:rsidRPr="00F529DA">
        <w:rPr>
          <w:rFonts w:eastAsia="Calibri"/>
          <w:kern w:val="2"/>
          <w:szCs w:val="22"/>
          <w14:ligatures w14:val="standardContextual"/>
        </w:rPr>
        <w:t xml:space="preserve"> </w:t>
      </w:r>
    </w:p>
    <w:p w:rsidRPr="00F529DA" w:rsidR="00877731" w:rsidP="00877731" w:rsidRDefault="00877731" w14:paraId="795F0BCE" w14:textId="77777777">
      <w:pPr>
        <w:spacing w:line="276" w:lineRule="auto"/>
        <w:rPr>
          <w:rFonts w:eastAsia="Calibri" w:cs="Calibri"/>
          <w:kern w:val="2"/>
          <w:szCs w:val="18"/>
          <w14:ligatures w14:val="standardContextual"/>
        </w:rPr>
      </w:pPr>
    </w:p>
    <w:p w:rsidRPr="00F529DA" w:rsidR="00877731" w:rsidP="00877731" w:rsidRDefault="00877731" w14:paraId="4E54C3F6" w14:textId="53888AE7">
      <w:pPr>
        <w:spacing w:line="276" w:lineRule="auto"/>
        <w:rPr>
          <w:rFonts w:eastAsia="Calibri"/>
          <w:kern w:val="2"/>
          <w:szCs w:val="22"/>
          <w14:ligatures w14:val="standardContextual"/>
        </w:rPr>
      </w:pPr>
      <w:r w:rsidRPr="00F529DA">
        <w:rPr>
          <w:rFonts w:eastAsia="Calibri"/>
          <w:kern w:val="2"/>
          <w:szCs w:val="22"/>
          <w14:ligatures w14:val="standardContextual"/>
        </w:rPr>
        <w:t>De drie categorieën werden wettelijk verankerd in de Wet op het specifiek cultuurbeleid. Artikel 4</w:t>
      </w:r>
      <w:r w:rsidR="002E005C">
        <w:rPr>
          <w:rFonts w:eastAsia="Calibri"/>
          <w:kern w:val="2"/>
          <w:szCs w:val="22"/>
          <w14:ligatures w14:val="standardContextual"/>
        </w:rPr>
        <w:t xml:space="preserve">a </w:t>
      </w:r>
      <w:r w:rsidRPr="00F529DA">
        <w:rPr>
          <w:rFonts w:eastAsia="Calibri"/>
          <w:kern w:val="2"/>
          <w:szCs w:val="22"/>
          <w14:ligatures w14:val="standardContextual"/>
        </w:rPr>
        <w:t>verplichtte de minister om eenmaal per vier jaar via een ministeriële regeling regels vast te stellen voor de verstrekking van subsidies in de op die periode volgende periode van vier kalenderjaren. Artikel 4</w:t>
      </w:r>
      <w:r w:rsidR="002E005C">
        <w:rPr>
          <w:rFonts w:eastAsia="Calibri"/>
          <w:kern w:val="2"/>
          <w:szCs w:val="22"/>
          <w14:ligatures w14:val="standardContextual"/>
        </w:rPr>
        <w:t>b</w:t>
      </w:r>
      <w:r w:rsidRPr="00F529DA">
        <w:rPr>
          <w:rFonts w:eastAsia="Calibri"/>
          <w:kern w:val="2"/>
          <w:szCs w:val="22"/>
          <w14:ligatures w14:val="standardContextual"/>
        </w:rPr>
        <w:t xml:space="preserve"> gaf de minister de bevoegdheid om instellingen of groepen van instellingen aan te wijzen waaraan hij telkens voor een periode van vier kalenderjaren een subsidie </w:t>
      </w:r>
      <w:r w:rsidRPr="00F529DA" w:rsidR="00261933">
        <w:rPr>
          <w:rFonts w:eastAsia="Calibri"/>
          <w:kern w:val="2"/>
          <w:szCs w:val="22"/>
          <w14:ligatures w14:val="standardContextual"/>
        </w:rPr>
        <w:t xml:space="preserve">kon </w:t>
      </w:r>
      <w:r w:rsidRPr="00F529DA">
        <w:rPr>
          <w:rFonts w:eastAsia="Calibri"/>
          <w:kern w:val="2"/>
          <w:szCs w:val="22"/>
          <w14:ligatures w14:val="standardContextual"/>
        </w:rPr>
        <w:t xml:space="preserve">verstrekken. Dit artikel, en daarmee de </w:t>
      </w:r>
      <w:r w:rsidRPr="00F529DA">
        <w:rPr>
          <w:rFonts w:eastAsia="Calibri"/>
          <w:kern w:val="2"/>
          <w:szCs w:val="22"/>
          <w14:ligatures w14:val="standardContextual"/>
        </w:rPr>
        <w:lastRenderedPageBreak/>
        <w:t xml:space="preserve">mogelijkheid om organisaties een langer perspectief </w:t>
      </w:r>
      <w:r w:rsidRPr="00F529DA" w:rsidR="00261933">
        <w:rPr>
          <w:rFonts w:eastAsia="Calibri"/>
          <w:kern w:val="2"/>
          <w:szCs w:val="22"/>
          <w14:ligatures w14:val="standardContextual"/>
        </w:rPr>
        <w:t xml:space="preserve">te bieden </w:t>
      </w:r>
      <w:r w:rsidRPr="00F529DA">
        <w:rPr>
          <w:rFonts w:eastAsia="Calibri"/>
          <w:kern w:val="2"/>
          <w:szCs w:val="22"/>
          <w14:ligatures w14:val="standardContextual"/>
        </w:rPr>
        <w:t>dan vier</w:t>
      </w:r>
      <w:r w:rsidRPr="00F529DA" w:rsidR="00261933">
        <w:rPr>
          <w:rFonts w:eastAsia="Calibri"/>
          <w:kern w:val="2"/>
          <w:szCs w:val="22"/>
          <w14:ligatures w14:val="standardContextual"/>
        </w:rPr>
        <w:t xml:space="preserve"> jaar</w:t>
      </w:r>
      <w:r w:rsidRPr="00F529DA">
        <w:rPr>
          <w:rFonts w:eastAsia="Calibri"/>
          <w:kern w:val="2"/>
          <w:szCs w:val="22"/>
          <w14:ligatures w14:val="standardContextual"/>
        </w:rPr>
        <w:t>, is in het kader van een breed bezuinigingspakket door het kabinet-Rutte I (2010-2012) geschrapt.</w:t>
      </w:r>
      <w:r w:rsidRPr="00F529DA">
        <w:rPr>
          <w:rFonts w:eastAsia="Calibri" w:cs="Calibri"/>
          <w:kern w:val="2"/>
          <w:szCs w:val="18"/>
          <w:vertAlign w:val="superscript"/>
          <w14:ligatures w14:val="standardContextual"/>
        </w:rPr>
        <w:footnoteReference w:id="6"/>
      </w:r>
      <w:r w:rsidRPr="00F529DA">
        <w:rPr>
          <w:rFonts w:eastAsia="Calibri"/>
          <w:kern w:val="2"/>
          <w:szCs w:val="22"/>
          <w14:ligatures w14:val="standardContextual"/>
        </w:rPr>
        <w:t xml:space="preserve"> Artikel 4</w:t>
      </w:r>
      <w:r w:rsidR="002E005C">
        <w:rPr>
          <w:rFonts w:eastAsia="Calibri"/>
          <w:kern w:val="2"/>
          <w:szCs w:val="22"/>
          <w14:ligatures w14:val="standardContextual"/>
        </w:rPr>
        <w:t>c</w:t>
      </w:r>
      <w:r w:rsidRPr="00F529DA">
        <w:rPr>
          <w:rFonts w:eastAsia="Calibri"/>
          <w:kern w:val="2"/>
          <w:szCs w:val="22"/>
          <w14:ligatures w14:val="standardContextual"/>
        </w:rPr>
        <w:t xml:space="preserve"> zorgde ervoor dat de minister aan de fondsen telkens voor een periode van vier kalenderjaren een subsidie kan verstrekken. Het fonds kon deze middelen vervolgens verstrekken aan culturele organisaties. Artikel 10, lid 4</w:t>
      </w:r>
      <w:r w:rsidRPr="00F529DA" w:rsidR="00261933">
        <w:rPr>
          <w:rFonts w:eastAsia="Calibri"/>
          <w:kern w:val="2"/>
          <w:szCs w:val="22"/>
          <w14:ligatures w14:val="standardContextual"/>
        </w:rPr>
        <w:t>,</w:t>
      </w:r>
      <w:r w:rsidRPr="00F529DA">
        <w:rPr>
          <w:rFonts w:eastAsia="Calibri"/>
          <w:kern w:val="2"/>
          <w:szCs w:val="22"/>
          <w14:ligatures w14:val="standardContextual"/>
        </w:rPr>
        <w:t xml:space="preserve"> verplichtte het bestuur van een fonds om één of meer reglementen vast te stellen waarin in ieder geval de werkwijze, de procedures en de criteria worden vastgelegd die het bestuur bij het verstrekken van subsidies hanteert, en ook de verplichtingen die aan de subsidieontvanger worden opgelegd. De fondsen en de organisaties met een langjarig perspectief werden beoordeeld via een visitatiesysteem.</w:t>
      </w:r>
      <w:r w:rsidRPr="00F529DA">
        <w:rPr>
          <w:rFonts w:eastAsia="Calibri" w:cs="Calibri"/>
          <w:kern w:val="2"/>
          <w:szCs w:val="18"/>
          <w:vertAlign w:val="superscript"/>
          <w14:ligatures w14:val="standardContextual"/>
        </w:rPr>
        <w:footnoteReference w:id="7"/>
      </w:r>
      <w:r w:rsidRPr="00F529DA">
        <w:rPr>
          <w:rFonts w:eastAsia="Calibri"/>
          <w:kern w:val="2"/>
          <w:szCs w:val="22"/>
          <w14:ligatures w14:val="standardContextual"/>
        </w:rPr>
        <w:t xml:space="preserve"> </w:t>
      </w:r>
    </w:p>
    <w:p w:rsidRPr="00F529DA" w:rsidR="00877731" w:rsidP="00877731" w:rsidRDefault="00877731" w14:paraId="24EEA463" w14:textId="77777777">
      <w:pPr>
        <w:spacing w:line="276" w:lineRule="auto"/>
        <w:rPr>
          <w:rFonts w:eastAsia="Calibri"/>
          <w:kern w:val="2"/>
          <w:szCs w:val="22"/>
          <w14:ligatures w14:val="standardContextual"/>
        </w:rPr>
      </w:pPr>
    </w:p>
    <w:p w:rsidRPr="00F529DA" w:rsidR="00877731" w:rsidP="00877731" w:rsidRDefault="00877731" w14:paraId="722532A4" w14:textId="35183DCA">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voorwaarden voor het ontvangen van de subsidies in het kader van artikel 4a en </w:t>
      </w:r>
      <w:r w:rsidR="004668E9">
        <w:rPr>
          <w:rFonts w:eastAsia="Calibri"/>
          <w:kern w:val="2"/>
          <w:szCs w:val="22"/>
          <w14:ligatures w14:val="standardContextual"/>
        </w:rPr>
        <w:t>artikel 4</w:t>
      </w:r>
      <w:r w:rsidRPr="00F529DA">
        <w:rPr>
          <w:rFonts w:eastAsia="Calibri"/>
          <w:kern w:val="2"/>
          <w:szCs w:val="22"/>
          <w14:ligatures w14:val="standardContextual"/>
        </w:rPr>
        <w:t>c</w:t>
      </w:r>
      <w:r w:rsidRPr="00F529DA" w:rsidR="00261933">
        <w:rPr>
          <w:rFonts w:eastAsia="Calibri"/>
          <w:kern w:val="2"/>
          <w:szCs w:val="22"/>
          <w14:ligatures w14:val="standardContextual"/>
        </w:rPr>
        <w:t>,</w:t>
      </w:r>
      <w:r w:rsidRPr="00F529DA">
        <w:rPr>
          <w:rFonts w:eastAsia="Calibri"/>
          <w:kern w:val="2"/>
          <w:szCs w:val="22"/>
          <w14:ligatures w14:val="standardContextual"/>
        </w:rPr>
        <w:t xml:space="preserve"> zijn vastgelegd in de Regeling op het specifiek cultuurbeleid (</w:t>
      </w:r>
      <w:proofErr w:type="spellStart"/>
      <w:r w:rsidRPr="00F529DA">
        <w:rPr>
          <w:rFonts w:eastAsia="Calibri"/>
          <w:kern w:val="2"/>
          <w:szCs w:val="22"/>
          <w14:ligatures w14:val="standardContextual"/>
        </w:rPr>
        <w:t>Rsc</w:t>
      </w:r>
      <w:proofErr w:type="spellEnd"/>
      <w:r w:rsidRPr="00F529DA">
        <w:rPr>
          <w:rFonts w:eastAsia="Calibri"/>
          <w:kern w:val="2"/>
          <w:szCs w:val="22"/>
          <w14:ligatures w14:val="standardContextual"/>
        </w:rPr>
        <w:t>). In deze ministeri</w:t>
      </w:r>
      <w:r w:rsidRPr="00F529DA" w:rsidR="009D24D4">
        <w:rPr>
          <w:rFonts w:eastAsia="Calibri"/>
          <w:kern w:val="2"/>
          <w:szCs w:val="22"/>
          <w14:ligatures w14:val="standardContextual"/>
        </w:rPr>
        <w:t>ë</w:t>
      </w:r>
      <w:r w:rsidRPr="00F529DA">
        <w:rPr>
          <w:rFonts w:eastAsia="Calibri"/>
          <w:kern w:val="2"/>
          <w:szCs w:val="22"/>
          <w14:ligatures w14:val="standardContextual"/>
        </w:rPr>
        <w:t xml:space="preserve">le regeling worden onder meer de aanvraagprocedure en de inhoudelijke criteria voor het toekennen en verdelen van de subsidie vastgelegd.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regelt de lengte van de beleidscyclus en de daarmee samenhangende subsidieperiode. De </w:t>
      </w:r>
      <w:proofErr w:type="spellStart"/>
      <w:r w:rsidRPr="00F529DA">
        <w:rPr>
          <w:rFonts w:eastAsia="Calibri"/>
          <w:kern w:val="2"/>
          <w:szCs w:val="22"/>
          <w14:ligatures w14:val="standardContextual"/>
        </w:rPr>
        <w:t>Rsc</w:t>
      </w:r>
      <w:proofErr w:type="spellEnd"/>
      <w:r w:rsidRPr="00F529DA">
        <w:rPr>
          <w:rFonts w:eastAsia="Calibri"/>
          <w:kern w:val="2"/>
          <w:szCs w:val="22"/>
          <w14:ligatures w14:val="standardContextual"/>
        </w:rPr>
        <w:t xml:space="preserve"> wordt elke nieuwe </w:t>
      </w:r>
      <w:r w:rsidRPr="00F529DA" w:rsidDel="00F17FB6">
        <w:rPr>
          <w:rFonts w:eastAsia="Calibri"/>
          <w:kern w:val="2"/>
          <w:szCs w:val="22"/>
          <w14:ligatures w14:val="standardContextual"/>
        </w:rPr>
        <w:t>subsidieperiode herzien</w:t>
      </w:r>
      <w:r w:rsidRPr="00F529DA">
        <w:rPr>
          <w:rFonts w:eastAsia="Calibri"/>
          <w:kern w:val="2"/>
          <w:szCs w:val="22"/>
          <w14:ligatures w14:val="standardContextual"/>
        </w:rPr>
        <w:t>.</w:t>
      </w:r>
    </w:p>
    <w:p w:rsidRPr="00F529DA" w:rsidR="00877731" w:rsidP="00877731" w:rsidRDefault="00877731" w14:paraId="1814C520" w14:textId="77777777">
      <w:pPr>
        <w:keepNext/>
        <w:keepLines/>
        <w:numPr>
          <w:ilvl w:val="1"/>
          <w:numId w:val="0"/>
        </w:numPr>
        <w:spacing w:before="160" w:after="80" w:line="276" w:lineRule="auto"/>
        <w:ind w:left="792" w:hanging="84"/>
        <w:outlineLvl w:val="2"/>
        <w:rPr>
          <w:b/>
          <w:kern w:val="2"/>
          <w:szCs w:val="28"/>
          <w14:ligatures w14:val="standardContextual"/>
        </w:rPr>
      </w:pPr>
      <w:bookmarkStart w:name="_Toc210384027" w:id="4"/>
      <w:r w:rsidRPr="00F529DA">
        <w:rPr>
          <w:b/>
          <w:kern w:val="2"/>
          <w:szCs w:val="28"/>
          <w14:ligatures w14:val="standardContextual"/>
        </w:rPr>
        <w:t>2.2 Aanleiding wetswijziging</w:t>
      </w:r>
      <w:bookmarkEnd w:id="4"/>
    </w:p>
    <w:p w:rsidRPr="00F529DA" w:rsidR="00877731" w:rsidDel="00F17FB6" w:rsidP="00877731" w:rsidRDefault="00877731" w14:paraId="6FDB26BA" w14:textId="04817489">
      <w:pPr>
        <w:spacing w:line="276" w:lineRule="auto"/>
        <w:rPr>
          <w:rFonts w:eastAsia="Calibri"/>
          <w:kern w:val="2"/>
          <w:szCs w:val="22"/>
          <w14:ligatures w14:val="standardContextual"/>
        </w:rPr>
      </w:pPr>
      <w:r w:rsidRPr="00F529DA">
        <w:rPr>
          <w:rFonts w:eastAsia="Calibri"/>
          <w:kern w:val="2"/>
          <w:szCs w:val="22"/>
          <w14:ligatures w14:val="standardContextual"/>
        </w:rPr>
        <w:t xml:space="preserve">Op 20 oktober 2022 constateerde de staatssecretaris </w:t>
      </w:r>
      <w:r w:rsidRPr="00F529DA" w:rsidR="00D92E4F">
        <w:rPr>
          <w:rFonts w:eastAsia="Calibri"/>
          <w:kern w:val="2"/>
          <w:szCs w:val="22"/>
          <w14:ligatures w14:val="standardContextual"/>
        </w:rPr>
        <w:t>C</w:t>
      </w:r>
      <w:r w:rsidRPr="00F529DA">
        <w:rPr>
          <w:rFonts w:eastAsia="Calibri"/>
          <w:kern w:val="2"/>
          <w:szCs w:val="22"/>
          <w14:ligatures w14:val="standardContextual"/>
        </w:rPr>
        <w:t xml:space="preserve">ultuur en </w:t>
      </w:r>
      <w:r w:rsidRPr="00F529DA" w:rsidR="00D92E4F">
        <w:rPr>
          <w:rFonts w:eastAsia="Calibri"/>
          <w:kern w:val="2"/>
          <w:szCs w:val="22"/>
          <w14:ligatures w14:val="standardContextual"/>
        </w:rPr>
        <w:t>M</w:t>
      </w:r>
      <w:r w:rsidRPr="00F529DA">
        <w:rPr>
          <w:rFonts w:eastAsia="Calibri"/>
          <w:kern w:val="2"/>
          <w:szCs w:val="22"/>
          <w14:ligatures w14:val="standardContextual"/>
        </w:rPr>
        <w:t xml:space="preserve">edia in haar Kamerbrief </w:t>
      </w:r>
      <w:r w:rsidRPr="00F529DA">
        <w:rPr>
          <w:rFonts w:eastAsia="Calibri"/>
          <w:i/>
          <w:iCs/>
          <w:kern w:val="2"/>
          <w:szCs w:val="22"/>
          <w14:ligatures w14:val="standardContextual"/>
        </w:rPr>
        <w:t>Toekomst culturele basisinfrastructuur</w:t>
      </w:r>
      <w:r w:rsidRPr="00F529DA">
        <w:rPr>
          <w:rFonts w:eastAsia="Calibri"/>
          <w:kern w:val="2"/>
          <w:szCs w:val="22"/>
          <w14:ligatures w14:val="standardContextual"/>
        </w:rPr>
        <w:t xml:space="preserve"> dat er “allereerst (…) behoefte is aan rust en ruimte” in de cultuursector. Aan deze rust is tegemoetgekomen via de uitgangspunten voor de periode 2025-2028.</w:t>
      </w:r>
      <w:r w:rsidRPr="00F529DA">
        <w:rPr>
          <w:rFonts w:eastAsia="Calibri" w:cs="Calibri"/>
          <w:kern w:val="2"/>
          <w:szCs w:val="18"/>
          <w:vertAlign w:val="superscript"/>
          <w14:ligatures w14:val="standardContextual"/>
        </w:rPr>
        <w:footnoteReference w:id="8"/>
      </w:r>
      <w:r w:rsidRPr="00F529DA">
        <w:rPr>
          <w:rFonts w:eastAsia="Calibri"/>
          <w:kern w:val="2"/>
          <w:szCs w:val="22"/>
          <w14:ligatures w14:val="standardContextual"/>
        </w:rPr>
        <w:t xml:space="preserve"> Er waren daarnaast vraagstukken die “een langere adem en doordenking” nodig hadden. Zo constateerde de staatssecretaris dat de afbakening tussen de basisinfrastructuur en de fondsen verwaterd was en sprak zij over “een mogelijk</w:t>
      </w:r>
      <w:r w:rsidRPr="00F529DA" w:rsidR="00D92E4F">
        <w:rPr>
          <w:rFonts w:eastAsia="Calibri"/>
          <w:kern w:val="2"/>
          <w:szCs w:val="22"/>
          <w14:ligatures w14:val="standardContextual"/>
        </w:rPr>
        <w:t>e</w:t>
      </w:r>
      <w:r w:rsidRPr="00F529DA">
        <w:rPr>
          <w:rFonts w:eastAsia="Calibri"/>
          <w:kern w:val="2"/>
          <w:szCs w:val="22"/>
          <w14:ligatures w14:val="standardContextual"/>
        </w:rPr>
        <w:t xml:space="preserve"> herijking van de inrichting van het bestel, zoals vastgelegd in de Wet op het specifiek cultuurbeleid.” Op 2 maart 2023 volgde een adviesaanvraag aan de Raad voor cultuur (hierna: de Raad) over de subsidieperiode(n) vanaf 2029.</w:t>
      </w:r>
      <w:r w:rsidRPr="00F529DA">
        <w:rPr>
          <w:rFonts w:eastAsia="Calibri"/>
          <w:kern w:val="2"/>
          <w:szCs w:val="22"/>
          <w:vertAlign w:val="superscript"/>
          <w14:ligatures w14:val="standardContextual"/>
        </w:rPr>
        <w:footnoteReference w:id="9"/>
      </w:r>
      <w:r w:rsidRPr="00F529DA">
        <w:rPr>
          <w:rFonts w:eastAsia="Calibri"/>
          <w:kern w:val="2"/>
          <w:szCs w:val="22"/>
          <w14:ligatures w14:val="standardContextual"/>
        </w:rPr>
        <w:t xml:space="preserve"> De Raad bracht </w:t>
      </w:r>
      <w:r w:rsidRPr="00F529DA" w:rsidR="002E25CD">
        <w:rPr>
          <w:rFonts w:eastAsia="Calibri"/>
          <w:kern w:val="2"/>
          <w:szCs w:val="22"/>
          <w14:ligatures w14:val="standardContextual"/>
        </w:rPr>
        <w:t xml:space="preserve">daarop </w:t>
      </w:r>
      <w:r w:rsidRPr="00F529DA">
        <w:rPr>
          <w:rFonts w:eastAsia="Calibri"/>
          <w:kern w:val="2"/>
          <w:szCs w:val="22"/>
          <w14:ligatures w14:val="standardContextual"/>
        </w:rPr>
        <w:t xml:space="preserve">het advies </w:t>
      </w:r>
      <w:r w:rsidRPr="00F529DA">
        <w:rPr>
          <w:rFonts w:eastAsia="Calibri"/>
          <w:i/>
          <w:iCs/>
          <w:kern w:val="2"/>
          <w:szCs w:val="22"/>
          <w14:ligatures w14:val="standardContextual"/>
        </w:rPr>
        <w:t>Toegang tot cultuur</w:t>
      </w:r>
      <w:r w:rsidRPr="00F529DA">
        <w:rPr>
          <w:rFonts w:eastAsia="Calibri"/>
          <w:kern w:val="2"/>
          <w:szCs w:val="22"/>
          <w14:ligatures w14:val="standardContextual"/>
        </w:rPr>
        <w:t xml:space="preserve"> uit en adviseerde verschillende elementen in het bestel aan te passen, waaronder de maximumduur van financiering.</w:t>
      </w:r>
      <w:r w:rsidRPr="00F529DA">
        <w:rPr>
          <w:rFonts w:eastAsia="Calibri" w:cs="Calibri"/>
          <w:kern w:val="2"/>
          <w:szCs w:val="18"/>
          <w:vertAlign w:val="superscript"/>
          <w14:ligatures w14:val="standardContextual"/>
        </w:rPr>
        <w:footnoteReference w:id="10"/>
      </w:r>
      <w:r w:rsidRPr="00F529DA">
        <w:rPr>
          <w:rFonts w:eastAsia="Calibri"/>
          <w:kern w:val="2"/>
          <w:szCs w:val="22"/>
          <w14:ligatures w14:val="standardContextual"/>
        </w:rPr>
        <w:t xml:space="preserve"> Dit laatste punt </w:t>
      </w:r>
      <w:r w:rsidRPr="00F529DA" w:rsidR="00261933">
        <w:rPr>
          <w:rFonts w:eastAsia="Calibri"/>
          <w:kern w:val="2"/>
          <w:szCs w:val="22"/>
          <w14:ligatures w14:val="standardContextual"/>
        </w:rPr>
        <w:t xml:space="preserve">werd </w:t>
      </w:r>
      <w:r w:rsidRPr="00F529DA">
        <w:rPr>
          <w:rFonts w:eastAsia="Calibri"/>
          <w:kern w:val="2"/>
          <w:szCs w:val="22"/>
          <w14:ligatures w14:val="standardContextual"/>
        </w:rPr>
        <w:t xml:space="preserve">in 2025 door de Raad </w:t>
      </w:r>
      <w:r w:rsidRPr="00F529DA" w:rsidR="00261933">
        <w:rPr>
          <w:rFonts w:eastAsia="Calibri"/>
          <w:kern w:val="2"/>
          <w:szCs w:val="22"/>
          <w14:ligatures w14:val="standardContextual"/>
        </w:rPr>
        <w:t xml:space="preserve">nogmaals </w:t>
      </w:r>
      <w:r w:rsidRPr="00F529DA">
        <w:rPr>
          <w:rFonts w:eastAsia="Calibri"/>
          <w:kern w:val="2"/>
          <w:szCs w:val="22"/>
          <w14:ligatures w14:val="standardContextual"/>
        </w:rPr>
        <w:t>herhaald en is eerder ook bepleit door belangenvereniging Kunsten ’92.</w:t>
      </w:r>
      <w:r w:rsidRPr="00F529DA" w:rsidR="002E25CD">
        <w:rPr>
          <w:rFonts w:eastAsia="Calibri" w:cs="Calibri"/>
          <w:kern w:val="2"/>
          <w:szCs w:val="18"/>
          <w:vertAlign w:val="superscript"/>
          <w14:ligatures w14:val="standardContextual"/>
        </w:rPr>
        <w:footnoteReference w:id="11"/>
      </w:r>
      <w:r w:rsidRPr="00F529DA" w:rsidR="002E25CD">
        <w:rPr>
          <w:rFonts w:eastAsia="Calibri" w:cs="Calibri"/>
          <w:kern w:val="2"/>
          <w:szCs w:val="18"/>
          <w:vertAlign w:val="superscript"/>
          <w14:ligatures w14:val="standardContextual"/>
        </w:rPr>
        <w:t>,</w:t>
      </w:r>
      <w:r w:rsidRPr="00F529DA">
        <w:rPr>
          <w:rFonts w:eastAsia="Calibri" w:cs="Calibri"/>
          <w:kern w:val="2"/>
          <w:szCs w:val="18"/>
          <w:vertAlign w:val="superscript"/>
          <w14:ligatures w14:val="standardContextual"/>
        </w:rPr>
        <w:footnoteReference w:id="12"/>
      </w:r>
      <w:r w:rsidRPr="00F529DA">
        <w:rPr>
          <w:rFonts w:eastAsia="Calibri"/>
          <w:kern w:val="2"/>
          <w:szCs w:val="22"/>
          <w14:ligatures w14:val="standardContextual"/>
        </w:rPr>
        <w:t xml:space="preserve"> </w:t>
      </w:r>
      <w:r w:rsidRPr="00F529DA" w:rsidR="00261933">
        <w:rPr>
          <w:rFonts w:eastAsia="Calibri"/>
          <w:kern w:val="2"/>
          <w:szCs w:val="22"/>
          <w14:ligatures w14:val="standardContextual"/>
        </w:rPr>
        <w:t>D</w:t>
      </w:r>
      <w:r w:rsidRPr="00F529DA">
        <w:rPr>
          <w:rFonts w:eastAsia="Calibri"/>
          <w:kern w:val="2"/>
          <w:szCs w:val="22"/>
          <w14:ligatures w14:val="standardContextual"/>
        </w:rPr>
        <w:t xml:space="preserve">e Tweede Kamer </w:t>
      </w:r>
      <w:r w:rsidRPr="00F529DA" w:rsidR="00261933">
        <w:rPr>
          <w:rFonts w:eastAsia="Calibri"/>
          <w:kern w:val="2"/>
          <w:szCs w:val="22"/>
          <w14:ligatures w14:val="standardContextual"/>
        </w:rPr>
        <w:t xml:space="preserve">nam </w:t>
      </w:r>
      <w:r w:rsidRPr="00F529DA">
        <w:rPr>
          <w:rFonts w:eastAsia="Calibri"/>
          <w:kern w:val="2"/>
          <w:szCs w:val="22"/>
          <w14:ligatures w14:val="standardContextual"/>
        </w:rPr>
        <w:t xml:space="preserve">op 19 november 2024 een motie </w:t>
      </w:r>
      <w:r w:rsidRPr="00F529DA" w:rsidR="00261933">
        <w:rPr>
          <w:rFonts w:eastAsia="Calibri"/>
          <w:kern w:val="2"/>
          <w:szCs w:val="22"/>
          <w14:ligatures w14:val="standardContextual"/>
        </w:rPr>
        <w:t xml:space="preserve">aan </w:t>
      </w:r>
      <w:r w:rsidRPr="00F529DA">
        <w:rPr>
          <w:rFonts w:eastAsia="Calibri"/>
          <w:kern w:val="2"/>
          <w:szCs w:val="22"/>
          <w14:ligatures w14:val="standardContextual"/>
        </w:rPr>
        <w:t xml:space="preserve">om de subsidieperiode aan </w:t>
      </w:r>
      <w:r w:rsidRPr="00F529DA" w:rsidR="00C37418">
        <w:rPr>
          <w:rFonts w:eastAsia="Calibri"/>
          <w:kern w:val="2"/>
          <w:szCs w:val="22"/>
          <w14:ligatures w14:val="standardContextual"/>
        </w:rPr>
        <w:t xml:space="preserve">te </w:t>
      </w:r>
      <w:r w:rsidRPr="00F529DA">
        <w:rPr>
          <w:rFonts w:eastAsia="Calibri"/>
          <w:kern w:val="2"/>
          <w:szCs w:val="22"/>
          <w14:ligatures w14:val="standardContextual"/>
        </w:rPr>
        <w:t>passen</w:t>
      </w:r>
      <w:r w:rsidRPr="00F529DA" w:rsidR="00C37418">
        <w:rPr>
          <w:rFonts w:eastAsia="Calibri"/>
          <w:kern w:val="2"/>
          <w:szCs w:val="22"/>
          <w14:ligatures w14:val="standardContextual"/>
        </w:rPr>
        <w:t>,</w:t>
      </w:r>
      <w:r w:rsidRPr="00F529DA">
        <w:rPr>
          <w:rFonts w:eastAsia="Calibri"/>
          <w:kern w:val="2"/>
          <w:szCs w:val="22"/>
          <w14:ligatures w14:val="standardContextual"/>
        </w:rPr>
        <w:t xml:space="preserve"> en te onderzoeken hoe de aanvraagprocedure vereenvoudigd kan worden met als doel het substantieel verlagen van de voorbereidings- en aanvraagkosten.</w:t>
      </w:r>
      <w:r w:rsidRPr="00F529DA">
        <w:rPr>
          <w:rFonts w:eastAsia="Calibri" w:cs="Calibri"/>
          <w:kern w:val="2"/>
          <w:szCs w:val="18"/>
          <w:vertAlign w:val="superscript"/>
          <w14:ligatures w14:val="standardContextual"/>
        </w:rPr>
        <w:footnoteReference w:id="13"/>
      </w:r>
      <w:r w:rsidRPr="00F529DA">
        <w:rPr>
          <w:rFonts w:eastAsia="Calibri"/>
          <w:kern w:val="2"/>
          <w:szCs w:val="22"/>
          <w14:ligatures w14:val="standardContextual"/>
        </w:rPr>
        <w:t xml:space="preserve"> Een deel van de vereenvoudiging moet worden gevonden in een</w:t>
      </w:r>
      <w:r w:rsidRPr="00F529DA" w:rsidDel="00F17FB6">
        <w:rPr>
          <w:rFonts w:eastAsia="Calibri"/>
          <w:kern w:val="2"/>
          <w:szCs w:val="22"/>
          <w14:ligatures w14:val="standardContextual"/>
        </w:rPr>
        <w:t xml:space="preserve"> wijziging van de </w:t>
      </w:r>
      <w:proofErr w:type="spellStart"/>
      <w:r w:rsidRPr="00F529DA" w:rsidDel="00F17FB6">
        <w:rPr>
          <w:rFonts w:eastAsia="Calibri"/>
          <w:kern w:val="2"/>
          <w:szCs w:val="22"/>
          <w14:ligatures w14:val="standardContextual"/>
        </w:rPr>
        <w:t>Rsc</w:t>
      </w:r>
      <w:proofErr w:type="spellEnd"/>
      <w:r w:rsidRPr="00F529DA" w:rsidDel="00F17FB6">
        <w:rPr>
          <w:rFonts w:eastAsia="Calibri"/>
          <w:kern w:val="2"/>
          <w:szCs w:val="22"/>
          <w14:ligatures w14:val="standardContextual"/>
        </w:rPr>
        <w:t xml:space="preserve">. De </w:t>
      </w:r>
      <w:proofErr w:type="spellStart"/>
      <w:r w:rsidRPr="00F529DA" w:rsidDel="00F17FB6">
        <w:rPr>
          <w:rFonts w:eastAsia="Calibri"/>
          <w:kern w:val="2"/>
          <w:szCs w:val="22"/>
          <w14:ligatures w14:val="standardContextual"/>
        </w:rPr>
        <w:t>Rsc</w:t>
      </w:r>
      <w:proofErr w:type="spellEnd"/>
      <w:r w:rsidRPr="00F529DA" w:rsidDel="00F17FB6">
        <w:rPr>
          <w:rFonts w:eastAsia="Calibri"/>
          <w:kern w:val="2"/>
          <w:szCs w:val="22"/>
          <w14:ligatures w14:val="standardContextual"/>
        </w:rPr>
        <w:t xml:space="preserve"> zal, zoals gebruikelijk, voor de eerstvolgende nieuwe subsidieperiode (vanaf 2029) worden herzien</w:t>
      </w:r>
      <w:r w:rsidRPr="00F529DA">
        <w:rPr>
          <w:rFonts w:eastAsia="Calibri"/>
          <w:kern w:val="2"/>
          <w:szCs w:val="22"/>
          <w14:ligatures w14:val="standardContextual"/>
        </w:rPr>
        <w:t xml:space="preserve">. De subsidieperiode is echter vastgelegd in de wet en voor een wijziging van de periode moet dus ook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worden gewijzigd.</w:t>
      </w:r>
    </w:p>
    <w:p w:rsidRPr="00F529DA" w:rsidR="00877731" w:rsidP="00877731" w:rsidRDefault="00877731" w14:paraId="4569A010" w14:textId="77777777">
      <w:pPr>
        <w:keepNext/>
        <w:keepLines/>
        <w:numPr>
          <w:ilvl w:val="1"/>
          <w:numId w:val="0"/>
        </w:numPr>
        <w:spacing w:before="160" w:after="80" w:line="276" w:lineRule="auto"/>
        <w:ind w:left="792" w:hanging="84"/>
        <w:outlineLvl w:val="2"/>
        <w:rPr>
          <w:b/>
          <w:kern w:val="2"/>
          <w:szCs w:val="28"/>
          <w14:ligatures w14:val="standardContextual"/>
        </w:rPr>
      </w:pPr>
      <w:bookmarkStart w:name="_Toc210384028" w:id="5"/>
      <w:r w:rsidRPr="00F529DA">
        <w:rPr>
          <w:b/>
          <w:kern w:val="2"/>
          <w:szCs w:val="28"/>
          <w14:ligatures w14:val="standardContextual"/>
        </w:rPr>
        <w:t>2.3 Probleemomschrijving</w:t>
      </w:r>
      <w:bookmarkEnd w:id="5"/>
    </w:p>
    <w:p w:rsidRPr="00F529DA" w:rsidR="00877731" w:rsidP="00877731" w:rsidRDefault="00877731" w14:paraId="002E4E46" w14:textId="77777777">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sector en de culturele organisaties waarvoor de subsidies zijn bedoeld, zijn de afgelopen twintig jaar complexer en dynamischer geworden. Het cultuurbeleid heeft gezorgd voor een bestel dat een breed spectrum aan makers, organisaties en projecten bedient, maar de manier waarop het bestel is ingericht past niet meer goed bij de verschillende typen organisaties die in de sector actief zijn, waarbij voornamelijk de vierjarige beleidscyclus als knelpunt wordt gezien. </w:t>
      </w:r>
    </w:p>
    <w:p w:rsidRPr="00F529DA" w:rsidR="00877731" w:rsidP="00877731" w:rsidRDefault="00877731" w14:paraId="0B7D7959" w14:textId="77777777">
      <w:pPr>
        <w:spacing w:line="276" w:lineRule="auto"/>
        <w:rPr>
          <w:rFonts w:eastAsia="Calibri" w:cs="Calibri"/>
          <w:kern w:val="2"/>
          <w:szCs w:val="18"/>
          <w14:ligatures w14:val="standardContextual"/>
        </w:rPr>
      </w:pPr>
    </w:p>
    <w:p w:rsidRPr="00F529DA" w:rsidR="00877731" w:rsidP="00877731" w:rsidRDefault="00877731" w14:paraId="67A4FB5C" w14:textId="75606EC1">
      <w:pPr>
        <w:spacing w:line="276" w:lineRule="auto"/>
        <w:rPr>
          <w:rFonts w:eastAsia="Calibri"/>
          <w:kern w:val="2"/>
          <w:szCs w:val="22"/>
          <w14:ligatures w14:val="standardContextual"/>
        </w:rPr>
      </w:pPr>
      <w:r w:rsidRPr="00F529DA">
        <w:rPr>
          <w:rFonts w:eastAsia="Calibri"/>
          <w:kern w:val="2"/>
          <w:szCs w:val="22"/>
          <w14:ligatures w14:val="standardContextual"/>
        </w:rPr>
        <w:lastRenderedPageBreak/>
        <w:t xml:space="preserve">De huidige beleidscyclus van vier jaar is te kort voor organisaties die lange lijnen uitzetten, zeker gezien de aanvraag- en verantwoordingscyclus en de zakelijke onzekerheid die een vierjarige beleidscyclus met zich brengt. Het beperkt organisaties in hun vermogen om structureel te investeren in grote producties, faciliteiten en organisatievraagstukken en om hiervoor ook andere financieringsbronnen aan te spreken. Vooral grotere culturele organisaties, die werken met een lange planningshorizon, ondervinden hier hinder van. Producties worden vaak jaren vooruit gepland en contractueel vastgelegd. De vierjarige subsidiëring biedt </w:t>
      </w:r>
      <w:r w:rsidRPr="00F529DA" w:rsidR="00261933">
        <w:rPr>
          <w:rFonts w:eastAsia="Calibri"/>
          <w:kern w:val="2"/>
          <w:szCs w:val="22"/>
          <w14:ligatures w14:val="standardContextual"/>
        </w:rPr>
        <w:t xml:space="preserve">ook </w:t>
      </w:r>
      <w:r w:rsidRPr="00F529DA">
        <w:rPr>
          <w:rFonts w:eastAsia="Calibri"/>
          <w:kern w:val="2"/>
          <w:szCs w:val="22"/>
          <w14:ligatures w14:val="standardContextual"/>
        </w:rPr>
        <w:t xml:space="preserve">een beperkte zekerheid voor andere financiers om langjarig te ondersteunen. Ook investeringen die niet direct aan een productie gekoppeld zijn, maar wel een artistiek doel dienen, zijn minder goed extern te financieren in de vierjaarlijkse cyclus. </w:t>
      </w:r>
    </w:p>
    <w:p w:rsidRPr="00F529DA" w:rsidR="00877731" w:rsidP="00877731" w:rsidRDefault="00877731" w14:paraId="3F4BF133" w14:textId="77777777">
      <w:pPr>
        <w:spacing w:line="276" w:lineRule="auto"/>
        <w:rPr>
          <w:rFonts w:eastAsia="Calibri" w:cs="Calibri"/>
          <w:kern w:val="2"/>
          <w:szCs w:val="18"/>
          <w14:ligatures w14:val="standardContextual"/>
        </w:rPr>
      </w:pPr>
    </w:p>
    <w:p w:rsidRPr="00F529DA" w:rsidR="00877731" w:rsidP="00877731" w:rsidRDefault="00877731" w14:paraId="5F70F496" w14:textId="626610DD">
      <w:pPr>
        <w:spacing w:line="276" w:lineRule="auto"/>
        <w:rPr>
          <w:rFonts w:eastAsia="Calibri"/>
          <w:kern w:val="2"/>
          <w:szCs w:val="22"/>
          <w14:ligatures w14:val="standardContextual"/>
        </w:rPr>
      </w:pPr>
      <w:r w:rsidRPr="00F529DA">
        <w:rPr>
          <w:rFonts w:eastAsia="Calibri"/>
          <w:kern w:val="2"/>
          <w:szCs w:val="22"/>
          <w14:ligatures w14:val="standardContextual"/>
        </w:rPr>
        <w:t>De huidige periode van vier jaar waarvoor subsidie kan worden verleend aan culturele organisaties werkt belemmerend voor de praktijk van de (artistieke) ontwikkeling en innovatie. Veranderende werkpraktijken, waarin artistieke ontwikkeling en innovatie vaker gepaard gaan met samenwerkingen met maatschappelijke partners of het direct betrekken van groepen uit de samenleving, maken dat processen complexer en langduriger zijn. Omdat de financiering maar voor vier jaar is vastgelegd ontstaat een beperking bij het plannen en vastleggen. In de vier jaar moet de artistieke visie zijn vertaald in producties, omdat daarna weer een nieuwe periode start.</w:t>
      </w:r>
      <w:r w:rsidRPr="00F529DA" w:rsidR="002E25CD">
        <w:rPr>
          <w:rFonts w:eastAsia="Calibri"/>
          <w:kern w:val="2"/>
          <w:szCs w:val="22"/>
          <w14:ligatures w14:val="standardContextual"/>
        </w:rPr>
        <w:t xml:space="preserve"> Een langere beleidscyclus geeft deze processen meer ruimte.</w:t>
      </w:r>
    </w:p>
    <w:p w:rsidRPr="00F529DA" w:rsidR="00877731" w:rsidP="00877731" w:rsidRDefault="00877731" w14:paraId="0B640E24" w14:textId="77777777">
      <w:pPr>
        <w:spacing w:line="276" w:lineRule="auto"/>
        <w:rPr>
          <w:rFonts w:eastAsia="Calibri" w:cs="Calibri"/>
          <w:kern w:val="2"/>
          <w:szCs w:val="18"/>
          <w14:ligatures w14:val="standardContextual"/>
        </w:rPr>
      </w:pPr>
    </w:p>
    <w:p w:rsidRPr="00F529DA" w:rsidR="00877731" w:rsidP="00877731" w:rsidRDefault="00877731" w14:paraId="187F20EB" w14:textId="21518D3B">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verdeling van cultuursubsidies betreft een verdeling van schaarse middelen. Dat vraagt om een transparante, controleerbare en rechtvaardige procedure. De maatschappij en de politiek vragen daarnaast steeds meer van culturele </w:t>
      </w:r>
      <w:r w:rsidRPr="00F529DA" w:rsidR="00261933">
        <w:rPr>
          <w:rFonts w:eastAsia="Calibri"/>
          <w:kern w:val="2"/>
          <w:szCs w:val="22"/>
          <w14:ligatures w14:val="standardContextual"/>
        </w:rPr>
        <w:t>organisaties, bijvoorbeeld</w:t>
      </w:r>
      <w:r w:rsidRPr="00F529DA">
        <w:rPr>
          <w:rFonts w:eastAsia="Calibri"/>
          <w:kern w:val="2"/>
          <w:szCs w:val="22"/>
          <w14:ligatures w14:val="standardContextual"/>
        </w:rPr>
        <w:t xml:space="preserve"> op de onderwerpen artistieke kwaliteit, toegankelijkheid van cultuur voor een breed publiek, regionale spreiding, educatie en eerlijke betaling; onderwerpen die zich niet laten vangen in simpele kwantitatieve criteria. Dat heeft ertoe geleid dat de aanvraagdruk is gestegen en een toenemende juridisering van de aanvraagprocedure. Het gaat met name bij instellingen die direct door het Rijk worden gefinancierd om een bewerkelijke procedure ten opzichte van het aantal veranderingen dat elke vierjarige periode plaatsvindt.</w:t>
      </w:r>
      <w:r w:rsidRPr="00F529DA">
        <w:rPr>
          <w:rFonts w:eastAsia="Calibri" w:cs="Calibri"/>
          <w:kern w:val="2"/>
          <w:szCs w:val="18"/>
          <w:vertAlign w:val="superscript"/>
          <w14:ligatures w14:val="standardContextual"/>
        </w:rPr>
        <w:footnoteReference w:id="14"/>
      </w:r>
      <w:r w:rsidRPr="00F529DA">
        <w:rPr>
          <w:rFonts w:eastAsia="Calibri"/>
          <w:kern w:val="2"/>
          <w:szCs w:val="22"/>
          <w14:ligatures w14:val="standardContextual"/>
        </w:rPr>
        <w:t xml:space="preserve"> Verschillende partijen, waaronder Kunsten ’92 en de Raad voor cultuur, hebben dit in aanloop naar de huidige meerjarige subsidieperiode </w:t>
      </w:r>
      <w:r w:rsidRPr="00F529DA" w:rsidR="002E25CD">
        <w:rPr>
          <w:rFonts w:eastAsia="Calibri"/>
          <w:kern w:val="2"/>
          <w:szCs w:val="22"/>
          <w14:ligatures w14:val="standardContextual"/>
        </w:rPr>
        <w:t>ook opgemerkt</w:t>
      </w:r>
      <w:r w:rsidRPr="00F529DA">
        <w:rPr>
          <w:rFonts w:eastAsia="Calibri"/>
          <w:kern w:val="2"/>
          <w:szCs w:val="22"/>
          <w14:ligatures w14:val="standardContextual"/>
        </w:rPr>
        <w:t>.</w:t>
      </w:r>
    </w:p>
    <w:p w:rsidRPr="00F529DA" w:rsidR="00877731" w:rsidP="00877731" w:rsidRDefault="00877731" w14:paraId="601EA6CB" w14:textId="77777777">
      <w:pPr>
        <w:spacing w:line="276" w:lineRule="auto"/>
        <w:rPr>
          <w:rFonts w:eastAsia="Calibri" w:cs="Calibri"/>
          <w:kern w:val="2"/>
          <w:szCs w:val="18"/>
          <w14:ligatures w14:val="standardContextual"/>
        </w:rPr>
      </w:pPr>
    </w:p>
    <w:p w:rsidRPr="00F529DA" w:rsidR="00877731" w:rsidP="00594B5B" w:rsidRDefault="00877731" w14:paraId="12F1A845" w14:textId="79CEF457">
      <w:pPr>
        <w:spacing w:line="276" w:lineRule="auto"/>
        <w:rPr>
          <w:rFonts w:eastAsia="Calibri"/>
          <w:kern w:val="2"/>
          <w:szCs w:val="22"/>
          <w14:ligatures w14:val="standardContextual"/>
        </w:rPr>
      </w:pPr>
      <w:r w:rsidRPr="00F529DA">
        <w:rPr>
          <w:rFonts w:eastAsia="Calibri"/>
          <w:kern w:val="2"/>
          <w:szCs w:val="22"/>
          <w14:ligatures w14:val="standardContextual"/>
        </w:rPr>
        <w:t xml:space="preserve">Als laatste beperkt de beleidscyclus van vier jaar de mogelijkheden van de </w:t>
      </w:r>
      <w:proofErr w:type="spellStart"/>
      <w:r w:rsidR="00005826">
        <w:rPr>
          <w:rFonts w:eastAsia="Calibri"/>
          <w:kern w:val="2"/>
          <w:szCs w:val="22"/>
          <w14:ligatures w14:val="standardContextual"/>
        </w:rPr>
        <w:t>rijkscultuur</w:t>
      </w:r>
      <w:r w:rsidRPr="00F529DA">
        <w:rPr>
          <w:rFonts w:eastAsia="Calibri"/>
          <w:kern w:val="2"/>
          <w:szCs w:val="22"/>
          <w14:ligatures w14:val="standardContextual"/>
        </w:rPr>
        <w:t>fondsen</w:t>
      </w:r>
      <w:proofErr w:type="spellEnd"/>
      <w:r w:rsidRPr="00F529DA">
        <w:rPr>
          <w:rFonts w:eastAsia="Calibri"/>
          <w:kern w:val="2"/>
          <w:szCs w:val="22"/>
          <w14:ligatures w14:val="standardContextual"/>
        </w:rPr>
        <w:t xml:space="preserve"> om te variëren in de subsidieperiodes en flexibiliteit van hun eigen subsidieregelingen. Een fonds kent immers ook een beleidscyclus van vier jaar. Hierdoor gaan de fondsen geen verplichtingen aan over de grens van vier jaar, omdat daar geen financiële dekking voor is. Dat beperkt de mogelijkheid </w:t>
      </w:r>
      <w:r w:rsidR="00594B5B">
        <w:rPr>
          <w:rFonts w:eastAsia="Calibri"/>
          <w:kern w:val="2"/>
          <w:szCs w:val="22"/>
          <w14:ligatures w14:val="standardContextual"/>
        </w:rPr>
        <w:t xml:space="preserve">voor de fondsen </w:t>
      </w:r>
      <w:r w:rsidRPr="00F529DA">
        <w:rPr>
          <w:rFonts w:eastAsia="Calibri"/>
          <w:kern w:val="2"/>
          <w:szCs w:val="22"/>
          <w14:ligatures w14:val="standardContextual"/>
        </w:rPr>
        <w:t xml:space="preserve">om </w:t>
      </w:r>
      <w:r w:rsidRPr="00594B5B" w:rsidR="00594B5B">
        <w:rPr>
          <w:rFonts w:eastAsia="Calibri"/>
          <w:kern w:val="2"/>
          <w:szCs w:val="22"/>
          <w14:ligatures w14:val="standardContextual"/>
        </w:rPr>
        <w:t xml:space="preserve">variatie </w:t>
      </w:r>
      <w:r w:rsidR="00594B5B">
        <w:rPr>
          <w:rFonts w:eastAsia="Calibri"/>
          <w:kern w:val="2"/>
          <w:szCs w:val="22"/>
          <w14:ligatures w14:val="standardContextual"/>
        </w:rPr>
        <w:t xml:space="preserve">te </w:t>
      </w:r>
      <w:r w:rsidRPr="00594B5B" w:rsidR="00594B5B">
        <w:rPr>
          <w:rFonts w:eastAsia="Calibri"/>
          <w:kern w:val="2"/>
          <w:szCs w:val="22"/>
          <w14:ligatures w14:val="standardContextual"/>
        </w:rPr>
        <w:t xml:space="preserve">kunnen aanbrengen in hun instrumentarium, </w:t>
      </w:r>
      <w:r w:rsidR="00C74E8D">
        <w:rPr>
          <w:rFonts w:eastAsia="Calibri"/>
          <w:kern w:val="2"/>
          <w:szCs w:val="22"/>
          <w14:ligatures w14:val="standardContextual"/>
        </w:rPr>
        <w:t>waarmee</w:t>
      </w:r>
      <w:r w:rsidRPr="00594B5B" w:rsidR="00594B5B">
        <w:rPr>
          <w:rFonts w:eastAsia="Calibri"/>
          <w:kern w:val="2"/>
          <w:szCs w:val="22"/>
          <w14:ligatures w14:val="standardContextual"/>
        </w:rPr>
        <w:t xml:space="preserve"> verschillende groepen beter bediend worden</w:t>
      </w:r>
      <w:r w:rsidR="00594B5B">
        <w:rPr>
          <w:rFonts w:eastAsia="Calibri"/>
          <w:kern w:val="2"/>
          <w:szCs w:val="22"/>
          <w14:ligatures w14:val="standardContextual"/>
        </w:rPr>
        <w:t>.</w:t>
      </w:r>
      <w:r w:rsidRPr="00F529DA">
        <w:rPr>
          <w:rFonts w:eastAsia="Calibri"/>
          <w:kern w:val="2"/>
          <w:szCs w:val="22"/>
          <w14:ligatures w14:val="standardContextual"/>
        </w:rPr>
        <w:t xml:space="preserve"> </w:t>
      </w:r>
    </w:p>
    <w:p w:rsidRPr="00F529DA" w:rsidR="00877731" w:rsidP="00877731" w:rsidRDefault="00877731" w14:paraId="5BD10F78" w14:textId="77777777">
      <w:pPr>
        <w:keepNext/>
        <w:keepLines/>
        <w:numPr>
          <w:ilvl w:val="1"/>
          <w:numId w:val="0"/>
        </w:numPr>
        <w:spacing w:before="160" w:after="80" w:line="276" w:lineRule="auto"/>
        <w:ind w:left="792" w:hanging="84"/>
        <w:outlineLvl w:val="2"/>
        <w:rPr>
          <w:b/>
          <w:kern w:val="2"/>
          <w:szCs w:val="28"/>
          <w14:ligatures w14:val="standardContextual"/>
        </w:rPr>
      </w:pPr>
      <w:bookmarkStart w:name="_Toc210384029" w:id="6"/>
      <w:r w:rsidRPr="00F529DA">
        <w:rPr>
          <w:b/>
          <w:kern w:val="2"/>
          <w:szCs w:val="28"/>
          <w14:ligatures w14:val="standardContextual"/>
        </w:rPr>
        <w:t>2.4 Motivering instrumentkeuze</w:t>
      </w:r>
      <w:bookmarkEnd w:id="6"/>
    </w:p>
    <w:p w:rsidRPr="00D54A24" w:rsidR="00D54A24" w:rsidP="00D54A24" w:rsidRDefault="00877731" w14:paraId="26F1BE31" w14:textId="1380A139">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aanpassing van de beleidscyclus biedt de minister de mogelijkheid om het cultuurbeleid meer in samenhang te ontwikkelen, zonder dat elke vier jaar een herverdelingsmoment de sector opschudt. Tegelijk houdt de minister de mogelijkheid om elke acht jaar een nieuwe afweging te maken, mede op grond van ontwikkelingen in het culturele veld. Een achtjarige beleidscyclus biedt culturele organisaties die het betreft </w:t>
      </w:r>
      <w:r w:rsidR="00DA2DCD">
        <w:rPr>
          <w:rFonts w:eastAsia="Calibri"/>
          <w:kern w:val="2"/>
          <w:szCs w:val="22"/>
          <w14:ligatures w14:val="standardContextual"/>
        </w:rPr>
        <w:t>meer</w:t>
      </w:r>
      <w:r w:rsidRPr="00F529DA" w:rsidR="00DA2DCD">
        <w:rPr>
          <w:rFonts w:eastAsia="Calibri"/>
          <w:kern w:val="2"/>
          <w:szCs w:val="22"/>
          <w14:ligatures w14:val="standardContextual"/>
        </w:rPr>
        <w:t xml:space="preserve"> </w:t>
      </w:r>
      <w:r w:rsidRPr="00F529DA">
        <w:rPr>
          <w:rFonts w:eastAsia="Calibri"/>
          <w:kern w:val="2"/>
          <w:szCs w:val="22"/>
          <w14:ligatures w14:val="standardContextual"/>
        </w:rPr>
        <w:t xml:space="preserve">ruimte om te innoveren, de impact van hun werk te vergroten en duurzame samenwerkingen op te zetten. Dit bevordert niet alleen de culturele ontwikkeling, maar heeft ook een positieve invloed op de bredere maatschappelijke en economische waarde </w:t>
      </w:r>
      <w:r w:rsidRPr="00F529DA">
        <w:rPr>
          <w:rFonts w:eastAsia="Calibri"/>
          <w:kern w:val="2"/>
          <w:szCs w:val="22"/>
          <w14:ligatures w14:val="standardContextual"/>
        </w:rPr>
        <w:lastRenderedPageBreak/>
        <w:t xml:space="preserve">van de sector. </w:t>
      </w:r>
      <w:r w:rsidRPr="00C270A7" w:rsidR="00867BB2">
        <w:rPr>
          <w:rFonts w:eastAsia="Calibri"/>
          <w:kern w:val="2"/>
          <w:szCs w:val="22"/>
          <w14:ligatures w14:val="standardContextual"/>
        </w:rPr>
        <w:t>Door ook een achtjarige termijn voor specifieke uitkeringen</w:t>
      </w:r>
      <w:r w:rsidRPr="00C270A7" w:rsidR="003006A8">
        <w:rPr>
          <w:rFonts w:eastAsia="Calibri"/>
          <w:kern w:val="2"/>
          <w:szCs w:val="22"/>
          <w14:ligatures w14:val="standardContextual"/>
        </w:rPr>
        <w:t xml:space="preserve"> (</w:t>
      </w:r>
      <w:proofErr w:type="spellStart"/>
      <w:r w:rsidRPr="00C270A7" w:rsidR="003006A8">
        <w:rPr>
          <w:rFonts w:eastAsia="Calibri"/>
          <w:kern w:val="2"/>
          <w:szCs w:val="22"/>
          <w14:ligatures w14:val="standardContextual"/>
        </w:rPr>
        <w:t>spuks</w:t>
      </w:r>
      <w:proofErr w:type="spellEnd"/>
      <w:r w:rsidRPr="00C270A7" w:rsidR="003006A8">
        <w:rPr>
          <w:rFonts w:eastAsia="Calibri"/>
          <w:kern w:val="2"/>
          <w:szCs w:val="22"/>
          <w14:ligatures w14:val="standardContextual"/>
        </w:rPr>
        <w:t>)</w:t>
      </w:r>
      <w:r w:rsidRPr="00C270A7" w:rsidR="00867BB2">
        <w:rPr>
          <w:rFonts w:eastAsia="Calibri"/>
          <w:kern w:val="2"/>
          <w:szCs w:val="22"/>
          <w14:ligatures w14:val="standardContextual"/>
        </w:rPr>
        <w:t xml:space="preserve"> aan te houden</w:t>
      </w:r>
      <w:r w:rsidRPr="00C270A7" w:rsidR="00DA2DCD">
        <w:rPr>
          <w:rFonts w:eastAsia="Calibri"/>
          <w:kern w:val="2"/>
          <w:szCs w:val="22"/>
          <w14:ligatures w14:val="standardContextual"/>
        </w:rPr>
        <w:t xml:space="preserve">, sluit de termijn van de </w:t>
      </w:r>
      <w:proofErr w:type="spellStart"/>
      <w:r w:rsidRPr="00C270A7" w:rsidR="00DA2DCD">
        <w:rPr>
          <w:rFonts w:eastAsia="Calibri"/>
          <w:kern w:val="2"/>
          <w:szCs w:val="22"/>
          <w14:ligatures w14:val="standardContextual"/>
        </w:rPr>
        <w:t>spuks</w:t>
      </w:r>
      <w:proofErr w:type="spellEnd"/>
      <w:r w:rsidRPr="00C270A7" w:rsidR="00DA2DCD">
        <w:rPr>
          <w:rFonts w:eastAsia="Calibri"/>
          <w:kern w:val="2"/>
          <w:szCs w:val="22"/>
          <w14:ligatures w14:val="standardContextual"/>
        </w:rPr>
        <w:t xml:space="preserve"> </w:t>
      </w:r>
      <w:r w:rsidRPr="00C270A7" w:rsidR="007947BB">
        <w:rPr>
          <w:rFonts w:eastAsia="Calibri"/>
          <w:kern w:val="2"/>
          <w:szCs w:val="22"/>
          <w14:ligatures w14:val="standardContextual"/>
        </w:rPr>
        <w:t xml:space="preserve">bovendien </w:t>
      </w:r>
      <w:r w:rsidRPr="00C270A7" w:rsidR="00DA2DCD">
        <w:rPr>
          <w:rFonts w:eastAsia="Calibri"/>
          <w:kern w:val="2"/>
          <w:szCs w:val="22"/>
          <w14:ligatures w14:val="standardContextual"/>
        </w:rPr>
        <w:t>aan op die van de maximale subsidietermijn.</w:t>
      </w:r>
      <w:r w:rsidR="00DA2DCD">
        <w:rPr>
          <w:rFonts w:eastAsia="Calibri"/>
          <w:kern w:val="2"/>
          <w:szCs w:val="22"/>
          <w14:ligatures w14:val="standardContextual"/>
        </w:rPr>
        <w:t xml:space="preserve"> Daardoor kunnen </w:t>
      </w:r>
      <w:r w:rsidRPr="00D54A24" w:rsidR="00D54A24">
        <w:rPr>
          <w:rFonts w:eastAsia="Calibri"/>
          <w:kern w:val="2"/>
          <w:szCs w:val="22"/>
          <w14:ligatures w14:val="standardContextual"/>
        </w:rPr>
        <w:t>de doelen</w:t>
      </w:r>
      <w:r w:rsidR="00D54A24">
        <w:rPr>
          <w:rFonts w:eastAsia="Calibri"/>
          <w:kern w:val="2"/>
          <w:szCs w:val="22"/>
          <w14:ligatures w14:val="standardContextual"/>
        </w:rPr>
        <w:t xml:space="preserve"> waarvoor</w:t>
      </w:r>
      <w:r w:rsidR="00435AF5">
        <w:rPr>
          <w:rFonts w:eastAsia="Calibri"/>
          <w:kern w:val="2"/>
          <w:szCs w:val="22"/>
          <w14:ligatures w14:val="standardContextual"/>
        </w:rPr>
        <w:t xml:space="preserve"> </w:t>
      </w:r>
      <w:proofErr w:type="spellStart"/>
      <w:r w:rsidR="00435AF5">
        <w:rPr>
          <w:rFonts w:eastAsia="Calibri"/>
          <w:kern w:val="2"/>
          <w:szCs w:val="22"/>
          <w14:ligatures w14:val="standardContextual"/>
        </w:rPr>
        <w:t>spuks</w:t>
      </w:r>
      <w:proofErr w:type="spellEnd"/>
      <w:r w:rsidR="00435AF5">
        <w:rPr>
          <w:rFonts w:eastAsia="Calibri"/>
          <w:kern w:val="2"/>
          <w:szCs w:val="22"/>
          <w14:ligatures w14:val="standardContextual"/>
        </w:rPr>
        <w:t xml:space="preserve"> worden verleend</w:t>
      </w:r>
      <w:r w:rsidR="00DA2DCD">
        <w:rPr>
          <w:rFonts w:eastAsia="Calibri"/>
          <w:kern w:val="2"/>
          <w:szCs w:val="22"/>
          <w14:ligatures w14:val="standardContextual"/>
        </w:rPr>
        <w:t xml:space="preserve"> beter worden behaald</w:t>
      </w:r>
      <w:r w:rsidRPr="00D54A24" w:rsidR="00D54A24">
        <w:rPr>
          <w:rFonts w:eastAsia="Calibri"/>
          <w:kern w:val="2"/>
          <w:szCs w:val="22"/>
          <w14:ligatures w14:val="standardContextual"/>
        </w:rPr>
        <w:t>.</w:t>
      </w:r>
      <w:r w:rsidR="00435AF5">
        <w:rPr>
          <w:rFonts w:eastAsia="Calibri"/>
          <w:kern w:val="2"/>
          <w:szCs w:val="22"/>
          <w14:ligatures w14:val="standardContextual"/>
        </w:rPr>
        <w:t xml:space="preserve"> </w:t>
      </w:r>
      <w:r w:rsidRPr="00D54A24" w:rsidR="00D54A24">
        <w:rPr>
          <w:rFonts w:eastAsia="Calibri"/>
          <w:kern w:val="2"/>
          <w:szCs w:val="22"/>
          <w14:ligatures w14:val="standardContextual"/>
        </w:rPr>
        <w:t xml:space="preserve">De achtjarige termijn vergroot </w:t>
      </w:r>
      <w:r w:rsidR="00DA2DCD">
        <w:rPr>
          <w:rFonts w:eastAsia="Calibri"/>
          <w:kern w:val="2"/>
          <w:szCs w:val="22"/>
          <w14:ligatures w14:val="standardContextual"/>
        </w:rPr>
        <w:t>daarmee</w:t>
      </w:r>
      <w:r w:rsidRPr="00D54A24" w:rsidR="00D54A24">
        <w:rPr>
          <w:rFonts w:eastAsia="Calibri"/>
          <w:kern w:val="2"/>
          <w:szCs w:val="22"/>
          <w14:ligatures w14:val="standardContextual"/>
        </w:rPr>
        <w:t xml:space="preserve"> de effectiviteit van het beleid van de minister van OCW in de afstemming met decentrale overheden.</w:t>
      </w:r>
    </w:p>
    <w:p w:rsidRPr="00F529DA" w:rsidR="00877731" w:rsidP="00877731" w:rsidRDefault="00877731" w14:paraId="2B1AC57F" w14:textId="77777777">
      <w:pPr>
        <w:spacing w:line="276" w:lineRule="auto"/>
        <w:rPr>
          <w:rFonts w:eastAsia="Calibri" w:cs="Calibri"/>
          <w:kern w:val="2"/>
          <w:szCs w:val="18"/>
          <w14:ligatures w14:val="standardContextual"/>
        </w:rPr>
      </w:pPr>
    </w:p>
    <w:p w:rsidRPr="00F529DA" w:rsidR="00877731" w:rsidP="00877731" w:rsidRDefault="00877731" w14:paraId="3D175801" w14:textId="0D34F38B">
      <w:pPr>
        <w:spacing w:line="276" w:lineRule="auto"/>
        <w:rPr>
          <w:rFonts w:eastAsia="Calibri"/>
          <w:kern w:val="2"/>
          <w:szCs w:val="22"/>
          <w14:ligatures w14:val="standardContextual"/>
        </w:rPr>
      </w:pPr>
      <w:bookmarkStart w:name="_Hlk210892973" w:id="7"/>
      <w:r w:rsidRPr="00F529DA">
        <w:rPr>
          <w:rFonts w:eastAsia="Calibri"/>
          <w:kern w:val="2"/>
          <w:szCs w:val="22"/>
          <w14:ligatures w14:val="standardContextual"/>
        </w:rPr>
        <w:t>Als oplossing voor de problematiek zijn meerdere varianten overwogen. De hoge administratieve en financiële lasten voor organisaties kunnen voor een deel worden verminderd door de indieningsvereisten voor het aanvragen van subsidies te wijzigen. Daarvoor is een wetswijziging niet noodzakelijk, dit kan binnen de</w:t>
      </w:r>
      <w:r w:rsidRPr="00F529DA" w:rsidR="002E25CD">
        <w:t xml:space="preserve"> </w:t>
      </w:r>
      <w:r w:rsidRPr="00F529DA" w:rsidR="002E25CD">
        <w:rPr>
          <w:rFonts w:eastAsia="Calibri"/>
          <w:kern w:val="2"/>
          <w:szCs w:val="22"/>
          <w14:ligatures w14:val="standardContextual"/>
        </w:rPr>
        <w:t>ministeriële regeling</w:t>
      </w:r>
      <w:r w:rsidRPr="00F529DA">
        <w:rPr>
          <w:rFonts w:eastAsia="Calibri"/>
          <w:kern w:val="2"/>
          <w:szCs w:val="22"/>
          <w14:ligatures w14:val="standardContextual"/>
        </w:rPr>
        <w:t xml:space="preserve">. Gelet op de procedure en grote belangen die aan de subsidie gebonden zijn, zijn de denkbare aanpassingen echter beperkt. Er is daarom gekozen voor het aanpassen van de termijn, waardoor organisaties minder vaak deze lasten hoeven te dragen. Ook een structurele bekostiging is overwogen. Een structurele bekostiging vergt </w:t>
      </w:r>
      <w:r w:rsidRPr="00F529DA" w:rsidR="002E25CD">
        <w:rPr>
          <w:rFonts w:eastAsia="Calibri"/>
          <w:kern w:val="2"/>
          <w:szCs w:val="22"/>
          <w14:ligatures w14:val="standardContextual"/>
        </w:rPr>
        <w:t xml:space="preserve">echter </w:t>
      </w:r>
      <w:r w:rsidRPr="00F529DA">
        <w:rPr>
          <w:rFonts w:eastAsia="Calibri"/>
          <w:kern w:val="2"/>
          <w:szCs w:val="22"/>
          <w14:ligatures w14:val="standardContextual"/>
        </w:rPr>
        <w:t>een ingrijpende herziening van het financieringsstelsel. Nadelen van structurele bekostiging zijn een te complexe administratie voor instellingen, een belemmering voor innovatie en een mismatch tussen bekostiging en de praktijk van culturele instellingen, die sterk artistiek gedreven is en bepaald wordt door autonomie. Structurele bekostiging vraagt daarnaast om een inspectie die toezicht houdt op de kwaliteit van het aanbod, wat de uitvoeringslasten voor het ministerie fors zou verhogen.</w:t>
      </w:r>
      <w:r w:rsidRPr="00F529DA" w:rsidR="00261933">
        <w:rPr>
          <w:rFonts w:eastAsia="Calibri"/>
          <w:kern w:val="2"/>
          <w:szCs w:val="22"/>
          <w14:ligatures w14:val="standardContextual"/>
        </w:rPr>
        <w:t xml:space="preserve"> </w:t>
      </w:r>
      <w:r w:rsidRPr="00F529DA">
        <w:rPr>
          <w:rFonts w:eastAsia="Calibri"/>
          <w:kern w:val="2"/>
          <w:szCs w:val="22"/>
          <w14:ligatures w14:val="standardContextual"/>
        </w:rPr>
        <w:t>Er is ook overwogen om voor bepaalde organisaties de subsidieperiode na het vierde jaar automatisch met een extra periode te verlengen, zonder dat deze organisaties opnieuw een aanvraag hoeven in te dienen. Tijdens de coronapandemie is deze optie onderzocht. Toen is geconcludeerd dat dit vanwege financiële, bestuurlijke en juridische consequenties niet de voorkeur had.</w:t>
      </w:r>
      <w:r w:rsidRPr="00F529DA">
        <w:rPr>
          <w:rStyle w:val="Voetnootmarkering"/>
          <w:rFonts w:eastAsia="Calibri"/>
          <w:kern w:val="2"/>
          <w:szCs w:val="22"/>
          <w14:ligatures w14:val="standardContextual"/>
        </w:rPr>
        <w:footnoteReference w:id="15"/>
      </w:r>
      <w:r w:rsidRPr="00F529DA">
        <w:rPr>
          <w:rFonts w:eastAsia="Calibri"/>
          <w:kern w:val="2"/>
          <w:szCs w:val="22"/>
          <w14:ligatures w14:val="standardContextual"/>
        </w:rPr>
        <w:t xml:space="preserve"> Het huidige wettelijk kader biedt niet de ruimte om de subsidieperiode zonder meer te verlengen, aangezien daarin slechts wordt voorzien in de bevoegdheid om subsidie te verstrekken voor de duur van vier kalenderjaren. Daarnaast zou dit mogelijk leiden tot ongelijke behandeling van organisaties en biedt het niet de langdurige financiële stabiliteit die de hierboven besproken problematiek oplos</w:t>
      </w:r>
      <w:r w:rsidR="003C113C">
        <w:rPr>
          <w:rFonts w:eastAsia="Calibri"/>
          <w:kern w:val="2"/>
          <w:szCs w:val="22"/>
          <w14:ligatures w14:val="standardContextual"/>
        </w:rPr>
        <w:t>t</w:t>
      </w:r>
      <w:r w:rsidRPr="00F529DA">
        <w:rPr>
          <w:rFonts w:eastAsia="Calibri"/>
          <w:kern w:val="2"/>
          <w:szCs w:val="22"/>
          <w14:ligatures w14:val="standardContextual"/>
        </w:rPr>
        <w:t>.</w:t>
      </w:r>
    </w:p>
    <w:bookmarkEnd w:id="7"/>
    <w:p w:rsidRPr="00F529DA" w:rsidR="00877731" w:rsidP="00877731" w:rsidRDefault="00877731" w14:paraId="4397E10D" w14:textId="77777777">
      <w:pPr>
        <w:spacing w:line="276" w:lineRule="auto"/>
        <w:rPr>
          <w:rFonts w:eastAsia="Calibri" w:cs="Calibri"/>
          <w:kern w:val="2"/>
          <w:szCs w:val="18"/>
          <w14:ligatures w14:val="standardContextual"/>
        </w:rPr>
      </w:pPr>
    </w:p>
    <w:p w:rsidR="00535006" w:rsidP="001B0BCB" w:rsidRDefault="00877731" w14:paraId="791EAC18" w14:textId="77777777">
      <w:pPr>
        <w:spacing w:line="276" w:lineRule="auto"/>
        <w:rPr>
          <w:rFonts w:eastAsia="Calibri"/>
          <w:kern w:val="2"/>
          <w:szCs w:val="22"/>
          <w14:ligatures w14:val="standardContextual"/>
        </w:rPr>
      </w:pPr>
      <w:r w:rsidRPr="00F529DA">
        <w:rPr>
          <w:rFonts w:eastAsia="Calibri"/>
          <w:kern w:val="2"/>
          <w:szCs w:val="22"/>
          <w14:ligatures w14:val="standardContextual"/>
        </w:rPr>
        <w:t>Binnen de aanpassing van de subsidieperiode zijn verschillende mogelijkheden. Er kan gekozen worden voor een aanpassing naar zes jaar, acht jaar of tien jaar. In verband met de Comptabiliteitswet is tien jaar het maximale</w:t>
      </w:r>
      <w:r w:rsidRPr="00F529DA" w:rsidR="002E25CD">
        <w:rPr>
          <w:rFonts w:eastAsia="Calibri"/>
          <w:kern w:val="2"/>
          <w:szCs w:val="22"/>
          <w14:ligatures w14:val="standardContextual"/>
        </w:rPr>
        <w:t>.</w:t>
      </w:r>
      <w:r w:rsidRPr="00F529DA" w:rsidR="002E25CD">
        <w:rPr>
          <w:rFonts w:eastAsia="Calibri" w:cs="Calibri"/>
          <w:kern w:val="2"/>
          <w:szCs w:val="18"/>
          <w:vertAlign w:val="superscript"/>
          <w14:ligatures w14:val="standardContextual"/>
        </w:rPr>
        <w:footnoteReference w:id="16"/>
      </w:r>
      <w:r w:rsidRPr="00F529DA">
        <w:rPr>
          <w:rFonts w:eastAsia="Calibri"/>
          <w:kern w:val="2"/>
          <w:szCs w:val="22"/>
          <w14:ligatures w14:val="standardContextual"/>
        </w:rPr>
        <w:t xml:space="preserve"> Bij een periode van zes jaar of tien jaar zou de besluitvorming bij </w:t>
      </w:r>
      <w:r w:rsidRPr="00F529DA" w:rsidR="002E25CD">
        <w:rPr>
          <w:rFonts w:eastAsia="Calibri"/>
          <w:kern w:val="2"/>
          <w:szCs w:val="22"/>
          <w14:ligatures w14:val="standardContextual"/>
        </w:rPr>
        <w:t>decentrale overheden</w:t>
      </w:r>
      <w:r w:rsidRPr="00F529DA">
        <w:rPr>
          <w:rFonts w:eastAsia="Calibri"/>
          <w:kern w:val="2"/>
          <w:szCs w:val="22"/>
          <w14:ligatures w14:val="standardContextual"/>
        </w:rPr>
        <w:t xml:space="preserve"> op andere momenten plaatsvinden. Dit maakt de samenloop met </w:t>
      </w:r>
      <w:r w:rsidRPr="00F529DA" w:rsidR="002E25CD">
        <w:rPr>
          <w:rFonts w:eastAsia="Calibri"/>
          <w:kern w:val="2"/>
          <w:szCs w:val="22"/>
          <w14:ligatures w14:val="standardContextual"/>
        </w:rPr>
        <w:t xml:space="preserve">decentrale </w:t>
      </w:r>
      <w:r w:rsidRPr="00F529DA">
        <w:rPr>
          <w:rFonts w:eastAsia="Calibri"/>
          <w:kern w:val="2"/>
          <w:szCs w:val="22"/>
          <w14:ligatures w14:val="standardContextual"/>
        </w:rPr>
        <w:t>procedures complexer, wat de beoogde rust en stabiliteit juist ondergraaft.</w:t>
      </w:r>
    </w:p>
    <w:p w:rsidR="00535006" w:rsidP="001B0BCB" w:rsidRDefault="00535006" w14:paraId="6D766C4A" w14:textId="77777777">
      <w:pPr>
        <w:spacing w:line="276" w:lineRule="auto"/>
        <w:rPr>
          <w:rFonts w:eastAsia="Calibri"/>
          <w:kern w:val="2"/>
          <w:szCs w:val="22"/>
          <w14:ligatures w14:val="standardContextual"/>
        </w:rPr>
      </w:pPr>
    </w:p>
    <w:p w:rsidRPr="00617559" w:rsidR="00326F27" w:rsidP="00617559" w:rsidRDefault="00114C6A" w14:paraId="545706AE" w14:textId="436FC694">
      <w:pPr>
        <w:spacing w:line="360" w:lineRule="auto"/>
        <w:rPr>
          <w:rFonts w:eastAsia="Calibri"/>
          <w:b/>
          <w:bCs/>
          <w:kern w:val="2"/>
          <w:szCs w:val="22"/>
          <w14:ligatures w14:val="standardContextual"/>
        </w:rPr>
      </w:pPr>
      <w:r>
        <w:rPr>
          <w:rFonts w:eastAsia="Calibri"/>
          <w:kern w:val="2"/>
          <w:szCs w:val="22"/>
          <w14:ligatures w14:val="standardContextual"/>
        </w:rPr>
        <w:tab/>
      </w:r>
      <w:r w:rsidR="004B3B1E">
        <w:rPr>
          <w:rFonts w:eastAsia="Calibri"/>
          <w:b/>
          <w:bCs/>
          <w:kern w:val="2"/>
          <w:szCs w:val="22"/>
          <w14:ligatures w14:val="standardContextual"/>
        </w:rPr>
        <w:t xml:space="preserve">2.5 </w:t>
      </w:r>
      <w:r w:rsidRPr="00617559" w:rsidR="00230837">
        <w:rPr>
          <w:rFonts w:eastAsia="Calibri"/>
          <w:b/>
          <w:bCs/>
          <w:kern w:val="2"/>
          <w:szCs w:val="22"/>
          <w14:ligatures w14:val="standardContextual"/>
        </w:rPr>
        <w:t>Risicomitigatie</w:t>
      </w:r>
    </w:p>
    <w:p w:rsidR="006E56C6" w:rsidP="00877731" w:rsidRDefault="00877731" w14:paraId="2D4E55E4" w14:textId="006D39A5">
      <w:pPr>
        <w:spacing w:line="276" w:lineRule="auto"/>
        <w:rPr>
          <w:rFonts w:eastAsia="Calibri"/>
          <w:kern w:val="2"/>
          <w:szCs w:val="22"/>
          <w14:ligatures w14:val="standardContextual"/>
        </w:rPr>
      </w:pPr>
      <w:r w:rsidRPr="00F529DA">
        <w:rPr>
          <w:rFonts w:eastAsia="Calibri"/>
          <w:kern w:val="2"/>
          <w:szCs w:val="22"/>
          <w14:ligatures w14:val="standardContextual"/>
        </w:rPr>
        <w:t xml:space="preserve">Naast de hiervoor genoemde voordelen, kent een achtjarige cyclus ook enkele risico’s. Een langere subsidieperiode beperkt bijvoorbeeld de budgetflexibiliteit van de Rijksbegroting, omdat voor een langere periode verplichtingen worden aangegaan. Bij toekenning van de subsidie zal daarom altijd </w:t>
      </w:r>
      <w:r w:rsidRPr="00F529DA" w:rsidR="002E25CD">
        <w:rPr>
          <w:rFonts w:eastAsia="Calibri"/>
          <w:kern w:val="2"/>
          <w:szCs w:val="22"/>
          <w14:ligatures w14:val="standardContextual"/>
        </w:rPr>
        <w:t xml:space="preserve">het </w:t>
      </w:r>
      <w:r w:rsidRPr="00F529DA">
        <w:rPr>
          <w:rFonts w:eastAsia="Calibri"/>
          <w:kern w:val="2"/>
          <w:szCs w:val="22"/>
          <w14:ligatures w14:val="standardContextual"/>
        </w:rPr>
        <w:t xml:space="preserve">voorbehoud worden opgenomen dat de begrotingswetgever voldoende middelen beschikbaar stelt. Dit is </w:t>
      </w:r>
      <w:r w:rsidRPr="00F529DA" w:rsidR="00261933">
        <w:rPr>
          <w:rFonts w:eastAsia="Calibri"/>
          <w:kern w:val="2"/>
          <w:szCs w:val="22"/>
          <w14:ligatures w14:val="standardContextual"/>
        </w:rPr>
        <w:t xml:space="preserve">nu ook </w:t>
      </w:r>
      <w:r w:rsidRPr="00F529DA">
        <w:rPr>
          <w:rFonts w:eastAsia="Calibri"/>
          <w:kern w:val="2"/>
          <w:szCs w:val="22"/>
          <w14:ligatures w14:val="standardContextual"/>
        </w:rPr>
        <w:t xml:space="preserve">het geval. Dit betekent dat het mogelijk blijft voor de Eerste en Tweede Kamer om het budget tijdens de lopende subsidieperiode aan te passen. Dit op voorwaarde dat een neerwaartse aanpassing van het budget tijdens de periode van acht jaar zorgvuldig gebeurt en met inachtneming van een redelijke termijn, waarbij rekening wordt gehouden met reeds aangegane verplichtingen door de subsidieontvangers. </w:t>
      </w:r>
    </w:p>
    <w:p w:rsidR="006E56C6" w:rsidP="00877731" w:rsidRDefault="006E56C6" w14:paraId="5968B0F6" w14:textId="77777777">
      <w:pPr>
        <w:spacing w:line="276" w:lineRule="auto"/>
        <w:rPr>
          <w:rFonts w:eastAsia="Calibri"/>
          <w:kern w:val="2"/>
          <w:szCs w:val="22"/>
          <w14:ligatures w14:val="standardContextual"/>
        </w:rPr>
      </w:pPr>
    </w:p>
    <w:p w:rsidR="00256F90" w:rsidP="00256F90" w:rsidRDefault="00256F90" w14:paraId="64DB5CB5" w14:textId="721CE372">
      <w:pPr>
        <w:spacing w:line="276" w:lineRule="auto"/>
        <w:rPr>
          <w:rFonts w:eastAsia="Calibri"/>
          <w:kern w:val="2"/>
          <w:szCs w:val="22"/>
          <w14:ligatures w14:val="standardContextual"/>
        </w:rPr>
      </w:pPr>
      <w:r w:rsidRPr="00256F90">
        <w:rPr>
          <w:rFonts w:eastAsia="Calibri"/>
          <w:kern w:val="2"/>
          <w:szCs w:val="22"/>
          <w14:ligatures w14:val="standardContextual"/>
        </w:rPr>
        <w:lastRenderedPageBreak/>
        <w:t xml:space="preserve">Daarnaast geldt dat er, voor zover het de directe financiering door het Rijk betreft, minder momenten zijn waarop culturele organisaties op basis van een subsidieaanvraag worden beoordeeld. Hierdoor kan de indruk ontstaan dat het subsidiesysteem minder toegankelijk wordt voor nieuwe toetreders. </w:t>
      </w:r>
      <w:r w:rsidRPr="00AF49D1">
        <w:rPr>
          <w:rFonts w:eastAsia="Calibri"/>
          <w:kern w:val="2"/>
          <w:szCs w:val="22"/>
          <w14:ligatures w14:val="standardContextual"/>
        </w:rPr>
        <w:t xml:space="preserve">Voor de fondsen geldt echter </w:t>
      </w:r>
      <w:r w:rsidRPr="00AF49D1" w:rsidR="007947BB">
        <w:rPr>
          <w:rFonts w:eastAsia="Calibri"/>
          <w:kern w:val="2"/>
          <w:szCs w:val="22"/>
          <w14:ligatures w14:val="standardContextual"/>
        </w:rPr>
        <w:t xml:space="preserve">dat zij met </w:t>
      </w:r>
      <w:r w:rsidRPr="00AF49D1">
        <w:rPr>
          <w:rFonts w:eastAsia="Calibri"/>
          <w:kern w:val="2"/>
          <w:szCs w:val="22"/>
          <w14:ligatures w14:val="standardContextual"/>
        </w:rPr>
        <w:t xml:space="preserve">dit wetsvoorstel de mogelijkheid </w:t>
      </w:r>
      <w:r w:rsidRPr="00AF49D1" w:rsidR="007947BB">
        <w:rPr>
          <w:rFonts w:eastAsia="Calibri"/>
          <w:kern w:val="2"/>
          <w:szCs w:val="22"/>
          <w14:ligatures w14:val="standardContextual"/>
        </w:rPr>
        <w:t xml:space="preserve">krijgen </w:t>
      </w:r>
      <w:r w:rsidRPr="00AF49D1">
        <w:rPr>
          <w:rFonts w:eastAsia="Calibri"/>
          <w:kern w:val="2"/>
          <w:szCs w:val="22"/>
          <w14:ligatures w14:val="standardContextual"/>
        </w:rPr>
        <w:t>meer differentiatie aan te brengen in hun instrumentarium, en dit beter af te stemmen op de behoeften van het culturele veld.</w:t>
      </w:r>
      <w:r>
        <w:rPr>
          <w:rFonts w:eastAsia="Calibri"/>
          <w:kern w:val="2"/>
          <w:szCs w:val="22"/>
          <w14:ligatures w14:val="standardContextual"/>
        </w:rPr>
        <w:t xml:space="preserve"> </w:t>
      </w:r>
      <w:r w:rsidRPr="00256F90">
        <w:rPr>
          <w:rFonts w:eastAsia="Calibri"/>
          <w:kern w:val="2"/>
          <w:szCs w:val="22"/>
          <w14:ligatures w14:val="standardContextual"/>
        </w:rPr>
        <w:t xml:space="preserve">Waar de fondsen hun beleid nu binnen een periode van vier jaar vormgeven, biedt de voorgestelde wijziging de mogelijkheid om dit voor een periode van acht jaar te doen. Hierdoor kunnen zij een meer samenhangend en gevarieerd instrumentarium ontwikkelen, met verschillende </w:t>
      </w:r>
      <w:r>
        <w:rPr>
          <w:rFonts w:eastAsia="Calibri"/>
          <w:kern w:val="2"/>
          <w:szCs w:val="22"/>
          <w14:ligatures w14:val="standardContextual"/>
        </w:rPr>
        <w:t>voorwaarden</w:t>
      </w:r>
      <w:r w:rsidRPr="00256F90">
        <w:rPr>
          <w:rFonts w:eastAsia="Calibri"/>
          <w:kern w:val="2"/>
          <w:szCs w:val="22"/>
          <w14:ligatures w14:val="standardContextual"/>
        </w:rPr>
        <w:t xml:space="preserve"> en looptijden. Dit stelt de fondsen beter in staat om in te spelen op uiteenlopende behoeften van</w:t>
      </w:r>
      <w:r>
        <w:rPr>
          <w:rFonts w:eastAsia="Calibri"/>
          <w:kern w:val="2"/>
          <w:szCs w:val="22"/>
          <w14:ligatures w14:val="standardContextual"/>
        </w:rPr>
        <w:t xml:space="preserve"> de sector</w:t>
      </w:r>
      <w:r w:rsidRPr="00256F90">
        <w:rPr>
          <w:rFonts w:eastAsia="Calibri"/>
          <w:kern w:val="2"/>
          <w:szCs w:val="22"/>
          <w14:ligatures w14:val="standardContextual"/>
        </w:rPr>
        <w:t xml:space="preserve"> en</w:t>
      </w:r>
      <w:r>
        <w:rPr>
          <w:rFonts w:eastAsia="Calibri"/>
          <w:kern w:val="2"/>
          <w:szCs w:val="22"/>
          <w14:ligatures w14:val="standardContextual"/>
        </w:rPr>
        <w:t xml:space="preserve"> beter aan te sluiten</w:t>
      </w:r>
      <w:r w:rsidRPr="00256F90">
        <w:rPr>
          <w:rFonts w:eastAsia="Calibri"/>
          <w:kern w:val="2"/>
          <w:szCs w:val="22"/>
          <w14:ligatures w14:val="standardContextual"/>
        </w:rPr>
        <w:t xml:space="preserve"> op maatschappelijke en culturele ontwikkelingen. Bovendien kan een meer gedifferentieerd instrumentarium bijdragen aan een vermindering van de administratieve en financiële lasten voor aanvragers.</w:t>
      </w:r>
    </w:p>
    <w:p w:rsidR="00256F90" w:rsidP="00256F90" w:rsidRDefault="00256F90" w14:paraId="12453E75" w14:textId="77777777">
      <w:pPr>
        <w:spacing w:line="276" w:lineRule="auto"/>
        <w:rPr>
          <w:rFonts w:eastAsia="Calibri"/>
          <w:kern w:val="2"/>
          <w:szCs w:val="22"/>
          <w14:ligatures w14:val="standardContextual"/>
        </w:rPr>
      </w:pPr>
    </w:p>
    <w:p w:rsidR="0012761E" w:rsidP="0012761E" w:rsidRDefault="00EB7D5C" w14:paraId="11F95E5B" w14:textId="25DC6428">
      <w:pPr>
        <w:spacing w:line="276" w:lineRule="auto"/>
        <w:rPr>
          <w:rFonts w:eastAsia="Calibri"/>
          <w:kern w:val="2"/>
          <w:szCs w:val="22"/>
          <w14:ligatures w14:val="standardContextual"/>
        </w:rPr>
      </w:pPr>
      <w:bookmarkStart w:name="_Hlk210383972" w:id="8"/>
      <w:r w:rsidRPr="00EB7D5C">
        <w:rPr>
          <w:rFonts w:eastAsia="Calibri"/>
          <w:kern w:val="2"/>
          <w:szCs w:val="22"/>
          <w14:ligatures w14:val="standardContextual"/>
        </w:rPr>
        <w:t xml:space="preserve">De groep functies </w:t>
      </w:r>
      <w:r w:rsidR="00256F90">
        <w:rPr>
          <w:rFonts w:eastAsia="Calibri"/>
          <w:kern w:val="2"/>
          <w:szCs w:val="22"/>
          <w14:ligatures w14:val="standardContextual"/>
        </w:rPr>
        <w:t>die direct door het Rijk worden gefinancierd, onder artikel 4a</w:t>
      </w:r>
      <w:r w:rsidRPr="00EB7D5C">
        <w:rPr>
          <w:rFonts w:eastAsia="Calibri"/>
          <w:kern w:val="2"/>
          <w:szCs w:val="22"/>
          <w14:ligatures w14:val="standardContextual"/>
        </w:rPr>
        <w:t xml:space="preserve">, zal in de </w:t>
      </w:r>
      <w:proofErr w:type="spellStart"/>
      <w:r w:rsidRPr="00EB7D5C">
        <w:rPr>
          <w:rFonts w:eastAsia="Calibri"/>
          <w:kern w:val="2"/>
          <w:szCs w:val="22"/>
          <w14:ligatures w14:val="standardContextual"/>
        </w:rPr>
        <w:t>Rs</w:t>
      </w:r>
      <w:r>
        <w:rPr>
          <w:rFonts w:eastAsia="Calibri"/>
          <w:kern w:val="2"/>
          <w:szCs w:val="22"/>
          <w14:ligatures w14:val="standardContextual"/>
        </w:rPr>
        <w:t>c</w:t>
      </w:r>
      <w:proofErr w:type="spellEnd"/>
      <w:r w:rsidRPr="00EB7D5C">
        <w:rPr>
          <w:rFonts w:eastAsia="Calibri"/>
          <w:kern w:val="2"/>
          <w:szCs w:val="22"/>
          <w14:ligatures w14:val="standardContextual"/>
        </w:rPr>
        <w:t xml:space="preserve"> </w:t>
      </w:r>
      <w:r w:rsidR="00256F90">
        <w:rPr>
          <w:rFonts w:eastAsia="Calibri"/>
          <w:kern w:val="2"/>
          <w:szCs w:val="22"/>
          <w14:ligatures w14:val="standardContextual"/>
        </w:rPr>
        <w:t>worden bepaald.</w:t>
      </w:r>
      <w:r w:rsidRPr="00EB7D5C">
        <w:rPr>
          <w:rFonts w:eastAsia="Calibri"/>
          <w:kern w:val="2"/>
          <w:szCs w:val="22"/>
          <w14:ligatures w14:val="standardContextual"/>
        </w:rPr>
        <w:t xml:space="preserve"> De Raad voor </w:t>
      </w:r>
      <w:r>
        <w:rPr>
          <w:rFonts w:eastAsia="Calibri"/>
          <w:kern w:val="2"/>
          <w:szCs w:val="22"/>
          <w14:ligatures w14:val="standardContextual"/>
        </w:rPr>
        <w:t>c</w:t>
      </w:r>
      <w:r w:rsidRPr="00EB7D5C">
        <w:rPr>
          <w:rFonts w:eastAsia="Calibri"/>
          <w:kern w:val="2"/>
          <w:szCs w:val="22"/>
          <w14:ligatures w14:val="standardContextual"/>
        </w:rPr>
        <w:t>ultuur zal hier nog advies over uitbrengen</w:t>
      </w:r>
      <w:r>
        <w:rPr>
          <w:rFonts w:eastAsia="Calibri"/>
          <w:kern w:val="2"/>
          <w:szCs w:val="22"/>
          <w14:ligatures w14:val="standardContextual"/>
        </w:rPr>
        <w:t>.</w:t>
      </w:r>
      <w:bookmarkEnd w:id="8"/>
      <w:r>
        <w:rPr>
          <w:rFonts w:eastAsia="Calibri"/>
          <w:kern w:val="2"/>
          <w:szCs w:val="22"/>
          <w14:ligatures w14:val="standardContextual"/>
        </w:rPr>
        <w:t xml:space="preserve"> </w:t>
      </w:r>
      <w:r w:rsidR="0012761E">
        <w:rPr>
          <w:rFonts w:eastAsia="Calibri"/>
          <w:kern w:val="2"/>
          <w:szCs w:val="22"/>
          <w14:ligatures w14:val="standardContextual"/>
        </w:rPr>
        <w:t xml:space="preserve">Aan de fondsen zal worden gevraagd een balans te zoeken tussen enerzijds voldoende ruimte voor vernieuwing, en anderzijds het bieden van rust en ruimte voor </w:t>
      </w:r>
      <w:r w:rsidRPr="0012761E" w:rsidR="0012761E">
        <w:rPr>
          <w:rFonts w:eastAsia="Calibri"/>
          <w:kern w:val="2"/>
          <w:szCs w:val="22"/>
          <w14:ligatures w14:val="standardContextual"/>
        </w:rPr>
        <w:t xml:space="preserve">de door hen gesubsidieerde culturele instellingen. </w:t>
      </w:r>
      <w:r w:rsidR="0012761E">
        <w:rPr>
          <w:rFonts w:eastAsia="Calibri"/>
          <w:kern w:val="2"/>
          <w:szCs w:val="22"/>
          <w14:ligatures w14:val="standardContextual"/>
        </w:rPr>
        <w:t xml:space="preserve">Zo nodig zal hiervoor gebruik gemaakt worden van de </w:t>
      </w:r>
      <w:r w:rsidR="00867BB2">
        <w:rPr>
          <w:rFonts w:eastAsia="Calibri"/>
          <w:kern w:val="2"/>
          <w:szCs w:val="22"/>
          <w14:ligatures w14:val="standardContextual"/>
        </w:rPr>
        <w:t xml:space="preserve">mogelijkheden die de </w:t>
      </w:r>
      <w:r w:rsidRPr="0012761E" w:rsidR="0012761E">
        <w:rPr>
          <w:rFonts w:eastAsia="Calibri"/>
          <w:kern w:val="2"/>
          <w:szCs w:val="22"/>
          <w14:ligatures w14:val="standardContextual"/>
        </w:rPr>
        <w:t xml:space="preserve">Wet op het specifiek cultuurbeleid als </w:t>
      </w:r>
      <w:r w:rsidR="0012761E">
        <w:rPr>
          <w:rFonts w:eastAsia="Calibri"/>
          <w:kern w:val="2"/>
          <w:szCs w:val="22"/>
          <w14:ligatures w14:val="standardContextual"/>
        </w:rPr>
        <w:t>ook de</w:t>
      </w:r>
      <w:r w:rsidRPr="0012761E" w:rsidR="0012761E">
        <w:rPr>
          <w:rFonts w:eastAsia="Calibri"/>
          <w:kern w:val="2"/>
          <w:szCs w:val="22"/>
          <w14:ligatures w14:val="standardContextual"/>
        </w:rPr>
        <w:t xml:space="preserve"> Kaderwet zelfstandige bestuursorganen</w:t>
      </w:r>
      <w:r w:rsidR="00867BB2">
        <w:rPr>
          <w:rFonts w:eastAsia="Calibri"/>
          <w:kern w:val="2"/>
          <w:szCs w:val="22"/>
          <w14:ligatures w14:val="standardContextual"/>
        </w:rPr>
        <w:t xml:space="preserve"> bieden om hierover aanwijzingen aan de fondsen te geven</w:t>
      </w:r>
      <w:r w:rsidR="0012761E">
        <w:rPr>
          <w:rFonts w:eastAsia="Calibri"/>
          <w:kern w:val="2"/>
          <w:szCs w:val="22"/>
          <w14:ligatures w14:val="standardContextual"/>
        </w:rPr>
        <w:t>.</w:t>
      </w:r>
      <w:r w:rsidRPr="0012761E" w:rsidR="0012761E">
        <w:rPr>
          <w:rFonts w:eastAsia="Calibri"/>
          <w:kern w:val="2"/>
          <w:szCs w:val="22"/>
          <w14:ligatures w14:val="standardContextual"/>
        </w:rPr>
        <w:t xml:space="preserve"> </w:t>
      </w:r>
      <w:r w:rsidR="0012761E">
        <w:rPr>
          <w:rFonts w:eastAsia="Calibri"/>
          <w:kern w:val="2"/>
          <w:szCs w:val="22"/>
          <w14:ligatures w14:val="standardContextual"/>
        </w:rPr>
        <w:t xml:space="preserve">De uitwerking wordt </w:t>
      </w:r>
      <w:r w:rsidRPr="00F529DA" w:rsidR="0012761E">
        <w:rPr>
          <w:rFonts w:eastAsia="Calibri"/>
          <w:kern w:val="2"/>
          <w:szCs w:val="22"/>
          <w14:ligatures w14:val="standardContextual"/>
        </w:rPr>
        <w:t xml:space="preserve">concreter gemaakt </w:t>
      </w:r>
      <w:r w:rsidR="00256F90">
        <w:rPr>
          <w:rFonts w:eastAsia="Calibri"/>
          <w:kern w:val="2"/>
          <w:szCs w:val="22"/>
          <w14:ligatures w14:val="standardContextual"/>
        </w:rPr>
        <w:t>in</w:t>
      </w:r>
      <w:r w:rsidRPr="00F529DA" w:rsidR="0012761E">
        <w:rPr>
          <w:rFonts w:eastAsia="Calibri"/>
          <w:kern w:val="2"/>
          <w:szCs w:val="22"/>
          <w14:ligatures w14:val="standardContextual"/>
        </w:rPr>
        <w:t xml:space="preserve"> </w:t>
      </w:r>
      <w:r w:rsidR="00867BB2">
        <w:rPr>
          <w:rFonts w:eastAsia="Calibri"/>
          <w:kern w:val="2"/>
          <w:szCs w:val="22"/>
          <w14:ligatures w14:val="standardContextual"/>
        </w:rPr>
        <w:t xml:space="preserve">de beleidsuitgangspuntenbrief, </w:t>
      </w:r>
      <w:r w:rsidR="00256F90">
        <w:rPr>
          <w:rFonts w:eastAsia="Calibri"/>
          <w:kern w:val="2"/>
          <w:szCs w:val="22"/>
          <w14:ligatures w14:val="standardContextual"/>
        </w:rPr>
        <w:t xml:space="preserve">de </w:t>
      </w:r>
      <w:r w:rsidRPr="00F529DA" w:rsidR="0012761E">
        <w:rPr>
          <w:rFonts w:eastAsia="Calibri"/>
          <w:kern w:val="2"/>
          <w:szCs w:val="22"/>
          <w14:ligatures w14:val="standardContextual"/>
        </w:rPr>
        <w:t xml:space="preserve">publicatie van de </w:t>
      </w:r>
      <w:proofErr w:type="spellStart"/>
      <w:r w:rsidRPr="00F529DA" w:rsidR="0012761E">
        <w:rPr>
          <w:rFonts w:eastAsia="Calibri"/>
          <w:kern w:val="2"/>
          <w:szCs w:val="22"/>
          <w14:ligatures w14:val="standardContextual"/>
        </w:rPr>
        <w:t>Rsc</w:t>
      </w:r>
      <w:proofErr w:type="spellEnd"/>
      <w:r w:rsidR="0012761E">
        <w:rPr>
          <w:rFonts w:eastAsia="Calibri"/>
          <w:kern w:val="2"/>
          <w:szCs w:val="22"/>
          <w14:ligatures w14:val="standardContextual"/>
        </w:rPr>
        <w:t xml:space="preserve"> en in de onderliggende beleidskaders voor de </w:t>
      </w:r>
      <w:proofErr w:type="spellStart"/>
      <w:r w:rsidR="0012761E">
        <w:rPr>
          <w:rFonts w:eastAsia="Calibri"/>
          <w:kern w:val="2"/>
          <w:szCs w:val="22"/>
          <w14:ligatures w14:val="standardContextual"/>
        </w:rPr>
        <w:t>rijkscultuurfondsen</w:t>
      </w:r>
      <w:proofErr w:type="spellEnd"/>
      <w:r w:rsidR="0012761E">
        <w:rPr>
          <w:rFonts w:eastAsia="Calibri"/>
          <w:kern w:val="2"/>
          <w:szCs w:val="22"/>
          <w14:ligatures w14:val="standardContextual"/>
        </w:rPr>
        <w:t>.</w:t>
      </w:r>
    </w:p>
    <w:p w:rsidR="0012761E" w:rsidP="00877731" w:rsidRDefault="0012761E" w14:paraId="5123E9FC" w14:textId="77777777">
      <w:pPr>
        <w:spacing w:line="276" w:lineRule="auto"/>
        <w:rPr>
          <w:rFonts w:eastAsia="Calibri"/>
          <w:kern w:val="2"/>
          <w:szCs w:val="22"/>
          <w14:ligatures w14:val="standardContextual"/>
        </w:rPr>
      </w:pPr>
    </w:p>
    <w:p w:rsidRPr="001B0BCB" w:rsidR="00535006" w:rsidP="00535006" w:rsidRDefault="009C7B25" w14:paraId="1AE103B5" w14:textId="31C6C914">
      <w:pPr>
        <w:spacing w:line="276" w:lineRule="auto"/>
        <w:rPr>
          <w:rFonts w:eastAsia="Calibri"/>
          <w:kern w:val="2"/>
          <w:szCs w:val="22"/>
          <w14:ligatures w14:val="standardContextual"/>
        </w:rPr>
      </w:pPr>
      <w:r>
        <w:rPr>
          <w:rFonts w:eastAsia="Calibri"/>
          <w:kern w:val="2"/>
          <w:szCs w:val="22"/>
          <w14:ligatures w14:val="standardContextual"/>
        </w:rPr>
        <w:t>Er is een risicoafweging gemaakt over de kans op staatssteun. De conclusie is dat de wetswijziging geen bijzondere risico’s ten aanzien van het staatssteunrecht met zich meebrengt.</w:t>
      </w:r>
      <w:r w:rsidR="00535006">
        <w:rPr>
          <w:rFonts w:eastAsia="Calibri"/>
          <w:kern w:val="2"/>
          <w:szCs w:val="22"/>
          <w14:ligatures w14:val="standardContextual"/>
        </w:rPr>
        <w:t xml:space="preserve"> </w:t>
      </w:r>
      <w:r w:rsidRPr="001B0BCB" w:rsidR="00535006">
        <w:rPr>
          <w:rFonts w:eastAsia="Calibri"/>
          <w:kern w:val="2"/>
          <w:szCs w:val="22"/>
          <w14:ligatures w14:val="standardContextual"/>
        </w:rPr>
        <w:t xml:space="preserve">In het staatssteunrecht bestaat geen specifieke regelgeving over de maximumlooptijd voor steunverstrekkingen. De looptijd kan wel indirect gekoppeld worden aan de Europese staatssteunkaders. Voor het beoordelen van staatssteun wordt gekeken naar de totale omvang van de steun over de gehele looptijd van het project. </w:t>
      </w:r>
      <w:r w:rsidRPr="00051AB1" w:rsidR="00051AB1">
        <w:rPr>
          <w:rFonts w:eastAsia="Calibri"/>
          <w:kern w:val="2"/>
          <w:szCs w:val="22"/>
          <w14:ligatures w14:val="standardContextual"/>
        </w:rPr>
        <w:t xml:space="preserve">De </w:t>
      </w:r>
      <w:proofErr w:type="spellStart"/>
      <w:r w:rsidRPr="00051AB1" w:rsidR="00051AB1">
        <w:rPr>
          <w:rFonts w:eastAsia="Calibri"/>
          <w:kern w:val="2"/>
          <w:szCs w:val="22"/>
          <w14:ligatures w14:val="standardContextual"/>
        </w:rPr>
        <w:t>steunverlenende</w:t>
      </w:r>
      <w:proofErr w:type="spellEnd"/>
      <w:r w:rsidRPr="00051AB1" w:rsidR="00051AB1">
        <w:rPr>
          <w:rFonts w:eastAsia="Calibri"/>
          <w:kern w:val="2"/>
          <w:szCs w:val="22"/>
          <w14:ligatures w14:val="standardContextual"/>
        </w:rPr>
        <w:t xml:space="preserve"> overheid beoordeelt steeds per steunmaatregel of sprake is van staatssteun en zo ja, of de steun rechtmatig kan worden verleend. </w:t>
      </w:r>
      <w:r w:rsidR="00535006">
        <w:rPr>
          <w:rFonts w:eastAsia="Calibri"/>
          <w:kern w:val="2"/>
          <w:szCs w:val="22"/>
          <w14:ligatures w14:val="standardContextual"/>
        </w:rPr>
        <w:t xml:space="preserve">Europese wetgeving biedt de mogelijkheid om gebruik te maken van vrijstellingen waar het gaat om de steun aan culturele activiteiten. Het gaat </w:t>
      </w:r>
      <w:r w:rsidRPr="001B0BCB" w:rsidR="00535006">
        <w:rPr>
          <w:rFonts w:eastAsia="Calibri"/>
          <w:kern w:val="2"/>
          <w:szCs w:val="22"/>
          <w14:ligatures w14:val="standardContextual"/>
        </w:rPr>
        <w:t xml:space="preserve">om </w:t>
      </w:r>
      <w:r w:rsidR="00535006">
        <w:rPr>
          <w:rFonts w:eastAsia="Calibri"/>
          <w:kern w:val="2"/>
          <w:szCs w:val="22"/>
          <w14:ligatures w14:val="standardContextual"/>
        </w:rPr>
        <w:t xml:space="preserve">bijvoorbeeld de </w:t>
      </w:r>
      <w:r w:rsidRPr="001B0BCB" w:rsidR="00535006">
        <w:rPr>
          <w:rFonts w:eastAsia="Calibri"/>
          <w:kern w:val="2"/>
          <w:szCs w:val="22"/>
          <w14:ligatures w14:val="standardContextual"/>
        </w:rPr>
        <w:t>toepassing van de de-minimisverordening</w:t>
      </w:r>
      <w:r w:rsidR="00535006">
        <w:rPr>
          <w:rFonts w:eastAsia="Calibri"/>
          <w:kern w:val="2"/>
          <w:szCs w:val="22"/>
          <w14:ligatures w14:val="standardContextual"/>
        </w:rPr>
        <w:t xml:space="preserve"> en </w:t>
      </w:r>
      <w:r w:rsidRPr="001B0BCB" w:rsidR="00535006">
        <w:rPr>
          <w:rFonts w:eastAsia="Calibri"/>
          <w:kern w:val="2"/>
          <w:szCs w:val="22"/>
          <w14:ligatures w14:val="standardContextual"/>
        </w:rPr>
        <w:t>art. 25</w:t>
      </w:r>
      <w:r w:rsidR="00535006">
        <w:rPr>
          <w:rFonts w:eastAsia="Calibri"/>
          <w:kern w:val="2"/>
          <w:szCs w:val="22"/>
          <w14:ligatures w14:val="standardContextual"/>
        </w:rPr>
        <w:t>,</w:t>
      </w:r>
      <w:r w:rsidRPr="001B0BCB" w:rsidR="00535006">
        <w:rPr>
          <w:rFonts w:eastAsia="Calibri"/>
          <w:kern w:val="2"/>
          <w:szCs w:val="22"/>
          <w14:ligatures w14:val="standardContextual"/>
        </w:rPr>
        <w:t xml:space="preserve"> art. 53 </w:t>
      </w:r>
      <w:r w:rsidR="00535006">
        <w:rPr>
          <w:rFonts w:eastAsia="Calibri"/>
          <w:kern w:val="2"/>
          <w:szCs w:val="22"/>
          <w14:ligatures w14:val="standardContextual"/>
        </w:rPr>
        <w:t>en</w:t>
      </w:r>
      <w:r w:rsidRPr="001B0BCB" w:rsidR="00535006">
        <w:rPr>
          <w:rFonts w:eastAsia="Calibri"/>
          <w:kern w:val="2"/>
          <w:szCs w:val="22"/>
          <w14:ligatures w14:val="standardContextual"/>
        </w:rPr>
        <w:t xml:space="preserve"> art. 54 </w:t>
      </w:r>
      <w:r w:rsidR="00535006">
        <w:rPr>
          <w:rFonts w:eastAsia="Calibri"/>
          <w:kern w:val="2"/>
          <w:szCs w:val="22"/>
          <w14:ligatures w14:val="standardContextual"/>
        </w:rPr>
        <w:t xml:space="preserve">van de </w:t>
      </w:r>
      <w:r w:rsidRPr="00535006" w:rsidR="00535006">
        <w:rPr>
          <w:rFonts w:eastAsia="Calibri"/>
          <w:kern w:val="2"/>
          <w:szCs w:val="22"/>
          <w14:ligatures w14:val="standardContextual"/>
        </w:rPr>
        <w:t>Algemene Groepsvrijstellings­verordening (AGVV)</w:t>
      </w:r>
      <w:r w:rsidRPr="001B0BCB" w:rsidR="00535006">
        <w:rPr>
          <w:rFonts w:eastAsia="Calibri"/>
          <w:kern w:val="2"/>
          <w:szCs w:val="22"/>
          <w14:ligatures w14:val="standardContextual"/>
        </w:rPr>
        <w:t xml:space="preserve">. Hoewel in sommige artikelen van de AGVV naast de steunintensiteit ook de periode waarin de steun kan worden verstrekt wordt beperkt, geldt dat de voorgenoemde artikelen geen </w:t>
      </w:r>
      <w:r w:rsidR="00535006">
        <w:rPr>
          <w:rFonts w:eastAsia="Calibri"/>
          <w:kern w:val="2"/>
          <w:szCs w:val="22"/>
          <w14:ligatures w14:val="standardContextual"/>
        </w:rPr>
        <w:t>maximale</w:t>
      </w:r>
      <w:r w:rsidRPr="001B0BCB" w:rsidR="00535006">
        <w:rPr>
          <w:rFonts w:eastAsia="Calibri"/>
          <w:kern w:val="2"/>
          <w:szCs w:val="22"/>
          <w14:ligatures w14:val="standardContextual"/>
        </w:rPr>
        <w:t xml:space="preserve"> periode als voorwaarde stellen aan de steun.</w:t>
      </w:r>
    </w:p>
    <w:p w:rsidRPr="00F529DA" w:rsidR="00535006" w:rsidP="00877731" w:rsidRDefault="00535006" w14:paraId="3F6CEF52" w14:textId="4557F193">
      <w:pPr>
        <w:spacing w:line="276" w:lineRule="auto"/>
        <w:rPr>
          <w:rFonts w:eastAsia="Calibri"/>
          <w:kern w:val="2"/>
          <w:szCs w:val="22"/>
          <w14:ligatures w14:val="standardContextual"/>
        </w:rPr>
      </w:pPr>
    </w:p>
    <w:p w:rsidRPr="00F529DA" w:rsidR="00877731" w:rsidP="00877731" w:rsidRDefault="00877731" w14:paraId="0F3C2B0F"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84030" w:id="9"/>
      <w:r w:rsidRPr="00F529DA">
        <w:rPr>
          <w:b/>
          <w:kern w:val="2"/>
          <w:szCs w:val="32"/>
          <w14:ligatures w14:val="standardContextual"/>
        </w:rPr>
        <w:t>Wetsvoorstel</w:t>
      </w:r>
      <w:bookmarkEnd w:id="9"/>
    </w:p>
    <w:p w:rsidRPr="00F529DA" w:rsidR="00877731" w:rsidP="00877731" w:rsidRDefault="00877731" w14:paraId="124C95AD" w14:textId="77777777">
      <w:pPr>
        <w:keepNext/>
        <w:keepLines/>
        <w:numPr>
          <w:ilvl w:val="1"/>
          <w:numId w:val="0"/>
        </w:numPr>
        <w:spacing w:before="160" w:after="80" w:line="276" w:lineRule="auto"/>
        <w:ind w:left="792" w:hanging="84"/>
        <w:outlineLvl w:val="2"/>
        <w:rPr>
          <w:b/>
          <w:kern w:val="2"/>
          <w:szCs w:val="28"/>
          <w14:ligatures w14:val="standardContextual"/>
        </w:rPr>
      </w:pPr>
      <w:bookmarkStart w:name="_Toc210384031" w:id="10"/>
      <w:r w:rsidRPr="00F529DA">
        <w:rPr>
          <w:b/>
          <w:kern w:val="2"/>
          <w:szCs w:val="28"/>
          <w14:ligatures w14:val="standardContextual"/>
        </w:rPr>
        <w:t>3.1 Doel van het wetsvoorstel</w:t>
      </w:r>
      <w:bookmarkEnd w:id="10"/>
    </w:p>
    <w:p w:rsidRPr="00F529DA" w:rsidR="00877731" w:rsidP="00877731" w:rsidRDefault="00877731" w14:paraId="1F16BC4E" w14:textId="3222069D">
      <w:pPr>
        <w:spacing w:line="276" w:lineRule="auto"/>
        <w:rPr>
          <w:rFonts w:eastAsia="Calibri"/>
          <w:kern w:val="2"/>
          <w:szCs w:val="22"/>
          <w14:ligatures w14:val="standardContextual"/>
        </w:rPr>
      </w:pPr>
      <w:r w:rsidRPr="00F529DA">
        <w:rPr>
          <w:rFonts w:eastAsia="Calibri"/>
          <w:kern w:val="2"/>
          <w:szCs w:val="22"/>
          <w14:ligatures w14:val="standardContextual"/>
        </w:rPr>
        <w:t>Met het wetsvoorstel wordt een beleidscyclus gecreëerd die beter aansluit op de praktijk van de culturele sector. Deze langere</w:t>
      </w:r>
      <w:r w:rsidR="00230837">
        <w:rPr>
          <w:rFonts w:eastAsia="Calibri"/>
          <w:kern w:val="2"/>
          <w:szCs w:val="22"/>
          <w14:ligatures w14:val="standardContextual"/>
        </w:rPr>
        <w:t xml:space="preserve"> en meer gevarieerde</w:t>
      </w:r>
      <w:r w:rsidRPr="00F529DA">
        <w:rPr>
          <w:rFonts w:eastAsia="Calibri"/>
          <w:kern w:val="2"/>
          <w:szCs w:val="22"/>
          <w14:ligatures w14:val="standardContextual"/>
        </w:rPr>
        <w:t xml:space="preserve"> beleidscyclus biedt de ruimte om te werken aan de vermindering van de administratieve en financiële lasten van culturele organisaties, meer rust en stabiliteit in de subsidieperiodes</w:t>
      </w:r>
      <w:r w:rsidR="00594B5B">
        <w:rPr>
          <w:rFonts w:eastAsia="Calibri"/>
          <w:kern w:val="2"/>
          <w:szCs w:val="22"/>
          <w14:ligatures w14:val="standardContextual"/>
        </w:rPr>
        <w:t xml:space="preserve"> en </w:t>
      </w:r>
      <w:r w:rsidRPr="00F529DA">
        <w:rPr>
          <w:rFonts w:eastAsia="Calibri"/>
          <w:kern w:val="2"/>
          <w:szCs w:val="22"/>
          <w14:ligatures w14:val="standardContextual"/>
        </w:rPr>
        <w:t>meer ruimte voor langetermijninvesteringen en artistieke ontwikkeling</w:t>
      </w:r>
      <w:r w:rsidR="006F607C">
        <w:rPr>
          <w:rFonts w:eastAsia="Calibri"/>
          <w:kern w:val="2"/>
          <w:szCs w:val="22"/>
          <w14:ligatures w14:val="standardContextual"/>
        </w:rPr>
        <w:t xml:space="preserve">. Door tevens de mogelijkheid van kortere subsidietermijnen te behouden wordt </w:t>
      </w:r>
      <w:r w:rsidRPr="00F529DA">
        <w:rPr>
          <w:rFonts w:eastAsia="Calibri"/>
          <w:kern w:val="2"/>
          <w:szCs w:val="22"/>
          <w14:ligatures w14:val="standardContextual"/>
        </w:rPr>
        <w:t>een betere balans tussen stabiliteit en vernieuwing in de culturele sector</w:t>
      </w:r>
      <w:r w:rsidR="006F607C">
        <w:rPr>
          <w:rFonts w:eastAsia="Calibri"/>
          <w:kern w:val="2"/>
          <w:szCs w:val="22"/>
          <w14:ligatures w14:val="standardContextual"/>
        </w:rPr>
        <w:t xml:space="preserve"> gewaarborgd</w:t>
      </w:r>
      <w:r w:rsidRPr="00F529DA">
        <w:rPr>
          <w:rFonts w:eastAsia="Calibri"/>
          <w:kern w:val="2"/>
          <w:szCs w:val="22"/>
          <w14:ligatures w14:val="standardContextual"/>
        </w:rPr>
        <w:t>.</w:t>
      </w:r>
    </w:p>
    <w:p w:rsidRPr="00F529DA" w:rsidR="00877731" w:rsidP="00877731" w:rsidRDefault="00877731" w14:paraId="4642C77D" w14:textId="77777777">
      <w:pPr>
        <w:keepNext/>
        <w:keepLines/>
        <w:numPr>
          <w:ilvl w:val="1"/>
          <w:numId w:val="0"/>
        </w:numPr>
        <w:spacing w:before="160" w:after="80" w:line="276" w:lineRule="auto"/>
        <w:ind w:left="792" w:hanging="84"/>
        <w:outlineLvl w:val="2"/>
        <w:rPr>
          <w:b/>
          <w:kern w:val="2"/>
          <w:szCs w:val="28"/>
          <w14:ligatures w14:val="standardContextual"/>
        </w:rPr>
      </w:pPr>
      <w:bookmarkStart w:name="_Toc210384032" w:id="11"/>
      <w:r w:rsidRPr="00F529DA">
        <w:rPr>
          <w:b/>
          <w:kern w:val="2"/>
          <w:szCs w:val="28"/>
          <w14:ligatures w14:val="standardContextual"/>
        </w:rPr>
        <w:lastRenderedPageBreak/>
        <w:t>3.2 Inhoud van het wetsvoorstel</w:t>
      </w:r>
      <w:bookmarkEnd w:id="11"/>
    </w:p>
    <w:p w:rsidRPr="00F529DA" w:rsidR="00877731" w:rsidP="00877731" w:rsidRDefault="00877731" w14:paraId="0AEBE75F" w14:textId="77777777">
      <w:pPr>
        <w:spacing w:line="276" w:lineRule="auto"/>
        <w:rPr>
          <w:rFonts w:eastAsia="Calibri"/>
          <w:kern w:val="2"/>
          <w:szCs w:val="22"/>
          <w14:ligatures w14:val="standardContextual"/>
        </w:rPr>
      </w:pPr>
      <w:r w:rsidRPr="00F529DA">
        <w:rPr>
          <w:rFonts w:eastAsia="Calibri"/>
          <w:kern w:val="2"/>
          <w:szCs w:val="22"/>
          <w14:ligatures w14:val="standardContextual"/>
        </w:rPr>
        <w:t xml:space="preserve">Dit wetsvoorstel bevat wijzigingen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Om de uitvoerbaarheid en de consistentie van het wettelijk stelsel te bewaken zal de genoemde aanpassing over de gehele breedte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worden doorgevoerd.</w:t>
      </w:r>
    </w:p>
    <w:p w:rsidRPr="00F529DA" w:rsidR="00877731" w:rsidP="00877731" w:rsidRDefault="00877731" w14:paraId="1717DCA4" w14:textId="77777777">
      <w:pPr>
        <w:spacing w:line="276" w:lineRule="auto"/>
        <w:rPr>
          <w:rFonts w:eastAsia="Calibri" w:cs="Calibri"/>
          <w:kern w:val="2"/>
          <w:szCs w:val="18"/>
          <w14:ligatures w14:val="standardContextual"/>
        </w:rPr>
      </w:pPr>
    </w:p>
    <w:p w:rsidRPr="00F529DA" w:rsidR="00877731" w:rsidP="00877731" w:rsidRDefault="00877731" w14:paraId="09782ABE" w14:textId="41844659">
      <w:pPr>
        <w:spacing w:line="276" w:lineRule="auto"/>
        <w:rPr>
          <w:rFonts w:eastAsia="Calibri"/>
          <w:kern w:val="2"/>
          <w:szCs w:val="22"/>
          <w14:ligatures w14:val="standardContextual"/>
        </w:rPr>
      </w:pPr>
      <w:bookmarkStart w:name="_Hlk207188260" w:id="12"/>
      <w:r w:rsidRPr="00F529DA">
        <w:rPr>
          <w:rFonts w:eastAsia="Calibri"/>
          <w:kern w:val="2"/>
          <w:szCs w:val="22"/>
          <w14:ligatures w14:val="standardContextual"/>
        </w:rPr>
        <w:t xml:space="preserve">Ten eerste regelt dit wetsvoorstel dat de minister voortaan ten minste eens per acht jaar beide </w:t>
      </w:r>
      <w:r w:rsidRPr="00F529DA" w:rsidR="000A6BCF">
        <w:rPr>
          <w:rFonts w:eastAsia="Calibri"/>
          <w:kern w:val="2"/>
          <w:szCs w:val="22"/>
          <w14:ligatures w14:val="standardContextual"/>
        </w:rPr>
        <w:t>K</w:t>
      </w:r>
      <w:r w:rsidRPr="00F529DA">
        <w:rPr>
          <w:rFonts w:eastAsia="Calibri"/>
          <w:kern w:val="2"/>
          <w:szCs w:val="22"/>
          <w14:ligatures w14:val="standardContextual"/>
        </w:rPr>
        <w:t>amers der Staten-Generaal zal informeren over de hoofdlijnen van het cultuurbeleid. Deze noodzaak vloeit voort uit eerdergenoemde wijzigingen, aangezien het cultuurbeleid onlosmakelijk samenhangt met de subsidiëring van cultuuruitingen.</w:t>
      </w:r>
    </w:p>
    <w:p w:rsidRPr="00F529DA" w:rsidR="00877731" w:rsidP="00877731" w:rsidRDefault="00877731" w14:paraId="620C601C" w14:textId="77777777">
      <w:pPr>
        <w:spacing w:line="276" w:lineRule="auto"/>
        <w:rPr>
          <w:rFonts w:eastAsia="Calibri" w:cs="Calibri"/>
          <w:kern w:val="2"/>
          <w:szCs w:val="18"/>
          <w14:ligatures w14:val="standardContextual"/>
        </w:rPr>
      </w:pPr>
    </w:p>
    <w:p w:rsidRPr="00F529DA" w:rsidR="00877731" w:rsidP="00877731" w:rsidRDefault="00877731" w14:paraId="0FD00F01" w14:textId="77777777">
      <w:pPr>
        <w:spacing w:line="276" w:lineRule="auto"/>
        <w:rPr>
          <w:rFonts w:eastAsia="Calibri"/>
          <w:kern w:val="2"/>
          <w:szCs w:val="22"/>
          <w14:ligatures w14:val="standardContextual"/>
        </w:rPr>
      </w:pPr>
      <w:r w:rsidRPr="00F529DA">
        <w:rPr>
          <w:rFonts w:eastAsia="Calibri"/>
          <w:kern w:val="2"/>
          <w:szCs w:val="22"/>
          <w14:ligatures w14:val="standardContextual"/>
        </w:rPr>
        <w:t xml:space="preserve">Ten tweede voorziet dit wetsvoorstel erin dat de minister voortaan voor de periode van acht jaren regels vaststelt over de verstrekking van subsidies ten behoeve van cultuuruitingen. </w:t>
      </w:r>
    </w:p>
    <w:p w:rsidRPr="00F529DA" w:rsidR="00877731" w:rsidP="00877731" w:rsidRDefault="00877731" w14:paraId="3BDC645E" w14:textId="77777777">
      <w:pPr>
        <w:spacing w:line="276" w:lineRule="auto"/>
        <w:rPr>
          <w:rFonts w:eastAsia="Calibri" w:cs="Calibri"/>
          <w:kern w:val="2"/>
          <w:szCs w:val="18"/>
          <w14:ligatures w14:val="standardContextual"/>
        </w:rPr>
      </w:pPr>
    </w:p>
    <w:p w:rsidRPr="00F529DA" w:rsidR="00877731" w:rsidP="00877731" w:rsidRDefault="00877731" w14:paraId="11033D2C" w14:textId="77777777">
      <w:pPr>
        <w:spacing w:line="276" w:lineRule="auto"/>
        <w:rPr>
          <w:rFonts w:eastAsia="Calibri"/>
          <w:kern w:val="2"/>
          <w:szCs w:val="22"/>
          <w14:ligatures w14:val="standardContextual"/>
        </w:rPr>
      </w:pPr>
      <w:r w:rsidRPr="00F529DA">
        <w:rPr>
          <w:rFonts w:eastAsia="Calibri"/>
          <w:kern w:val="2"/>
          <w:szCs w:val="22"/>
          <w14:ligatures w14:val="standardContextual"/>
        </w:rPr>
        <w:t>Ten derde regelt dit wetsvoorstel dat aan fondsen voortaan voor de periode van acht jaren subsidie wordt verstrekt.</w:t>
      </w:r>
    </w:p>
    <w:p w:rsidRPr="00F529DA" w:rsidR="00877731" w:rsidP="00877731" w:rsidRDefault="00877731" w14:paraId="444E7E5A" w14:textId="77777777">
      <w:pPr>
        <w:spacing w:line="276" w:lineRule="auto"/>
        <w:rPr>
          <w:rFonts w:eastAsia="Calibri" w:cs="Calibri"/>
          <w:kern w:val="2"/>
          <w:szCs w:val="18"/>
          <w14:ligatures w14:val="standardContextual"/>
        </w:rPr>
      </w:pPr>
    </w:p>
    <w:p w:rsidR="00877731" w:rsidP="00877731" w:rsidRDefault="00877731" w14:paraId="12521379" w14:textId="52E6B7C1">
      <w:pPr>
        <w:spacing w:line="276" w:lineRule="auto"/>
        <w:rPr>
          <w:rFonts w:eastAsia="Calibri"/>
          <w:kern w:val="2"/>
          <w:szCs w:val="22"/>
          <w14:ligatures w14:val="standardContextual"/>
        </w:rPr>
      </w:pPr>
      <w:r w:rsidRPr="00F529DA">
        <w:rPr>
          <w:rFonts w:eastAsia="Calibri"/>
          <w:kern w:val="2"/>
          <w:szCs w:val="22"/>
          <w14:ligatures w14:val="standardContextual"/>
        </w:rPr>
        <w:t xml:space="preserve">Tot slot maakt dit wetsvoorstel het mogelijk dat de minister een specifieke uitkering ten behoeve van cultuuruitingen voortaan gedurende </w:t>
      </w:r>
      <w:r w:rsidRPr="00DE3306">
        <w:rPr>
          <w:rFonts w:eastAsia="Calibri"/>
          <w:kern w:val="2"/>
          <w:szCs w:val="22"/>
          <w14:ligatures w14:val="standardContextual"/>
        </w:rPr>
        <w:t xml:space="preserve">ten hoogste </w:t>
      </w:r>
      <w:r w:rsidRPr="00617559" w:rsidR="0010771B">
        <w:rPr>
          <w:rFonts w:eastAsia="Calibri"/>
          <w:kern w:val="2"/>
          <w:szCs w:val="22"/>
          <w14:ligatures w14:val="standardContextual"/>
        </w:rPr>
        <w:t xml:space="preserve">acht </w:t>
      </w:r>
      <w:r w:rsidRPr="00DE3306">
        <w:rPr>
          <w:rFonts w:eastAsia="Calibri"/>
          <w:kern w:val="2"/>
          <w:szCs w:val="22"/>
          <w14:ligatures w14:val="standardContextual"/>
        </w:rPr>
        <w:t>jaar verstrekt.</w:t>
      </w:r>
    </w:p>
    <w:p w:rsidRPr="00F529DA" w:rsidR="00480C7C" w:rsidP="00877731" w:rsidRDefault="00480C7C" w14:paraId="33BBEF53" w14:textId="77777777">
      <w:pPr>
        <w:spacing w:line="276" w:lineRule="auto"/>
        <w:rPr>
          <w:rFonts w:eastAsia="Calibri"/>
          <w:kern w:val="2"/>
          <w:szCs w:val="22"/>
          <w14:ligatures w14:val="standardContextual"/>
        </w:rPr>
      </w:pPr>
    </w:p>
    <w:p w:rsidRPr="00F529DA" w:rsidR="00877731" w:rsidP="00877731" w:rsidRDefault="00877731" w14:paraId="2F4D0CAC" w14:textId="77777777">
      <w:pPr>
        <w:keepNext/>
        <w:keepLines/>
        <w:numPr>
          <w:ilvl w:val="1"/>
          <w:numId w:val="0"/>
        </w:numPr>
        <w:spacing w:before="160" w:after="80" w:line="276" w:lineRule="auto"/>
        <w:ind w:left="792" w:hanging="84"/>
        <w:outlineLvl w:val="2"/>
        <w:rPr>
          <w:b/>
          <w:kern w:val="2"/>
          <w:szCs w:val="28"/>
          <w14:ligatures w14:val="standardContextual"/>
        </w:rPr>
      </w:pPr>
      <w:bookmarkStart w:name="_Toc210384034" w:id="13"/>
      <w:bookmarkEnd w:id="12"/>
      <w:r w:rsidRPr="00F529DA">
        <w:rPr>
          <w:b/>
          <w:kern w:val="2"/>
          <w:szCs w:val="28"/>
          <w14:ligatures w14:val="standardContextual"/>
        </w:rPr>
        <w:t>3.3 Verhouding tot nationale wetgeving</w:t>
      </w:r>
      <w:bookmarkEnd w:id="13"/>
    </w:p>
    <w:p w:rsidR="00877731" w:rsidP="00877731" w:rsidRDefault="00877731" w14:paraId="39EBE9BE" w14:textId="46C8489F">
      <w:pPr>
        <w:spacing w:line="276" w:lineRule="auto"/>
        <w:rPr>
          <w:rFonts w:eastAsia="Calibri"/>
          <w:kern w:val="2"/>
          <w:szCs w:val="22"/>
          <w14:ligatures w14:val="standardContextual"/>
        </w:rPr>
      </w:pPr>
      <w:r w:rsidRPr="00F529DA">
        <w:rPr>
          <w:rFonts w:eastAsia="Calibri"/>
          <w:kern w:val="2"/>
          <w:szCs w:val="22"/>
          <w14:ligatures w14:val="standardContextual"/>
        </w:rPr>
        <w:t xml:space="preserve">Artikel 4.10, tweede lid, van de Comptabiliteitswet 2016 vereist dat een subsidieregeling niet later vervalt dan vijf jaar na inwerkingtreding van de regeling. Aangezien met deze wetswijziging een verlenging van de subsidieperiode naar acht jaar wordt beoogd zullen subsidieregelingen die voortaan op grond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worden vastgesteld </w:t>
      </w:r>
      <w:r w:rsidRPr="00F529DA" w:rsidR="00DA458A">
        <w:rPr>
          <w:rFonts w:eastAsia="Calibri"/>
          <w:kern w:val="2"/>
          <w:szCs w:val="22"/>
          <w14:ligatures w14:val="standardContextual"/>
        </w:rPr>
        <w:t>hier niet aan voldoen</w:t>
      </w:r>
      <w:r w:rsidRPr="00F529DA">
        <w:rPr>
          <w:rFonts w:eastAsia="Calibri"/>
          <w:kern w:val="2"/>
          <w:szCs w:val="22"/>
          <w14:ligatures w14:val="standardContextual"/>
        </w:rPr>
        <w:t xml:space="preserve">. Artikel 4.10, derde lid, van de Comptabiliteitswet 2016 biedt </w:t>
      </w:r>
      <w:r w:rsidRPr="00F529DA" w:rsidR="00DA458A">
        <w:rPr>
          <w:rFonts w:eastAsia="Calibri"/>
          <w:kern w:val="2"/>
          <w:szCs w:val="22"/>
          <w14:ligatures w14:val="standardContextual"/>
        </w:rPr>
        <w:t xml:space="preserve">echter </w:t>
      </w:r>
      <w:r w:rsidRPr="00F529DA">
        <w:rPr>
          <w:rFonts w:eastAsia="Calibri"/>
          <w:kern w:val="2"/>
          <w:szCs w:val="22"/>
          <w14:ligatures w14:val="standardContextual"/>
        </w:rPr>
        <w:t>een uitzondering op deze bepaling</w:t>
      </w:r>
      <w:r w:rsidR="00A8029C">
        <w:rPr>
          <w:rFonts w:eastAsia="Calibri"/>
          <w:kern w:val="2"/>
          <w:szCs w:val="22"/>
          <w14:ligatures w14:val="standardContextual"/>
        </w:rPr>
        <w:t xml:space="preserve"> indien de vijfjaartermijn afbreuk doet aan de effectiviteit van de gesubsidieerde activiteiten en er dus een langere termijn noodzakelijk is. </w:t>
      </w:r>
      <w:r w:rsidR="002D21C3">
        <w:rPr>
          <w:rFonts w:eastAsia="Calibri"/>
          <w:kern w:val="2"/>
          <w:szCs w:val="22"/>
          <w14:ligatures w14:val="standardContextual"/>
        </w:rPr>
        <w:t xml:space="preserve">Dat is hierbij </w:t>
      </w:r>
      <w:r w:rsidR="00230837">
        <w:rPr>
          <w:rFonts w:eastAsia="Calibri"/>
          <w:kern w:val="2"/>
          <w:szCs w:val="22"/>
          <w14:ligatures w14:val="standardContextual"/>
        </w:rPr>
        <w:t xml:space="preserve">het </w:t>
      </w:r>
      <w:r w:rsidR="002D21C3">
        <w:rPr>
          <w:rFonts w:eastAsia="Calibri"/>
          <w:kern w:val="2"/>
          <w:szCs w:val="22"/>
          <w14:ligatures w14:val="standardContextual"/>
        </w:rPr>
        <w:t xml:space="preserve">geval, </w:t>
      </w:r>
      <w:r w:rsidR="000F1E8A">
        <w:rPr>
          <w:rFonts w:eastAsia="Calibri"/>
          <w:kern w:val="2"/>
          <w:szCs w:val="22"/>
          <w14:ligatures w14:val="standardContextual"/>
        </w:rPr>
        <w:t>omdat</w:t>
      </w:r>
      <w:r w:rsidR="002D21C3">
        <w:rPr>
          <w:rFonts w:eastAsia="Calibri"/>
          <w:kern w:val="2"/>
          <w:szCs w:val="22"/>
          <w14:ligatures w14:val="standardContextual"/>
        </w:rPr>
        <w:t xml:space="preserve"> d</w:t>
      </w:r>
      <w:r w:rsidR="00820B42">
        <w:rPr>
          <w:rFonts w:eastAsia="Calibri"/>
          <w:kern w:val="2"/>
          <w:szCs w:val="22"/>
          <w14:ligatures w14:val="standardContextual"/>
        </w:rPr>
        <w:t xml:space="preserve">e langere financieringstermijn </w:t>
      </w:r>
      <w:r w:rsidRPr="00F529DA" w:rsidR="00A8029C">
        <w:rPr>
          <w:rFonts w:eastAsia="Calibri"/>
          <w:kern w:val="2"/>
          <w:szCs w:val="22"/>
          <w14:ligatures w14:val="standardContextual"/>
        </w:rPr>
        <w:t>organisaties in h</w:t>
      </w:r>
      <w:r w:rsidR="00820B42">
        <w:rPr>
          <w:rFonts w:eastAsia="Calibri"/>
          <w:kern w:val="2"/>
          <w:szCs w:val="22"/>
          <w14:ligatures w14:val="standardContextual"/>
        </w:rPr>
        <w:t>et benodigde</w:t>
      </w:r>
      <w:r w:rsidRPr="00F529DA" w:rsidR="00A8029C">
        <w:rPr>
          <w:rFonts w:eastAsia="Calibri"/>
          <w:kern w:val="2"/>
          <w:szCs w:val="22"/>
          <w14:ligatures w14:val="standardContextual"/>
        </w:rPr>
        <w:t xml:space="preserve"> vermogen </w:t>
      </w:r>
      <w:r w:rsidR="00820B42">
        <w:rPr>
          <w:rFonts w:eastAsia="Calibri"/>
          <w:kern w:val="2"/>
          <w:szCs w:val="22"/>
          <w14:ligatures w14:val="standardContextual"/>
        </w:rPr>
        <w:t xml:space="preserve">voorziet </w:t>
      </w:r>
      <w:r w:rsidRPr="00F529DA" w:rsidR="00A8029C">
        <w:rPr>
          <w:rFonts w:eastAsia="Calibri"/>
          <w:kern w:val="2"/>
          <w:szCs w:val="22"/>
          <w14:ligatures w14:val="standardContextual"/>
        </w:rPr>
        <w:t>om structureel te investeren in grote producties, faciliteiten en organisatievraagstukken en om hiervoor ook andere financieringsbronnen aan te spreken</w:t>
      </w:r>
      <w:r w:rsidR="000F1E8A">
        <w:rPr>
          <w:rFonts w:eastAsia="Calibri"/>
          <w:kern w:val="2"/>
          <w:szCs w:val="22"/>
          <w14:ligatures w14:val="standardContextual"/>
        </w:rPr>
        <w:t xml:space="preserve">. </w:t>
      </w:r>
      <w:r w:rsidRPr="00F529DA">
        <w:rPr>
          <w:rFonts w:eastAsia="Calibri"/>
          <w:kern w:val="2"/>
          <w:szCs w:val="22"/>
          <w14:ligatures w14:val="standardContextual"/>
        </w:rPr>
        <w:t xml:space="preserve">De </w:t>
      </w:r>
      <w:r w:rsidRPr="00F529DA" w:rsidR="00DA458A">
        <w:rPr>
          <w:rFonts w:eastAsia="Calibri"/>
          <w:kern w:val="2"/>
          <w:szCs w:val="22"/>
          <w14:ligatures w14:val="standardContextual"/>
        </w:rPr>
        <w:t xml:space="preserve">minister zal </w:t>
      </w:r>
      <w:r w:rsidRPr="00F529DA">
        <w:rPr>
          <w:rFonts w:eastAsia="Calibri"/>
          <w:kern w:val="2"/>
          <w:szCs w:val="22"/>
          <w14:ligatures w14:val="standardContextual"/>
        </w:rPr>
        <w:t xml:space="preserve">bij de vaststelling van nadere regels op grond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w:t>
      </w:r>
      <w:r w:rsidR="000E1655">
        <w:rPr>
          <w:rFonts w:eastAsia="Calibri"/>
          <w:kern w:val="2"/>
          <w:szCs w:val="22"/>
          <w14:ligatures w14:val="standardContextual"/>
        </w:rPr>
        <w:t xml:space="preserve">dan ook </w:t>
      </w:r>
      <w:r w:rsidRPr="00F529DA">
        <w:rPr>
          <w:rFonts w:eastAsia="Calibri"/>
          <w:kern w:val="2"/>
          <w:szCs w:val="22"/>
          <w14:ligatures w14:val="standardContextual"/>
        </w:rPr>
        <w:t xml:space="preserve">van deze uitzondering gebruikmaken en </w:t>
      </w:r>
      <w:r w:rsidRPr="00F529DA" w:rsidR="002E25CD">
        <w:rPr>
          <w:rFonts w:eastAsia="Calibri"/>
          <w:kern w:val="2"/>
          <w:szCs w:val="22"/>
          <w14:ligatures w14:val="standardContextual"/>
        </w:rPr>
        <w:t xml:space="preserve">dit </w:t>
      </w:r>
      <w:r w:rsidRPr="00F529DA">
        <w:rPr>
          <w:rFonts w:eastAsia="Calibri"/>
          <w:kern w:val="2"/>
          <w:szCs w:val="22"/>
          <w14:ligatures w14:val="standardContextual"/>
        </w:rPr>
        <w:t xml:space="preserve">op het niveau van de relevante ministeriële regeling nader uitwerken. Dit heeft in ieder geval gevolgen voor de </w:t>
      </w:r>
      <w:proofErr w:type="spellStart"/>
      <w:r w:rsidRPr="00F529DA">
        <w:rPr>
          <w:rFonts w:eastAsia="Calibri"/>
          <w:kern w:val="2"/>
          <w:szCs w:val="22"/>
          <w14:ligatures w14:val="standardContextual"/>
        </w:rPr>
        <w:t>Rsc</w:t>
      </w:r>
      <w:proofErr w:type="spellEnd"/>
      <w:r w:rsidRPr="00F529DA">
        <w:rPr>
          <w:rFonts w:eastAsia="Calibri"/>
          <w:kern w:val="2"/>
          <w:szCs w:val="22"/>
          <w14:ligatures w14:val="standardContextual"/>
        </w:rPr>
        <w:t>, die zoals gezegd in aanloop naar 2029 zal worden gewijzigd</w:t>
      </w:r>
      <w:r w:rsidRPr="00F529DA" w:rsidR="00DA458A">
        <w:rPr>
          <w:rFonts w:eastAsia="Calibri"/>
          <w:kern w:val="2"/>
          <w:szCs w:val="22"/>
          <w14:ligatures w14:val="standardContextual"/>
        </w:rPr>
        <w:t>.</w:t>
      </w:r>
    </w:p>
    <w:p w:rsidRPr="00ED0C38" w:rsidR="000F1E8A" w:rsidP="00877731" w:rsidRDefault="000F1E8A" w14:paraId="4FA851CB" w14:textId="77777777">
      <w:pPr>
        <w:spacing w:line="276" w:lineRule="auto"/>
        <w:rPr>
          <w:strike/>
          <w:kern w:val="2"/>
          <w14:ligatures w14:val="standardContextual"/>
        </w:rPr>
      </w:pPr>
    </w:p>
    <w:p w:rsidRPr="00F529DA" w:rsidR="00877731" w:rsidP="00E920FC" w:rsidRDefault="00877731" w14:paraId="161D5C29"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84035" w:id="14"/>
      <w:r w:rsidRPr="00F529DA">
        <w:rPr>
          <w:b/>
          <w:kern w:val="2"/>
          <w:szCs w:val="32"/>
          <w14:ligatures w14:val="standardContextual"/>
        </w:rPr>
        <w:t>Doeltreffendheid en doelmatigheid</w:t>
      </w:r>
      <w:bookmarkEnd w:id="14"/>
    </w:p>
    <w:p w:rsidR="00877731" w:rsidP="00877731" w:rsidRDefault="00877731" w14:paraId="7F654EEE" w14:textId="5B34B607">
      <w:pPr>
        <w:spacing w:line="276" w:lineRule="auto"/>
        <w:rPr>
          <w:rFonts w:eastAsia="Calibri"/>
          <w:kern w:val="2"/>
          <w:szCs w:val="22"/>
          <w14:ligatures w14:val="standardContextual"/>
        </w:rPr>
      </w:pPr>
      <w:r w:rsidRPr="00F529DA">
        <w:rPr>
          <w:rFonts w:eastAsia="Calibri"/>
          <w:kern w:val="2"/>
          <w:szCs w:val="22"/>
          <w14:ligatures w14:val="standardContextual"/>
        </w:rPr>
        <w:t xml:space="preserve">Een langere periode vermindert de administratieve lasten voor instellingen en overheid, waardoor meer middelen en </w:t>
      </w:r>
      <w:r w:rsidRPr="00F529DA" w:rsidR="002E25CD">
        <w:rPr>
          <w:rFonts w:eastAsia="Calibri"/>
          <w:kern w:val="2"/>
          <w:szCs w:val="22"/>
          <w14:ligatures w14:val="standardContextual"/>
        </w:rPr>
        <w:t xml:space="preserve">tijd </w:t>
      </w:r>
      <w:r w:rsidRPr="00F529DA">
        <w:rPr>
          <w:rFonts w:eastAsia="Calibri"/>
          <w:kern w:val="2"/>
          <w:szCs w:val="22"/>
          <w14:ligatures w14:val="standardContextual"/>
        </w:rPr>
        <w:t xml:space="preserve">besteed kunnen worden aan de inhoudelijke en artistieke activiteiten. Ook biedt het instellingen financiële stabiliteit, waardoor zij strategischer kunnen plannen en investeren in personeel, gebouwen en programma’s. Dit bevordert de continuïteit van artistieke ontwikkeling, die vaak meer tijd vergt dan </w:t>
      </w:r>
      <w:r w:rsidRPr="00F529DA" w:rsidR="002E25CD">
        <w:rPr>
          <w:rFonts w:eastAsia="Calibri"/>
          <w:kern w:val="2"/>
          <w:szCs w:val="22"/>
          <w14:ligatures w14:val="standardContextual"/>
        </w:rPr>
        <w:t xml:space="preserve">de huidige </w:t>
      </w:r>
      <w:r w:rsidRPr="00F529DA">
        <w:rPr>
          <w:rFonts w:eastAsia="Calibri"/>
          <w:kern w:val="2"/>
          <w:szCs w:val="22"/>
          <w14:ligatures w14:val="standardContextual"/>
        </w:rPr>
        <w:t>subsidieperiode toela</w:t>
      </w:r>
      <w:r w:rsidRPr="00F529DA" w:rsidR="002E25CD">
        <w:rPr>
          <w:rFonts w:eastAsia="Calibri"/>
          <w:kern w:val="2"/>
          <w:szCs w:val="22"/>
          <w14:ligatures w14:val="standardContextual"/>
        </w:rPr>
        <w:t>at</w:t>
      </w:r>
      <w:r w:rsidRPr="00F529DA">
        <w:rPr>
          <w:rFonts w:eastAsia="Calibri"/>
          <w:kern w:val="2"/>
          <w:szCs w:val="22"/>
          <w14:ligatures w14:val="standardContextual"/>
        </w:rPr>
        <w:t xml:space="preserve">. Daarnaast krijgen instellingen de kans om publiek duurzaam op te bouwen, samenwerkingen in de regio te versterken en hun maatschappelijke en educatieve rol beter te verankeren. Ook internationaal biedt het culturele organisaties </w:t>
      </w:r>
      <w:r w:rsidRPr="00F529DA" w:rsidR="002E25CD">
        <w:rPr>
          <w:rFonts w:eastAsia="Calibri"/>
          <w:kern w:val="2"/>
          <w:szCs w:val="22"/>
          <w14:ligatures w14:val="standardContextual"/>
        </w:rPr>
        <w:t>meer</w:t>
      </w:r>
      <w:r w:rsidRPr="00F529DA">
        <w:rPr>
          <w:rFonts w:eastAsia="Calibri"/>
          <w:kern w:val="2"/>
          <w:szCs w:val="22"/>
          <w14:ligatures w14:val="standardContextual"/>
        </w:rPr>
        <w:t xml:space="preserve"> ruimte om mee te doen aan meerjarige producties en partnerschappen. </w:t>
      </w:r>
    </w:p>
    <w:p w:rsidRPr="00F529DA" w:rsidR="00422A3F" w:rsidP="00877731" w:rsidRDefault="00422A3F" w14:paraId="5BB932FE" w14:textId="77777777">
      <w:pPr>
        <w:spacing w:line="276" w:lineRule="auto"/>
        <w:rPr>
          <w:rFonts w:eastAsia="Calibri"/>
          <w:kern w:val="2"/>
          <w:szCs w:val="22"/>
          <w14:ligatures w14:val="standardContextual"/>
        </w:rPr>
      </w:pPr>
    </w:p>
    <w:p w:rsidRPr="00F529DA" w:rsidR="00877731" w:rsidP="00877731" w:rsidRDefault="00877731" w14:paraId="3A7AB11F"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15955" w:id="15"/>
      <w:bookmarkStart w:name="_Toc210315956" w:id="16"/>
      <w:bookmarkStart w:name="_Toc210315957" w:id="17"/>
      <w:bookmarkStart w:name="_Toc210315958" w:id="18"/>
      <w:bookmarkStart w:name="_Toc210315959" w:id="19"/>
      <w:bookmarkStart w:name="_Toc210315960" w:id="20"/>
      <w:bookmarkStart w:name="_Toc210315961" w:id="21"/>
      <w:bookmarkStart w:name="_Toc210315962" w:id="22"/>
      <w:bookmarkStart w:name="_Toc210315963" w:id="23"/>
      <w:bookmarkStart w:name="_Toc210384036" w:id="24"/>
      <w:bookmarkEnd w:id="15"/>
      <w:bookmarkEnd w:id="16"/>
      <w:bookmarkEnd w:id="17"/>
      <w:bookmarkEnd w:id="18"/>
      <w:bookmarkEnd w:id="19"/>
      <w:bookmarkEnd w:id="20"/>
      <w:bookmarkEnd w:id="21"/>
      <w:bookmarkEnd w:id="22"/>
      <w:bookmarkEnd w:id="23"/>
      <w:r w:rsidRPr="00F529DA">
        <w:rPr>
          <w:b/>
          <w:kern w:val="2"/>
          <w:szCs w:val="32"/>
          <w14:ligatures w14:val="standardContextual"/>
        </w:rPr>
        <w:t>Monitoring en evaluatie</w:t>
      </w:r>
      <w:bookmarkEnd w:id="24"/>
    </w:p>
    <w:p w:rsidR="00877731" w:rsidP="00877731" w:rsidRDefault="00877731" w14:paraId="0FE9D5FF" w14:textId="2B2A56F3">
      <w:pPr>
        <w:spacing w:line="276" w:lineRule="auto"/>
        <w:rPr>
          <w:rFonts w:eastAsia="Calibri"/>
          <w:kern w:val="2"/>
          <w:szCs w:val="22"/>
          <w14:ligatures w14:val="standardContextual"/>
        </w:rPr>
      </w:pPr>
      <w:r w:rsidRPr="00F529DA">
        <w:rPr>
          <w:rFonts w:eastAsia="Calibri"/>
          <w:kern w:val="2"/>
          <w:szCs w:val="22"/>
          <w14:ligatures w14:val="standardContextual"/>
        </w:rPr>
        <w:t>De voorgenomen monitoring en evaluatie bestaat uit drie onderdelen. Ten eerste zullen na de eerste beleidsperiode de uitkomsten van het beleid</w:t>
      </w:r>
      <w:r w:rsidRPr="00F529DA" w:rsidDel="00A57C5F">
        <w:rPr>
          <w:rFonts w:eastAsia="Calibri"/>
          <w:kern w:val="2"/>
          <w:szCs w:val="22"/>
          <w14:ligatures w14:val="standardContextual"/>
        </w:rPr>
        <w:t xml:space="preserve"> </w:t>
      </w:r>
      <w:r w:rsidRPr="00F529DA">
        <w:rPr>
          <w:rFonts w:eastAsia="Calibri"/>
          <w:kern w:val="2"/>
          <w:szCs w:val="22"/>
          <w14:ligatures w14:val="standardContextual"/>
        </w:rPr>
        <w:t xml:space="preserve">geëvalueerd worden, waarbij </w:t>
      </w:r>
      <w:r w:rsidRPr="00F529DA">
        <w:rPr>
          <w:rFonts w:eastAsia="Calibri"/>
          <w:kern w:val="2"/>
          <w:szCs w:val="22"/>
          <w14:ligatures w14:val="standardContextual"/>
        </w:rPr>
        <w:lastRenderedPageBreak/>
        <w:t xml:space="preserve">wordt onderzocht of de aanpassing van de beleidsperiode het gewenste effect heeft gehad. Bij deze evaluatie wordt een onafhankelijk deskundige betrokken. Daarnaast zal tussentijdse verslaglegging plaatsvinden over de doelmatigheid en doeltreffendheid van de subsidieregeling vanaf 2029. Dit betreft een verplichting die voortkomt uit de Comptabiliteitswet; </w:t>
      </w:r>
      <w:r w:rsidRPr="00F529DA" w:rsidR="005E6F1E">
        <w:rPr>
          <w:rFonts w:eastAsia="Calibri"/>
          <w:kern w:val="2"/>
          <w:szCs w:val="22"/>
          <w14:ligatures w14:val="standardContextual"/>
        </w:rPr>
        <w:t xml:space="preserve">de kaders voor deze verslaglegging worden tegelijk met de aanstaande wijzigingen van de </w:t>
      </w:r>
      <w:proofErr w:type="spellStart"/>
      <w:r w:rsidRPr="00F529DA" w:rsidR="005E6F1E">
        <w:rPr>
          <w:rFonts w:eastAsia="Calibri"/>
          <w:kern w:val="2"/>
          <w:szCs w:val="22"/>
          <w14:ligatures w14:val="standardContextual"/>
        </w:rPr>
        <w:t>Rsc</w:t>
      </w:r>
      <w:proofErr w:type="spellEnd"/>
      <w:r w:rsidRPr="00F529DA" w:rsidR="005E6F1E">
        <w:rPr>
          <w:rFonts w:eastAsia="Calibri"/>
          <w:kern w:val="2"/>
          <w:szCs w:val="22"/>
          <w14:ligatures w14:val="standardContextual"/>
        </w:rPr>
        <w:t xml:space="preserve"> vormgegeven</w:t>
      </w:r>
      <w:r w:rsidRPr="00F529DA">
        <w:rPr>
          <w:rFonts w:eastAsia="Calibri"/>
          <w:kern w:val="2"/>
          <w:szCs w:val="22"/>
          <w14:ligatures w14:val="standardContextual"/>
        </w:rPr>
        <w:t xml:space="preserve">. </w:t>
      </w:r>
      <w:r w:rsidRPr="00F529DA" w:rsidR="005E6F1E">
        <w:rPr>
          <w:rFonts w:eastAsia="Calibri"/>
          <w:kern w:val="2"/>
          <w:szCs w:val="22"/>
          <w14:ligatures w14:val="standardContextual"/>
        </w:rPr>
        <w:t>De</w:t>
      </w:r>
      <w:r w:rsidRPr="00F529DA" w:rsidR="002E25CD">
        <w:rPr>
          <w:rFonts w:eastAsia="Calibri"/>
          <w:kern w:val="2"/>
          <w:szCs w:val="22"/>
          <w14:ligatures w14:val="standardContextual"/>
        </w:rPr>
        <w:t xml:space="preserve"> tussentijdse verslaglegging</w:t>
      </w:r>
      <w:r w:rsidRPr="00F529DA">
        <w:rPr>
          <w:rFonts w:eastAsia="Calibri"/>
          <w:kern w:val="2"/>
          <w:szCs w:val="22"/>
          <w14:ligatures w14:val="standardContextual"/>
        </w:rPr>
        <w:t xml:space="preserve"> wordt gedeeld met de Tweede en Eerste Kamer en kan worden gebruikt om bij te sturen op de </w:t>
      </w:r>
      <w:r w:rsidRPr="00F529DA" w:rsidR="00261933">
        <w:rPr>
          <w:rFonts w:eastAsia="Calibri"/>
          <w:kern w:val="2"/>
          <w:szCs w:val="22"/>
          <w14:ligatures w14:val="standardContextual"/>
        </w:rPr>
        <w:t>doelen</w:t>
      </w:r>
      <w:r w:rsidRPr="00F529DA">
        <w:rPr>
          <w:rFonts w:eastAsia="Calibri"/>
          <w:kern w:val="2"/>
          <w:szCs w:val="22"/>
          <w14:ligatures w14:val="standardContextual"/>
        </w:rPr>
        <w:t xml:space="preserve">. </w:t>
      </w:r>
      <w:r w:rsidRPr="00F529DA" w:rsidR="005A2FE0">
        <w:rPr>
          <w:rFonts w:eastAsia="Calibri"/>
          <w:kern w:val="2"/>
          <w:szCs w:val="22"/>
          <w14:ligatures w14:val="standardContextual"/>
        </w:rPr>
        <w:t>O</w:t>
      </w:r>
      <w:r w:rsidRPr="00F529DA">
        <w:rPr>
          <w:rFonts w:eastAsia="Calibri"/>
          <w:kern w:val="2"/>
          <w:szCs w:val="22"/>
          <w14:ligatures w14:val="standardContextual"/>
        </w:rPr>
        <w:t xml:space="preserve">rganisaties die subsidie ontvangen </w:t>
      </w:r>
      <w:r w:rsidRPr="00F529DA" w:rsidR="005A2FE0">
        <w:rPr>
          <w:rFonts w:eastAsia="Calibri"/>
          <w:kern w:val="2"/>
          <w:szCs w:val="22"/>
          <w14:ligatures w14:val="standardContextual"/>
        </w:rPr>
        <w:t xml:space="preserve">zullen net als nu </w:t>
      </w:r>
      <w:r w:rsidRPr="00F529DA">
        <w:rPr>
          <w:rFonts w:eastAsia="Calibri"/>
          <w:kern w:val="2"/>
          <w:szCs w:val="22"/>
          <w14:ligatures w14:val="standardContextual"/>
        </w:rPr>
        <w:t>worden gemonitord door de subsidieverstrekker op basis van de subsidievoorwaarden. De aanpassing van de beleidscyclus verandert niets aan de gangbare monitoring van de</w:t>
      </w:r>
      <w:r w:rsidRPr="00F529DA" w:rsidR="00261933">
        <w:rPr>
          <w:rFonts w:eastAsia="Calibri"/>
          <w:kern w:val="2"/>
          <w:szCs w:val="22"/>
          <w14:ligatures w14:val="standardContextual"/>
        </w:rPr>
        <w:t xml:space="preserve"> </w:t>
      </w:r>
      <w:r w:rsidRPr="00F529DA">
        <w:rPr>
          <w:rFonts w:eastAsia="Calibri"/>
          <w:kern w:val="2"/>
          <w:szCs w:val="22"/>
          <w14:ligatures w14:val="standardContextual"/>
        </w:rPr>
        <w:t xml:space="preserve">subsidievoorwaarden, waarbij de tussentijdse verantwoording en monitoring van toepassing blijven. </w:t>
      </w:r>
      <w:bookmarkStart w:name="_Hlk219385529" w:id="25"/>
      <w:r w:rsidRPr="00F529DA">
        <w:rPr>
          <w:rFonts w:eastAsia="Calibri"/>
          <w:kern w:val="2"/>
          <w:szCs w:val="22"/>
          <w14:ligatures w14:val="standardContextual"/>
        </w:rPr>
        <w:t>Uitgangspunt daarbij is dat dit niet mag leiden tot meer administratieve lasten, maar mogelijkheden voor tussentijdse bijsturing behouden moeten blijven.</w:t>
      </w:r>
      <w:bookmarkEnd w:id="25"/>
    </w:p>
    <w:p w:rsidRPr="00F529DA" w:rsidR="00422A3F" w:rsidP="00877731" w:rsidRDefault="00422A3F" w14:paraId="3BA58F12" w14:textId="77777777">
      <w:pPr>
        <w:spacing w:line="276" w:lineRule="auto"/>
        <w:rPr>
          <w:rFonts w:eastAsia="Calibri"/>
          <w:kern w:val="2"/>
          <w:szCs w:val="22"/>
          <w14:ligatures w14:val="standardContextual"/>
        </w:rPr>
      </w:pPr>
    </w:p>
    <w:p w:rsidRPr="00F529DA" w:rsidR="00877731" w:rsidP="00877731" w:rsidRDefault="00877731" w14:paraId="18C3420D"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15965" w:id="26"/>
      <w:bookmarkEnd w:id="26"/>
      <w:r w:rsidRPr="00F529DA">
        <w:rPr>
          <w:b/>
          <w:kern w:val="2"/>
          <w:szCs w:val="32"/>
          <w14:ligatures w14:val="standardContextual"/>
        </w:rPr>
        <w:t>Financiële gevolgen</w:t>
      </w:r>
    </w:p>
    <w:p w:rsidR="00877731" w:rsidP="00877731" w:rsidRDefault="00877731" w14:paraId="15C998DC" w14:textId="0C96D9BA">
      <w:pPr>
        <w:spacing w:line="276" w:lineRule="auto"/>
        <w:rPr>
          <w:rFonts w:eastAsia="Calibri"/>
          <w:kern w:val="2"/>
          <w:szCs w:val="22"/>
          <w14:ligatures w14:val="standardContextual"/>
        </w:rPr>
      </w:pPr>
      <w:bookmarkStart w:name="_Hlk210894746" w:id="27"/>
      <w:r w:rsidRPr="00F529DA">
        <w:rPr>
          <w:rFonts w:eastAsia="Calibri"/>
          <w:kern w:val="2"/>
          <w:szCs w:val="22"/>
          <w14:ligatures w14:val="standardContextual"/>
        </w:rPr>
        <w:t xml:space="preserve">Er zijn geen additionele middelen nodig die verband houden met deze wetswijziging. Het is belangrijk onderscheid te maken tussen budgetstromen. Enerzijds middelen die voortkomen uit het opstellen van de hoofdlijnen van het cultuurbeleid. Daar de termijn van maximaal vier naar maximaal acht gaat, is te verwachten dat de uitvoeringslasten hiervoor hoogstens gelijk blijven of dalen. Anderzijds de middelen die verband houden met de op grond van artikel 4a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vast te stellen regelingen. Deze worden gebudgetteerd bij het vaststellen van de betreffende regelingen</w:t>
      </w:r>
      <w:r w:rsidR="002C0F62">
        <w:rPr>
          <w:rFonts w:eastAsia="Calibri"/>
          <w:kern w:val="2"/>
          <w:szCs w:val="22"/>
          <w14:ligatures w14:val="standardContextual"/>
        </w:rPr>
        <w:t>. Het jaarlijkse budget dat beschikbaar is voor de regelingen blijft</w:t>
      </w:r>
      <w:r w:rsidRPr="00F529DA">
        <w:rPr>
          <w:rFonts w:eastAsia="Calibri"/>
          <w:kern w:val="2"/>
          <w:szCs w:val="22"/>
          <w14:ligatures w14:val="standardContextual"/>
        </w:rPr>
        <w:t xml:space="preserve">, </w:t>
      </w:r>
      <w:r w:rsidRPr="00F529DA" w:rsidR="002C0F62">
        <w:rPr>
          <w:rFonts w:eastAsia="Calibri"/>
          <w:kern w:val="2"/>
          <w:szCs w:val="22"/>
          <w14:ligatures w14:val="standardContextual"/>
        </w:rPr>
        <w:t>onder voorbehoud van</w:t>
      </w:r>
      <w:r w:rsidRPr="00F529DA">
        <w:rPr>
          <w:rFonts w:eastAsia="Calibri"/>
          <w:kern w:val="2"/>
          <w:szCs w:val="22"/>
          <w14:ligatures w14:val="standardContextual"/>
        </w:rPr>
        <w:t xml:space="preserve"> politieke besluitvorming, in principe gelijk.</w:t>
      </w:r>
      <w:bookmarkEnd w:id="27"/>
    </w:p>
    <w:p w:rsidRPr="00F529DA" w:rsidR="00422A3F" w:rsidP="00877731" w:rsidRDefault="00422A3F" w14:paraId="78364CE0" w14:textId="77777777">
      <w:pPr>
        <w:spacing w:line="276" w:lineRule="auto"/>
        <w:rPr>
          <w:rFonts w:eastAsia="Calibri"/>
          <w:kern w:val="2"/>
          <w:szCs w:val="22"/>
          <w14:ligatures w14:val="standardContextual"/>
        </w:rPr>
      </w:pPr>
    </w:p>
    <w:p w:rsidRPr="00F529DA" w:rsidR="00877731" w:rsidP="00877731" w:rsidRDefault="00877731" w14:paraId="71F9E2DF"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15967" w:id="28"/>
      <w:bookmarkStart w:name="_Toc210384038" w:id="29"/>
      <w:bookmarkStart w:name="_Hlk207699124" w:id="30"/>
      <w:bookmarkEnd w:id="28"/>
      <w:r w:rsidRPr="00F529DA">
        <w:rPr>
          <w:b/>
          <w:kern w:val="2"/>
          <w:szCs w:val="32"/>
          <w14:ligatures w14:val="standardContextual"/>
        </w:rPr>
        <w:t>Gevolgen voor bedrijfsleven</w:t>
      </w:r>
      <w:bookmarkEnd w:id="29"/>
    </w:p>
    <w:p w:rsidRPr="00F529DA" w:rsidR="00877731" w:rsidP="00877731" w:rsidRDefault="00877731" w14:paraId="1A8172A2" w14:textId="259F6982">
      <w:pPr>
        <w:spacing w:line="276" w:lineRule="auto"/>
        <w:rPr>
          <w:rFonts w:eastAsia="Calibri"/>
          <w:kern w:val="2"/>
          <w:szCs w:val="22"/>
          <w14:ligatures w14:val="standardContextual"/>
        </w:rPr>
      </w:pPr>
      <w:r w:rsidRPr="00F529DA">
        <w:rPr>
          <w:rFonts w:eastAsia="Calibri"/>
          <w:kern w:val="2"/>
          <w:szCs w:val="22"/>
          <w14:ligatures w14:val="standardContextual"/>
        </w:rPr>
        <w:t xml:space="preserve">Met dit voorstel tot wijziging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wordt beoogd meer ruimte te creëren voor de artistieke ontwikkeling en maatschappelijke impact van culturele organisaties, terwijl de administratieve lasten voor hen worden verlaagd. </w:t>
      </w:r>
      <w:r w:rsidRPr="00F529DA" w:rsidR="005A2FE0">
        <w:rPr>
          <w:rFonts w:eastAsia="Calibri"/>
          <w:kern w:val="2"/>
          <w:szCs w:val="22"/>
          <w14:ligatures w14:val="standardContextual"/>
        </w:rPr>
        <w:t xml:space="preserve">Dit </w:t>
      </w:r>
      <w:r w:rsidRPr="00F529DA">
        <w:rPr>
          <w:rFonts w:eastAsia="Calibri"/>
          <w:kern w:val="2"/>
          <w:szCs w:val="22"/>
          <w14:ligatures w14:val="standardContextual"/>
        </w:rPr>
        <w:t xml:space="preserve">zorgt voor </w:t>
      </w:r>
      <w:r w:rsidRPr="00F529DA" w:rsidR="005A2FE0">
        <w:rPr>
          <w:rFonts w:eastAsia="Calibri"/>
          <w:kern w:val="2"/>
          <w:szCs w:val="22"/>
          <w14:ligatures w14:val="standardContextual"/>
        </w:rPr>
        <w:t xml:space="preserve">een </w:t>
      </w:r>
      <w:r w:rsidRPr="00F529DA">
        <w:rPr>
          <w:rFonts w:eastAsia="Calibri"/>
          <w:kern w:val="2"/>
          <w:szCs w:val="22"/>
          <w14:ligatures w14:val="standardContextual"/>
        </w:rPr>
        <w:t xml:space="preserve">betere financiële duurzaamheid van culturele organisaties en daarmee een sterkere culturele sector. De aanpassing van de wetgeving zal via de onderliggende ministeriële regeling effect hebben op verschillende stakeholders in het culturele veld. </w:t>
      </w:r>
      <w:r w:rsidRPr="00F529DA" w:rsidR="00F73855">
        <w:rPr>
          <w:rFonts w:eastAsia="Calibri"/>
          <w:kern w:val="2"/>
          <w:szCs w:val="22"/>
          <w14:ligatures w14:val="standardContextual"/>
        </w:rPr>
        <w:t xml:space="preserve">Dit hoofdstuk gaat </w:t>
      </w:r>
      <w:r w:rsidRPr="00F529DA">
        <w:rPr>
          <w:rFonts w:eastAsia="Calibri"/>
          <w:kern w:val="2"/>
          <w:szCs w:val="22"/>
          <w14:ligatures w14:val="standardContextual"/>
        </w:rPr>
        <w:t xml:space="preserve">in op de effecten die het bedrijfsleven kan ondervinden door de aanpassing van de wetgeving. Er is voor gekozen om geen </w:t>
      </w:r>
      <w:proofErr w:type="spellStart"/>
      <w:r w:rsidRPr="00F529DA">
        <w:rPr>
          <w:rFonts w:eastAsia="Calibri"/>
          <w:kern w:val="2"/>
          <w:szCs w:val="22"/>
          <w14:ligatures w14:val="standardContextual"/>
        </w:rPr>
        <w:t>doenvermogentoets</w:t>
      </w:r>
      <w:proofErr w:type="spellEnd"/>
      <w:r w:rsidRPr="00F529DA">
        <w:rPr>
          <w:rFonts w:eastAsia="Calibri"/>
          <w:kern w:val="2"/>
          <w:szCs w:val="22"/>
          <w14:ligatures w14:val="standardContextual"/>
        </w:rPr>
        <w:t xml:space="preserve"> uit te voeren, daar de wijziging voornamelijk het mkb raakt. Er zijn in het kader van de MKB-toets geen extra gesprekken gevoerd met de doelgroep van de wetgeving. Het voorstel voor de aanpassing van de termijn, en eventuele effecten, van de wetgeving is immers ook terug te vinden in het advies </w:t>
      </w:r>
      <w:r w:rsidRPr="00F529DA">
        <w:rPr>
          <w:rFonts w:eastAsia="Calibri"/>
          <w:i/>
          <w:iCs/>
          <w:kern w:val="2"/>
          <w:szCs w:val="22"/>
          <w14:ligatures w14:val="standardContextual"/>
        </w:rPr>
        <w:t>Toegang tot cultuur</w:t>
      </w:r>
      <w:r w:rsidRPr="00F529DA">
        <w:rPr>
          <w:rFonts w:eastAsia="Calibri"/>
          <w:kern w:val="2"/>
          <w:szCs w:val="22"/>
          <w14:ligatures w14:val="standardContextual"/>
        </w:rPr>
        <w:t xml:space="preserve"> van de Raad voor cultuur.</w:t>
      </w:r>
      <w:r w:rsidRPr="00F529DA">
        <w:rPr>
          <w:rFonts w:eastAsia="Calibri"/>
          <w:kern w:val="2"/>
          <w:szCs w:val="22"/>
          <w:vertAlign w:val="superscript"/>
          <w14:ligatures w14:val="standardContextual"/>
        </w:rPr>
        <w:footnoteReference w:id="17"/>
      </w:r>
      <w:r w:rsidRPr="00F529DA">
        <w:rPr>
          <w:rFonts w:eastAsia="Calibri"/>
          <w:kern w:val="2"/>
          <w:szCs w:val="22"/>
          <w14:ligatures w14:val="standardContextual"/>
        </w:rPr>
        <w:t xml:space="preserve"> Dit advies is in samenspraak met 400 mensen uit de culturele sector opgesteld. Het gaat hierbij zowel om zelfstandigen, mensen van de fondsen, als om mensen die werkzaam zijn bij culturele organisaties. </w:t>
      </w:r>
    </w:p>
    <w:p w:rsidRPr="00F529DA" w:rsidR="00877731" w:rsidP="00877731" w:rsidRDefault="00877731" w14:paraId="731780CC" w14:textId="77777777">
      <w:pPr>
        <w:spacing w:line="276" w:lineRule="auto"/>
        <w:rPr>
          <w:rFonts w:eastAsia="Calibri"/>
          <w:kern w:val="2"/>
          <w:szCs w:val="22"/>
          <w14:ligatures w14:val="standardContextual"/>
        </w:rPr>
      </w:pPr>
    </w:p>
    <w:p w:rsidRPr="00F529DA" w:rsidR="00877731" w:rsidP="00877731" w:rsidRDefault="00877731" w14:paraId="67B50B0B" w14:textId="6F9F57AC">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raakt alle culturele en creatieve organisaties die werkzaam zijn in Europees Nederland en op Bonaire, </w:t>
      </w:r>
      <w:r w:rsidRPr="00F529DA" w:rsidR="00261933">
        <w:rPr>
          <w:rFonts w:eastAsia="Calibri"/>
          <w:kern w:val="2"/>
          <w:szCs w:val="22"/>
          <w14:ligatures w14:val="standardContextual"/>
        </w:rPr>
        <w:t>Sint-Eustatius</w:t>
      </w:r>
      <w:r w:rsidRPr="00F529DA">
        <w:rPr>
          <w:rFonts w:eastAsia="Calibri"/>
          <w:kern w:val="2"/>
          <w:szCs w:val="22"/>
          <w14:ligatures w14:val="standardContextual"/>
        </w:rPr>
        <w:t xml:space="preserve"> of Saba. Het type bedrijf van de culturele organisaties loopt uiteen van micro-onderneming, klein- tot middenbedrijf. Er werken mensen in loondienst, vrijwilligers en zelfstandigen zonder personeel bij en voor culturele organisaties. </w:t>
      </w:r>
    </w:p>
    <w:p w:rsidRPr="00F529DA" w:rsidR="00877731" w:rsidP="00877731" w:rsidRDefault="00877731" w14:paraId="2775856E" w14:textId="77777777">
      <w:pPr>
        <w:spacing w:line="276" w:lineRule="auto"/>
        <w:rPr>
          <w:rFonts w:eastAsia="Calibri"/>
          <w:kern w:val="2"/>
          <w:szCs w:val="22"/>
          <w14:ligatures w14:val="standardContextual"/>
        </w:rPr>
      </w:pPr>
    </w:p>
    <w:p w:rsidRPr="00F529DA" w:rsidR="00877731" w:rsidP="00877731" w:rsidRDefault="00877731" w14:paraId="628C9E08" w14:textId="6699157B">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aanpassing van de subsidieperiode naar acht jaar zorgt ervoor dat de administratieve lasten voor organisaties kunnen worden verlaagd. Culturele organisaties die rechtstreeks door het Rijk worden gefinancierd starten </w:t>
      </w:r>
      <w:r w:rsidRPr="00F529DA" w:rsidR="005A2FE0">
        <w:rPr>
          <w:rFonts w:eastAsia="Calibri"/>
          <w:kern w:val="2"/>
          <w:szCs w:val="22"/>
          <w14:ligatures w14:val="standardContextual"/>
        </w:rPr>
        <w:t xml:space="preserve">op dit moment </w:t>
      </w:r>
      <w:r w:rsidRPr="00F529DA">
        <w:rPr>
          <w:rFonts w:eastAsia="Calibri"/>
          <w:kern w:val="2"/>
          <w:szCs w:val="22"/>
          <w14:ligatures w14:val="standardContextual"/>
        </w:rPr>
        <w:t xml:space="preserve">veelal in het tweede jaar van </w:t>
      </w:r>
      <w:r w:rsidRPr="00F529DA">
        <w:rPr>
          <w:rFonts w:eastAsia="Calibri"/>
          <w:kern w:val="2"/>
          <w:szCs w:val="22"/>
          <w14:ligatures w14:val="standardContextual"/>
        </w:rPr>
        <w:lastRenderedPageBreak/>
        <w:t xml:space="preserve">een subsidieperiode met nadenken over de volgende periode. Het werkelijke schrijven van een aanvraag vindt in het derde jaar plaats, in het vierde vindt besluitvorming plaats en kunnen organisaties zich voorbereiden op de nieuwe periode. Er is dus een bijna doorlopende last die samenhangt met het aanvraagproces. Dat vraagt aanzienlijke inzet van menskracht, middelen en tijd. Met de aanpassing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en de doorwerking naar de </w:t>
      </w:r>
      <w:proofErr w:type="spellStart"/>
      <w:r w:rsidRPr="00F529DA">
        <w:rPr>
          <w:rFonts w:eastAsia="Calibri"/>
          <w:kern w:val="2"/>
          <w:szCs w:val="22"/>
          <w14:ligatures w14:val="standardContextual"/>
        </w:rPr>
        <w:t>Rsc</w:t>
      </w:r>
      <w:proofErr w:type="spellEnd"/>
      <w:r w:rsidRPr="00F529DA">
        <w:rPr>
          <w:rFonts w:eastAsia="Calibri"/>
          <w:kern w:val="2"/>
          <w:szCs w:val="22"/>
          <w14:ligatures w14:val="standardContextual"/>
        </w:rPr>
        <w:t>, hoeven organisaties maar één keer in de acht jaar een aanvraag in te dienen, in plaats van elke vier jaar. De tijd, financiële middelen en capaciteit die een organisatie kwijt is aan een subsidieaanvraag blijft in principe gelijk, maar wordt dus minder vaak toegepast. Daar staat tegenover dat het belang van een goede aanvraag, en daarmee eventueel de tijd die wordt geïnvesteerd in de aanvraag, kan stijgen. Een toekenning voor acht jaar biedt organisaties immers meer rust en zekerheid.</w:t>
      </w:r>
    </w:p>
    <w:p w:rsidRPr="00F529DA" w:rsidR="00877731" w:rsidP="00877731" w:rsidRDefault="00877731" w14:paraId="47978747" w14:textId="77777777">
      <w:pPr>
        <w:spacing w:line="276" w:lineRule="auto"/>
        <w:rPr>
          <w:rFonts w:eastAsia="Calibri"/>
          <w:kern w:val="2"/>
          <w:szCs w:val="22"/>
          <w14:ligatures w14:val="standardContextual"/>
        </w:rPr>
      </w:pPr>
    </w:p>
    <w:p w:rsidRPr="00F529DA" w:rsidR="00DE09FE" w:rsidP="00877731" w:rsidRDefault="00877731" w14:paraId="07FBCD11" w14:textId="5A281119">
      <w:pPr>
        <w:spacing w:line="276" w:lineRule="auto"/>
        <w:rPr>
          <w:rFonts w:eastAsia="Calibri"/>
          <w:kern w:val="2"/>
          <w:szCs w:val="22"/>
          <w14:ligatures w14:val="standardContextual"/>
        </w:rPr>
      </w:pPr>
      <w:r w:rsidRPr="00F529DA">
        <w:rPr>
          <w:rFonts w:eastAsia="Calibri"/>
          <w:kern w:val="2"/>
          <w:szCs w:val="22"/>
          <w14:ligatures w14:val="standardContextual"/>
        </w:rPr>
        <w:t>De kosten voor het aanvragen van de subsidie voor organisaties bestaan onder andere uit het kennisnemen van de subsidiecriteria, het ontwikkelen van een artistiek en zakelijk plan, het schrijven van de inhoudelijke subsidieaanvraag, het opmaken van de begroting en het vormgeven van de aanvraag. Op basis van gesprekken met de doelgroep en een analyse van Kunsten ’92 komt naar voren dat organisaties</w:t>
      </w:r>
      <w:r w:rsidRPr="00F529DA" w:rsidDel="00A47279">
        <w:rPr>
          <w:rFonts w:eastAsia="Calibri"/>
          <w:kern w:val="2"/>
          <w:szCs w:val="22"/>
          <w14:ligatures w14:val="standardContextual"/>
        </w:rPr>
        <w:t xml:space="preserve"> </w:t>
      </w:r>
      <w:r w:rsidRPr="00F529DA">
        <w:rPr>
          <w:rFonts w:eastAsia="Calibri"/>
          <w:kern w:val="2"/>
          <w:szCs w:val="22"/>
          <w14:ligatures w14:val="standardContextual"/>
        </w:rPr>
        <w:t xml:space="preserve">die subsidie aanvragen op basis van artikel 4a van de </w:t>
      </w:r>
      <w:proofErr w:type="spellStart"/>
      <w:r w:rsidRPr="00F529DA">
        <w:rPr>
          <w:rFonts w:eastAsia="Calibri"/>
          <w:kern w:val="2"/>
          <w:szCs w:val="22"/>
          <w14:ligatures w14:val="standardContextual"/>
        </w:rPr>
        <w:t>Wsc</w:t>
      </w:r>
      <w:proofErr w:type="spellEnd"/>
      <w:r w:rsidRPr="00F529DA" w:rsidR="00261933">
        <w:rPr>
          <w:rFonts w:eastAsia="Calibri"/>
          <w:kern w:val="2"/>
          <w:szCs w:val="22"/>
          <w14:ligatures w14:val="standardContextual"/>
        </w:rPr>
        <w:t xml:space="preserve"> op dit moment</w:t>
      </w:r>
      <w:r w:rsidRPr="00F529DA">
        <w:rPr>
          <w:rFonts w:eastAsia="Calibri"/>
          <w:kern w:val="2"/>
          <w:szCs w:val="22"/>
          <w14:ligatures w14:val="standardContextual"/>
        </w:rPr>
        <w:t xml:space="preserve"> tussen de € 50.000 en € 150.000 per aanvraag begroten</w:t>
      </w:r>
      <w:r w:rsidRPr="00F529DA" w:rsidR="00261933">
        <w:rPr>
          <w:rFonts w:eastAsia="Calibri"/>
          <w:kern w:val="2"/>
          <w:szCs w:val="22"/>
          <w14:ligatures w14:val="standardContextual"/>
        </w:rPr>
        <w:t xml:space="preserve">. </w:t>
      </w:r>
      <w:r w:rsidRPr="00F529DA" w:rsidR="00DE09FE">
        <w:rPr>
          <w:rFonts w:eastAsia="Calibri"/>
          <w:kern w:val="2"/>
          <w:szCs w:val="22"/>
          <w14:ligatures w14:val="standardContextual"/>
        </w:rPr>
        <w:t xml:space="preserve">Bij de berekening van het bovengenoemde bedrag is rekening gehouden met het door het </w:t>
      </w:r>
      <w:r w:rsidRPr="00F529DA" w:rsidR="00623C0C">
        <w:rPr>
          <w:rFonts w:eastAsia="Calibri"/>
          <w:kern w:val="2"/>
          <w:szCs w:val="22"/>
          <w14:ligatures w14:val="standardContextual"/>
        </w:rPr>
        <w:t>M</w:t>
      </w:r>
      <w:r w:rsidRPr="00F529DA" w:rsidR="00DE09FE">
        <w:rPr>
          <w:rFonts w:eastAsia="Calibri"/>
          <w:kern w:val="2"/>
          <w:szCs w:val="22"/>
          <w14:ligatures w14:val="standardContextual"/>
        </w:rPr>
        <w:t>inisterie van Economische Zaken voorgeschreven Handboek meting regeldrukkosten.</w:t>
      </w:r>
      <w:r w:rsidRPr="00F529DA" w:rsidR="00DE09FE">
        <w:rPr>
          <w:rStyle w:val="Voetnootmarkering"/>
          <w:rFonts w:eastAsia="Calibri"/>
          <w:kern w:val="2"/>
          <w:szCs w:val="22"/>
          <w14:ligatures w14:val="standardContextual"/>
        </w:rPr>
        <w:footnoteReference w:id="18"/>
      </w:r>
      <w:r w:rsidRPr="00F529DA" w:rsidR="005A2FE0">
        <w:rPr>
          <w:rFonts w:eastAsia="Calibri"/>
          <w:kern w:val="2"/>
          <w:szCs w:val="22"/>
          <w14:ligatures w14:val="standardContextual"/>
        </w:rPr>
        <w:t xml:space="preserve"> In onderstaande tabel is een vereenvoudigde weergave van de berekening opgenomen.</w:t>
      </w:r>
    </w:p>
    <w:p w:rsidRPr="00F529DA" w:rsidR="00DE09FE" w:rsidP="00877731" w:rsidRDefault="00DE09FE" w14:paraId="6AE8B7F5" w14:textId="77777777">
      <w:pPr>
        <w:spacing w:line="276" w:lineRule="auto"/>
        <w:rPr>
          <w:rFonts w:eastAsia="Calibri"/>
          <w:kern w:val="2"/>
          <w:szCs w:val="22"/>
          <w14:ligatures w14:val="standardContextual"/>
        </w:rPr>
      </w:pPr>
    </w:p>
    <w:tbl>
      <w:tblPr>
        <w:tblW w:w="8080" w:type="dxa"/>
        <w:tblLayout w:type="fixed"/>
        <w:tblCellMar>
          <w:left w:w="70" w:type="dxa"/>
          <w:right w:w="70" w:type="dxa"/>
        </w:tblCellMar>
        <w:tblLook w:val="04A0" w:firstRow="1" w:lastRow="0" w:firstColumn="1" w:lastColumn="0" w:noHBand="0" w:noVBand="1"/>
      </w:tblPr>
      <w:tblGrid>
        <w:gridCol w:w="416"/>
        <w:gridCol w:w="832"/>
        <w:gridCol w:w="2787"/>
        <w:gridCol w:w="1348"/>
        <w:gridCol w:w="1348"/>
        <w:gridCol w:w="1349"/>
      </w:tblGrid>
      <w:tr w:rsidRPr="00F529DA" w:rsidR="00DE09FE" w:rsidTr="003E77F1" w14:paraId="56F61D03" w14:textId="77777777">
        <w:trPr>
          <w:trHeight w:val="270"/>
        </w:trPr>
        <w:tc>
          <w:tcPr>
            <w:tcW w:w="4035" w:type="dxa"/>
            <w:gridSpan w:val="3"/>
            <w:tcBorders>
              <w:top w:val="nil"/>
              <w:left w:val="nil"/>
              <w:bottom w:val="nil"/>
              <w:right w:val="nil"/>
            </w:tcBorders>
            <w:noWrap/>
            <w:vAlign w:val="center"/>
          </w:tcPr>
          <w:p w:rsidRPr="00F529DA" w:rsidR="00DE09FE" w:rsidP="00DE09FE" w:rsidRDefault="005176A5" w14:paraId="1CC8E5D3" w14:textId="2E105AAF">
            <w:pPr>
              <w:spacing w:line="240" w:lineRule="auto"/>
              <w:rPr>
                <w:color w:val="000000"/>
                <w:sz w:val="16"/>
                <w:szCs w:val="16"/>
                <w:lang w:eastAsia="nl-NL"/>
              </w:rPr>
            </w:pPr>
            <w:r w:rsidRPr="00F529DA">
              <w:rPr>
                <w:b/>
                <w:bCs/>
                <w:color w:val="000000"/>
                <w:sz w:val="16"/>
                <w:szCs w:val="16"/>
              </w:rPr>
              <w:t>Kleine organisaties</w:t>
            </w:r>
          </w:p>
        </w:tc>
        <w:tc>
          <w:tcPr>
            <w:tcW w:w="1348" w:type="dxa"/>
            <w:tcBorders>
              <w:top w:val="nil"/>
              <w:left w:val="nil"/>
              <w:bottom w:val="nil"/>
              <w:right w:val="nil"/>
            </w:tcBorders>
            <w:noWrap/>
            <w:vAlign w:val="center"/>
          </w:tcPr>
          <w:p w:rsidRPr="00F529DA" w:rsidR="00DE09FE" w:rsidP="00DE09FE" w:rsidRDefault="00DE09FE" w14:paraId="62259290" w14:textId="0722BD5D">
            <w:pPr>
              <w:spacing w:line="240" w:lineRule="auto"/>
              <w:jc w:val="center"/>
              <w:rPr>
                <w:color w:val="000000"/>
                <w:sz w:val="16"/>
                <w:szCs w:val="16"/>
                <w:lang w:eastAsia="nl-NL"/>
              </w:rPr>
            </w:pPr>
            <w:r w:rsidRPr="00F529DA">
              <w:rPr>
                <w:b/>
                <w:bCs/>
                <w:color w:val="000000"/>
                <w:sz w:val="16"/>
                <w:szCs w:val="16"/>
              </w:rPr>
              <w:t>Uren</w:t>
            </w:r>
          </w:p>
        </w:tc>
        <w:tc>
          <w:tcPr>
            <w:tcW w:w="1348" w:type="dxa"/>
            <w:tcBorders>
              <w:top w:val="nil"/>
              <w:left w:val="nil"/>
              <w:bottom w:val="nil"/>
              <w:right w:val="nil"/>
            </w:tcBorders>
            <w:noWrap/>
            <w:vAlign w:val="center"/>
          </w:tcPr>
          <w:p w:rsidRPr="00F529DA" w:rsidR="00DE09FE" w:rsidP="00DE09FE" w:rsidRDefault="00DE09FE" w14:paraId="56748005" w14:textId="59DA0ABD">
            <w:pPr>
              <w:spacing w:line="240" w:lineRule="auto"/>
              <w:jc w:val="center"/>
              <w:rPr>
                <w:color w:val="000000"/>
                <w:sz w:val="16"/>
                <w:szCs w:val="16"/>
                <w:lang w:eastAsia="nl-NL"/>
              </w:rPr>
            </w:pPr>
            <w:r w:rsidRPr="00F529DA">
              <w:rPr>
                <w:b/>
                <w:bCs/>
                <w:color w:val="000000"/>
                <w:sz w:val="16"/>
                <w:szCs w:val="16"/>
              </w:rPr>
              <w:t>Tarief</w:t>
            </w:r>
          </w:p>
        </w:tc>
        <w:tc>
          <w:tcPr>
            <w:tcW w:w="1349" w:type="dxa"/>
            <w:tcBorders>
              <w:top w:val="nil"/>
              <w:left w:val="nil"/>
              <w:bottom w:val="nil"/>
              <w:right w:val="nil"/>
            </w:tcBorders>
            <w:noWrap/>
            <w:vAlign w:val="center"/>
          </w:tcPr>
          <w:p w:rsidRPr="00F529DA" w:rsidR="00DE09FE" w:rsidP="003E77F1" w:rsidRDefault="00DE09FE" w14:paraId="4E601443" w14:textId="12FCC17C">
            <w:pPr>
              <w:spacing w:line="240" w:lineRule="auto"/>
              <w:jc w:val="center"/>
              <w:rPr>
                <w:color w:val="000000"/>
                <w:sz w:val="16"/>
                <w:szCs w:val="16"/>
                <w:lang w:eastAsia="nl-NL"/>
              </w:rPr>
            </w:pPr>
            <w:r w:rsidRPr="00F529DA">
              <w:rPr>
                <w:b/>
                <w:bCs/>
                <w:color w:val="000000"/>
                <w:sz w:val="16"/>
                <w:szCs w:val="16"/>
              </w:rPr>
              <w:t>Kosten</w:t>
            </w:r>
          </w:p>
        </w:tc>
      </w:tr>
      <w:tr w:rsidRPr="00F529DA" w:rsidR="00DE09FE" w:rsidTr="003E77F1" w14:paraId="5D74C936" w14:textId="77777777">
        <w:trPr>
          <w:trHeight w:val="270"/>
        </w:trPr>
        <w:tc>
          <w:tcPr>
            <w:tcW w:w="4035" w:type="dxa"/>
            <w:gridSpan w:val="3"/>
            <w:tcBorders>
              <w:top w:val="nil"/>
              <w:left w:val="nil"/>
              <w:bottom w:val="nil"/>
              <w:right w:val="nil"/>
            </w:tcBorders>
            <w:noWrap/>
            <w:vAlign w:val="center"/>
            <w:hideMark/>
          </w:tcPr>
          <w:p w:rsidRPr="00F529DA" w:rsidR="00DE09FE" w:rsidP="00DE09FE" w:rsidRDefault="00DE09FE" w14:paraId="73201CAA" w14:textId="77777777">
            <w:pPr>
              <w:spacing w:line="240" w:lineRule="auto"/>
              <w:rPr>
                <w:color w:val="000000"/>
                <w:sz w:val="16"/>
                <w:szCs w:val="16"/>
                <w:lang w:eastAsia="nl-NL"/>
              </w:rPr>
            </w:pPr>
            <w:r w:rsidRPr="00F529DA">
              <w:rPr>
                <w:color w:val="000000"/>
                <w:sz w:val="16"/>
                <w:szCs w:val="16"/>
                <w:lang w:eastAsia="nl-NL"/>
              </w:rPr>
              <w:t>Kennisgeving regeling</w:t>
            </w:r>
          </w:p>
        </w:tc>
        <w:tc>
          <w:tcPr>
            <w:tcW w:w="1348" w:type="dxa"/>
            <w:tcBorders>
              <w:top w:val="nil"/>
              <w:left w:val="nil"/>
              <w:bottom w:val="nil"/>
              <w:right w:val="nil"/>
            </w:tcBorders>
            <w:noWrap/>
            <w:vAlign w:val="center"/>
            <w:hideMark/>
          </w:tcPr>
          <w:p w:rsidRPr="00F529DA" w:rsidR="00DE09FE" w:rsidP="00DE09FE" w:rsidRDefault="00DE09FE" w14:paraId="31F8A8A9" w14:textId="77777777">
            <w:pPr>
              <w:spacing w:line="240" w:lineRule="auto"/>
              <w:jc w:val="center"/>
              <w:rPr>
                <w:color w:val="000000"/>
                <w:sz w:val="16"/>
                <w:szCs w:val="16"/>
                <w:lang w:eastAsia="nl-NL"/>
              </w:rPr>
            </w:pPr>
            <w:r w:rsidRPr="00F529DA">
              <w:rPr>
                <w:color w:val="000000"/>
                <w:sz w:val="16"/>
                <w:szCs w:val="16"/>
                <w:lang w:eastAsia="nl-NL"/>
              </w:rPr>
              <w:t>16</w:t>
            </w:r>
          </w:p>
        </w:tc>
        <w:tc>
          <w:tcPr>
            <w:tcW w:w="1348" w:type="dxa"/>
            <w:tcBorders>
              <w:top w:val="nil"/>
              <w:left w:val="nil"/>
              <w:bottom w:val="nil"/>
              <w:right w:val="nil"/>
            </w:tcBorders>
            <w:noWrap/>
            <w:vAlign w:val="center"/>
            <w:hideMark/>
          </w:tcPr>
          <w:p w:rsidRPr="00F529DA" w:rsidR="00DE09FE" w:rsidP="00DE09FE" w:rsidRDefault="00DE09FE" w14:paraId="2B6B1B76" w14:textId="1AF9648C">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3E77F1" w:rsidRDefault="00DE09FE" w14:paraId="47093CF5" w14:textId="5E7CF289">
            <w:pPr>
              <w:spacing w:line="240" w:lineRule="auto"/>
              <w:jc w:val="center"/>
              <w:rPr>
                <w:color w:val="000000"/>
                <w:sz w:val="16"/>
                <w:szCs w:val="16"/>
                <w:lang w:eastAsia="nl-NL"/>
              </w:rPr>
            </w:pPr>
            <w:r w:rsidRPr="00F529DA">
              <w:rPr>
                <w:color w:val="000000"/>
                <w:sz w:val="16"/>
                <w:szCs w:val="16"/>
                <w:lang w:eastAsia="nl-NL"/>
              </w:rPr>
              <w:t>€         864</w:t>
            </w:r>
          </w:p>
        </w:tc>
      </w:tr>
      <w:tr w:rsidRPr="00F529DA" w:rsidR="00DE09FE" w:rsidTr="003E77F1" w14:paraId="73EE669B" w14:textId="77777777">
        <w:trPr>
          <w:trHeight w:val="270"/>
        </w:trPr>
        <w:tc>
          <w:tcPr>
            <w:tcW w:w="4035" w:type="dxa"/>
            <w:gridSpan w:val="3"/>
            <w:tcBorders>
              <w:top w:val="nil"/>
              <w:left w:val="nil"/>
              <w:bottom w:val="nil"/>
              <w:right w:val="nil"/>
            </w:tcBorders>
            <w:noWrap/>
            <w:vAlign w:val="center"/>
            <w:hideMark/>
          </w:tcPr>
          <w:p w:rsidRPr="00F529DA" w:rsidR="00DE09FE" w:rsidP="00DE09FE" w:rsidRDefault="00DE09FE" w14:paraId="32C46006" w14:textId="77777777">
            <w:pPr>
              <w:spacing w:line="240" w:lineRule="auto"/>
              <w:rPr>
                <w:color w:val="000000"/>
                <w:sz w:val="16"/>
                <w:szCs w:val="16"/>
                <w:lang w:eastAsia="nl-NL"/>
              </w:rPr>
            </w:pPr>
            <w:r w:rsidRPr="00F529DA">
              <w:rPr>
                <w:color w:val="000000"/>
                <w:sz w:val="16"/>
                <w:szCs w:val="16"/>
                <w:lang w:eastAsia="nl-NL"/>
              </w:rPr>
              <w:t>Opstellen artistiek beleid</w:t>
            </w:r>
          </w:p>
        </w:tc>
        <w:tc>
          <w:tcPr>
            <w:tcW w:w="1348" w:type="dxa"/>
            <w:tcBorders>
              <w:top w:val="nil"/>
              <w:left w:val="nil"/>
              <w:bottom w:val="nil"/>
              <w:right w:val="nil"/>
            </w:tcBorders>
            <w:noWrap/>
            <w:vAlign w:val="center"/>
            <w:hideMark/>
          </w:tcPr>
          <w:p w:rsidRPr="00F529DA" w:rsidR="00DE09FE" w:rsidP="00DE09FE" w:rsidRDefault="00DE09FE" w14:paraId="32A481C0" w14:textId="7A714B9B">
            <w:pPr>
              <w:spacing w:line="240" w:lineRule="auto"/>
              <w:jc w:val="center"/>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DE09FE" w:rsidRDefault="00DE09FE" w14:paraId="6C1265BC" w14:textId="676E7157">
            <w:pPr>
              <w:spacing w:line="240" w:lineRule="auto"/>
              <w:jc w:val="center"/>
              <w:rPr>
                <w:color w:val="000000"/>
                <w:sz w:val="16"/>
                <w:szCs w:val="16"/>
                <w:lang w:eastAsia="nl-NL"/>
              </w:rPr>
            </w:pPr>
          </w:p>
        </w:tc>
        <w:tc>
          <w:tcPr>
            <w:tcW w:w="1349" w:type="dxa"/>
            <w:tcBorders>
              <w:top w:val="nil"/>
              <w:left w:val="nil"/>
              <w:bottom w:val="nil"/>
              <w:right w:val="nil"/>
            </w:tcBorders>
            <w:noWrap/>
            <w:vAlign w:val="center"/>
            <w:hideMark/>
          </w:tcPr>
          <w:p w:rsidRPr="00F529DA" w:rsidR="00DE09FE" w:rsidP="003E77F1" w:rsidRDefault="00DE09FE" w14:paraId="18D5C5F9" w14:textId="12FF1683">
            <w:pPr>
              <w:spacing w:line="240" w:lineRule="auto"/>
              <w:jc w:val="center"/>
              <w:rPr>
                <w:color w:val="000000"/>
                <w:sz w:val="16"/>
                <w:szCs w:val="16"/>
                <w:lang w:eastAsia="nl-NL"/>
              </w:rPr>
            </w:pPr>
          </w:p>
        </w:tc>
      </w:tr>
      <w:tr w:rsidRPr="00F529DA" w:rsidR="00DE09FE" w:rsidTr="003E77F1" w14:paraId="7B93D66E" w14:textId="77777777">
        <w:trPr>
          <w:trHeight w:val="270"/>
        </w:trPr>
        <w:tc>
          <w:tcPr>
            <w:tcW w:w="416" w:type="dxa"/>
            <w:tcBorders>
              <w:top w:val="nil"/>
              <w:left w:val="nil"/>
              <w:bottom w:val="nil"/>
              <w:right w:val="nil"/>
            </w:tcBorders>
            <w:noWrap/>
            <w:vAlign w:val="center"/>
            <w:hideMark/>
          </w:tcPr>
          <w:p w:rsidRPr="00F529DA" w:rsidR="00DE09FE" w:rsidP="00DE09FE" w:rsidRDefault="00DE09FE" w14:paraId="3A6BF494" w14:textId="77777777">
            <w:pPr>
              <w:spacing w:line="240" w:lineRule="auto"/>
              <w:rPr>
                <w:color w:val="000000"/>
                <w:sz w:val="16"/>
                <w:szCs w:val="16"/>
                <w:lang w:eastAsia="nl-NL"/>
              </w:rPr>
            </w:pPr>
          </w:p>
        </w:tc>
        <w:tc>
          <w:tcPr>
            <w:tcW w:w="3619" w:type="dxa"/>
            <w:gridSpan w:val="2"/>
            <w:tcBorders>
              <w:top w:val="nil"/>
              <w:left w:val="nil"/>
              <w:bottom w:val="nil"/>
              <w:right w:val="nil"/>
            </w:tcBorders>
            <w:noWrap/>
            <w:vAlign w:val="center"/>
            <w:hideMark/>
          </w:tcPr>
          <w:p w:rsidRPr="00F529DA" w:rsidR="00DE09FE" w:rsidP="00DE09FE" w:rsidRDefault="00DE09FE" w14:paraId="5A929952" w14:textId="77777777">
            <w:pPr>
              <w:spacing w:line="240" w:lineRule="auto"/>
              <w:rPr>
                <w:color w:val="000000"/>
                <w:sz w:val="16"/>
                <w:szCs w:val="16"/>
                <w:lang w:eastAsia="nl-NL"/>
              </w:rPr>
            </w:pPr>
            <w:r w:rsidRPr="00F529DA">
              <w:rPr>
                <w:color w:val="000000"/>
                <w:sz w:val="16"/>
                <w:szCs w:val="16"/>
                <w:lang w:eastAsia="nl-NL"/>
              </w:rPr>
              <w:t>Artistiek leider</w:t>
            </w:r>
          </w:p>
        </w:tc>
        <w:tc>
          <w:tcPr>
            <w:tcW w:w="1348" w:type="dxa"/>
            <w:tcBorders>
              <w:top w:val="nil"/>
              <w:left w:val="nil"/>
              <w:bottom w:val="nil"/>
              <w:right w:val="nil"/>
            </w:tcBorders>
            <w:noWrap/>
            <w:vAlign w:val="center"/>
            <w:hideMark/>
          </w:tcPr>
          <w:p w:rsidRPr="00F529DA" w:rsidR="00DE09FE" w:rsidP="00DE09FE" w:rsidRDefault="00DE09FE" w14:paraId="4510CA89" w14:textId="77777777">
            <w:pPr>
              <w:spacing w:line="240" w:lineRule="auto"/>
              <w:jc w:val="center"/>
              <w:rPr>
                <w:color w:val="000000"/>
                <w:sz w:val="16"/>
                <w:szCs w:val="16"/>
                <w:lang w:eastAsia="nl-NL"/>
              </w:rPr>
            </w:pPr>
            <w:r w:rsidRPr="00F529DA">
              <w:rPr>
                <w:color w:val="000000"/>
                <w:sz w:val="16"/>
                <w:szCs w:val="16"/>
                <w:lang w:eastAsia="nl-NL"/>
              </w:rPr>
              <w:t>160</w:t>
            </w:r>
          </w:p>
        </w:tc>
        <w:tc>
          <w:tcPr>
            <w:tcW w:w="1348" w:type="dxa"/>
            <w:tcBorders>
              <w:top w:val="nil"/>
              <w:left w:val="nil"/>
              <w:bottom w:val="nil"/>
              <w:right w:val="nil"/>
            </w:tcBorders>
            <w:noWrap/>
            <w:vAlign w:val="center"/>
            <w:hideMark/>
          </w:tcPr>
          <w:p w:rsidRPr="00F529DA" w:rsidR="00DE09FE" w:rsidP="00DE09FE" w:rsidRDefault="00DE09FE" w14:paraId="3036CB41" w14:textId="6A4BA0D6">
            <w:pPr>
              <w:spacing w:line="240" w:lineRule="auto"/>
              <w:jc w:val="center"/>
              <w:rPr>
                <w:color w:val="000000"/>
                <w:sz w:val="16"/>
                <w:szCs w:val="16"/>
                <w:lang w:eastAsia="nl-NL"/>
              </w:rPr>
            </w:pPr>
            <w:r w:rsidRPr="00F529DA">
              <w:rPr>
                <w:color w:val="000000"/>
                <w:sz w:val="16"/>
                <w:szCs w:val="16"/>
                <w:lang w:eastAsia="nl-NL"/>
              </w:rPr>
              <w:t>€        77</w:t>
            </w:r>
          </w:p>
        </w:tc>
        <w:tc>
          <w:tcPr>
            <w:tcW w:w="1349" w:type="dxa"/>
            <w:tcBorders>
              <w:top w:val="nil"/>
              <w:left w:val="nil"/>
              <w:bottom w:val="nil"/>
              <w:right w:val="nil"/>
            </w:tcBorders>
            <w:noWrap/>
            <w:vAlign w:val="center"/>
            <w:hideMark/>
          </w:tcPr>
          <w:p w:rsidRPr="00F529DA" w:rsidR="00DE09FE" w:rsidP="003E77F1" w:rsidRDefault="00DE09FE" w14:paraId="41203C27" w14:textId="539FD938">
            <w:pPr>
              <w:spacing w:line="240" w:lineRule="auto"/>
              <w:jc w:val="center"/>
              <w:rPr>
                <w:color w:val="000000"/>
                <w:sz w:val="16"/>
                <w:szCs w:val="16"/>
                <w:lang w:eastAsia="nl-NL"/>
              </w:rPr>
            </w:pPr>
            <w:r w:rsidRPr="00F529DA">
              <w:rPr>
                <w:color w:val="000000"/>
                <w:sz w:val="16"/>
                <w:szCs w:val="16"/>
                <w:lang w:eastAsia="nl-NL"/>
              </w:rPr>
              <w:t>€    12.320</w:t>
            </w:r>
          </w:p>
        </w:tc>
      </w:tr>
      <w:tr w:rsidRPr="00F529DA" w:rsidR="00DE09FE" w:rsidTr="003E77F1" w14:paraId="2803D05E" w14:textId="77777777">
        <w:trPr>
          <w:trHeight w:val="270"/>
        </w:trPr>
        <w:tc>
          <w:tcPr>
            <w:tcW w:w="416" w:type="dxa"/>
            <w:tcBorders>
              <w:top w:val="nil"/>
              <w:left w:val="nil"/>
              <w:bottom w:val="nil"/>
              <w:right w:val="nil"/>
            </w:tcBorders>
            <w:noWrap/>
            <w:vAlign w:val="center"/>
            <w:hideMark/>
          </w:tcPr>
          <w:p w:rsidRPr="00F529DA" w:rsidR="00DE09FE" w:rsidP="00DE09FE" w:rsidRDefault="00DE09FE" w14:paraId="6A0CE254" w14:textId="77777777">
            <w:pPr>
              <w:spacing w:line="240" w:lineRule="auto"/>
              <w:rPr>
                <w:color w:val="000000"/>
                <w:sz w:val="16"/>
                <w:szCs w:val="16"/>
                <w:lang w:eastAsia="nl-NL"/>
              </w:rPr>
            </w:pPr>
          </w:p>
        </w:tc>
        <w:tc>
          <w:tcPr>
            <w:tcW w:w="3619" w:type="dxa"/>
            <w:gridSpan w:val="2"/>
            <w:tcBorders>
              <w:top w:val="nil"/>
              <w:left w:val="nil"/>
              <w:bottom w:val="nil"/>
              <w:right w:val="nil"/>
            </w:tcBorders>
            <w:noWrap/>
            <w:vAlign w:val="center"/>
            <w:hideMark/>
          </w:tcPr>
          <w:p w:rsidRPr="00F529DA" w:rsidR="00DE09FE" w:rsidP="00DE09FE" w:rsidRDefault="005176A5" w14:paraId="0B5394B3" w14:textId="4E24CCE4">
            <w:pPr>
              <w:spacing w:line="240" w:lineRule="auto"/>
              <w:rPr>
                <w:color w:val="000000"/>
                <w:sz w:val="16"/>
                <w:szCs w:val="16"/>
                <w:lang w:eastAsia="nl-NL"/>
              </w:rPr>
            </w:pPr>
            <w:r w:rsidRPr="00F529DA">
              <w:rPr>
                <w:color w:val="000000"/>
                <w:sz w:val="16"/>
                <w:szCs w:val="16"/>
                <w:lang w:eastAsia="nl-NL"/>
              </w:rPr>
              <w:t>Artistiek</w:t>
            </w:r>
            <w:r w:rsidRPr="00F529DA" w:rsidR="00DE09FE">
              <w:rPr>
                <w:color w:val="000000"/>
                <w:sz w:val="16"/>
                <w:szCs w:val="16"/>
                <w:lang w:eastAsia="nl-NL"/>
              </w:rPr>
              <w:t xml:space="preserve"> team en productie</w:t>
            </w:r>
          </w:p>
        </w:tc>
        <w:tc>
          <w:tcPr>
            <w:tcW w:w="1348" w:type="dxa"/>
            <w:tcBorders>
              <w:top w:val="nil"/>
              <w:left w:val="nil"/>
              <w:bottom w:val="nil"/>
              <w:right w:val="nil"/>
            </w:tcBorders>
            <w:noWrap/>
            <w:vAlign w:val="center"/>
            <w:hideMark/>
          </w:tcPr>
          <w:p w:rsidRPr="00F529DA" w:rsidR="00DE09FE" w:rsidP="00DE09FE" w:rsidRDefault="00DE09FE" w14:paraId="207C44E3" w14:textId="77777777">
            <w:pPr>
              <w:spacing w:line="240" w:lineRule="auto"/>
              <w:jc w:val="center"/>
              <w:rPr>
                <w:color w:val="000000"/>
                <w:sz w:val="16"/>
                <w:szCs w:val="16"/>
                <w:lang w:eastAsia="nl-NL"/>
              </w:rPr>
            </w:pPr>
            <w:r w:rsidRPr="00F529DA">
              <w:rPr>
                <w:color w:val="000000"/>
                <w:sz w:val="16"/>
                <w:szCs w:val="16"/>
                <w:lang w:eastAsia="nl-NL"/>
              </w:rPr>
              <w:t>288</w:t>
            </w:r>
          </w:p>
        </w:tc>
        <w:tc>
          <w:tcPr>
            <w:tcW w:w="1348" w:type="dxa"/>
            <w:tcBorders>
              <w:top w:val="nil"/>
              <w:left w:val="nil"/>
              <w:bottom w:val="nil"/>
              <w:right w:val="nil"/>
            </w:tcBorders>
            <w:noWrap/>
            <w:vAlign w:val="center"/>
            <w:hideMark/>
          </w:tcPr>
          <w:p w:rsidRPr="00F529DA" w:rsidR="00DE09FE" w:rsidP="00DE09FE" w:rsidRDefault="00DE09FE" w14:paraId="5A6B723C" w14:textId="2A7F51B7">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3E77F1" w:rsidRDefault="00DE09FE" w14:paraId="670A435B" w14:textId="3C867D9F">
            <w:pPr>
              <w:spacing w:line="240" w:lineRule="auto"/>
              <w:jc w:val="center"/>
              <w:rPr>
                <w:color w:val="000000"/>
                <w:sz w:val="16"/>
                <w:szCs w:val="16"/>
                <w:lang w:eastAsia="nl-NL"/>
              </w:rPr>
            </w:pPr>
            <w:r w:rsidRPr="00F529DA">
              <w:rPr>
                <w:color w:val="000000"/>
                <w:sz w:val="16"/>
                <w:szCs w:val="16"/>
                <w:lang w:eastAsia="nl-NL"/>
              </w:rPr>
              <w:t>€    15.552</w:t>
            </w:r>
          </w:p>
        </w:tc>
      </w:tr>
      <w:tr w:rsidRPr="00F529DA" w:rsidR="00DE09FE" w:rsidTr="003E77F1" w14:paraId="57BEBEA5" w14:textId="77777777">
        <w:trPr>
          <w:trHeight w:val="270"/>
        </w:trPr>
        <w:tc>
          <w:tcPr>
            <w:tcW w:w="4035" w:type="dxa"/>
            <w:gridSpan w:val="3"/>
            <w:tcBorders>
              <w:top w:val="nil"/>
              <w:left w:val="nil"/>
              <w:bottom w:val="nil"/>
              <w:right w:val="nil"/>
            </w:tcBorders>
            <w:noWrap/>
            <w:vAlign w:val="center"/>
            <w:hideMark/>
          </w:tcPr>
          <w:p w:rsidRPr="00F529DA" w:rsidR="00DE09FE" w:rsidP="00DE09FE" w:rsidRDefault="00DE09FE" w14:paraId="5F47F057" w14:textId="77777777">
            <w:pPr>
              <w:spacing w:line="240" w:lineRule="auto"/>
              <w:rPr>
                <w:color w:val="000000"/>
                <w:sz w:val="16"/>
                <w:szCs w:val="16"/>
                <w:lang w:eastAsia="nl-NL"/>
              </w:rPr>
            </w:pPr>
            <w:r w:rsidRPr="00F529DA">
              <w:rPr>
                <w:color w:val="000000"/>
                <w:sz w:val="16"/>
                <w:szCs w:val="16"/>
                <w:lang w:eastAsia="nl-NL"/>
              </w:rPr>
              <w:t>Opstellen zakelijk beleid</w:t>
            </w:r>
          </w:p>
        </w:tc>
        <w:tc>
          <w:tcPr>
            <w:tcW w:w="1348" w:type="dxa"/>
            <w:tcBorders>
              <w:top w:val="nil"/>
              <w:left w:val="nil"/>
              <w:bottom w:val="nil"/>
              <w:right w:val="nil"/>
            </w:tcBorders>
            <w:noWrap/>
            <w:vAlign w:val="center"/>
            <w:hideMark/>
          </w:tcPr>
          <w:p w:rsidRPr="00F529DA" w:rsidR="00DE09FE" w:rsidP="00DE09FE" w:rsidRDefault="00DE09FE" w14:paraId="65DC1072" w14:textId="0E8E0539">
            <w:pPr>
              <w:spacing w:line="240" w:lineRule="auto"/>
              <w:jc w:val="center"/>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DE09FE" w:rsidRDefault="00DE09FE" w14:paraId="466FD342" w14:textId="796B019E">
            <w:pPr>
              <w:spacing w:line="240" w:lineRule="auto"/>
              <w:jc w:val="center"/>
              <w:rPr>
                <w:color w:val="000000"/>
                <w:sz w:val="16"/>
                <w:szCs w:val="16"/>
                <w:lang w:eastAsia="nl-NL"/>
              </w:rPr>
            </w:pPr>
          </w:p>
        </w:tc>
        <w:tc>
          <w:tcPr>
            <w:tcW w:w="1349" w:type="dxa"/>
            <w:tcBorders>
              <w:top w:val="nil"/>
              <w:left w:val="nil"/>
              <w:bottom w:val="nil"/>
              <w:right w:val="nil"/>
            </w:tcBorders>
            <w:noWrap/>
            <w:vAlign w:val="center"/>
            <w:hideMark/>
          </w:tcPr>
          <w:p w:rsidRPr="00F529DA" w:rsidR="00DE09FE" w:rsidP="003E77F1" w:rsidRDefault="00DE09FE" w14:paraId="4B086FC1" w14:textId="192A0728">
            <w:pPr>
              <w:spacing w:line="240" w:lineRule="auto"/>
              <w:jc w:val="center"/>
              <w:rPr>
                <w:color w:val="000000"/>
                <w:sz w:val="16"/>
                <w:szCs w:val="16"/>
                <w:lang w:eastAsia="nl-NL"/>
              </w:rPr>
            </w:pPr>
          </w:p>
        </w:tc>
      </w:tr>
      <w:tr w:rsidRPr="00F529DA" w:rsidR="00DE09FE" w:rsidTr="003E77F1" w14:paraId="7652F29C" w14:textId="77777777">
        <w:trPr>
          <w:trHeight w:val="270"/>
        </w:trPr>
        <w:tc>
          <w:tcPr>
            <w:tcW w:w="416" w:type="dxa"/>
            <w:tcBorders>
              <w:top w:val="nil"/>
              <w:left w:val="nil"/>
              <w:bottom w:val="nil"/>
              <w:right w:val="nil"/>
            </w:tcBorders>
            <w:noWrap/>
            <w:vAlign w:val="center"/>
            <w:hideMark/>
          </w:tcPr>
          <w:p w:rsidRPr="00F529DA" w:rsidR="00DE09FE" w:rsidP="00DE09FE" w:rsidRDefault="00DE09FE" w14:paraId="22F16603" w14:textId="77777777">
            <w:pPr>
              <w:spacing w:line="240" w:lineRule="auto"/>
              <w:rPr>
                <w:color w:val="000000"/>
                <w:sz w:val="16"/>
                <w:szCs w:val="16"/>
                <w:lang w:eastAsia="nl-NL"/>
              </w:rPr>
            </w:pPr>
          </w:p>
        </w:tc>
        <w:tc>
          <w:tcPr>
            <w:tcW w:w="3619" w:type="dxa"/>
            <w:gridSpan w:val="2"/>
            <w:tcBorders>
              <w:top w:val="nil"/>
              <w:left w:val="nil"/>
              <w:bottom w:val="nil"/>
              <w:right w:val="nil"/>
            </w:tcBorders>
            <w:noWrap/>
            <w:vAlign w:val="center"/>
            <w:hideMark/>
          </w:tcPr>
          <w:p w:rsidRPr="00F529DA" w:rsidR="00DE09FE" w:rsidP="00DE09FE" w:rsidRDefault="00DE09FE" w14:paraId="21E3394A" w14:textId="77777777">
            <w:pPr>
              <w:spacing w:line="240" w:lineRule="auto"/>
              <w:rPr>
                <w:color w:val="000000"/>
                <w:sz w:val="16"/>
                <w:szCs w:val="16"/>
                <w:lang w:eastAsia="nl-NL"/>
              </w:rPr>
            </w:pPr>
            <w:r w:rsidRPr="00F529DA">
              <w:rPr>
                <w:color w:val="000000"/>
                <w:sz w:val="16"/>
                <w:szCs w:val="16"/>
                <w:lang w:eastAsia="nl-NL"/>
              </w:rPr>
              <w:t>Zakelijk leider</w:t>
            </w:r>
          </w:p>
        </w:tc>
        <w:tc>
          <w:tcPr>
            <w:tcW w:w="1348" w:type="dxa"/>
            <w:tcBorders>
              <w:top w:val="nil"/>
              <w:left w:val="nil"/>
              <w:bottom w:val="nil"/>
              <w:right w:val="nil"/>
            </w:tcBorders>
            <w:noWrap/>
            <w:vAlign w:val="center"/>
            <w:hideMark/>
          </w:tcPr>
          <w:p w:rsidRPr="00F529DA" w:rsidR="00DE09FE" w:rsidP="00DE09FE" w:rsidRDefault="00DE09FE" w14:paraId="25198834" w14:textId="77777777">
            <w:pPr>
              <w:spacing w:line="240" w:lineRule="auto"/>
              <w:jc w:val="center"/>
              <w:rPr>
                <w:color w:val="000000"/>
                <w:sz w:val="16"/>
                <w:szCs w:val="16"/>
                <w:lang w:eastAsia="nl-NL"/>
              </w:rPr>
            </w:pPr>
            <w:r w:rsidRPr="00F529DA">
              <w:rPr>
                <w:color w:val="000000"/>
                <w:sz w:val="16"/>
                <w:szCs w:val="16"/>
                <w:lang w:eastAsia="nl-NL"/>
              </w:rPr>
              <w:t>120</w:t>
            </w:r>
          </w:p>
        </w:tc>
        <w:tc>
          <w:tcPr>
            <w:tcW w:w="1348" w:type="dxa"/>
            <w:tcBorders>
              <w:top w:val="nil"/>
              <w:left w:val="nil"/>
              <w:bottom w:val="nil"/>
              <w:right w:val="nil"/>
            </w:tcBorders>
            <w:noWrap/>
            <w:vAlign w:val="center"/>
            <w:hideMark/>
          </w:tcPr>
          <w:p w:rsidRPr="00F529DA" w:rsidR="00DE09FE" w:rsidP="00DE09FE" w:rsidRDefault="00DE09FE" w14:paraId="5F8AEED5" w14:textId="3BEC6AB0">
            <w:pPr>
              <w:spacing w:line="240" w:lineRule="auto"/>
              <w:jc w:val="center"/>
              <w:rPr>
                <w:color w:val="000000"/>
                <w:sz w:val="16"/>
                <w:szCs w:val="16"/>
                <w:lang w:eastAsia="nl-NL"/>
              </w:rPr>
            </w:pPr>
            <w:r w:rsidRPr="00F529DA">
              <w:rPr>
                <w:color w:val="000000"/>
                <w:sz w:val="16"/>
                <w:szCs w:val="16"/>
                <w:lang w:eastAsia="nl-NL"/>
              </w:rPr>
              <w:t>€        77</w:t>
            </w:r>
          </w:p>
        </w:tc>
        <w:tc>
          <w:tcPr>
            <w:tcW w:w="1349" w:type="dxa"/>
            <w:tcBorders>
              <w:top w:val="nil"/>
              <w:left w:val="nil"/>
              <w:bottom w:val="nil"/>
              <w:right w:val="nil"/>
            </w:tcBorders>
            <w:noWrap/>
            <w:vAlign w:val="center"/>
            <w:hideMark/>
          </w:tcPr>
          <w:p w:rsidRPr="00F529DA" w:rsidR="00DE09FE" w:rsidP="003E77F1" w:rsidRDefault="00DE09FE" w14:paraId="6FF94734" w14:textId="789089A6">
            <w:pPr>
              <w:spacing w:line="240" w:lineRule="auto"/>
              <w:jc w:val="center"/>
              <w:rPr>
                <w:color w:val="000000"/>
                <w:sz w:val="16"/>
                <w:szCs w:val="16"/>
                <w:lang w:eastAsia="nl-NL"/>
              </w:rPr>
            </w:pPr>
            <w:r w:rsidRPr="00F529DA">
              <w:rPr>
                <w:color w:val="000000"/>
                <w:sz w:val="16"/>
                <w:szCs w:val="16"/>
                <w:lang w:eastAsia="nl-NL"/>
              </w:rPr>
              <w:t>€      9.240</w:t>
            </w:r>
          </w:p>
        </w:tc>
      </w:tr>
      <w:tr w:rsidRPr="00F529DA" w:rsidR="00DE09FE" w:rsidTr="003E77F1" w14:paraId="2261A767" w14:textId="77777777">
        <w:trPr>
          <w:trHeight w:val="270"/>
        </w:trPr>
        <w:tc>
          <w:tcPr>
            <w:tcW w:w="416" w:type="dxa"/>
            <w:tcBorders>
              <w:top w:val="nil"/>
              <w:left w:val="nil"/>
              <w:bottom w:val="nil"/>
              <w:right w:val="nil"/>
            </w:tcBorders>
            <w:noWrap/>
            <w:vAlign w:val="center"/>
            <w:hideMark/>
          </w:tcPr>
          <w:p w:rsidRPr="00F529DA" w:rsidR="00DE09FE" w:rsidP="00DE09FE" w:rsidRDefault="00DE09FE" w14:paraId="7406927F" w14:textId="77777777">
            <w:pPr>
              <w:spacing w:line="240" w:lineRule="auto"/>
              <w:rPr>
                <w:color w:val="000000"/>
                <w:sz w:val="16"/>
                <w:szCs w:val="16"/>
                <w:lang w:eastAsia="nl-NL"/>
              </w:rPr>
            </w:pPr>
          </w:p>
        </w:tc>
        <w:tc>
          <w:tcPr>
            <w:tcW w:w="3619" w:type="dxa"/>
            <w:gridSpan w:val="2"/>
            <w:tcBorders>
              <w:top w:val="nil"/>
              <w:left w:val="nil"/>
              <w:bottom w:val="nil"/>
              <w:right w:val="nil"/>
            </w:tcBorders>
            <w:noWrap/>
            <w:vAlign w:val="center"/>
            <w:hideMark/>
          </w:tcPr>
          <w:p w:rsidRPr="00F529DA" w:rsidR="00DE09FE" w:rsidP="00DE09FE" w:rsidRDefault="00DE09FE" w14:paraId="3B2F03E1" w14:textId="77777777">
            <w:pPr>
              <w:spacing w:line="240" w:lineRule="auto"/>
              <w:rPr>
                <w:color w:val="000000"/>
                <w:sz w:val="16"/>
                <w:szCs w:val="16"/>
                <w:lang w:eastAsia="nl-NL"/>
              </w:rPr>
            </w:pPr>
            <w:r w:rsidRPr="00F529DA">
              <w:rPr>
                <w:color w:val="000000"/>
                <w:sz w:val="16"/>
                <w:szCs w:val="16"/>
                <w:lang w:eastAsia="nl-NL"/>
              </w:rPr>
              <w:t>Overige zakelijk beleid</w:t>
            </w:r>
          </w:p>
        </w:tc>
        <w:tc>
          <w:tcPr>
            <w:tcW w:w="1348" w:type="dxa"/>
            <w:tcBorders>
              <w:top w:val="nil"/>
              <w:left w:val="nil"/>
              <w:bottom w:val="nil"/>
              <w:right w:val="nil"/>
            </w:tcBorders>
            <w:noWrap/>
            <w:vAlign w:val="center"/>
            <w:hideMark/>
          </w:tcPr>
          <w:p w:rsidRPr="00F529DA" w:rsidR="00DE09FE" w:rsidP="00DE09FE" w:rsidRDefault="00DE09FE" w14:paraId="15B49E64" w14:textId="77777777">
            <w:pPr>
              <w:spacing w:line="240" w:lineRule="auto"/>
              <w:jc w:val="center"/>
              <w:rPr>
                <w:color w:val="000000"/>
                <w:sz w:val="16"/>
                <w:szCs w:val="16"/>
                <w:lang w:eastAsia="nl-NL"/>
              </w:rPr>
            </w:pPr>
            <w:r w:rsidRPr="00F529DA">
              <w:rPr>
                <w:color w:val="000000"/>
                <w:sz w:val="16"/>
                <w:szCs w:val="16"/>
                <w:lang w:eastAsia="nl-NL"/>
              </w:rPr>
              <w:t>142</w:t>
            </w:r>
          </w:p>
        </w:tc>
        <w:tc>
          <w:tcPr>
            <w:tcW w:w="1348" w:type="dxa"/>
            <w:tcBorders>
              <w:top w:val="nil"/>
              <w:left w:val="nil"/>
              <w:bottom w:val="nil"/>
              <w:right w:val="nil"/>
            </w:tcBorders>
            <w:noWrap/>
            <w:vAlign w:val="center"/>
            <w:hideMark/>
          </w:tcPr>
          <w:p w:rsidRPr="00F529DA" w:rsidR="00DE09FE" w:rsidP="00DE09FE" w:rsidRDefault="00DE09FE" w14:paraId="4D2D1906" w14:textId="2E3EACE7">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3E77F1" w:rsidRDefault="00DE09FE" w14:paraId="5625EBF2" w14:textId="6F34CBCB">
            <w:pPr>
              <w:spacing w:line="240" w:lineRule="auto"/>
              <w:jc w:val="center"/>
              <w:rPr>
                <w:color w:val="000000"/>
                <w:sz w:val="16"/>
                <w:szCs w:val="16"/>
                <w:lang w:eastAsia="nl-NL"/>
              </w:rPr>
            </w:pPr>
            <w:r w:rsidRPr="00F529DA">
              <w:rPr>
                <w:color w:val="000000"/>
                <w:sz w:val="16"/>
                <w:szCs w:val="16"/>
                <w:lang w:eastAsia="nl-NL"/>
              </w:rPr>
              <w:t>€      7.668</w:t>
            </w:r>
          </w:p>
        </w:tc>
      </w:tr>
      <w:tr w:rsidRPr="00F529DA" w:rsidR="00DE09FE" w:rsidTr="003E77F1" w14:paraId="5C4666BD" w14:textId="77777777">
        <w:trPr>
          <w:trHeight w:val="270"/>
        </w:trPr>
        <w:tc>
          <w:tcPr>
            <w:tcW w:w="4035" w:type="dxa"/>
            <w:gridSpan w:val="3"/>
            <w:tcBorders>
              <w:top w:val="nil"/>
              <w:left w:val="nil"/>
              <w:bottom w:val="nil"/>
              <w:right w:val="nil"/>
            </w:tcBorders>
            <w:noWrap/>
            <w:vAlign w:val="center"/>
            <w:hideMark/>
          </w:tcPr>
          <w:p w:rsidRPr="00F529DA" w:rsidR="00DE09FE" w:rsidP="00DE09FE" w:rsidRDefault="00DE09FE" w14:paraId="3FB31158" w14:textId="77777777">
            <w:pPr>
              <w:spacing w:line="240" w:lineRule="auto"/>
              <w:rPr>
                <w:color w:val="000000"/>
                <w:sz w:val="16"/>
                <w:szCs w:val="16"/>
                <w:lang w:eastAsia="nl-NL"/>
              </w:rPr>
            </w:pPr>
            <w:r w:rsidRPr="00F529DA">
              <w:rPr>
                <w:color w:val="000000"/>
                <w:sz w:val="16"/>
                <w:szCs w:val="16"/>
                <w:lang w:eastAsia="nl-NL"/>
              </w:rPr>
              <w:t>Schrijven en redactie</w:t>
            </w:r>
          </w:p>
        </w:tc>
        <w:tc>
          <w:tcPr>
            <w:tcW w:w="1348" w:type="dxa"/>
            <w:tcBorders>
              <w:top w:val="nil"/>
              <w:left w:val="nil"/>
              <w:bottom w:val="nil"/>
              <w:right w:val="nil"/>
            </w:tcBorders>
            <w:noWrap/>
            <w:vAlign w:val="center"/>
            <w:hideMark/>
          </w:tcPr>
          <w:p w:rsidRPr="00F529DA" w:rsidR="00DE09FE" w:rsidP="00DE09FE" w:rsidRDefault="00DE09FE" w14:paraId="53AD2ABE" w14:textId="77777777">
            <w:pPr>
              <w:spacing w:line="240" w:lineRule="auto"/>
              <w:jc w:val="center"/>
              <w:rPr>
                <w:color w:val="000000"/>
                <w:sz w:val="16"/>
                <w:szCs w:val="16"/>
                <w:lang w:eastAsia="nl-NL"/>
              </w:rPr>
            </w:pPr>
            <w:r w:rsidRPr="00F529DA">
              <w:rPr>
                <w:color w:val="000000"/>
                <w:sz w:val="16"/>
                <w:szCs w:val="16"/>
                <w:lang w:eastAsia="nl-NL"/>
              </w:rPr>
              <w:t>21</w:t>
            </w:r>
          </w:p>
        </w:tc>
        <w:tc>
          <w:tcPr>
            <w:tcW w:w="1348" w:type="dxa"/>
            <w:tcBorders>
              <w:top w:val="nil"/>
              <w:left w:val="nil"/>
              <w:bottom w:val="nil"/>
              <w:right w:val="nil"/>
            </w:tcBorders>
            <w:noWrap/>
            <w:vAlign w:val="center"/>
            <w:hideMark/>
          </w:tcPr>
          <w:p w:rsidRPr="00F529DA" w:rsidR="00DE09FE" w:rsidP="00DE09FE" w:rsidRDefault="00DE09FE" w14:paraId="354DA9B2" w14:textId="2870FD61">
            <w:pPr>
              <w:spacing w:line="240" w:lineRule="auto"/>
              <w:jc w:val="center"/>
              <w:rPr>
                <w:color w:val="000000"/>
                <w:sz w:val="16"/>
                <w:szCs w:val="16"/>
                <w:lang w:eastAsia="nl-NL"/>
              </w:rPr>
            </w:pPr>
            <w:r w:rsidRPr="00F529DA">
              <w:rPr>
                <w:color w:val="000000"/>
                <w:sz w:val="16"/>
                <w:szCs w:val="16"/>
                <w:lang w:eastAsia="nl-NL"/>
              </w:rPr>
              <w:t>€        39</w:t>
            </w:r>
          </w:p>
        </w:tc>
        <w:tc>
          <w:tcPr>
            <w:tcW w:w="1349" w:type="dxa"/>
            <w:tcBorders>
              <w:top w:val="nil"/>
              <w:left w:val="nil"/>
              <w:bottom w:val="nil"/>
              <w:right w:val="nil"/>
            </w:tcBorders>
            <w:noWrap/>
            <w:vAlign w:val="center"/>
            <w:hideMark/>
          </w:tcPr>
          <w:p w:rsidRPr="00F529DA" w:rsidR="00DE09FE" w:rsidP="003E77F1" w:rsidRDefault="00DE09FE" w14:paraId="7F73D000" w14:textId="6DFBC912">
            <w:pPr>
              <w:spacing w:line="240" w:lineRule="auto"/>
              <w:jc w:val="center"/>
              <w:rPr>
                <w:color w:val="000000"/>
                <w:sz w:val="16"/>
                <w:szCs w:val="16"/>
                <w:lang w:eastAsia="nl-NL"/>
              </w:rPr>
            </w:pPr>
            <w:r w:rsidRPr="00F529DA">
              <w:rPr>
                <w:color w:val="000000"/>
                <w:sz w:val="16"/>
                <w:szCs w:val="16"/>
                <w:lang w:eastAsia="nl-NL"/>
              </w:rPr>
              <w:t>€         819</w:t>
            </w:r>
          </w:p>
        </w:tc>
      </w:tr>
      <w:tr w:rsidRPr="00F529DA" w:rsidR="00DE09FE" w:rsidTr="003E77F1" w14:paraId="1C34EE1B" w14:textId="77777777">
        <w:trPr>
          <w:trHeight w:val="270"/>
        </w:trPr>
        <w:tc>
          <w:tcPr>
            <w:tcW w:w="1248" w:type="dxa"/>
            <w:gridSpan w:val="2"/>
            <w:tcBorders>
              <w:top w:val="nil"/>
              <w:left w:val="nil"/>
              <w:bottom w:val="nil"/>
              <w:right w:val="nil"/>
            </w:tcBorders>
            <w:noWrap/>
            <w:vAlign w:val="center"/>
            <w:hideMark/>
          </w:tcPr>
          <w:p w:rsidRPr="00F529DA" w:rsidR="00DE09FE" w:rsidP="00DE09FE" w:rsidRDefault="00DE09FE" w14:paraId="2003E45D" w14:textId="77777777">
            <w:pPr>
              <w:spacing w:line="240" w:lineRule="auto"/>
              <w:rPr>
                <w:color w:val="000000"/>
                <w:sz w:val="16"/>
                <w:szCs w:val="16"/>
                <w:lang w:eastAsia="nl-NL"/>
              </w:rPr>
            </w:pPr>
            <w:r w:rsidRPr="00F529DA">
              <w:rPr>
                <w:color w:val="000000"/>
                <w:sz w:val="16"/>
                <w:szCs w:val="16"/>
                <w:lang w:eastAsia="nl-NL"/>
              </w:rPr>
              <w:t>Vormgeving</w:t>
            </w:r>
          </w:p>
        </w:tc>
        <w:tc>
          <w:tcPr>
            <w:tcW w:w="2787" w:type="dxa"/>
            <w:tcBorders>
              <w:top w:val="nil"/>
              <w:left w:val="nil"/>
              <w:bottom w:val="nil"/>
              <w:right w:val="nil"/>
            </w:tcBorders>
            <w:noWrap/>
            <w:vAlign w:val="center"/>
            <w:hideMark/>
          </w:tcPr>
          <w:p w:rsidRPr="00F529DA" w:rsidR="00DE09FE" w:rsidP="00DE09FE" w:rsidRDefault="00DE09FE" w14:paraId="505C8293" w14:textId="77777777">
            <w:pPr>
              <w:spacing w:line="240" w:lineRule="auto"/>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DE09FE" w:rsidRDefault="00DE09FE" w14:paraId="080A237D" w14:textId="77777777">
            <w:pPr>
              <w:spacing w:line="240" w:lineRule="auto"/>
              <w:jc w:val="center"/>
              <w:rPr>
                <w:color w:val="000000"/>
                <w:sz w:val="16"/>
                <w:szCs w:val="16"/>
                <w:lang w:eastAsia="nl-NL"/>
              </w:rPr>
            </w:pPr>
            <w:r w:rsidRPr="00F529DA">
              <w:rPr>
                <w:color w:val="000000"/>
                <w:sz w:val="16"/>
                <w:szCs w:val="16"/>
                <w:lang w:eastAsia="nl-NL"/>
              </w:rPr>
              <w:t>40</w:t>
            </w:r>
          </w:p>
        </w:tc>
        <w:tc>
          <w:tcPr>
            <w:tcW w:w="1348" w:type="dxa"/>
            <w:tcBorders>
              <w:top w:val="nil"/>
              <w:left w:val="nil"/>
              <w:bottom w:val="nil"/>
              <w:right w:val="nil"/>
            </w:tcBorders>
            <w:noWrap/>
            <w:vAlign w:val="center"/>
            <w:hideMark/>
          </w:tcPr>
          <w:p w:rsidRPr="00F529DA" w:rsidR="00DE09FE" w:rsidP="00DE09FE" w:rsidRDefault="00DE09FE" w14:paraId="08001CF9" w14:textId="7905A9B4">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3E77F1" w:rsidRDefault="00DE09FE" w14:paraId="07643688" w14:textId="2DED6BF9">
            <w:pPr>
              <w:spacing w:line="240" w:lineRule="auto"/>
              <w:jc w:val="center"/>
              <w:rPr>
                <w:color w:val="000000"/>
                <w:sz w:val="16"/>
                <w:szCs w:val="16"/>
                <w:lang w:eastAsia="nl-NL"/>
              </w:rPr>
            </w:pPr>
            <w:r w:rsidRPr="00F529DA">
              <w:rPr>
                <w:color w:val="000000"/>
                <w:sz w:val="16"/>
                <w:szCs w:val="16"/>
                <w:lang w:eastAsia="nl-NL"/>
              </w:rPr>
              <w:t>€      2.160</w:t>
            </w:r>
          </w:p>
        </w:tc>
      </w:tr>
      <w:tr w:rsidRPr="00F529DA" w:rsidR="00DE09FE" w:rsidTr="003E77F1" w14:paraId="4F18F136" w14:textId="77777777">
        <w:trPr>
          <w:trHeight w:val="270"/>
        </w:trPr>
        <w:tc>
          <w:tcPr>
            <w:tcW w:w="1248" w:type="dxa"/>
            <w:gridSpan w:val="2"/>
            <w:tcBorders>
              <w:top w:val="nil"/>
              <w:left w:val="nil"/>
              <w:bottom w:val="nil"/>
              <w:right w:val="nil"/>
            </w:tcBorders>
            <w:noWrap/>
            <w:vAlign w:val="center"/>
            <w:hideMark/>
          </w:tcPr>
          <w:p w:rsidRPr="00F529DA" w:rsidR="00DE09FE" w:rsidP="00DE09FE" w:rsidRDefault="00DE09FE" w14:paraId="716708E7" w14:textId="77777777">
            <w:pPr>
              <w:spacing w:line="240" w:lineRule="auto"/>
              <w:rPr>
                <w:color w:val="000000"/>
                <w:sz w:val="16"/>
                <w:szCs w:val="16"/>
                <w:lang w:eastAsia="nl-NL"/>
              </w:rPr>
            </w:pPr>
            <w:r w:rsidRPr="00F529DA">
              <w:rPr>
                <w:color w:val="000000"/>
                <w:sz w:val="16"/>
                <w:szCs w:val="16"/>
                <w:lang w:eastAsia="nl-NL"/>
              </w:rPr>
              <w:t>Bureaukosten</w:t>
            </w:r>
          </w:p>
        </w:tc>
        <w:tc>
          <w:tcPr>
            <w:tcW w:w="2787" w:type="dxa"/>
            <w:tcBorders>
              <w:top w:val="nil"/>
              <w:left w:val="nil"/>
              <w:bottom w:val="nil"/>
              <w:right w:val="nil"/>
            </w:tcBorders>
            <w:noWrap/>
            <w:vAlign w:val="center"/>
            <w:hideMark/>
          </w:tcPr>
          <w:p w:rsidRPr="00F529DA" w:rsidR="00DE09FE" w:rsidP="00DE09FE" w:rsidRDefault="00DE09FE" w14:paraId="18CD751D" w14:textId="77777777">
            <w:pPr>
              <w:spacing w:line="240" w:lineRule="auto"/>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DE09FE" w:rsidRDefault="00DE09FE" w14:paraId="1D12A24B" w14:textId="0853F824">
            <w:pPr>
              <w:spacing w:line="240" w:lineRule="auto"/>
              <w:jc w:val="center"/>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DE09FE" w:rsidRDefault="00DE09FE" w14:paraId="6EE8D908" w14:textId="186337E6">
            <w:pPr>
              <w:spacing w:line="240" w:lineRule="auto"/>
              <w:jc w:val="center"/>
              <w:rPr>
                <w:color w:val="000000"/>
                <w:sz w:val="16"/>
                <w:szCs w:val="16"/>
                <w:lang w:eastAsia="nl-NL"/>
              </w:rPr>
            </w:pPr>
          </w:p>
        </w:tc>
        <w:tc>
          <w:tcPr>
            <w:tcW w:w="1349" w:type="dxa"/>
            <w:tcBorders>
              <w:top w:val="nil"/>
              <w:left w:val="nil"/>
              <w:bottom w:val="nil"/>
              <w:right w:val="nil"/>
            </w:tcBorders>
            <w:noWrap/>
            <w:vAlign w:val="center"/>
            <w:hideMark/>
          </w:tcPr>
          <w:p w:rsidRPr="00F529DA" w:rsidR="00DE09FE" w:rsidP="003E77F1" w:rsidRDefault="00DE09FE" w14:paraId="75DAF42D" w14:textId="6D750BA6">
            <w:pPr>
              <w:spacing w:line="240" w:lineRule="auto"/>
              <w:jc w:val="center"/>
              <w:rPr>
                <w:color w:val="000000"/>
                <w:sz w:val="16"/>
                <w:szCs w:val="16"/>
                <w:lang w:eastAsia="nl-NL"/>
              </w:rPr>
            </w:pPr>
            <w:r w:rsidRPr="00F529DA">
              <w:rPr>
                <w:color w:val="000000"/>
                <w:sz w:val="16"/>
                <w:szCs w:val="16"/>
                <w:lang w:eastAsia="nl-NL"/>
              </w:rPr>
              <w:t>€      1.000</w:t>
            </w:r>
          </w:p>
        </w:tc>
      </w:tr>
      <w:tr w:rsidRPr="00F529DA" w:rsidR="00DE09FE" w:rsidTr="003E77F1" w14:paraId="69A9D4CD" w14:textId="77777777">
        <w:trPr>
          <w:trHeight w:val="270"/>
        </w:trPr>
        <w:tc>
          <w:tcPr>
            <w:tcW w:w="4035" w:type="dxa"/>
            <w:gridSpan w:val="3"/>
            <w:tcBorders>
              <w:top w:val="nil"/>
              <w:left w:val="nil"/>
              <w:bottom w:val="nil"/>
              <w:right w:val="nil"/>
            </w:tcBorders>
            <w:noWrap/>
            <w:vAlign w:val="center"/>
            <w:hideMark/>
          </w:tcPr>
          <w:p w:rsidRPr="00F529DA" w:rsidR="00DE09FE" w:rsidP="00DE09FE" w:rsidRDefault="00DE09FE" w14:paraId="17876FE4" w14:textId="77777777">
            <w:pPr>
              <w:spacing w:line="240" w:lineRule="auto"/>
              <w:rPr>
                <w:color w:val="000000"/>
                <w:sz w:val="16"/>
                <w:szCs w:val="16"/>
                <w:lang w:eastAsia="nl-NL"/>
              </w:rPr>
            </w:pPr>
            <w:r w:rsidRPr="00F529DA">
              <w:rPr>
                <w:color w:val="000000"/>
                <w:sz w:val="16"/>
                <w:szCs w:val="16"/>
                <w:lang w:eastAsia="nl-NL"/>
              </w:rPr>
              <w:t>Formulieren invullen</w:t>
            </w:r>
          </w:p>
        </w:tc>
        <w:tc>
          <w:tcPr>
            <w:tcW w:w="1348" w:type="dxa"/>
            <w:tcBorders>
              <w:top w:val="nil"/>
              <w:left w:val="nil"/>
              <w:bottom w:val="nil"/>
              <w:right w:val="nil"/>
            </w:tcBorders>
            <w:noWrap/>
            <w:vAlign w:val="center"/>
            <w:hideMark/>
          </w:tcPr>
          <w:p w:rsidRPr="00F529DA" w:rsidR="00DE09FE" w:rsidP="00DE09FE" w:rsidRDefault="00DE09FE" w14:paraId="41DC380C" w14:textId="77777777">
            <w:pPr>
              <w:spacing w:line="240" w:lineRule="auto"/>
              <w:jc w:val="center"/>
              <w:rPr>
                <w:color w:val="000000"/>
                <w:sz w:val="16"/>
                <w:szCs w:val="16"/>
                <w:lang w:eastAsia="nl-NL"/>
              </w:rPr>
            </w:pPr>
            <w:r w:rsidRPr="00F529DA">
              <w:rPr>
                <w:color w:val="000000"/>
                <w:sz w:val="16"/>
                <w:szCs w:val="16"/>
                <w:lang w:eastAsia="nl-NL"/>
              </w:rPr>
              <w:t>5</w:t>
            </w:r>
          </w:p>
        </w:tc>
        <w:tc>
          <w:tcPr>
            <w:tcW w:w="1348" w:type="dxa"/>
            <w:tcBorders>
              <w:top w:val="nil"/>
              <w:left w:val="nil"/>
              <w:bottom w:val="nil"/>
              <w:right w:val="nil"/>
            </w:tcBorders>
            <w:noWrap/>
            <w:vAlign w:val="center"/>
            <w:hideMark/>
          </w:tcPr>
          <w:p w:rsidRPr="00F529DA" w:rsidR="00DE09FE" w:rsidP="00DE09FE" w:rsidRDefault="00DE09FE" w14:paraId="385F035F" w14:textId="242A86F1">
            <w:pPr>
              <w:spacing w:line="240" w:lineRule="auto"/>
              <w:jc w:val="center"/>
              <w:rPr>
                <w:color w:val="000000"/>
                <w:sz w:val="16"/>
                <w:szCs w:val="16"/>
                <w:lang w:eastAsia="nl-NL"/>
              </w:rPr>
            </w:pPr>
            <w:r w:rsidRPr="00F529DA">
              <w:rPr>
                <w:color w:val="000000"/>
                <w:sz w:val="16"/>
                <w:szCs w:val="16"/>
                <w:lang w:eastAsia="nl-NL"/>
              </w:rPr>
              <w:t>€        39</w:t>
            </w:r>
          </w:p>
        </w:tc>
        <w:tc>
          <w:tcPr>
            <w:tcW w:w="1349" w:type="dxa"/>
            <w:tcBorders>
              <w:top w:val="nil"/>
              <w:left w:val="nil"/>
              <w:bottom w:val="nil"/>
              <w:right w:val="nil"/>
            </w:tcBorders>
            <w:noWrap/>
            <w:vAlign w:val="center"/>
            <w:hideMark/>
          </w:tcPr>
          <w:p w:rsidRPr="00F529DA" w:rsidR="00DE09FE" w:rsidP="003E77F1" w:rsidRDefault="00DE09FE" w14:paraId="30111347" w14:textId="013A8909">
            <w:pPr>
              <w:spacing w:line="240" w:lineRule="auto"/>
              <w:jc w:val="center"/>
              <w:rPr>
                <w:color w:val="000000"/>
                <w:sz w:val="16"/>
                <w:szCs w:val="16"/>
                <w:u w:val="single"/>
                <w:lang w:eastAsia="nl-NL"/>
              </w:rPr>
            </w:pPr>
            <w:r w:rsidRPr="00F529DA">
              <w:rPr>
                <w:color w:val="000000"/>
                <w:sz w:val="16"/>
                <w:szCs w:val="16"/>
                <w:u w:val="single"/>
                <w:lang w:eastAsia="nl-NL"/>
              </w:rPr>
              <w:t>€         195</w:t>
            </w:r>
          </w:p>
        </w:tc>
      </w:tr>
      <w:tr w:rsidRPr="00F529DA" w:rsidR="007D20C5" w:rsidTr="003E77F1" w14:paraId="3BCFB1F6" w14:textId="77777777">
        <w:trPr>
          <w:trHeight w:val="270"/>
        </w:trPr>
        <w:tc>
          <w:tcPr>
            <w:tcW w:w="4035" w:type="dxa"/>
            <w:gridSpan w:val="3"/>
            <w:tcBorders>
              <w:top w:val="nil"/>
              <w:left w:val="nil"/>
              <w:bottom w:val="nil"/>
              <w:right w:val="nil"/>
            </w:tcBorders>
            <w:noWrap/>
            <w:vAlign w:val="center"/>
            <w:hideMark/>
          </w:tcPr>
          <w:p w:rsidRPr="00F529DA" w:rsidR="007D20C5" w:rsidP="00DE09FE" w:rsidRDefault="007D20C5" w14:paraId="4CC80AA4" w14:textId="77777777">
            <w:pPr>
              <w:spacing w:line="240" w:lineRule="auto"/>
              <w:rPr>
                <w:color w:val="000000"/>
                <w:sz w:val="16"/>
                <w:szCs w:val="16"/>
                <w:lang w:eastAsia="nl-NL"/>
              </w:rPr>
            </w:pPr>
            <w:r w:rsidRPr="00F529DA">
              <w:rPr>
                <w:color w:val="000000"/>
                <w:sz w:val="16"/>
                <w:szCs w:val="16"/>
                <w:lang w:eastAsia="nl-NL"/>
              </w:rPr>
              <w:t>Totaal</w:t>
            </w:r>
          </w:p>
        </w:tc>
        <w:tc>
          <w:tcPr>
            <w:tcW w:w="1348" w:type="dxa"/>
            <w:tcBorders>
              <w:top w:val="nil"/>
              <w:left w:val="nil"/>
              <w:bottom w:val="nil"/>
              <w:right w:val="nil"/>
            </w:tcBorders>
            <w:noWrap/>
            <w:vAlign w:val="center"/>
            <w:hideMark/>
          </w:tcPr>
          <w:p w:rsidRPr="00F529DA" w:rsidR="007D20C5" w:rsidP="00DE09FE" w:rsidRDefault="007D20C5" w14:paraId="314D042E" w14:textId="3DA7CDED">
            <w:pPr>
              <w:spacing w:line="240" w:lineRule="auto"/>
              <w:jc w:val="center"/>
              <w:rPr>
                <w:color w:val="000000"/>
                <w:sz w:val="16"/>
                <w:szCs w:val="16"/>
                <w:lang w:eastAsia="nl-NL"/>
              </w:rPr>
            </w:pPr>
          </w:p>
        </w:tc>
        <w:tc>
          <w:tcPr>
            <w:tcW w:w="1348" w:type="dxa"/>
            <w:tcBorders>
              <w:top w:val="nil"/>
              <w:left w:val="nil"/>
              <w:bottom w:val="nil"/>
              <w:right w:val="nil"/>
            </w:tcBorders>
            <w:noWrap/>
            <w:vAlign w:val="center"/>
            <w:hideMark/>
          </w:tcPr>
          <w:p w:rsidRPr="00F529DA" w:rsidR="007D20C5" w:rsidP="00DE09FE" w:rsidRDefault="007D20C5" w14:paraId="72A620F0" w14:textId="6993C4A7">
            <w:pPr>
              <w:spacing w:line="240" w:lineRule="auto"/>
              <w:jc w:val="center"/>
              <w:rPr>
                <w:color w:val="000000"/>
                <w:sz w:val="16"/>
                <w:szCs w:val="16"/>
                <w:lang w:eastAsia="nl-NL"/>
              </w:rPr>
            </w:pPr>
          </w:p>
        </w:tc>
        <w:tc>
          <w:tcPr>
            <w:tcW w:w="1349" w:type="dxa"/>
            <w:tcBorders>
              <w:top w:val="nil"/>
              <w:left w:val="nil"/>
              <w:bottom w:val="nil"/>
              <w:right w:val="nil"/>
            </w:tcBorders>
            <w:noWrap/>
            <w:vAlign w:val="center"/>
            <w:hideMark/>
          </w:tcPr>
          <w:p w:rsidRPr="00F529DA" w:rsidR="007D20C5" w:rsidP="00DE09FE" w:rsidRDefault="007D20C5" w14:paraId="6A4A9B49" w14:textId="54425E34">
            <w:pPr>
              <w:spacing w:line="240" w:lineRule="auto"/>
              <w:jc w:val="center"/>
              <w:rPr>
                <w:color w:val="000000"/>
                <w:sz w:val="16"/>
                <w:szCs w:val="16"/>
                <w:lang w:eastAsia="nl-NL"/>
              </w:rPr>
            </w:pPr>
            <w:r w:rsidRPr="00F529DA">
              <w:rPr>
                <w:color w:val="000000"/>
                <w:sz w:val="16"/>
                <w:szCs w:val="16"/>
                <w:lang w:eastAsia="nl-NL"/>
              </w:rPr>
              <w:t>€    49.818</w:t>
            </w:r>
          </w:p>
        </w:tc>
      </w:tr>
    </w:tbl>
    <w:p w:rsidRPr="00F529DA" w:rsidR="00DE09FE" w:rsidP="00877731" w:rsidRDefault="00DE09FE" w14:paraId="61A6AC05" w14:textId="77777777">
      <w:pPr>
        <w:spacing w:line="276" w:lineRule="auto"/>
        <w:rPr>
          <w:rFonts w:eastAsia="Calibri"/>
          <w:kern w:val="2"/>
          <w:szCs w:val="18"/>
          <w14:ligatures w14:val="standardContextual"/>
        </w:rPr>
      </w:pPr>
    </w:p>
    <w:tbl>
      <w:tblPr>
        <w:tblW w:w="8080" w:type="dxa"/>
        <w:tblLayout w:type="fixed"/>
        <w:tblCellMar>
          <w:left w:w="70" w:type="dxa"/>
          <w:right w:w="70" w:type="dxa"/>
        </w:tblCellMar>
        <w:tblLook w:val="04A0" w:firstRow="1" w:lastRow="0" w:firstColumn="1" w:lastColumn="0" w:noHBand="0" w:noVBand="1"/>
      </w:tblPr>
      <w:tblGrid>
        <w:gridCol w:w="416"/>
        <w:gridCol w:w="832"/>
        <w:gridCol w:w="2787"/>
        <w:gridCol w:w="1348"/>
        <w:gridCol w:w="1348"/>
        <w:gridCol w:w="1349"/>
      </w:tblGrid>
      <w:tr w:rsidRPr="00F529DA" w:rsidR="00B05D2F" w:rsidTr="00B05D2F" w14:paraId="4A57240B" w14:textId="77777777">
        <w:trPr>
          <w:trHeight w:val="270"/>
        </w:trPr>
        <w:tc>
          <w:tcPr>
            <w:tcW w:w="4035" w:type="dxa"/>
            <w:gridSpan w:val="3"/>
            <w:tcBorders>
              <w:top w:val="nil"/>
              <w:left w:val="nil"/>
              <w:bottom w:val="nil"/>
              <w:right w:val="nil"/>
            </w:tcBorders>
            <w:noWrap/>
            <w:vAlign w:val="center"/>
          </w:tcPr>
          <w:p w:rsidRPr="00F529DA" w:rsidR="00DE09FE" w:rsidP="005176A5" w:rsidRDefault="005176A5" w14:paraId="0BD0BD90" w14:textId="74D51460">
            <w:pPr>
              <w:spacing w:line="240" w:lineRule="auto"/>
              <w:rPr>
                <w:color w:val="000000"/>
                <w:sz w:val="16"/>
                <w:szCs w:val="16"/>
                <w:lang w:eastAsia="nl-NL"/>
              </w:rPr>
            </w:pPr>
            <w:r w:rsidRPr="00F529DA">
              <w:rPr>
                <w:b/>
                <w:bCs/>
                <w:color w:val="000000"/>
                <w:sz w:val="16"/>
                <w:szCs w:val="16"/>
              </w:rPr>
              <w:t>Grote organisaties</w:t>
            </w:r>
          </w:p>
        </w:tc>
        <w:tc>
          <w:tcPr>
            <w:tcW w:w="1348" w:type="dxa"/>
            <w:tcBorders>
              <w:top w:val="nil"/>
              <w:left w:val="nil"/>
              <w:bottom w:val="nil"/>
              <w:right w:val="nil"/>
            </w:tcBorders>
            <w:noWrap/>
            <w:vAlign w:val="center"/>
          </w:tcPr>
          <w:p w:rsidRPr="00F529DA" w:rsidR="00DE09FE" w:rsidP="005176A5" w:rsidRDefault="00DE09FE" w14:paraId="6204E699" w14:textId="77777777">
            <w:pPr>
              <w:spacing w:line="240" w:lineRule="auto"/>
              <w:jc w:val="center"/>
              <w:rPr>
                <w:color w:val="000000"/>
                <w:sz w:val="16"/>
                <w:szCs w:val="16"/>
                <w:lang w:eastAsia="nl-NL"/>
              </w:rPr>
            </w:pPr>
            <w:r w:rsidRPr="00F529DA">
              <w:rPr>
                <w:b/>
                <w:bCs/>
                <w:color w:val="000000"/>
                <w:sz w:val="16"/>
                <w:szCs w:val="16"/>
              </w:rPr>
              <w:t>Uren</w:t>
            </w:r>
          </w:p>
        </w:tc>
        <w:tc>
          <w:tcPr>
            <w:tcW w:w="1348" w:type="dxa"/>
            <w:tcBorders>
              <w:top w:val="nil"/>
              <w:left w:val="nil"/>
              <w:bottom w:val="nil"/>
              <w:right w:val="nil"/>
            </w:tcBorders>
            <w:noWrap/>
            <w:vAlign w:val="center"/>
          </w:tcPr>
          <w:p w:rsidRPr="00F529DA" w:rsidR="00DE09FE" w:rsidP="005176A5" w:rsidRDefault="00DE09FE" w14:paraId="710F58A4" w14:textId="77777777">
            <w:pPr>
              <w:spacing w:line="240" w:lineRule="auto"/>
              <w:jc w:val="center"/>
              <w:rPr>
                <w:color w:val="000000"/>
                <w:sz w:val="16"/>
                <w:szCs w:val="16"/>
                <w:lang w:eastAsia="nl-NL"/>
              </w:rPr>
            </w:pPr>
            <w:r w:rsidRPr="00F529DA">
              <w:rPr>
                <w:b/>
                <w:bCs/>
                <w:color w:val="000000"/>
                <w:sz w:val="16"/>
                <w:szCs w:val="16"/>
              </w:rPr>
              <w:t>Tarief</w:t>
            </w:r>
          </w:p>
        </w:tc>
        <w:tc>
          <w:tcPr>
            <w:tcW w:w="1349" w:type="dxa"/>
            <w:tcBorders>
              <w:top w:val="nil"/>
              <w:left w:val="nil"/>
              <w:bottom w:val="nil"/>
              <w:right w:val="nil"/>
            </w:tcBorders>
            <w:noWrap/>
            <w:vAlign w:val="center"/>
          </w:tcPr>
          <w:p w:rsidRPr="00F529DA" w:rsidR="00DE09FE" w:rsidP="005176A5" w:rsidRDefault="00DE09FE" w14:paraId="74C87C58" w14:textId="77777777">
            <w:pPr>
              <w:spacing w:line="240" w:lineRule="auto"/>
              <w:jc w:val="center"/>
              <w:rPr>
                <w:color w:val="000000"/>
                <w:sz w:val="16"/>
                <w:szCs w:val="16"/>
                <w:lang w:eastAsia="nl-NL"/>
              </w:rPr>
            </w:pPr>
            <w:r w:rsidRPr="00F529DA">
              <w:rPr>
                <w:b/>
                <w:bCs/>
                <w:color w:val="000000"/>
                <w:sz w:val="16"/>
                <w:szCs w:val="16"/>
              </w:rPr>
              <w:t>Kosten</w:t>
            </w:r>
          </w:p>
        </w:tc>
      </w:tr>
      <w:tr w:rsidRPr="00F529DA" w:rsidR="007D20C5" w:rsidTr="003E77F1" w14:paraId="4837A93C" w14:textId="77777777">
        <w:trPr>
          <w:trHeight w:val="270"/>
        </w:trPr>
        <w:tc>
          <w:tcPr>
            <w:tcW w:w="4035" w:type="dxa"/>
            <w:gridSpan w:val="3"/>
            <w:tcBorders>
              <w:top w:val="nil"/>
              <w:left w:val="nil"/>
              <w:bottom w:val="nil"/>
              <w:right w:val="nil"/>
            </w:tcBorders>
            <w:noWrap/>
            <w:vAlign w:val="center"/>
            <w:hideMark/>
          </w:tcPr>
          <w:p w:rsidRPr="00F529DA" w:rsidR="00DE09FE" w:rsidP="005176A5" w:rsidRDefault="00DE09FE" w14:paraId="0C0E9F61" w14:textId="77777777">
            <w:pPr>
              <w:spacing w:line="240" w:lineRule="auto"/>
              <w:rPr>
                <w:color w:val="000000"/>
                <w:sz w:val="16"/>
                <w:szCs w:val="16"/>
                <w:lang w:eastAsia="nl-NL"/>
              </w:rPr>
            </w:pPr>
            <w:r w:rsidRPr="00F529DA">
              <w:rPr>
                <w:color w:val="000000"/>
                <w:sz w:val="16"/>
                <w:szCs w:val="16"/>
                <w:lang w:eastAsia="nl-NL"/>
              </w:rPr>
              <w:t>Kennisgeving regeling</w:t>
            </w:r>
          </w:p>
        </w:tc>
        <w:tc>
          <w:tcPr>
            <w:tcW w:w="1348" w:type="dxa"/>
            <w:tcBorders>
              <w:top w:val="nil"/>
              <w:left w:val="nil"/>
              <w:bottom w:val="nil"/>
              <w:right w:val="nil"/>
            </w:tcBorders>
            <w:noWrap/>
            <w:vAlign w:val="center"/>
            <w:hideMark/>
          </w:tcPr>
          <w:p w:rsidRPr="00F529DA" w:rsidR="00DE09FE" w:rsidP="005176A5" w:rsidRDefault="00DE09FE" w14:paraId="2804F680" w14:textId="5F7B9391">
            <w:pPr>
              <w:spacing w:line="240" w:lineRule="auto"/>
              <w:jc w:val="center"/>
              <w:rPr>
                <w:color w:val="000000"/>
                <w:sz w:val="16"/>
                <w:szCs w:val="16"/>
                <w:lang w:eastAsia="nl-NL"/>
              </w:rPr>
            </w:pPr>
            <w:r w:rsidRPr="00F529DA">
              <w:rPr>
                <w:color w:val="000000"/>
                <w:sz w:val="16"/>
                <w:szCs w:val="16"/>
                <w:lang w:eastAsia="nl-NL"/>
              </w:rPr>
              <w:t>32</w:t>
            </w:r>
          </w:p>
        </w:tc>
        <w:tc>
          <w:tcPr>
            <w:tcW w:w="1348" w:type="dxa"/>
            <w:tcBorders>
              <w:top w:val="nil"/>
              <w:left w:val="nil"/>
              <w:bottom w:val="nil"/>
              <w:right w:val="nil"/>
            </w:tcBorders>
            <w:noWrap/>
            <w:vAlign w:val="center"/>
            <w:hideMark/>
          </w:tcPr>
          <w:p w:rsidRPr="00F529DA" w:rsidR="00DE09FE" w:rsidP="005176A5" w:rsidRDefault="00DE09FE" w14:paraId="6171510F" w14:textId="77777777">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5176A5" w:rsidRDefault="00DE09FE" w14:paraId="533F8E01" w14:textId="59699637">
            <w:pPr>
              <w:spacing w:line="240" w:lineRule="auto"/>
              <w:jc w:val="center"/>
              <w:rPr>
                <w:color w:val="000000"/>
                <w:sz w:val="16"/>
                <w:szCs w:val="16"/>
                <w:lang w:eastAsia="nl-NL"/>
              </w:rPr>
            </w:pPr>
            <w:r w:rsidRPr="00F529DA">
              <w:rPr>
                <w:color w:val="000000"/>
                <w:sz w:val="16"/>
                <w:szCs w:val="16"/>
              </w:rPr>
              <w:t>€      1.728</w:t>
            </w:r>
          </w:p>
        </w:tc>
      </w:tr>
      <w:tr w:rsidRPr="00F529DA" w:rsidR="007D20C5" w:rsidTr="003E77F1" w14:paraId="2BEE9562" w14:textId="77777777">
        <w:trPr>
          <w:trHeight w:val="270"/>
        </w:trPr>
        <w:tc>
          <w:tcPr>
            <w:tcW w:w="4035" w:type="dxa"/>
            <w:gridSpan w:val="3"/>
            <w:tcBorders>
              <w:top w:val="nil"/>
              <w:left w:val="nil"/>
              <w:bottom w:val="nil"/>
              <w:right w:val="nil"/>
            </w:tcBorders>
            <w:noWrap/>
            <w:vAlign w:val="center"/>
            <w:hideMark/>
          </w:tcPr>
          <w:p w:rsidRPr="00F529DA" w:rsidR="00DE09FE" w:rsidP="005176A5" w:rsidRDefault="00DE09FE" w14:paraId="1A6439B7" w14:textId="77777777">
            <w:pPr>
              <w:spacing w:line="240" w:lineRule="auto"/>
              <w:rPr>
                <w:color w:val="000000"/>
                <w:sz w:val="16"/>
                <w:szCs w:val="16"/>
                <w:lang w:eastAsia="nl-NL"/>
              </w:rPr>
            </w:pPr>
            <w:r w:rsidRPr="00F529DA">
              <w:rPr>
                <w:color w:val="000000"/>
                <w:sz w:val="16"/>
                <w:szCs w:val="16"/>
                <w:lang w:eastAsia="nl-NL"/>
              </w:rPr>
              <w:t>Opstellen artistiek beleid</w:t>
            </w:r>
          </w:p>
        </w:tc>
        <w:tc>
          <w:tcPr>
            <w:tcW w:w="1348" w:type="dxa"/>
            <w:tcBorders>
              <w:top w:val="nil"/>
              <w:left w:val="nil"/>
              <w:bottom w:val="nil"/>
              <w:right w:val="nil"/>
            </w:tcBorders>
            <w:noWrap/>
            <w:vAlign w:val="center"/>
            <w:hideMark/>
          </w:tcPr>
          <w:p w:rsidRPr="00F529DA" w:rsidR="00DE09FE" w:rsidP="005176A5" w:rsidRDefault="00DE09FE" w14:paraId="1206EFEF" w14:textId="77777777">
            <w:pPr>
              <w:spacing w:line="240" w:lineRule="auto"/>
              <w:jc w:val="center"/>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5176A5" w:rsidRDefault="00DE09FE" w14:paraId="2F2F5E1F" w14:textId="77777777">
            <w:pPr>
              <w:spacing w:line="240" w:lineRule="auto"/>
              <w:jc w:val="center"/>
              <w:rPr>
                <w:color w:val="000000"/>
                <w:sz w:val="16"/>
                <w:szCs w:val="16"/>
                <w:lang w:eastAsia="nl-NL"/>
              </w:rPr>
            </w:pPr>
          </w:p>
        </w:tc>
        <w:tc>
          <w:tcPr>
            <w:tcW w:w="1349" w:type="dxa"/>
            <w:tcBorders>
              <w:top w:val="nil"/>
              <w:left w:val="nil"/>
              <w:bottom w:val="nil"/>
              <w:right w:val="nil"/>
            </w:tcBorders>
            <w:noWrap/>
            <w:vAlign w:val="center"/>
            <w:hideMark/>
          </w:tcPr>
          <w:p w:rsidRPr="00F529DA" w:rsidR="00DE09FE" w:rsidP="005176A5" w:rsidRDefault="00DE09FE" w14:paraId="473A8AE0" w14:textId="42B490B9">
            <w:pPr>
              <w:spacing w:line="240" w:lineRule="auto"/>
              <w:jc w:val="center"/>
              <w:rPr>
                <w:color w:val="000000"/>
                <w:sz w:val="16"/>
                <w:szCs w:val="16"/>
                <w:lang w:eastAsia="nl-NL"/>
              </w:rPr>
            </w:pPr>
          </w:p>
        </w:tc>
      </w:tr>
      <w:tr w:rsidRPr="00F529DA" w:rsidR="007D20C5" w:rsidTr="003E77F1" w14:paraId="68E2B399" w14:textId="77777777">
        <w:trPr>
          <w:trHeight w:val="270"/>
        </w:trPr>
        <w:tc>
          <w:tcPr>
            <w:tcW w:w="416" w:type="dxa"/>
            <w:tcBorders>
              <w:top w:val="nil"/>
              <w:left w:val="nil"/>
              <w:bottom w:val="nil"/>
              <w:right w:val="nil"/>
            </w:tcBorders>
            <w:noWrap/>
            <w:vAlign w:val="center"/>
            <w:hideMark/>
          </w:tcPr>
          <w:p w:rsidRPr="00F529DA" w:rsidR="00DE09FE" w:rsidP="005176A5" w:rsidRDefault="00DE09FE" w14:paraId="7AE59A8D" w14:textId="77777777">
            <w:pPr>
              <w:spacing w:line="240" w:lineRule="auto"/>
              <w:rPr>
                <w:color w:val="000000"/>
                <w:sz w:val="16"/>
                <w:szCs w:val="16"/>
                <w:lang w:eastAsia="nl-NL"/>
              </w:rPr>
            </w:pPr>
          </w:p>
        </w:tc>
        <w:tc>
          <w:tcPr>
            <w:tcW w:w="3619" w:type="dxa"/>
            <w:gridSpan w:val="2"/>
            <w:tcBorders>
              <w:top w:val="nil"/>
              <w:left w:val="nil"/>
              <w:bottom w:val="nil"/>
              <w:right w:val="nil"/>
            </w:tcBorders>
            <w:noWrap/>
            <w:vAlign w:val="center"/>
            <w:hideMark/>
          </w:tcPr>
          <w:p w:rsidRPr="00F529DA" w:rsidR="00DE09FE" w:rsidP="005176A5" w:rsidRDefault="00DE09FE" w14:paraId="55671E24" w14:textId="77777777">
            <w:pPr>
              <w:spacing w:line="240" w:lineRule="auto"/>
              <w:rPr>
                <w:color w:val="000000"/>
                <w:sz w:val="16"/>
                <w:szCs w:val="16"/>
                <w:lang w:eastAsia="nl-NL"/>
              </w:rPr>
            </w:pPr>
            <w:r w:rsidRPr="00F529DA">
              <w:rPr>
                <w:color w:val="000000"/>
                <w:sz w:val="16"/>
                <w:szCs w:val="16"/>
                <w:lang w:eastAsia="nl-NL"/>
              </w:rPr>
              <w:t>Artistiek leider</w:t>
            </w:r>
          </w:p>
        </w:tc>
        <w:tc>
          <w:tcPr>
            <w:tcW w:w="1348" w:type="dxa"/>
            <w:tcBorders>
              <w:top w:val="nil"/>
              <w:left w:val="nil"/>
              <w:bottom w:val="nil"/>
              <w:right w:val="nil"/>
            </w:tcBorders>
            <w:noWrap/>
            <w:vAlign w:val="center"/>
            <w:hideMark/>
          </w:tcPr>
          <w:p w:rsidRPr="00F529DA" w:rsidR="00DE09FE" w:rsidP="005176A5" w:rsidRDefault="00DE09FE" w14:paraId="6FFC1BEC" w14:textId="4C4E8328">
            <w:pPr>
              <w:spacing w:line="240" w:lineRule="auto"/>
              <w:jc w:val="center"/>
              <w:rPr>
                <w:color w:val="000000"/>
                <w:sz w:val="16"/>
                <w:szCs w:val="16"/>
                <w:lang w:eastAsia="nl-NL"/>
              </w:rPr>
            </w:pPr>
            <w:r w:rsidRPr="00F529DA">
              <w:rPr>
                <w:color w:val="000000"/>
                <w:sz w:val="16"/>
                <w:szCs w:val="16"/>
                <w:lang w:eastAsia="nl-NL"/>
              </w:rPr>
              <w:t>288</w:t>
            </w:r>
          </w:p>
        </w:tc>
        <w:tc>
          <w:tcPr>
            <w:tcW w:w="1348" w:type="dxa"/>
            <w:tcBorders>
              <w:top w:val="nil"/>
              <w:left w:val="nil"/>
              <w:bottom w:val="nil"/>
              <w:right w:val="nil"/>
            </w:tcBorders>
            <w:noWrap/>
            <w:vAlign w:val="center"/>
            <w:hideMark/>
          </w:tcPr>
          <w:p w:rsidRPr="00F529DA" w:rsidR="00DE09FE" w:rsidP="005176A5" w:rsidRDefault="005176A5" w14:paraId="35C82C90" w14:textId="21D614DA">
            <w:pPr>
              <w:spacing w:line="240" w:lineRule="auto"/>
              <w:jc w:val="center"/>
              <w:rPr>
                <w:color w:val="000000"/>
                <w:sz w:val="16"/>
                <w:szCs w:val="16"/>
                <w:lang w:eastAsia="nl-NL"/>
              </w:rPr>
            </w:pPr>
            <w:r w:rsidRPr="00F529DA">
              <w:rPr>
                <w:color w:val="000000"/>
                <w:sz w:val="16"/>
                <w:szCs w:val="16"/>
                <w:lang w:eastAsia="nl-NL"/>
              </w:rPr>
              <w:t>€        77</w:t>
            </w:r>
          </w:p>
        </w:tc>
        <w:tc>
          <w:tcPr>
            <w:tcW w:w="1349" w:type="dxa"/>
            <w:tcBorders>
              <w:top w:val="nil"/>
              <w:left w:val="nil"/>
              <w:bottom w:val="nil"/>
              <w:right w:val="nil"/>
            </w:tcBorders>
            <w:noWrap/>
            <w:vAlign w:val="center"/>
            <w:hideMark/>
          </w:tcPr>
          <w:p w:rsidRPr="00F529DA" w:rsidR="00DE09FE" w:rsidP="005176A5" w:rsidRDefault="00DE09FE" w14:paraId="5B6265A8" w14:textId="1F341832">
            <w:pPr>
              <w:spacing w:line="240" w:lineRule="auto"/>
              <w:jc w:val="center"/>
              <w:rPr>
                <w:color w:val="000000"/>
                <w:sz w:val="16"/>
                <w:szCs w:val="16"/>
                <w:lang w:eastAsia="nl-NL"/>
              </w:rPr>
            </w:pPr>
            <w:r w:rsidRPr="00F529DA">
              <w:rPr>
                <w:color w:val="000000"/>
                <w:sz w:val="16"/>
                <w:szCs w:val="16"/>
              </w:rPr>
              <w:t>€    22.176</w:t>
            </w:r>
          </w:p>
        </w:tc>
      </w:tr>
      <w:tr w:rsidRPr="00F529DA" w:rsidR="007D20C5" w:rsidTr="003E77F1" w14:paraId="72986437" w14:textId="77777777">
        <w:trPr>
          <w:trHeight w:val="270"/>
        </w:trPr>
        <w:tc>
          <w:tcPr>
            <w:tcW w:w="416" w:type="dxa"/>
            <w:tcBorders>
              <w:top w:val="nil"/>
              <w:left w:val="nil"/>
              <w:bottom w:val="nil"/>
              <w:right w:val="nil"/>
            </w:tcBorders>
            <w:noWrap/>
            <w:vAlign w:val="center"/>
            <w:hideMark/>
          </w:tcPr>
          <w:p w:rsidRPr="00F529DA" w:rsidR="00DE09FE" w:rsidP="005176A5" w:rsidRDefault="00DE09FE" w14:paraId="5C10DF0E" w14:textId="77777777">
            <w:pPr>
              <w:spacing w:line="240" w:lineRule="auto"/>
              <w:rPr>
                <w:color w:val="000000"/>
                <w:sz w:val="16"/>
                <w:szCs w:val="16"/>
                <w:lang w:eastAsia="nl-NL"/>
              </w:rPr>
            </w:pPr>
          </w:p>
        </w:tc>
        <w:tc>
          <w:tcPr>
            <w:tcW w:w="3619" w:type="dxa"/>
            <w:gridSpan w:val="2"/>
            <w:tcBorders>
              <w:top w:val="nil"/>
              <w:left w:val="nil"/>
              <w:bottom w:val="nil"/>
              <w:right w:val="nil"/>
            </w:tcBorders>
            <w:noWrap/>
            <w:vAlign w:val="center"/>
            <w:hideMark/>
          </w:tcPr>
          <w:p w:rsidRPr="00F529DA" w:rsidR="00DE09FE" w:rsidP="005176A5" w:rsidRDefault="005176A5" w14:paraId="0E49FA33" w14:textId="2D7BA701">
            <w:pPr>
              <w:spacing w:line="240" w:lineRule="auto"/>
              <w:rPr>
                <w:color w:val="000000"/>
                <w:sz w:val="16"/>
                <w:szCs w:val="16"/>
                <w:lang w:eastAsia="nl-NL"/>
              </w:rPr>
            </w:pPr>
            <w:r w:rsidRPr="00F529DA">
              <w:rPr>
                <w:color w:val="000000"/>
                <w:sz w:val="16"/>
                <w:szCs w:val="16"/>
                <w:lang w:eastAsia="nl-NL"/>
              </w:rPr>
              <w:t>Artistiek</w:t>
            </w:r>
            <w:r w:rsidRPr="00F529DA" w:rsidR="00DE09FE">
              <w:rPr>
                <w:color w:val="000000"/>
                <w:sz w:val="16"/>
                <w:szCs w:val="16"/>
                <w:lang w:eastAsia="nl-NL"/>
              </w:rPr>
              <w:t xml:space="preserve"> team en productie</w:t>
            </w:r>
          </w:p>
        </w:tc>
        <w:tc>
          <w:tcPr>
            <w:tcW w:w="1348" w:type="dxa"/>
            <w:tcBorders>
              <w:top w:val="nil"/>
              <w:left w:val="nil"/>
              <w:bottom w:val="nil"/>
              <w:right w:val="nil"/>
            </w:tcBorders>
            <w:noWrap/>
            <w:vAlign w:val="center"/>
            <w:hideMark/>
          </w:tcPr>
          <w:p w:rsidRPr="00F529DA" w:rsidR="00DE09FE" w:rsidP="005176A5" w:rsidRDefault="00DE09FE" w14:paraId="47102F66" w14:textId="570A8188">
            <w:pPr>
              <w:spacing w:line="240" w:lineRule="auto"/>
              <w:jc w:val="center"/>
              <w:rPr>
                <w:color w:val="000000"/>
                <w:sz w:val="16"/>
                <w:szCs w:val="16"/>
                <w:lang w:eastAsia="nl-NL"/>
              </w:rPr>
            </w:pPr>
            <w:r w:rsidRPr="00F529DA">
              <w:rPr>
                <w:color w:val="000000"/>
                <w:sz w:val="16"/>
                <w:szCs w:val="16"/>
                <w:lang w:eastAsia="nl-NL"/>
              </w:rPr>
              <w:t>1000</w:t>
            </w:r>
          </w:p>
        </w:tc>
        <w:tc>
          <w:tcPr>
            <w:tcW w:w="1348" w:type="dxa"/>
            <w:tcBorders>
              <w:top w:val="nil"/>
              <w:left w:val="nil"/>
              <w:bottom w:val="nil"/>
              <w:right w:val="nil"/>
            </w:tcBorders>
            <w:noWrap/>
            <w:vAlign w:val="center"/>
            <w:hideMark/>
          </w:tcPr>
          <w:p w:rsidRPr="00F529DA" w:rsidR="00DE09FE" w:rsidP="005176A5" w:rsidRDefault="005176A5" w14:paraId="52F730B9" w14:textId="40A97F45">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5176A5" w:rsidRDefault="00DE09FE" w14:paraId="70150CC9" w14:textId="4E90E80D">
            <w:pPr>
              <w:spacing w:line="240" w:lineRule="auto"/>
              <w:jc w:val="center"/>
              <w:rPr>
                <w:color w:val="000000"/>
                <w:sz w:val="16"/>
                <w:szCs w:val="16"/>
                <w:lang w:eastAsia="nl-NL"/>
              </w:rPr>
            </w:pPr>
            <w:r w:rsidRPr="00F529DA">
              <w:rPr>
                <w:color w:val="000000"/>
                <w:sz w:val="16"/>
                <w:szCs w:val="16"/>
              </w:rPr>
              <w:t>€    54.000</w:t>
            </w:r>
          </w:p>
        </w:tc>
      </w:tr>
      <w:tr w:rsidRPr="00F529DA" w:rsidR="007D20C5" w:rsidTr="003E77F1" w14:paraId="596BF8C6" w14:textId="77777777">
        <w:trPr>
          <w:trHeight w:val="270"/>
        </w:trPr>
        <w:tc>
          <w:tcPr>
            <w:tcW w:w="4035" w:type="dxa"/>
            <w:gridSpan w:val="3"/>
            <w:tcBorders>
              <w:top w:val="nil"/>
              <w:left w:val="nil"/>
              <w:bottom w:val="nil"/>
              <w:right w:val="nil"/>
            </w:tcBorders>
            <w:noWrap/>
            <w:vAlign w:val="center"/>
            <w:hideMark/>
          </w:tcPr>
          <w:p w:rsidRPr="00F529DA" w:rsidR="00DE09FE" w:rsidP="005176A5" w:rsidRDefault="00DE09FE" w14:paraId="5B499315" w14:textId="77777777">
            <w:pPr>
              <w:spacing w:line="240" w:lineRule="auto"/>
              <w:rPr>
                <w:color w:val="000000"/>
                <w:sz w:val="16"/>
                <w:szCs w:val="16"/>
                <w:lang w:eastAsia="nl-NL"/>
              </w:rPr>
            </w:pPr>
            <w:r w:rsidRPr="00F529DA">
              <w:rPr>
                <w:color w:val="000000"/>
                <w:sz w:val="16"/>
                <w:szCs w:val="16"/>
                <w:lang w:eastAsia="nl-NL"/>
              </w:rPr>
              <w:t>Opstellen zakelijk beleid</w:t>
            </w:r>
          </w:p>
        </w:tc>
        <w:tc>
          <w:tcPr>
            <w:tcW w:w="1348" w:type="dxa"/>
            <w:tcBorders>
              <w:top w:val="nil"/>
              <w:left w:val="nil"/>
              <w:bottom w:val="nil"/>
              <w:right w:val="nil"/>
            </w:tcBorders>
            <w:noWrap/>
            <w:vAlign w:val="center"/>
            <w:hideMark/>
          </w:tcPr>
          <w:p w:rsidRPr="00F529DA" w:rsidR="00DE09FE" w:rsidP="005176A5" w:rsidRDefault="00DE09FE" w14:paraId="309C6545" w14:textId="77777777">
            <w:pPr>
              <w:spacing w:line="240" w:lineRule="auto"/>
              <w:jc w:val="center"/>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5176A5" w:rsidRDefault="00DE09FE" w14:paraId="7AE5DD55" w14:textId="77777777">
            <w:pPr>
              <w:spacing w:line="240" w:lineRule="auto"/>
              <w:jc w:val="center"/>
              <w:rPr>
                <w:color w:val="000000"/>
                <w:sz w:val="16"/>
                <w:szCs w:val="16"/>
                <w:lang w:eastAsia="nl-NL"/>
              </w:rPr>
            </w:pPr>
          </w:p>
        </w:tc>
        <w:tc>
          <w:tcPr>
            <w:tcW w:w="1349" w:type="dxa"/>
            <w:tcBorders>
              <w:top w:val="nil"/>
              <w:left w:val="nil"/>
              <w:bottom w:val="nil"/>
              <w:right w:val="nil"/>
            </w:tcBorders>
            <w:noWrap/>
            <w:vAlign w:val="center"/>
            <w:hideMark/>
          </w:tcPr>
          <w:p w:rsidRPr="00F529DA" w:rsidR="00DE09FE" w:rsidP="005176A5" w:rsidRDefault="00DE09FE" w14:paraId="5F68FAD7" w14:textId="28231AC8">
            <w:pPr>
              <w:spacing w:line="240" w:lineRule="auto"/>
              <w:jc w:val="center"/>
              <w:rPr>
                <w:color w:val="000000"/>
                <w:sz w:val="16"/>
                <w:szCs w:val="16"/>
                <w:lang w:eastAsia="nl-NL"/>
              </w:rPr>
            </w:pPr>
          </w:p>
        </w:tc>
      </w:tr>
      <w:tr w:rsidRPr="00F529DA" w:rsidR="007D20C5" w:rsidTr="003E77F1" w14:paraId="7DD395D0" w14:textId="77777777">
        <w:trPr>
          <w:trHeight w:val="270"/>
        </w:trPr>
        <w:tc>
          <w:tcPr>
            <w:tcW w:w="416" w:type="dxa"/>
            <w:tcBorders>
              <w:top w:val="nil"/>
              <w:left w:val="nil"/>
              <w:bottom w:val="nil"/>
              <w:right w:val="nil"/>
            </w:tcBorders>
            <w:noWrap/>
            <w:vAlign w:val="center"/>
            <w:hideMark/>
          </w:tcPr>
          <w:p w:rsidRPr="00F529DA" w:rsidR="00DE09FE" w:rsidP="005176A5" w:rsidRDefault="00DE09FE" w14:paraId="1E33A8A3" w14:textId="77777777">
            <w:pPr>
              <w:spacing w:line="240" w:lineRule="auto"/>
              <w:rPr>
                <w:color w:val="000000"/>
                <w:sz w:val="16"/>
                <w:szCs w:val="16"/>
                <w:lang w:eastAsia="nl-NL"/>
              </w:rPr>
            </w:pPr>
          </w:p>
        </w:tc>
        <w:tc>
          <w:tcPr>
            <w:tcW w:w="3619" w:type="dxa"/>
            <w:gridSpan w:val="2"/>
            <w:tcBorders>
              <w:top w:val="nil"/>
              <w:left w:val="nil"/>
              <w:bottom w:val="nil"/>
              <w:right w:val="nil"/>
            </w:tcBorders>
            <w:noWrap/>
            <w:vAlign w:val="center"/>
            <w:hideMark/>
          </w:tcPr>
          <w:p w:rsidRPr="00F529DA" w:rsidR="00DE09FE" w:rsidP="005176A5" w:rsidRDefault="00DE09FE" w14:paraId="3ED92D7D" w14:textId="77777777">
            <w:pPr>
              <w:spacing w:line="240" w:lineRule="auto"/>
              <w:rPr>
                <w:color w:val="000000"/>
                <w:sz w:val="16"/>
                <w:szCs w:val="16"/>
                <w:lang w:eastAsia="nl-NL"/>
              </w:rPr>
            </w:pPr>
            <w:r w:rsidRPr="00F529DA">
              <w:rPr>
                <w:color w:val="000000"/>
                <w:sz w:val="16"/>
                <w:szCs w:val="16"/>
                <w:lang w:eastAsia="nl-NL"/>
              </w:rPr>
              <w:t>Zakelijk leider</w:t>
            </w:r>
          </w:p>
        </w:tc>
        <w:tc>
          <w:tcPr>
            <w:tcW w:w="1348" w:type="dxa"/>
            <w:tcBorders>
              <w:top w:val="nil"/>
              <w:left w:val="nil"/>
              <w:bottom w:val="nil"/>
              <w:right w:val="nil"/>
            </w:tcBorders>
            <w:noWrap/>
            <w:vAlign w:val="center"/>
            <w:hideMark/>
          </w:tcPr>
          <w:p w:rsidRPr="00F529DA" w:rsidR="00DE09FE" w:rsidP="005176A5" w:rsidRDefault="00DE09FE" w14:paraId="2CB2D7B3" w14:textId="7BC29C37">
            <w:pPr>
              <w:spacing w:line="240" w:lineRule="auto"/>
              <w:jc w:val="center"/>
              <w:rPr>
                <w:color w:val="000000"/>
                <w:sz w:val="16"/>
                <w:szCs w:val="16"/>
                <w:lang w:eastAsia="nl-NL"/>
              </w:rPr>
            </w:pPr>
            <w:r w:rsidRPr="00F529DA">
              <w:rPr>
                <w:color w:val="000000"/>
                <w:sz w:val="16"/>
                <w:szCs w:val="16"/>
                <w:lang w:eastAsia="nl-NL"/>
              </w:rPr>
              <w:t>27</w:t>
            </w:r>
            <w:r w:rsidRPr="00F529DA" w:rsidR="005176A5">
              <w:rPr>
                <w:color w:val="000000"/>
                <w:sz w:val="16"/>
                <w:szCs w:val="16"/>
                <w:lang w:eastAsia="nl-NL"/>
              </w:rPr>
              <w:t>0</w:t>
            </w:r>
          </w:p>
        </w:tc>
        <w:tc>
          <w:tcPr>
            <w:tcW w:w="1348" w:type="dxa"/>
            <w:tcBorders>
              <w:top w:val="nil"/>
              <w:left w:val="nil"/>
              <w:bottom w:val="nil"/>
              <w:right w:val="nil"/>
            </w:tcBorders>
            <w:noWrap/>
            <w:vAlign w:val="center"/>
            <w:hideMark/>
          </w:tcPr>
          <w:p w:rsidRPr="00F529DA" w:rsidR="00DE09FE" w:rsidP="005176A5" w:rsidRDefault="005176A5" w14:paraId="6409A5D9" w14:textId="06505327">
            <w:pPr>
              <w:spacing w:line="240" w:lineRule="auto"/>
              <w:jc w:val="center"/>
              <w:rPr>
                <w:color w:val="000000"/>
                <w:sz w:val="16"/>
                <w:szCs w:val="16"/>
                <w:lang w:eastAsia="nl-NL"/>
              </w:rPr>
            </w:pPr>
            <w:r w:rsidRPr="00F529DA">
              <w:rPr>
                <w:color w:val="000000"/>
                <w:sz w:val="16"/>
                <w:szCs w:val="16"/>
                <w:lang w:eastAsia="nl-NL"/>
              </w:rPr>
              <w:t>€        77</w:t>
            </w:r>
          </w:p>
        </w:tc>
        <w:tc>
          <w:tcPr>
            <w:tcW w:w="1349" w:type="dxa"/>
            <w:tcBorders>
              <w:top w:val="nil"/>
              <w:left w:val="nil"/>
              <w:bottom w:val="nil"/>
              <w:right w:val="nil"/>
            </w:tcBorders>
            <w:noWrap/>
            <w:vAlign w:val="center"/>
            <w:hideMark/>
          </w:tcPr>
          <w:p w:rsidRPr="00F529DA" w:rsidR="00DE09FE" w:rsidP="005176A5" w:rsidRDefault="00DE09FE" w14:paraId="612C5C08" w14:textId="73EFD56D">
            <w:pPr>
              <w:spacing w:line="240" w:lineRule="auto"/>
              <w:jc w:val="center"/>
              <w:rPr>
                <w:color w:val="000000"/>
                <w:sz w:val="16"/>
                <w:szCs w:val="16"/>
                <w:lang w:eastAsia="nl-NL"/>
              </w:rPr>
            </w:pPr>
            <w:r w:rsidRPr="00F529DA">
              <w:rPr>
                <w:color w:val="000000"/>
                <w:sz w:val="16"/>
                <w:szCs w:val="16"/>
              </w:rPr>
              <w:t>€    20.</w:t>
            </w:r>
            <w:r w:rsidRPr="00F529DA" w:rsidR="005176A5">
              <w:rPr>
                <w:color w:val="000000"/>
                <w:sz w:val="16"/>
                <w:szCs w:val="16"/>
              </w:rPr>
              <w:t>790</w:t>
            </w:r>
          </w:p>
        </w:tc>
      </w:tr>
      <w:tr w:rsidRPr="00F529DA" w:rsidR="007D20C5" w:rsidTr="003E77F1" w14:paraId="4F87CD6F" w14:textId="77777777">
        <w:trPr>
          <w:trHeight w:val="270"/>
        </w:trPr>
        <w:tc>
          <w:tcPr>
            <w:tcW w:w="416" w:type="dxa"/>
            <w:tcBorders>
              <w:top w:val="nil"/>
              <w:left w:val="nil"/>
              <w:bottom w:val="nil"/>
              <w:right w:val="nil"/>
            </w:tcBorders>
            <w:noWrap/>
            <w:vAlign w:val="center"/>
            <w:hideMark/>
          </w:tcPr>
          <w:p w:rsidRPr="00F529DA" w:rsidR="00DE09FE" w:rsidP="005176A5" w:rsidRDefault="00DE09FE" w14:paraId="392756E2" w14:textId="77777777">
            <w:pPr>
              <w:spacing w:line="240" w:lineRule="auto"/>
              <w:rPr>
                <w:color w:val="000000"/>
                <w:sz w:val="16"/>
                <w:szCs w:val="16"/>
                <w:lang w:eastAsia="nl-NL"/>
              </w:rPr>
            </w:pPr>
          </w:p>
        </w:tc>
        <w:tc>
          <w:tcPr>
            <w:tcW w:w="3619" w:type="dxa"/>
            <w:gridSpan w:val="2"/>
            <w:tcBorders>
              <w:top w:val="nil"/>
              <w:left w:val="nil"/>
              <w:bottom w:val="nil"/>
              <w:right w:val="nil"/>
            </w:tcBorders>
            <w:noWrap/>
            <w:vAlign w:val="center"/>
            <w:hideMark/>
          </w:tcPr>
          <w:p w:rsidRPr="00F529DA" w:rsidR="00DE09FE" w:rsidP="005176A5" w:rsidRDefault="00DE09FE" w14:paraId="353CDB91" w14:textId="77777777">
            <w:pPr>
              <w:spacing w:line="240" w:lineRule="auto"/>
              <w:rPr>
                <w:color w:val="000000"/>
                <w:sz w:val="16"/>
                <w:szCs w:val="16"/>
                <w:lang w:eastAsia="nl-NL"/>
              </w:rPr>
            </w:pPr>
            <w:r w:rsidRPr="00F529DA">
              <w:rPr>
                <w:color w:val="000000"/>
                <w:sz w:val="16"/>
                <w:szCs w:val="16"/>
                <w:lang w:eastAsia="nl-NL"/>
              </w:rPr>
              <w:t>Overige zakelijk beleid</w:t>
            </w:r>
          </w:p>
        </w:tc>
        <w:tc>
          <w:tcPr>
            <w:tcW w:w="1348" w:type="dxa"/>
            <w:tcBorders>
              <w:top w:val="nil"/>
              <w:left w:val="nil"/>
              <w:bottom w:val="nil"/>
              <w:right w:val="nil"/>
            </w:tcBorders>
            <w:noWrap/>
            <w:vAlign w:val="center"/>
            <w:hideMark/>
          </w:tcPr>
          <w:p w:rsidRPr="00F529DA" w:rsidR="00DE09FE" w:rsidP="005176A5" w:rsidRDefault="00DE09FE" w14:paraId="7AC01DBE" w14:textId="4835A09B">
            <w:pPr>
              <w:spacing w:line="240" w:lineRule="auto"/>
              <w:jc w:val="center"/>
              <w:rPr>
                <w:color w:val="000000"/>
                <w:sz w:val="16"/>
                <w:szCs w:val="16"/>
                <w:lang w:eastAsia="nl-NL"/>
              </w:rPr>
            </w:pPr>
            <w:r w:rsidRPr="00F529DA">
              <w:rPr>
                <w:color w:val="000000"/>
                <w:sz w:val="16"/>
                <w:szCs w:val="16"/>
                <w:lang w:eastAsia="nl-NL"/>
              </w:rPr>
              <w:t>720</w:t>
            </w:r>
          </w:p>
        </w:tc>
        <w:tc>
          <w:tcPr>
            <w:tcW w:w="1348" w:type="dxa"/>
            <w:tcBorders>
              <w:top w:val="nil"/>
              <w:left w:val="nil"/>
              <w:bottom w:val="nil"/>
              <w:right w:val="nil"/>
            </w:tcBorders>
            <w:noWrap/>
            <w:vAlign w:val="center"/>
            <w:hideMark/>
          </w:tcPr>
          <w:p w:rsidRPr="00F529DA" w:rsidR="00DE09FE" w:rsidP="005176A5" w:rsidRDefault="005176A5" w14:paraId="3741FA95" w14:textId="7E5713DF">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5176A5" w:rsidRDefault="00DE09FE" w14:paraId="79370A01" w14:textId="0263DBE4">
            <w:pPr>
              <w:spacing w:line="240" w:lineRule="auto"/>
              <w:jc w:val="center"/>
              <w:rPr>
                <w:color w:val="000000"/>
                <w:sz w:val="16"/>
                <w:szCs w:val="16"/>
                <w:lang w:eastAsia="nl-NL"/>
              </w:rPr>
            </w:pPr>
            <w:r w:rsidRPr="00F529DA">
              <w:rPr>
                <w:color w:val="000000"/>
                <w:sz w:val="16"/>
                <w:szCs w:val="16"/>
              </w:rPr>
              <w:t>€    38.880</w:t>
            </w:r>
          </w:p>
        </w:tc>
      </w:tr>
      <w:tr w:rsidRPr="00F529DA" w:rsidR="007D20C5" w:rsidTr="003E77F1" w14:paraId="3AE2FC08" w14:textId="77777777">
        <w:trPr>
          <w:trHeight w:val="270"/>
        </w:trPr>
        <w:tc>
          <w:tcPr>
            <w:tcW w:w="4035" w:type="dxa"/>
            <w:gridSpan w:val="3"/>
            <w:tcBorders>
              <w:top w:val="nil"/>
              <w:left w:val="nil"/>
              <w:bottom w:val="nil"/>
              <w:right w:val="nil"/>
            </w:tcBorders>
            <w:noWrap/>
            <w:vAlign w:val="center"/>
            <w:hideMark/>
          </w:tcPr>
          <w:p w:rsidRPr="00F529DA" w:rsidR="00DE09FE" w:rsidP="005176A5" w:rsidRDefault="00DE09FE" w14:paraId="27E10BF1" w14:textId="77777777">
            <w:pPr>
              <w:spacing w:line="240" w:lineRule="auto"/>
              <w:rPr>
                <w:color w:val="000000"/>
                <w:sz w:val="16"/>
                <w:szCs w:val="16"/>
                <w:lang w:eastAsia="nl-NL"/>
              </w:rPr>
            </w:pPr>
            <w:r w:rsidRPr="00F529DA">
              <w:rPr>
                <w:color w:val="000000"/>
                <w:sz w:val="16"/>
                <w:szCs w:val="16"/>
                <w:lang w:eastAsia="nl-NL"/>
              </w:rPr>
              <w:t>Schrijven en redactie</w:t>
            </w:r>
          </w:p>
        </w:tc>
        <w:tc>
          <w:tcPr>
            <w:tcW w:w="1348" w:type="dxa"/>
            <w:tcBorders>
              <w:top w:val="nil"/>
              <w:left w:val="nil"/>
              <w:bottom w:val="nil"/>
              <w:right w:val="nil"/>
            </w:tcBorders>
            <w:noWrap/>
            <w:vAlign w:val="center"/>
            <w:hideMark/>
          </w:tcPr>
          <w:p w:rsidRPr="00F529DA" w:rsidR="00DE09FE" w:rsidP="005176A5" w:rsidRDefault="00DE09FE" w14:paraId="7F93F69C" w14:textId="5938C6DB">
            <w:pPr>
              <w:spacing w:line="240" w:lineRule="auto"/>
              <w:jc w:val="center"/>
              <w:rPr>
                <w:color w:val="000000"/>
                <w:sz w:val="16"/>
                <w:szCs w:val="16"/>
                <w:lang w:eastAsia="nl-NL"/>
              </w:rPr>
            </w:pPr>
            <w:r w:rsidRPr="00F529DA">
              <w:rPr>
                <w:color w:val="000000"/>
                <w:sz w:val="16"/>
                <w:szCs w:val="16"/>
                <w:lang w:eastAsia="nl-NL"/>
              </w:rPr>
              <w:t>88</w:t>
            </w:r>
          </w:p>
        </w:tc>
        <w:tc>
          <w:tcPr>
            <w:tcW w:w="1348" w:type="dxa"/>
            <w:tcBorders>
              <w:top w:val="nil"/>
              <w:left w:val="nil"/>
              <w:bottom w:val="nil"/>
              <w:right w:val="nil"/>
            </w:tcBorders>
            <w:noWrap/>
            <w:vAlign w:val="center"/>
            <w:hideMark/>
          </w:tcPr>
          <w:p w:rsidRPr="00F529DA" w:rsidR="00DE09FE" w:rsidP="005176A5" w:rsidRDefault="00DE09FE" w14:paraId="6A68CB9C" w14:textId="4EEBBE64">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5176A5" w:rsidRDefault="00DE09FE" w14:paraId="51581323" w14:textId="6E7F5721">
            <w:pPr>
              <w:spacing w:line="240" w:lineRule="auto"/>
              <w:jc w:val="center"/>
              <w:rPr>
                <w:color w:val="000000"/>
                <w:sz w:val="16"/>
                <w:szCs w:val="16"/>
                <w:lang w:eastAsia="nl-NL"/>
              </w:rPr>
            </w:pPr>
            <w:r w:rsidRPr="00F529DA">
              <w:rPr>
                <w:color w:val="000000"/>
                <w:sz w:val="16"/>
                <w:szCs w:val="16"/>
              </w:rPr>
              <w:t>€      4.752</w:t>
            </w:r>
          </w:p>
        </w:tc>
      </w:tr>
      <w:tr w:rsidRPr="00F529DA" w:rsidR="007D20C5" w:rsidTr="003E77F1" w14:paraId="2F982CDC" w14:textId="77777777">
        <w:trPr>
          <w:trHeight w:val="270"/>
        </w:trPr>
        <w:tc>
          <w:tcPr>
            <w:tcW w:w="1248" w:type="dxa"/>
            <w:gridSpan w:val="2"/>
            <w:tcBorders>
              <w:top w:val="nil"/>
              <w:left w:val="nil"/>
              <w:bottom w:val="nil"/>
              <w:right w:val="nil"/>
            </w:tcBorders>
            <w:noWrap/>
            <w:vAlign w:val="center"/>
            <w:hideMark/>
          </w:tcPr>
          <w:p w:rsidRPr="00F529DA" w:rsidR="00DE09FE" w:rsidP="005176A5" w:rsidRDefault="00DE09FE" w14:paraId="30EBA256" w14:textId="77777777">
            <w:pPr>
              <w:spacing w:line="240" w:lineRule="auto"/>
              <w:rPr>
                <w:color w:val="000000"/>
                <w:sz w:val="16"/>
                <w:szCs w:val="16"/>
                <w:lang w:eastAsia="nl-NL"/>
              </w:rPr>
            </w:pPr>
            <w:r w:rsidRPr="00F529DA">
              <w:rPr>
                <w:color w:val="000000"/>
                <w:sz w:val="16"/>
                <w:szCs w:val="16"/>
                <w:lang w:eastAsia="nl-NL"/>
              </w:rPr>
              <w:t>Vormgeving</w:t>
            </w:r>
          </w:p>
        </w:tc>
        <w:tc>
          <w:tcPr>
            <w:tcW w:w="2787" w:type="dxa"/>
            <w:tcBorders>
              <w:top w:val="nil"/>
              <w:left w:val="nil"/>
              <w:bottom w:val="nil"/>
              <w:right w:val="nil"/>
            </w:tcBorders>
            <w:noWrap/>
            <w:vAlign w:val="center"/>
            <w:hideMark/>
          </w:tcPr>
          <w:p w:rsidRPr="00F529DA" w:rsidR="00DE09FE" w:rsidP="005176A5" w:rsidRDefault="00DE09FE" w14:paraId="5ABF9881" w14:textId="77777777">
            <w:pPr>
              <w:spacing w:line="240" w:lineRule="auto"/>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5176A5" w:rsidRDefault="00DE09FE" w14:paraId="034A6FD9" w14:textId="304B4727">
            <w:pPr>
              <w:spacing w:line="240" w:lineRule="auto"/>
              <w:jc w:val="center"/>
              <w:rPr>
                <w:color w:val="000000"/>
                <w:sz w:val="16"/>
                <w:szCs w:val="16"/>
                <w:lang w:eastAsia="nl-NL"/>
              </w:rPr>
            </w:pPr>
            <w:r w:rsidRPr="00F529DA">
              <w:rPr>
                <w:color w:val="000000"/>
                <w:sz w:val="16"/>
                <w:szCs w:val="16"/>
                <w:lang w:eastAsia="nl-NL"/>
              </w:rPr>
              <w:t>80</w:t>
            </w:r>
          </w:p>
        </w:tc>
        <w:tc>
          <w:tcPr>
            <w:tcW w:w="1348" w:type="dxa"/>
            <w:tcBorders>
              <w:top w:val="nil"/>
              <w:left w:val="nil"/>
              <w:bottom w:val="nil"/>
              <w:right w:val="nil"/>
            </w:tcBorders>
            <w:noWrap/>
            <w:vAlign w:val="center"/>
            <w:hideMark/>
          </w:tcPr>
          <w:p w:rsidRPr="00F529DA" w:rsidR="00DE09FE" w:rsidP="005176A5" w:rsidRDefault="005176A5" w14:paraId="59B18949" w14:textId="6BE09E8A">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5176A5" w:rsidRDefault="00DE09FE" w14:paraId="0AEC8ADE" w14:textId="45152CA7">
            <w:pPr>
              <w:spacing w:line="240" w:lineRule="auto"/>
              <w:jc w:val="center"/>
              <w:rPr>
                <w:color w:val="000000"/>
                <w:sz w:val="16"/>
                <w:szCs w:val="16"/>
                <w:lang w:eastAsia="nl-NL"/>
              </w:rPr>
            </w:pPr>
            <w:r w:rsidRPr="00F529DA">
              <w:rPr>
                <w:color w:val="000000"/>
                <w:sz w:val="16"/>
                <w:szCs w:val="16"/>
              </w:rPr>
              <w:t>€      4.320</w:t>
            </w:r>
          </w:p>
        </w:tc>
      </w:tr>
      <w:tr w:rsidRPr="00F529DA" w:rsidR="007D20C5" w:rsidTr="003E77F1" w14:paraId="2F178C44" w14:textId="77777777">
        <w:trPr>
          <w:trHeight w:val="270"/>
        </w:trPr>
        <w:tc>
          <w:tcPr>
            <w:tcW w:w="1248" w:type="dxa"/>
            <w:gridSpan w:val="2"/>
            <w:tcBorders>
              <w:top w:val="nil"/>
              <w:left w:val="nil"/>
              <w:bottom w:val="nil"/>
              <w:right w:val="nil"/>
            </w:tcBorders>
            <w:noWrap/>
            <w:vAlign w:val="center"/>
            <w:hideMark/>
          </w:tcPr>
          <w:p w:rsidRPr="00F529DA" w:rsidR="00DE09FE" w:rsidP="005176A5" w:rsidRDefault="00DE09FE" w14:paraId="7BFDAEF6" w14:textId="77777777">
            <w:pPr>
              <w:spacing w:line="240" w:lineRule="auto"/>
              <w:rPr>
                <w:color w:val="000000"/>
                <w:sz w:val="16"/>
                <w:szCs w:val="16"/>
                <w:lang w:eastAsia="nl-NL"/>
              </w:rPr>
            </w:pPr>
            <w:r w:rsidRPr="00F529DA">
              <w:rPr>
                <w:color w:val="000000"/>
                <w:sz w:val="16"/>
                <w:szCs w:val="16"/>
                <w:lang w:eastAsia="nl-NL"/>
              </w:rPr>
              <w:t>Bureaukosten</w:t>
            </w:r>
          </w:p>
        </w:tc>
        <w:tc>
          <w:tcPr>
            <w:tcW w:w="2787" w:type="dxa"/>
            <w:tcBorders>
              <w:top w:val="nil"/>
              <w:left w:val="nil"/>
              <w:bottom w:val="nil"/>
              <w:right w:val="nil"/>
            </w:tcBorders>
            <w:noWrap/>
            <w:vAlign w:val="center"/>
            <w:hideMark/>
          </w:tcPr>
          <w:p w:rsidRPr="00F529DA" w:rsidR="00DE09FE" w:rsidP="005176A5" w:rsidRDefault="00DE09FE" w14:paraId="4E2E18AA" w14:textId="77777777">
            <w:pPr>
              <w:spacing w:line="240" w:lineRule="auto"/>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5176A5" w:rsidRDefault="00DE09FE" w14:paraId="597510FE" w14:textId="77777777">
            <w:pPr>
              <w:spacing w:line="240" w:lineRule="auto"/>
              <w:jc w:val="center"/>
              <w:rPr>
                <w:color w:val="000000"/>
                <w:sz w:val="16"/>
                <w:szCs w:val="16"/>
                <w:lang w:eastAsia="nl-NL"/>
              </w:rPr>
            </w:pPr>
          </w:p>
        </w:tc>
        <w:tc>
          <w:tcPr>
            <w:tcW w:w="1348" w:type="dxa"/>
            <w:tcBorders>
              <w:top w:val="nil"/>
              <w:left w:val="nil"/>
              <w:bottom w:val="nil"/>
              <w:right w:val="nil"/>
            </w:tcBorders>
            <w:noWrap/>
            <w:vAlign w:val="center"/>
            <w:hideMark/>
          </w:tcPr>
          <w:p w:rsidRPr="00F529DA" w:rsidR="00DE09FE" w:rsidP="005176A5" w:rsidRDefault="00DE09FE" w14:paraId="7B19B4F0" w14:textId="7E3F8305">
            <w:pPr>
              <w:spacing w:line="240" w:lineRule="auto"/>
              <w:jc w:val="center"/>
              <w:rPr>
                <w:color w:val="000000"/>
                <w:sz w:val="16"/>
                <w:szCs w:val="16"/>
                <w:lang w:eastAsia="nl-NL"/>
              </w:rPr>
            </w:pPr>
          </w:p>
        </w:tc>
        <w:tc>
          <w:tcPr>
            <w:tcW w:w="1349" w:type="dxa"/>
            <w:tcBorders>
              <w:top w:val="nil"/>
              <w:left w:val="nil"/>
              <w:bottom w:val="nil"/>
              <w:right w:val="nil"/>
            </w:tcBorders>
            <w:noWrap/>
            <w:vAlign w:val="center"/>
            <w:hideMark/>
          </w:tcPr>
          <w:p w:rsidRPr="00F529DA" w:rsidR="00DE09FE" w:rsidP="005176A5" w:rsidRDefault="00DE09FE" w14:paraId="243F6522" w14:textId="4BC24770">
            <w:pPr>
              <w:spacing w:line="240" w:lineRule="auto"/>
              <w:jc w:val="center"/>
              <w:rPr>
                <w:color w:val="000000"/>
                <w:sz w:val="16"/>
                <w:szCs w:val="16"/>
                <w:lang w:eastAsia="nl-NL"/>
              </w:rPr>
            </w:pPr>
            <w:r w:rsidRPr="00F529DA">
              <w:rPr>
                <w:color w:val="000000"/>
                <w:sz w:val="16"/>
                <w:szCs w:val="16"/>
              </w:rPr>
              <w:t>€      3.000</w:t>
            </w:r>
          </w:p>
        </w:tc>
      </w:tr>
      <w:tr w:rsidRPr="00F529DA" w:rsidR="007D20C5" w:rsidTr="003E77F1" w14:paraId="24280C00" w14:textId="77777777">
        <w:trPr>
          <w:trHeight w:val="270"/>
        </w:trPr>
        <w:tc>
          <w:tcPr>
            <w:tcW w:w="4035" w:type="dxa"/>
            <w:gridSpan w:val="3"/>
            <w:tcBorders>
              <w:top w:val="nil"/>
              <w:left w:val="nil"/>
              <w:bottom w:val="nil"/>
              <w:right w:val="nil"/>
            </w:tcBorders>
            <w:noWrap/>
            <w:vAlign w:val="center"/>
            <w:hideMark/>
          </w:tcPr>
          <w:p w:rsidRPr="00F529DA" w:rsidR="00DE09FE" w:rsidP="005176A5" w:rsidRDefault="00DE09FE" w14:paraId="356CC80C" w14:textId="77777777">
            <w:pPr>
              <w:spacing w:line="240" w:lineRule="auto"/>
              <w:rPr>
                <w:color w:val="000000"/>
                <w:sz w:val="16"/>
                <w:szCs w:val="16"/>
                <w:lang w:eastAsia="nl-NL"/>
              </w:rPr>
            </w:pPr>
            <w:r w:rsidRPr="00F529DA">
              <w:rPr>
                <w:color w:val="000000"/>
                <w:sz w:val="16"/>
                <w:szCs w:val="16"/>
                <w:lang w:eastAsia="nl-NL"/>
              </w:rPr>
              <w:lastRenderedPageBreak/>
              <w:t>Formulieren invullen</w:t>
            </w:r>
          </w:p>
        </w:tc>
        <w:tc>
          <w:tcPr>
            <w:tcW w:w="1348" w:type="dxa"/>
            <w:tcBorders>
              <w:top w:val="nil"/>
              <w:left w:val="nil"/>
              <w:bottom w:val="nil"/>
              <w:right w:val="nil"/>
            </w:tcBorders>
            <w:noWrap/>
            <w:vAlign w:val="center"/>
            <w:hideMark/>
          </w:tcPr>
          <w:p w:rsidRPr="00F529DA" w:rsidR="00DE09FE" w:rsidP="005176A5" w:rsidRDefault="00DE09FE" w14:paraId="294348CE" w14:textId="213BE79E">
            <w:pPr>
              <w:spacing w:line="240" w:lineRule="auto"/>
              <w:jc w:val="center"/>
              <w:rPr>
                <w:color w:val="000000"/>
                <w:sz w:val="16"/>
                <w:szCs w:val="16"/>
                <w:lang w:eastAsia="nl-NL"/>
              </w:rPr>
            </w:pPr>
            <w:r w:rsidRPr="00F529DA">
              <w:rPr>
                <w:color w:val="000000"/>
                <w:sz w:val="16"/>
                <w:szCs w:val="16"/>
                <w:lang w:eastAsia="nl-NL"/>
              </w:rPr>
              <w:t>8</w:t>
            </w:r>
          </w:p>
        </w:tc>
        <w:tc>
          <w:tcPr>
            <w:tcW w:w="1348" w:type="dxa"/>
            <w:tcBorders>
              <w:top w:val="nil"/>
              <w:left w:val="nil"/>
              <w:bottom w:val="nil"/>
              <w:right w:val="nil"/>
            </w:tcBorders>
            <w:noWrap/>
            <w:vAlign w:val="center"/>
            <w:hideMark/>
          </w:tcPr>
          <w:p w:rsidRPr="00F529DA" w:rsidR="00DE09FE" w:rsidP="005176A5" w:rsidRDefault="00DE09FE" w14:paraId="154CD583" w14:textId="1E44CC05">
            <w:pPr>
              <w:spacing w:line="240" w:lineRule="auto"/>
              <w:jc w:val="center"/>
              <w:rPr>
                <w:color w:val="000000"/>
                <w:sz w:val="16"/>
                <w:szCs w:val="16"/>
                <w:lang w:eastAsia="nl-NL"/>
              </w:rPr>
            </w:pPr>
            <w:r w:rsidRPr="00F529DA">
              <w:rPr>
                <w:color w:val="000000"/>
                <w:sz w:val="16"/>
                <w:szCs w:val="16"/>
                <w:lang w:eastAsia="nl-NL"/>
              </w:rPr>
              <w:t>€        54</w:t>
            </w:r>
          </w:p>
        </w:tc>
        <w:tc>
          <w:tcPr>
            <w:tcW w:w="1349" w:type="dxa"/>
            <w:tcBorders>
              <w:top w:val="nil"/>
              <w:left w:val="nil"/>
              <w:bottom w:val="nil"/>
              <w:right w:val="nil"/>
            </w:tcBorders>
            <w:noWrap/>
            <w:vAlign w:val="center"/>
            <w:hideMark/>
          </w:tcPr>
          <w:p w:rsidRPr="00F529DA" w:rsidR="00DE09FE" w:rsidP="005176A5" w:rsidRDefault="00DE09FE" w14:paraId="3FA7D1CA" w14:textId="40B16583">
            <w:pPr>
              <w:spacing w:line="240" w:lineRule="auto"/>
              <w:jc w:val="center"/>
              <w:rPr>
                <w:color w:val="000000"/>
                <w:sz w:val="16"/>
                <w:szCs w:val="16"/>
                <w:u w:val="single"/>
                <w:lang w:eastAsia="nl-NL"/>
              </w:rPr>
            </w:pPr>
            <w:r w:rsidRPr="00F529DA">
              <w:rPr>
                <w:color w:val="000000"/>
                <w:sz w:val="16"/>
                <w:szCs w:val="16"/>
                <w:u w:val="single"/>
              </w:rPr>
              <w:t>€         432</w:t>
            </w:r>
          </w:p>
        </w:tc>
      </w:tr>
      <w:tr w:rsidRPr="00F529DA" w:rsidR="007D20C5" w:rsidTr="003E77F1" w14:paraId="5344DAE1" w14:textId="77777777">
        <w:trPr>
          <w:trHeight w:val="270"/>
        </w:trPr>
        <w:tc>
          <w:tcPr>
            <w:tcW w:w="4035" w:type="dxa"/>
            <w:gridSpan w:val="3"/>
            <w:tcBorders>
              <w:top w:val="nil"/>
              <w:left w:val="nil"/>
              <w:bottom w:val="nil"/>
              <w:right w:val="nil"/>
            </w:tcBorders>
            <w:noWrap/>
            <w:vAlign w:val="center"/>
            <w:hideMark/>
          </w:tcPr>
          <w:p w:rsidRPr="00F529DA" w:rsidR="007D20C5" w:rsidP="005176A5" w:rsidRDefault="007D20C5" w14:paraId="29AEB221" w14:textId="77777777">
            <w:pPr>
              <w:spacing w:line="240" w:lineRule="auto"/>
              <w:rPr>
                <w:color w:val="000000"/>
                <w:sz w:val="16"/>
                <w:szCs w:val="16"/>
                <w:lang w:eastAsia="nl-NL"/>
              </w:rPr>
            </w:pPr>
            <w:r w:rsidRPr="00F529DA">
              <w:rPr>
                <w:color w:val="000000"/>
                <w:sz w:val="16"/>
                <w:szCs w:val="16"/>
                <w:lang w:eastAsia="nl-NL"/>
              </w:rPr>
              <w:t>Totaal</w:t>
            </w:r>
          </w:p>
        </w:tc>
        <w:tc>
          <w:tcPr>
            <w:tcW w:w="1348" w:type="dxa"/>
            <w:tcBorders>
              <w:top w:val="nil"/>
              <w:left w:val="nil"/>
              <w:bottom w:val="nil"/>
              <w:right w:val="nil"/>
            </w:tcBorders>
            <w:noWrap/>
            <w:vAlign w:val="center"/>
            <w:hideMark/>
          </w:tcPr>
          <w:p w:rsidRPr="00F529DA" w:rsidR="007D20C5" w:rsidP="005176A5" w:rsidRDefault="007D20C5" w14:paraId="2DF4590E" w14:textId="77777777">
            <w:pPr>
              <w:spacing w:line="240" w:lineRule="auto"/>
              <w:jc w:val="center"/>
              <w:rPr>
                <w:color w:val="000000"/>
                <w:sz w:val="16"/>
                <w:szCs w:val="16"/>
                <w:lang w:eastAsia="nl-NL"/>
              </w:rPr>
            </w:pPr>
          </w:p>
        </w:tc>
        <w:tc>
          <w:tcPr>
            <w:tcW w:w="1348" w:type="dxa"/>
            <w:tcBorders>
              <w:top w:val="nil"/>
              <w:left w:val="nil"/>
              <w:bottom w:val="nil"/>
              <w:right w:val="nil"/>
            </w:tcBorders>
            <w:noWrap/>
            <w:vAlign w:val="center"/>
            <w:hideMark/>
          </w:tcPr>
          <w:p w:rsidRPr="00F529DA" w:rsidR="007D20C5" w:rsidP="005176A5" w:rsidRDefault="007D20C5" w14:paraId="1209495A" w14:textId="77777777">
            <w:pPr>
              <w:spacing w:line="240" w:lineRule="auto"/>
              <w:jc w:val="center"/>
              <w:rPr>
                <w:color w:val="000000"/>
                <w:sz w:val="16"/>
                <w:szCs w:val="16"/>
                <w:lang w:eastAsia="nl-NL"/>
              </w:rPr>
            </w:pPr>
          </w:p>
        </w:tc>
        <w:tc>
          <w:tcPr>
            <w:tcW w:w="1349" w:type="dxa"/>
            <w:tcBorders>
              <w:top w:val="nil"/>
              <w:left w:val="nil"/>
              <w:bottom w:val="nil"/>
              <w:right w:val="nil"/>
            </w:tcBorders>
            <w:noWrap/>
            <w:vAlign w:val="center"/>
            <w:hideMark/>
          </w:tcPr>
          <w:p w:rsidRPr="00F529DA" w:rsidR="007D20C5" w:rsidP="005176A5" w:rsidRDefault="007D20C5" w14:paraId="094FBE51" w14:textId="4EFE4AE1">
            <w:pPr>
              <w:spacing w:line="240" w:lineRule="auto"/>
              <w:jc w:val="center"/>
              <w:rPr>
                <w:color w:val="000000"/>
                <w:sz w:val="16"/>
                <w:szCs w:val="16"/>
                <w:lang w:eastAsia="nl-NL"/>
              </w:rPr>
            </w:pPr>
            <w:r w:rsidRPr="00F529DA">
              <w:rPr>
                <w:color w:val="000000"/>
                <w:sz w:val="16"/>
                <w:szCs w:val="16"/>
                <w:lang w:eastAsia="nl-NL"/>
              </w:rPr>
              <w:t>€   150.078</w:t>
            </w:r>
          </w:p>
        </w:tc>
      </w:tr>
    </w:tbl>
    <w:p w:rsidRPr="00F529DA" w:rsidR="00DE09FE" w:rsidP="00877731" w:rsidRDefault="00DE09FE" w14:paraId="7675B7B8" w14:textId="77777777">
      <w:pPr>
        <w:spacing w:line="276" w:lineRule="auto"/>
        <w:rPr>
          <w:rFonts w:eastAsia="Calibri"/>
          <w:kern w:val="2"/>
          <w:szCs w:val="22"/>
          <w14:ligatures w14:val="standardContextual"/>
        </w:rPr>
      </w:pPr>
    </w:p>
    <w:p w:rsidRPr="00F529DA" w:rsidR="00DE09FE" w:rsidP="00877731" w:rsidRDefault="00DE09FE" w14:paraId="58DAF752" w14:textId="77777777">
      <w:pPr>
        <w:spacing w:line="276" w:lineRule="auto"/>
        <w:rPr>
          <w:rFonts w:eastAsia="Calibri"/>
          <w:kern w:val="2"/>
          <w:szCs w:val="22"/>
          <w14:ligatures w14:val="standardContextual"/>
        </w:rPr>
      </w:pPr>
    </w:p>
    <w:p w:rsidRPr="00F529DA" w:rsidR="00261933" w:rsidP="00877731" w:rsidRDefault="00DE09FE" w14:paraId="01803DE3" w14:textId="3543ACE5">
      <w:pPr>
        <w:spacing w:line="276" w:lineRule="auto"/>
        <w:rPr>
          <w:rFonts w:eastAsia="Calibri"/>
          <w:kern w:val="2"/>
          <w:szCs w:val="22"/>
          <w14:ligatures w14:val="standardContextual"/>
        </w:rPr>
      </w:pPr>
      <w:r w:rsidRPr="00F529DA">
        <w:rPr>
          <w:rFonts w:eastAsia="Calibri"/>
          <w:kern w:val="2"/>
          <w:szCs w:val="22"/>
          <w14:ligatures w14:val="standardContextual"/>
        </w:rPr>
        <w:t>Deze</w:t>
      </w:r>
      <w:r w:rsidRPr="00F529DA" w:rsidR="00261933">
        <w:rPr>
          <w:rFonts w:eastAsia="Calibri"/>
          <w:kern w:val="2"/>
          <w:szCs w:val="22"/>
          <w14:ligatures w14:val="standardContextual"/>
        </w:rPr>
        <w:t xml:space="preserve"> bedrag</w:t>
      </w:r>
      <w:r w:rsidRPr="00F529DA">
        <w:rPr>
          <w:rFonts w:eastAsia="Calibri"/>
          <w:kern w:val="2"/>
          <w:szCs w:val="22"/>
          <w14:ligatures w14:val="standardContextual"/>
        </w:rPr>
        <w:t>en zijn</w:t>
      </w:r>
      <w:r w:rsidRPr="00F529DA" w:rsidR="00261933">
        <w:rPr>
          <w:rFonts w:eastAsia="Calibri"/>
          <w:kern w:val="2"/>
          <w:szCs w:val="22"/>
          <w14:ligatures w14:val="standardContextual"/>
        </w:rPr>
        <w:t xml:space="preserve"> mede </w:t>
      </w:r>
      <w:r w:rsidRPr="00F529DA" w:rsidR="00877731">
        <w:rPr>
          <w:rFonts w:eastAsia="Calibri"/>
          <w:kern w:val="2"/>
          <w:szCs w:val="22"/>
          <w14:ligatures w14:val="standardContextual"/>
        </w:rPr>
        <w:t xml:space="preserve">afhankelijk van de grootte van de organisatie en de inzet van externe inhuur en digitale hulpmiddelen. </w:t>
      </w:r>
      <w:r w:rsidRPr="00F529DA">
        <w:rPr>
          <w:rFonts w:eastAsia="Calibri"/>
          <w:kern w:val="2"/>
          <w:szCs w:val="22"/>
          <w14:ligatures w14:val="standardContextual"/>
        </w:rPr>
        <w:t>Deze</w:t>
      </w:r>
      <w:r w:rsidRPr="00F529DA" w:rsidR="00261933">
        <w:rPr>
          <w:rFonts w:eastAsia="Calibri"/>
          <w:kern w:val="2"/>
          <w:szCs w:val="22"/>
          <w14:ligatures w14:val="standardContextual"/>
        </w:rPr>
        <w:t xml:space="preserve"> kosten hoeft een organisatie straks niet meer </w:t>
      </w:r>
      <w:r w:rsidRPr="00F529DA" w:rsidR="000B63A9">
        <w:rPr>
          <w:rFonts w:eastAsia="Calibri"/>
          <w:kern w:val="2"/>
          <w:szCs w:val="22"/>
          <w14:ligatures w14:val="standardContextual"/>
        </w:rPr>
        <w:t>éé</w:t>
      </w:r>
      <w:r w:rsidRPr="00F529DA" w:rsidR="00261933">
        <w:rPr>
          <w:rFonts w:eastAsia="Calibri"/>
          <w:kern w:val="2"/>
          <w:szCs w:val="22"/>
          <w14:ligatures w14:val="standardContextual"/>
        </w:rPr>
        <w:t xml:space="preserve">n keer per vier jaar te maken, maar </w:t>
      </w:r>
      <w:r w:rsidRPr="00F529DA" w:rsidR="000B63A9">
        <w:rPr>
          <w:rFonts w:eastAsia="Calibri"/>
          <w:kern w:val="2"/>
          <w:szCs w:val="22"/>
          <w14:ligatures w14:val="standardContextual"/>
        </w:rPr>
        <w:t>éé</w:t>
      </w:r>
      <w:r w:rsidRPr="00F529DA" w:rsidR="00261933">
        <w:rPr>
          <w:rFonts w:eastAsia="Calibri"/>
          <w:kern w:val="2"/>
          <w:szCs w:val="22"/>
          <w14:ligatures w14:val="standardContextual"/>
        </w:rPr>
        <w:t xml:space="preserve">n keer per acht jaar. </w:t>
      </w:r>
      <w:r w:rsidRPr="00F529DA" w:rsidR="002E0F39">
        <w:rPr>
          <w:rFonts w:eastAsia="Calibri"/>
          <w:kern w:val="2"/>
          <w:szCs w:val="22"/>
          <w14:ligatures w14:val="standardContextual"/>
        </w:rPr>
        <w:t xml:space="preserve">Van organisaties die subsidie ontvangen wordt verwacht dat zij jaarlijks </w:t>
      </w:r>
      <w:r w:rsidRPr="00F529DA" w:rsidR="007A366D">
        <w:rPr>
          <w:rFonts w:eastAsia="Calibri"/>
          <w:kern w:val="2"/>
          <w:szCs w:val="22"/>
          <w14:ligatures w14:val="standardContextual"/>
        </w:rPr>
        <w:t>een jaarverslag en jaarrekening indienen</w:t>
      </w:r>
      <w:r w:rsidRPr="00F529DA" w:rsidR="002E0F39">
        <w:rPr>
          <w:rFonts w:eastAsia="Calibri"/>
          <w:kern w:val="2"/>
          <w:szCs w:val="22"/>
          <w14:ligatures w14:val="standardContextual"/>
        </w:rPr>
        <w:t>. Dit blijft ook</w:t>
      </w:r>
      <w:r w:rsidRPr="00F529DA" w:rsidR="00B05D2F">
        <w:rPr>
          <w:rFonts w:eastAsia="Calibri"/>
          <w:kern w:val="2"/>
          <w:szCs w:val="22"/>
          <w14:ligatures w14:val="standardContextual"/>
        </w:rPr>
        <w:t xml:space="preserve"> bij</w:t>
      </w:r>
      <w:r w:rsidRPr="00F529DA" w:rsidR="002E0F39">
        <w:rPr>
          <w:rFonts w:eastAsia="Calibri"/>
          <w:kern w:val="2"/>
          <w:szCs w:val="22"/>
          <w14:ligatures w14:val="standardContextual"/>
        </w:rPr>
        <w:t xml:space="preserve"> een achtjarige cyclus het geval. De kosten voor verantwoording veranderen daarom niet. </w:t>
      </w:r>
      <w:r w:rsidRPr="00F529DA" w:rsidR="00261933">
        <w:rPr>
          <w:rFonts w:eastAsia="Calibri"/>
          <w:kern w:val="2"/>
          <w:szCs w:val="22"/>
          <w14:ligatures w14:val="standardContextual"/>
        </w:rPr>
        <w:t xml:space="preserve">Bij </w:t>
      </w:r>
      <w:r w:rsidRPr="00F529DA" w:rsidR="005A2FE0">
        <w:rPr>
          <w:rFonts w:eastAsia="Calibri"/>
          <w:kern w:val="2"/>
          <w:szCs w:val="22"/>
          <w14:ligatures w14:val="standardContextual"/>
        </w:rPr>
        <w:t>de hierboven genoemde bedragen</w:t>
      </w:r>
      <w:r w:rsidRPr="00F529DA" w:rsidR="00261933">
        <w:rPr>
          <w:rFonts w:eastAsia="Calibri"/>
          <w:kern w:val="2"/>
          <w:szCs w:val="22"/>
          <w14:ligatures w14:val="standardContextual"/>
        </w:rPr>
        <w:t xml:space="preserve"> moeten twee kanttekeningen worden geplaatst. Ten eerste </w:t>
      </w:r>
      <w:r w:rsidRPr="00F529DA" w:rsidR="00B05D2F">
        <w:rPr>
          <w:rFonts w:eastAsia="Calibri"/>
          <w:kern w:val="2"/>
          <w:szCs w:val="22"/>
          <w14:ligatures w14:val="standardContextual"/>
        </w:rPr>
        <w:t xml:space="preserve">zijn </w:t>
      </w:r>
      <w:r w:rsidRPr="00F529DA" w:rsidR="00877731">
        <w:rPr>
          <w:rFonts w:eastAsia="Calibri"/>
          <w:kern w:val="2"/>
          <w:szCs w:val="22"/>
          <w14:ligatures w14:val="standardContextual"/>
        </w:rPr>
        <w:t>deze kosten</w:t>
      </w:r>
      <w:r w:rsidRPr="00F529DA" w:rsidR="007A366D">
        <w:rPr>
          <w:rFonts w:eastAsia="Calibri"/>
          <w:kern w:val="2"/>
          <w:szCs w:val="22"/>
          <w14:ligatures w14:val="standardContextual"/>
        </w:rPr>
        <w:t xml:space="preserve"> niet</w:t>
      </w:r>
      <w:r w:rsidRPr="00F529DA" w:rsidR="00877731">
        <w:rPr>
          <w:rFonts w:eastAsia="Calibri"/>
          <w:kern w:val="2"/>
          <w:szCs w:val="22"/>
          <w14:ligatures w14:val="standardContextual"/>
        </w:rPr>
        <w:t xml:space="preserve"> </w:t>
      </w:r>
      <w:r w:rsidRPr="00F529DA" w:rsidR="00B05D2F">
        <w:rPr>
          <w:rFonts w:eastAsia="Calibri"/>
          <w:kern w:val="2"/>
          <w:szCs w:val="22"/>
          <w14:ligatures w14:val="standardContextual"/>
        </w:rPr>
        <w:t xml:space="preserve">alleen </w:t>
      </w:r>
      <w:r w:rsidRPr="00F529DA" w:rsidR="00877731">
        <w:rPr>
          <w:rFonts w:eastAsia="Calibri"/>
          <w:kern w:val="2"/>
          <w:szCs w:val="22"/>
          <w14:ligatures w14:val="standardContextual"/>
        </w:rPr>
        <w:t xml:space="preserve">aan een subsidieaanvraag toe te rekenen. Een deel van deze kosten </w:t>
      </w:r>
      <w:r w:rsidRPr="00F529DA" w:rsidR="007A366D">
        <w:rPr>
          <w:rFonts w:eastAsia="Calibri"/>
          <w:kern w:val="2"/>
          <w:szCs w:val="22"/>
          <w14:ligatures w14:val="standardContextual"/>
        </w:rPr>
        <w:t xml:space="preserve">kan </w:t>
      </w:r>
      <w:r w:rsidRPr="00F529DA" w:rsidR="00877731">
        <w:rPr>
          <w:rFonts w:eastAsia="Calibri"/>
          <w:kern w:val="2"/>
          <w:szCs w:val="22"/>
          <w14:ligatures w14:val="standardContextual"/>
        </w:rPr>
        <w:t>ook onder de reguliere bedrijfsvoering worden geschaard. Elke culturele organisatie zal immers een meerjarenplan en -begroting opstellen</w:t>
      </w:r>
      <w:r w:rsidRPr="00F529DA" w:rsidR="002E0F39">
        <w:rPr>
          <w:rFonts w:eastAsia="Calibri"/>
          <w:kern w:val="2"/>
          <w:szCs w:val="22"/>
          <w14:ligatures w14:val="standardContextual"/>
        </w:rPr>
        <w:t>,</w:t>
      </w:r>
      <w:r w:rsidRPr="00F529DA" w:rsidR="00877731">
        <w:rPr>
          <w:rFonts w:eastAsia="Calibri"/>
          <w:kern w:val="2"/>
          <w:szCs w:val="22"/>
          <w14:ligatures w14:val="standardContextual"/>
        </w:rPr>
        <w:t xml:space="preserve"> ongeacht of men subsidie gaat aanvragen of niet. Voor de volledigheid zijn deze </w:t>
      </w:r>
      <w:r w:rsidRPr="00F529DA" w:rsidR="002E0F39">
        <w:rPr>
          <w:rFonts w:eastAsia="Calibri"/>
          <w:kern w:val="2"/>
          <w:szCs w:val="22"/>
          <w14:ligatures w14:val="standardContextual"/>
        </w:rPr>
        <w:t xml:space="preserve">kosten </w:t>
      </w:r>
      <w:r w:rsidRPr="00F529DA" w:rsidR="00877731">
        <w:rPr>
          <w:rFonts w:eastAsia="Calibri"/>
          <w:kern w:val="2"/>
          <w:szCs w:val="22"/>
          <w14:ligatures w14:val="standardContextual"/>
        </w:rPr>
        <w:t xml:space="preserve">wel meegerekend in bovenstaand bedrag. </w:t>
      </w:r>
      <w:r w:rsidRPr="00F529DA" w:rsidR="00261933">
        <w:rPr>
          <w:rFonts w:eastAsia="Calibri"/>
          <w:kern w:val="2"/>
          <w:szCs w:val="22"/>
          <w14:ligatures w14:val="standardContextual"/>
        </w:rPr>
        <w:t>Ten tweede dat dit bedrag is berekend op basis van de huidige criteria in de ministeri</w:t>
      </w:r>
      <w:r w:rsidRPr="00F529DA" w:rsidR="00A03FA3">
        <w:rPr>
          <w:rFonts w:eastAsia="Calibri"/>
          <w:kern w:val="2"/>
          <w:szCs w:val="22"/>
          <w14:ligatures w14:val="standardContextual"/>
        </w:rPr>
        <w:t>ë</w:t>
      </w:r>
      <w:r w:rsidRPr="00F529DA" w:rsidR="00261933">
        <w:rPr>
          <w:rFonts w:eastAsia="Calibri"/>
          <w:kern w:val="2"/>
          <w:szCs w:val="22"/>
          <w14:ligatures w14:val="standardContextual"/>
        </w:rPr>
        <w:t xml:space="preserve">le regeling. Aanpassingen aan de regeling kunnen de tijdsinvestering </w:t>
      </w:r>
      <w:r w:rsidRPr="00F529DA" w:rsidR="002E0F39">
        <w:rPr>
          <w:rFonts w:eastAsia="Calibri"/>
          <w:kern w:val="2"/>
          <w:szCs w:val="22"/>
          <w14:ligatures w14:val="standardContextual"/>
        </w:rPr>
        <w:t>voor</w:t>
      </w:r>
      <w:r w:rsidRPr="00F529DA" w:rsidR="00261933">
        <w:rPr>
          <w:rFonts w:eastAsia="Calibri"/>
          <w:kern w:val="2"/>
          <w:szCs w:val="22"/>
          <w14:ligatures w14:val="standardContextual"/>
        </w:rPr>
        <w:t xml:space="preserve"> een subsidieaanvraag veranderen. Hetzelfde geldt voor de verantwoordingslasten</w:t>
      </w:r>
      <w:r w:rsidRPr="00F529DA" w:rsidR="002E0F39">
        <w:rPr>
          <w:rFonts w:eastAsia="Calibri"/>
          <w:kern w:val="2"/>
          <w:szCs w:val="22"/>
          <w14:ligatures w14:val="standardContextual"/>
        </w:rPr>
        <w:t xml:space="preserve">. </w:t>
      </w:r>
    </w:p>
    <w:p w:rsidRPr="00F529DA" w:rsidR="00261933" w:rsidP="00877731" w:rsidRDefault="00261933" w14:paraId="429BE1AC" w14:textId="77777777">
      <w:pPr>
        <w:spacing w:line="276" w:lineRule="auto"/>
        <w:rPr>
          <w:rFonts w:eastAsia="Calibri"/>
          <w:kern w:val="2"/>
          <w:szCs w:val="22"/>
          <w14:ligatures w14:val="standardContextual"/>
        </w:rPr>
      </w:pPr>
    </w:p>
    <w:p w:rsidRPr="00F529DA" w:rsidR="00261933" w:rsidP="00261933" w:rsidRDefault="00FE2716" w14:paraId="76288209" w14:textId="451EC093">
      <w:pPr>
        <w:spacing w:line="276" w:lineRule="auto"/>
        <w:rPr>
          <w:rFonts w:eastAsia="Calibri"/>
          <w:kern w:val="2"/>
          <w:szCs w:val="22"/>
          <w14:ligatures w14:val="standardContextual"/>
        </w:rPr>
      </w:pPr>
      <w:r w:rsidRPr="00F529DA">
        <w:rPr>
          <w:rFonts w:eastAsia="Calibri"/>
          <w:kern w:val="2"/>
          <w:szCs w:val="22"/>
          <w14:ligatures w14:val="standardContextual"/>
        </w:rPr>
        <w:t>Het</w:t>
      </w:r>
      <w:r w:rsidRPr="00F529DA" w:rsidR="00261933">
        <w:rPr>
          <w:rFonts w:eastAsia="Calibri"/>
          <w:kern w:val="2"/>
          <w:szCs w:val="22"/>
          <w14:ligatures w14:val="standardContextual"/>
        </w:rPr>
        <w:t xml:space="preserve"> A</w:t>
      </w:r>
      <w:r w:rsidRPr="00F529DA">
        <w:rPr>
          <w:rFonts w:eastAsia="Calibri"/>
          <w:kern w:val="2"/>
          <w:szCs w:val="22"/>
          <w14:ligatures w14:val="standardContextual"/>
        </w:rPr>
        <w:t>dviescollege toetsing regeldruk (hierna: ATR)</w:t>
      </w:r>
      <w:r w:rsidRPr="00F529DA" w:rsidR="00261933">
        <w:rPr>
          <w:rFonts w:eastAsia="Calibri"/>
          <w:kern w:val="2"/>
          <w:szCs w:val="22"/>
          <w14:ligatures w14:val="standardContextual"/>
        </w:rPr>
        <w:t xml:space="preserve"> heeft in zijn advies </w:t>
      </w:r>
      <w:r w:rsidRPr="00F529DA" w:rsidR="00B05D2F">
        <w:rPr>
          <w:rFonts w:eastAsia="Calibri"/>
          <w:kern w:val="2"/>
          <w:szCs w:val="22"/>
          <w14:ligatures w14:val="standardContextual"/>
        </w:rPr>
        <w:t>opgemerkt</w:t>
      </w:r>
      <w:r w:rsidRPr="00F529DA" w:rsidR="00261933">
        <w:rPr>
          <w:rFonts w:eastAsia="Calibri"/>
          <w:kern w:val="2"/>
          <w:szCs w:val="22"/>
          <w14:ligatures w14:val="standardContextual"/>
        </w:rPr>
        <w:t xml:space="preserve"> dat een inschatting van het aantal organisaties dat te maken krijgt met deze regeldrukvermindering ontbreekt. Hier is bewust voor gekozen. </w:t>
      </w:r>
      <w:r w:rsidRPr="00F529DA" w:rsidR="007A366D">
        <w:rPr>
          <w:rFonts w:eastAsia="Calibri"/>
          <w:kern w:val="2"/>
          <w:szCs w:val="22"/>
          <w14:ligatures w14:val="standardContextual"/>
        </w:rPr>
        <w:t xml:space="preserve">Het aantal verwachte subsidieaanvragen op basis van artikel 4a van de </w:t>
      </w:r>
      <w:proofErr w:type="spellStart"/>
      <w:r w:rsidRPr="00F529DA" w:rsidR="007A366D">
        <w:rPr>
          <w:rFonts w:eastAsia="Calibri"/>
          <w:kern w:val="2"/>
          <w:szCs w:val="22"/>
          <w14:ligatures w14:val="standardContextual"/>
        </w:rPr>
        <w:t>Wsc</w:t>
      </w:r>
      <w:proofErr w:type="spellEnd"/>
      <w:r w:rsidRPr="00F529DA" w:rsidR="007A366D">
        <w:rPr>
          <w:rFonts w:eastAsia="Calibri"/>
          <w:kern w:val="2"/>
          <w:szCs w:val="22"/>
          <w14:ligatures w14:val="standardContextual"/>
        </w:rPr>
        <w:t xml:space="preserve"> volgt uit de reikwijdte van de </w:t>
      </w:r>
      <w:proofErr w:type="spellStart"/>
      <w:r w:rsidRPr="00F529DA" w:rsidR="007A366D">
        <w:rPr>
          <w:rFonts w:eastAsia="Calibri"/>
          <w:kern w:val="2"/>
          <w:szCs w:val="22"/>
          <w14:ligatures w14:val="standardContextual"/>
        </w:rPr>
        <w:t>Rsc</w:t>
      </w:r>
      <w:proofErr w:type="spellEnd"/>
      <w:r w:rsidRPr="00F529DA" w:rsidR="007A366D">
        <w:rPr>
          <w:rFonts w:eastAsia="Calibri"/>
          <w:kern w:val="2"/>
          <w:szCs w:val="22"/>
          <w14:ligatures w14:val="standardContextual"/>
        </w:rPr>
        <w:t>. De nieuwe subsidieregeling wordt in 2027 gepubliceerd. Zoals de minister van OCW in zijn brief van 3 oktober 2025 constateerde is een langere maximale financieringsduur niet voor alle instellingen de beste oplossing.</w:t>
      </w:r>
      <w:r w:rsidRPr="00F529DA" w:rsidR="00261933">
        <w:rPr>
          <w:rStyle w:val="Voetnootmarkering"/>
          <w:rFonts w:eastAsia="Calibri"/>
          <w:kern w:val="2"/>
          <w:szCs w:val="22"/>
          <w14:ligatures w14:val="standardContextual"/>
        </w:rPr>
        <w:footnoteReference w:id="19"/>
      </w:r>
      <w:r w:rsidRPr="00F529DA" w:rsidR="00261933">
        <w:rPr>
          <w:rFonts w:eastAsia="Calibri"/>
          <w:kern w:val="2"/>
          <w:szCs w:val="22"/>
          <w14:ligatures w14:val="standardContextual"/>
        </w:rPr>
        <w:t xml:space="preserve"> </w:t>
      </w:r>
      <w:r w:rsidRPr="00F529DA" w:rsidR="00B05D2F">
        <w:rPr>
          <w:rFonts w:eastAsia="Calibri"/>
          <w:kern w:val="2"/>
          <w:szCs w:val="22"/>
          <w14:ligatures w14:val="standardContextual"/>
        </w:rPr>
        <w:t>Het vraagstuk voor welk</w:t>
      </w:r>
      <w:r w:rsidRPr="00F529DA" w:rsidR="007A366D">
        <w:rPr>
          <w:rFonts w:eastAsia="Calibri"/>
          <w:kern w:val="2"/>
          <w:szCs w:val="22"/>
          <w14:ligatures w14:val="standardContextual"/>
        </w:rPr>
        <w:t xml:space="preserve"> type</w:t>
      </w:r>
      <w:r w:rsidRPr="00F529DA" w:rsidR="00B05D2F">
        <w:rPr>
          <w:rFonts w:eastAsia="Calibri"/>
          <w:kern w:val="2"/>
          <w:szCs w:val="22"/>
          <w14:ligatures w14:val="standardContextual"/>
        </w:rPr>
        <w:t xml:space="preserve"> organisatie </w:t>
      </w:r>
      <w:r w:rsidRPr="00F529DA" w:rsidR="005A2FE0">
        <w:rPr>
          <w:rFonts w:eastAsia="Calibri"/>
          <w:kern w:val="2"/>
          <w:szCs w:val="22"/>
          <w14:ligatures w14:val="standardContextual"/>
        </w:rPr>
        <w:t xml:space="preserve">dit </w:t>
      </w:r>
      <w:r w:rsidRPr="00F529DA" w:rsidR="00B05D2F">
        <w:rPr>
          <w:rFonts w:eastAsia="Calibri"/>
          <w:kern w:val="2"/>
          <w:szCs w:val="22"/>
          <w14:ligatures w14:val="standardContextual"/>
        </w:rPr>
        <w:t xml:space="preserve">wel en </w:t>
      </w:r>
      <w:r w:rsidRPr="00F529DA" w:rsidR="005A2FE0">
        <w:rPr>
          <w:rFonts w:eastAsia="Calibri"/>
          <w:kern w:val="2"/>
          <w:szCs w:val="22"/>
          <w14:ligatures w14:val="standardContextual"/>
        </w:rPr>
        <w:t xml:space="preserve">voor </w:t>
      </w:r>
      <w:r w:rsidRPr="00F529DA" w:rsidR="00B05D2F">
        <w:rPr>
          <w:rFonts w:eastAsia="Calibri"/>
          <w:kern w:val="2"/>
          <w:szCs w:val="22"/>
          <w14:ligatures w14:val="standardContextual"/>
        </w:rPr>
        <w:t xml:space="preserve">welke </w:t>
      </w:r>
      <w:r w:rsidRPr="00F529DA" w:rsidR="00CE5896">
        <w:rPr>
          <w:rFonts w:eastAsia="Calibri"/>
          <w:kern w:val="2"/>
          <w:szCs w:val="22"/>
          <w14:ligatures w14:val="standardContextual"/>
        </w:rPr>
        <w:t xml:space="preserve">dit </w:t>
      </w:r>
      <w:r w:rsidRPr="00F529DA" w:rsidR="00B05D2F">
        <w:rPr>
          <w:rFonts w:eastAsia="Calibri"/>
          <w:kern w:val="2"/>
          <w:szCs w:val="22"/>
          <w14:ligatures w14:val="standardContextual"/>
        </w:rPr>
        <w:t>niet het geval is,</w:t>
      </w:r>
      <w:r w:rsidRPr="00F529DA" w:rsidR="00261933">
        <w:rPr>
          <w:rFonts w:eastAsia="Calibri"/>
          <w:kern w:val="2"/>
          <w:szCs w:val="22"/>
          <w14:ligatures w14:val="standardContextual"/>
        </w:rPr>
        <w:t xml:space="preserve"> wordt meegenomen in de doorontwikkeling van de </w:t>
      </w:r>
      <w:proofErr w:type="spellStart"/>
      <w:r w:rsidRPr="00F529DA" w:rsidR="00261933">
        <w:rPr>
          <w:rFonts w:eastAsia="Calibri"/>
          <w:kern w:val="2"/>
          <w:szCs w:val="22"/>
          <w14:ligatures w14:val="standardContextual"/>
        </w:rPr>
        <w:t>Rsc</w:t>
      </w:r>
      <w:proofErr w:type="spellEnd"/>
      <w:r w:rsidRPr="00F529DA" w:rsidR="00261933">
        <w:rPr>
          <w:rFonts w:eastAsia="Calibri"/>
          <w:kern w:val="2"/>
          <w:szCs w:val="22"/>
          <w14:ligatures w14:val="standardContextual"/>
        </w:rPr>
        <w:t xml:space="preserve">. </w:t>
      </w:r>
      <w:bookmarkStart w:name="_Hlk219382494" w:id="31"/>
      <w:r w:rsidRPr="00F529DA" w:rsidR="00261933">
        <w:rPr>
          <w:rFonts w:eastAsia="Calibri"/>
          <w:kern w:val="2"/>
          <w:szCs w:val="22"/>
          <w14:ligatures w14:val="standardContextual"/>
        </w:rPr>
        <w:t xml:space="preserve">Het opnemen van het aantal organisaties dat te maken krijgt met deze regeldrukvermindering </w:t>
      </w:r>
      <w:r w:rsidRPr="00F529DA" w:rsidR="007A366D">
        <w:rPr>
          <w:rFonts w:eastAsia="Calibri"/>
          <w:kern w:val="2"/>
          <w:szCs w:val="22"/>
          <w14:ligatures w14:val="standardContextual"/>
        </w:rPr>
        <w:t xml:space="preserve">is daarom niet mogelijk en </w:t>
      </w:r>
      <w:r w:rsidRPr="00F529DA" w:rsidR="00261933">
        <w:rPr>
          <w:rFonts w:eastAsia="Calibri"/>
          <w:kern w:val="2"/>
          <w:szCs w:val="22"/>
          <w14:ligatures w14:val="standardContextual"/>
        </w:rPr>
        <w:t xml:space="preserve">kan een </w:t>
      </w:r>
      <w:r w:rsidRPr="00F529DA" w:rsidR="007A366D">
        <w:rPr>
          <w:rFonts w:eastAsia="Calibri"/>
          <w:kern w:val="2"/>
          <w:szCs w:val="22"/>
          <w14:ligatures w14:val="standardContextual"/>
        </w:rPr>
        <w:t>onjuist</w:t>
      </w:r>
      <w:r w:rsidRPr="00F529DA" w:rsidR="00261933">
        <w:rPr>
          <w:rFonts w:eastAsia="Calibri"/>
          <w:kern w:val="2"/>
          <w:szCs w:val="22"/>
          <w14:ligatures w14:val="standardContextual"/>
        </w:rPr>
        <w:t xml:space="preserve"> beeld geven. </w:t>
      </w:r>
      <w:bookmarkEnd w:id="31"/>
    </w:p>
    <w:p w:rsidRPr="00F529DA" w:rsidR="00877731" w:rsidP="00877731" w:rsidRDefault="00877731" w14:paraId="3A52FDE2" w14:textId="77777777">
      <w:pPr>
        <w:spacing w:line="276" w:lineRule="auto"/>
        <w:rPr>
          <w:rFonts w:eastAsia="Calibri"/>
          <w:kern w:val="2"/>
          <w:szCs w:val="22"/>
          <w14:ligatures w14:val="standardContextual"/>
        </w:rPr>
      </w:pPr>
    </w:p>
    <w:p w:rsidRPr="00F529DA" w:rsidR="00877731" w:rsidP="00877731" w:rsidRDefault="00877731" w14:paraId="1CE288E4" w14:textId="77777777">
      <w:pPr>
        <w:spacing w:line="276" w:lineRule="auto"/>
        <w:rPr>
          <w:rFonts w:eastAsia="Calibri"/>
          <w:kern w:val="2"/>
          <w:szCs w:val="22"/>
          <w14:ligatures w14:val="standardContextual"/>
        </w:rPr>
      </w:pPr>
      <w:r w:rsidRPr="00F529DA">
        <w:rPr>
          <w:rFonts w:eastAsia="Calibri"/>
          <w:kern w:val="2"/>
          <w:szCs w:val="22"/>
          <w14:ligatures w14:val="standardContextual"/>
        </w:rPr>
        <w:t>De voorgestelde oplossing zoals beschreven is werkbaar en uitvoerbaar, sluit goed aan op de noden van de bedrijfstak en draagt ten positieve bij aan de verlaging van de druk op de bedrijfsvoering van culturele organisaties die worden opgenomen binnen de landelijke culturele infrastructuur per 2029.</w:t>
      </w:r>
    </w:p>
    <w:p w:rsidRPr="00F529DA" w:rsidR="00877731" w:rsidP="00877731" w:rsidRDefault="00877731" w14:paraId="39AA58BD" w14:textId="77777777">
      <w:pPr>
        <w:spacing w:line="276" w:lineRule="auto"/>
        <w:rPr>
          <w:rFonts w:eastAsia="Calibri"/>
          <w:kern w:val="2"/>
          <w:szCs w:val="22"/>
          <w14:ligatures w14:val="standardContextual"/>
        </w:rPr>
      </w:pPr>
    </w:p>
    <w:p w:rsidRPr="00F529DA" w:rsidR="00877731" w:rsidP="00877731" w:rsidRDefault="00877731" w14:paraId="571B1031"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15969" w:id="32"/>
      <w:bookmarkStart w:name="_Toc210384039" w:id="33"/>
      <w:bookmarkEnd w:id="30"/>
      <w:bookmarkEnd w:id="32"/>
      <w:r w:rsidRPr="00F529DA">
        <w:rPr>
          <w:b/>
          <w:kern w:val="2"/>
          <w:szCs w:val="32"/>
          <w14:ligatures w14:val="standardContextual"/>
        </w:rPr>
        <w:t xml:space="preserve">Gevolgen voor </w:t>
      </w:r>
      <w:r w:rsidRPr="00F529DA">
        <w:rPr>
          <w:b/>
          <w:kern w:val="2"/>
          <w:szCs w:val="18"/>
          <w14:ligatures w14:val="standardContextual"/>
        </w:rPr>
        <w:t>decentrale overheden</w:t>
      </w:r>
      <w:bookmarkEnd w:id="33"/>
      <w:r w:rsidRPr="00F529DA">
        <w:rPr>
          <w:b/>
          <w:kern w:val="2"/>
          <w:szCs w:val="18"/>
          <w14:ligatures w14:val="standardContextual"/>
        </w:rPr>
        <w:t xml:space="preserve"> </w:t>
      </w:r>
    </w:p>
    <w:p w:rsidRPr="00F529DA" w:rsidR="00877731" w:rsidP="00877731" w:rsidRDefault="00877731" w14:paraId="44491738" w14:textId="0E67D782">
      <w:pPr>
        <w:spacing w:line="276" w:lineRule="auto"/>
        <w:rPr>
          <w:rFonts w:eastAsia="Calibri"/>
          <w:kern w:val="2"/>
          <w:szCs w:val="18"/>
          <w14:ligatures w14:val="standardContextual"/>
        </w:rPr>
      </w:pPr>
      <w:bookmarkStart w:name="_Hlk219383238" w:id="34"/>
      <w:r w:rsidRPr="00F529DA">
        <w:rPr>
          <w:rFonts w:eastAsia="Calibri"/>
          <w:kern w:val="2"/>
          <w:szCs w:val="18"/>
          <w14:ligatures w14:val="standardContextual"/>
        </w:rPr>
        <w:t>Provincies en gemeenten maken zelfstandig de afweging over hun beleid en (de termijn van) toekenningen, ongeacht de termijn van de beleidscyclus van het Rijk</w:t>
      </w:r>
      <w:bookmarkEnd w:id="34"/>
      <w:r w:rsidRPr="00F529DA">
        <w:rPr>
          <w:rFonts w:eastAsia="Calibri"/>
          <w:kern w:val="2"/>
          <w:szCs w:val="18"/>
          <w14:ligatures w14:val="standardContextual"/>
        </w:rPr>
        <w:t xml:space="preserve">. De verwachting is daarom dat het directe effect van de wijziging van de </w:t>
      </w:r>
      <w:proofErr w:type="spellStart"/>
      <w:r w:rsidRPr="00F529DA">
        <w:rPr>
          <w:rFonts w:eastAsia="Calibri"/>
          <w:kern w:val="2"/>
          <w:szCs w:val="18"/>
          <w14:ligatures w14:val="standardContextual"/>
        </w:rPr>
        <w:t>Wsc</w:t>
      </w:r>
      <w:proofErr w:type="spellEnd"/>
      <w:r w:rsidRPr="00F529DA">
        <w:rPr>
          <w:rFonts w:eastAsia="Calibri"/>
          <w:kern w:val="2"/>
          <w:szCs w:val="18"/>
          <w14:ligatures w14:val="standardContextual"/>
        </w:rPr>
        <w:t xml:space="preserve"> voor alle provincies en gemeenten beperkt is</w:t>
      </w:r>
      <w:r w:rsidRPr="00F529DA" w:rsidR="005A2FE0">
        <w:rPr>
          <w:rFonts w:eastAsia="Calibri"/>
          <w:kern w:val="2"/>
          <w:szCs w:val="18"/>
          <w14:ligatures w14:val="standardContextual"/>
        </w:rPr>
        <w:t>. E</w:t>
      </w:r>
      <w:r w:rsidRPr="00F529DA">
        <w:rPr>
          <w:rFonts w:eastAsia="Calibri"/>
          <w:kern w:val="2"/>
          <w:szCs w:val="18"/>
          <w14:ligatures w14:val="standardContextual"/>
        </w:rPr>
        <w:t xml:space="preserve">en langere beleidscyclus </w:t>
      </w:r>
      <w:r w:rsidRPr="00F529DA" w:rsidR="005A2FE0">
        <w:rPr>
          <w:rFonts w:eastAsia="Calibri"/>
          <w:kern w:val="2"/>
          <w:szCs w:val="18"/>
          <w14:ligatures w14:val="standardContextual"/>
        </w:rPr>
        <w:t xml:space="preserve">kan wel </w:t>
      </w:r>
      <w:r w:rsidRPr="00F529DA">
        <w:rPr>
          <w:rFonts w:eastAsia="Calibri"/>
          <w:kern w:val="2"/>
          <w:szCs w:val="18"/>
          <w14:ligatures w14:val="standardContextual"/>
        </w:rPr>
        <w:t>een indirect effect teweegbreng</w:t>
      </w:r>
      <w:r w:rsidRPr="00F529DA" w:rsidR="005A2FE0">
        <w:rPr>
          <w:rFonts w:eastAsia="Calibri"/>
          <w:kern w:val="2"/>
          <w:szCs w:val="18"/>
          <w14:ligatures w14:val="standardContextual"/>
        </w:rPr>
        <w:t>en</w:t>
      </w:r>
      <w:r w:rsidRPr="00F529DA">
        <w:rPr>
          <w:rFonts w:eastAsia="Calibri"/>
          <w:kern w:val="2"/>
          <w:szCs w:val="18"/>
          <w14:ligatures w14:val="standardContextual"/>
        </w:rPr>
        <w:t xml:space="preserve">. In deze paragraaf beschrijven we de effecten en de manier waarop decentrale overheden zijn meegenomen in de besluitvorming rondom de aanpassing van de </w:t>
      </w:r>
      <w:proofErr w:type="spellStart"/>
      <w:r w:rsidRPr="00F529DA">
        <w:rPr>
          <w:rFonts w:eastAsia="Calibri"/>
          <w:kern w:val="2"/>
          <w:szCs w:val="18"/>
          <w14:ligatures w14:val="standardContextual"/>
        </w:rPr>
        <w:t>Wsc</w:t>
      </w:r>
      <w:proofErr w:type="spellEnd"/>
      <w:r w:rsidRPr="00F529DA">
        <w:rPr>
          <w:rFonts w:eastAsia="Calibri"/>
          <w:kern w:val="2"/>
          <w:szCs w:val="18"/>
          <w14:ligatures w14:val="standardContextual"/>
        </w:rPr>
        <w:t>.</w:t>
      </w:r>
    </w:p>
    <w:p w:rsidRPr="00F529DA" w:rsidR="00877731" w:rsidP="00877731" w:rsidRDefault="00877731" w14:paraId="430C9D01" w14:textId="77777777">
      <w:pPr>
        <w:spacing w:line="276" w:lineRule="auto"/>
        <w:rPr>
          <w:rFonts w:eastAsia="Calibri"/>
          <w:kern w:val="2"/>
          <w:szCs w:val="18"/>
          <w14:ligatures w14:val="standardContextual"/>
        </w:rPr>
      </w:pPr>
    </w:p>
    <w:p w:rsidRPr="00F529DA" w:rsidR="00877731" w:rsidP="00877731" w:rsidRDefault="00877731" w14:paraId="55F00B26" w14:textId="336ACBBC">
      <w:pPr>
        <w:spacing w:line="276" w:lineRule="auto"/>
        <w:rPr>
          <w:rFonts w:eastAsia="Calibri"/>
          <w:kern w:val="2"/>
          <w:szCs w:val="18"/>
          <w14:ligatures w14:val="standardContextual"/>
        </w:rPr>
      </w:pPr>
      <w:r w:rsidRPr="00F529DA">
        <w:rPr>
          <w:rFonts w:eastAsia="Calibri"/>
          <w:kern w:val="2"/>
          <w:szCs w:val="18"/>
          <w14:ligatures w14:val="standardContextual"/>
        </w:rPr>
        <w:t xml:space="preserve">Decentrale overheden zijn vanaf de start van dit wetswijzigingstraject betrokken bij het proces. In de verschillende fasen van de beleidsontwikkeling zijn op ambtelijk en op bestuurlijk niveau gesprekken gevoerd tussen het ministerie van OCW en het Interprovinciaal Overleg (IPO), </w:t>
      </w:r>
      <w:r w:rsidRPr="00F529DA" w:rsidR="005A2FE0">
        <w:rPr>
          <w:rFonts w:eastAsia="Calibri"/>
          <w:kern w:val="2"/>
          <w:szCs w:val="18"/>
          <w14:ligatures w14:val="standardContextual"/>
        </w:rPr>
        <w:t xml:space="preserve">de </w:t>
      </w:r>
      <w:r w:rsidRPr="00F529DA">
        <w:rPr>
          <w:rFonts w:eastAsia="Calibri"/>
          <w:kern w:val="2"/>
          <w:szCs w:val="18"/>
          <w14:ligatures w14:val="standardContextual"/>
        </w:rPr>
        <w:t>Vereniging van Nederlandse Gemeenten (VNG), de G9</w:t>
      </w:r>
      <w:r w:rsidRPr="00F529DA">
        <w:rPr>
          <w:rFonts w:eastAsia="Calibri"/>
          <w:kern w:val="2"/>
          <w:szCs w:val="18"/>
          <w:vertAlign w:val="superscript"/>
          <w14:ligatures w14:val="standardContextual"/>
        </w:rPr>
        <w:footnoteReference w:id="20"/>
      </w:r>
      <w:r w:rsidRPr="00F529DA">
        <w:rPr>
          <w:rFonts w:eastAsia="Calibri"/>
          <w:kern w:val="2"/>
          <w:szCs w:val="18"/>
          <w14:ligatures w14:val="standardContextual"/>
        </w:rPr>
        <w:t xml:space="preserve"> en de deelnemende overheden aan de cultuurconvenanten.</w:t>
      </w:r>
      <w:r w:rsidRPr="00F529DA">
        <w:rPr>
          <w:rFonts w:eastAsia="Calibri"/>
          <w:kern w:val="2"/>
          <w:szCs w:val="18"/>
          <w:vertAlign w:val="superscript"/>
          <w14:ligatures w14:val="standardContextual"/>
        </w:rPr>
        <w:footnoteReference w:id="21"/>
      </w:r>
      <w:r w:rsidRPr="00F529DA">
        <w:rPr>
          <w:rFonts w:eastAsia="Calibri"/>
          <w:kern w:val="2"/>
          <w:szCs w:val="18"/>
          <w14:ligatures w14:val="standardContextual"/>
        </w:rPr>
        <w:t xml:space="preserve"> In de bestuurlijke </w:t>
      </w:r>
      <w:r w:rsidRPr="00F529DA">
        <w:rPr>
          <w:rFonts w:eastAsia="Calibri"/>
          <w:kern w:val="2"/>
          <w:szCs w:val="18"/>
          <w14:ligatures w14:val="standardContextual"/>
        </w:rPr>
        <w:lastRenderedPageBreak/>
        <w:t>overleggen met andere overheden is door hen aandacht gevraagd voor vernieuwing, innovatie en het faciliteren van nieuwe toetreders tot de landelijke culturele infrastructuur.</w:t>
      </w:r>
    </w:p>
    <w:p w:rsidRPr="00F529DA" w:rsidR="00877731" w:rsidP="00877731" w:rsidRDefault="00877731" w14:paraId="74E89E32" w14:textId="77777777">
      <w:pPr>
        <w:spacing w:line="276" w:lineRule="auto"/>
        <w:rPr>
          <w:rFonts w:eastAsia="Calibri"/>
          <w:kern w:val="2"/>
          <w:szCs w:val="18"/>
          <w14:ligatures w14:val="standardContextual"/>
        </w:rPr>
      </w:pPr>
    </w:p>
    <w:p w:rsidRPr="00F529DA" w:rsidR="00877731" w:rsidP="00877731" w:rsidRDefault="00877731" w14:paraId="1B09EBDD" w14:textId="10A8B90B">
      <w:pPr>
        <w:spacing w:line="276" w:lineRule="auto"/>
        <w:rPr>
          <w:rFonts w:eastAsia="Calibri"/>
          <w:kern w:val="2"/>
          <w:szCs w:val="18"/>
          <w14:ligatures w14:val="standardContextual"/>
        </w:rPr>
      </w:pPr>
      <w:r w:rsidRPr="00F529DA">
        <w:rPr>
          <w:rFonts w:eastAsia="Calibri"/>
          <w:kern w:val="2"/>
          <w:szCs w:val="18"/>
          <w14:ligatures w14:val="standardContextual"/>
        </w:rPr>
        <w:t xml:space="preserve">Het merendeel van culturele organisaties die direct van het Rijk subsidie ontvangen wordt </w:t>
      </w:r>
      <w:r w:rsidRPr="00F529DA" w:rsidR="005A2FE0">
        <w:rPr>
          <w:rFonts w:eastAsia="Calibri"/>
          <w:kern w:val="2"/>
          <w:szCs w:val="18"/>
          <w14:ligatures w14:val="standardContextual"/>
        </w:rPr>
        <w:t xml:space="preserve">ook </w:t>
      </w:r>
      <w:r w:rsidRPr="00F529DA">
        <w:rPr>
          <w:rFonts w:eastAsia="Calibri"/>
          <w:kern w:val="2"/>
          <w:szCs w:val="18"/>
          <w14:ligatures w14:val="standardContextual"/>
        </w:rPr>
        <w:t xml:space="preserve">gefinancierd door decentrale overheden. Daarbij gaat het met name om grote gemeenten. De financiering vanuit decentrale overheden staat los van de financiering die het Rijk verstrekt aan culturele organisaties. Er bestaat een mogelijkheid dat decentrale overheden ervoor kiezen om organisaties die door het </w:t>
      </w:r>
      <w:r w:rsidRPr="00F529DA" w:rsidR="00C14129">
        <w:rPr>
          <w:rFonts w:eastAsia="Calibri"/>
          <w:kern w:val="2"/>
          <w:szCs w:val="18"/>
          <w14:ligatures w14:val="standardContextual"/>
        </w:rPr>
        <w:t>R</w:t>
      </w:r>
      <w:r w:rsidRPr="00F529DA">
        <w:rPr>
          <w:rFonts w:eastAsia="Calibri"/>
          <w:kern w:val="2"/>
          <w:szCs w:val="18"/>
          <w14:ligatures w14:val="standardContextual"/>
        </w:rPr>
        <w:t>ijk voor een periode van acht jaar worden gesubsidieerd ook voor acht jaar te subsidiëren, om de cyclus te harmoniseren met het Rijk. Dat blijft een keuze die de decentrale overheid zelf maakt. De keuze voor een aanpassing van vier naar acht jaar laat de decentrale overheden die een beleidscyclus van vier jaar hanteren de vrijheid om die te handhaven. De keuze voor acht jaar wordt onderschreven door de VNG en IPO.</w:t>
      </w:r>
      <w:r w:rsidRPr="00F529DA">
        <w:rPr>
          <w:rFonts w:eastAsia="Calibri"/>
          <w:kern w:val="2"/>
          <w:szCs w:val="18"/>
          <w:vertAlign w:val="superscript"/>
          <w14:ligatures w14:val="standardContextual"/>
        </w:rPr>
        <w:footnoteReference w:id="22"/>
      </w:r>
    </w:p>
    <w:p w:rsidRPr="00F529DA" w:rsidR="00877731" w:rsidP="00877731" w:rsidRDefault="00877731" w14:paraId="66AA2EF6" w14:textId="77777777">
      <w:pPr>
        <w:spacing w:line="276" w:lineRule="auto"/>
        <w:rPr>
          <w:rFonts w:eastAsia="Calibri"/>
          <w:kern w:val="2"/>
          <w:szCs w:val="18"/>
          <w14:ligatures w14:val="standardContextual"/>
        </w:rPr>
      </w:pPr>
    </w:p>
    <w:p w:rsidRPr="00F529DA" w:rsidR="003C113C" w:rsidP="003C113C" w:rsidRDefault="003C113C" w14:paraId="6702FF57" w14:textId="77777777">
      <w:pPr>
        <w:spacing w:line="276" w:lineRule="auto"/>
        <w:rPr>
          <w:rFonts w:eastAsia="Calibri"/>
          <w:kern w:val="2"/>
          <w:szCs w:val="22"/>
          <w14:ligatures w14:val="standardContextual"/>
        </w:rPr>
      </w:pPr>
      <w:r w:rsidRPr="00F529DA">
        <w:rPr>
          <w:rFonts w:eastAsia="Calibri"/>
          <w:kern w:val="2"/>
          <w:szCs w:val="18"/>
          <w14:ligatures w14:val="standardContextual"/>
        </w:rPr>
        <w:t>Wanneer het Rijk zijn beleid en subsidies voor een langere periode vaststelt</w:t>
      </w:r>
      <w:r>
        <w:rPr>
          <w:rFonts w:eastAsia="Calibri"/>
          <w:kern w:val="2"/>
          <w:szCs w:val="18"/>
          <w14:ligatures w14:val="standardContextual"/>
        </w:rPr>
        <w:t>,</w:t>
      </w:r>
      <w:r w:rsidRPr="00F529DA">
        <w:rPr>
          <w:rFonts w:eastAsia="Calibri"/>
          <w:kern w:val="2"/>
          <w:szCs w:val="18"/>
          <w14:ligatures w14:val="standardContextual"/>
        </w:rPr>
        <w:t xml:space="preserve"> creëert dat een </w:t>
      </w:r>
      <w:r>
        <w:rPr>
          <w:rFonts w:eastAsia="Calibri"/>
          <w:kern w:val="2"/>
          <w:szCs w:val="18"/>
          <w14:ligatures w14:val="standardContextual"/>
        </w:rPr>
        <w:t>langere</w:t>
      </w:r>
      <w:r w:rsidRPr="00F529DA">
        <w:rPr>
          <w:rFonts w:eastAsia="Calibri"/>
          <w:kern w:val="2"/>
          <w:szCs w:val="18"/>
          <w14:ligatures w14:val="standardContextual"/>
        </w:rPr>
        <w:t xml:space="preserve"> </w:t>
      </w:r>
      <w:r>
        <w:rPr>
          <w:rFonts w:eastAsia="Calibri"/>
          <w:kern w:val="2"/>
          <w:szCs w:val="18"/>
          <w14:ligatures w14:val="standardContextual"/>
        </w:rPr>
        <w:t>zekerheid over</w:t>
      </w:r>
      <w:r w:rsidRPr="00F529DA">
        <w:rPr>
          <w:rFonts w:eastAsia="Calibri"/>
          <w:kern w:val="2"/>
          <w:szCs w:val="18"/>
          <w14:ligatures w14:val="standardContextual"/>
        </w:rPr>
        <w:t xml:space="preserve"> de financiële </w:t>
      </w:r>
      <w:r>
        <w:rPr>
          <w:rFonts w:eastAsia="Calibri"/>
          <w:kern w:val="2"/>
          <w:szCs w:val="18"/>
          <w14:ligatures w14:val="standardContextual"/>
        </w:rPr>
        <w:t>situatie</w:t>
      </w:r>
      <w:r w:rsidRPr="00F529DA">
        <w:rPr>
          <w:rFonts w:eastAsia="Calibri"/>
          <w:kern w:val="2"/>
          <w:szCs w:val="18"/>
          <w14:ligatures w14:val="standardContextual"/>
        </w:rPr>
        <w:t xml:space="preserve"> van culturele organisatie</w:t>
      </w:r>
      <w:r>
        <w:rPr>
          <w:rFonts w:eastAsia="Calibri"/>
          <w:kern w:val="2"/>
          <w:szCs w:val="18"/>
          <w14:ligatures w14:val="standardContextual"/>
        </w:rPr>
        <w:t>s</w:t>
      </w:r>
      <w:r w:rsidRPr="00F529DA">
        <w:rPr>
          <w:rFonts w:eastAsia="Calibri"/>
          <w:kern w:val="2"/>
          <w:szCs w:val="18"/>
          <w14:ligatures w14:val="standardContextual"/>
        </w:rPr>
        <w:t xml:space="preserve">. Ook voor gemeenten ontstaat daardoor meer zekerheid over hun gemeentelijke culturele infrastructuur. Zij kunnen daarop anticiperen in hun culturele beleid, wat een langetermijnvisie op gemeentelijk niveau kan versterken. </w:t>
      </w:r>
    </w:p>
    <w:p w:rsidRPr="00F529DA" w:rsidR="00877731" w:rsidP="00877731" w:rsidRDefault="00877731" w14:paraId="7157DF9A" w14:textId="77777777">
      <w:pPr>
        <w:spacing w:line="276" w:lineRule="auto"/>
        <w:rPr>
          <w:rFonts w:eastAsia="Calibri"/>
          <w:kern w:val="2"/>
          <w:szCs w:val="18"/>
          <w14:ligatures w14:val="standardContextual"/>
        </w:rPr>
      </w:pPr>
    </w:p>
    <w:p w:rsidRPr="00F529DA" w:rsidR="00877731" w:rsidP="00877731" w:rsidRDefault="00877731" w14:paraId="532A028B" w14:textId="3BC4D333">
      <w:pPr>
        <w:spacing w:line="276" w:lineRule="auto"/>
        <w:rPr>
          <w:rFonts w:eastAsia="Calibri"/>
          <w:kern w:val="2"/>
          <w:szCs w:val="18"/>
          <w14:ligatures w14:val="standardContextual"/>
        </w:rPr>
      </w:pPr>
      <w:r w:rsidRPr="00F529DA">
        <w:rPr>
          <w:rFonts w:eastAsia="Calibri"/>
          <w:kern w:val="2"/>
          <w:szCs w:val="18"/>
          <w14:ligatures w14:val="standardContextual"/>
        </w:rPr>
        <w:t xml:space="preserve">Kleine gemeenten zijn als onderdeel van een cultuurregio vertegenwoordigd in de cultuurconvenanten die door de minister van OCW zijn ondertekend op 17 januari 2025. </w:t>
      </w:r>
      <w:bookmarkStart w:name="_Hlk209515320" w:id="35"/>
      <w:r w:rsidRPr="00F529DA">
        <w:rPr>
          <w:rFonts w:eastAsia="Calibri"/>
          <w:kern w:val="2"/>
          <w:szCs w:val="18"/>
          <w14:ligatures w14:val="standardContextual"/>
        </w:rPr>
        <w:t xml:space="preserve">Kleine gemeenten hebben over het algemeen geen culturele organisaties die direct door het Rijk worden gesubsidieerd op basis van deze wet. </w:t>
      </w:r>
      <w:bookmarkEnd w:id="35"/>
      <w:r w:rsidRPr="00F529DA">
        <w:rPr>
          <w:rFonts w:eastAsia="Calibri"/>
          <w:kern w:val="2"/>
          <w:szCs w:val="18"/>
          <w14:ligatures w14:val="standardContextual"/>
        </w:rPr>
        <w:t xml:space="preserve">In de besprekingen met IPO en VNG en dankzij de brede scope van de samenwerkende cultuurregio’s binnen de culturele convenantgebieden, maken kleine gemeenten onderdeel uit van de besprekingen over de wijziging van de subsidiecyclus van de landelijke culturele infrastructuur. In het bestuurlijk overleg met de convenantpartners van 21 mei 2025 is de steun uitgesproken voor een cyclus van acht jaar. Relevanter voor de kleine gemeenten is de regionale functie van culturele organisaties die gevestigd zijn in grotere gemeenten, ook voor omliggende gebieden. Niet alleen de vestigingsplaats, maar ook het omliggende gebied is daarbij van belang. Tijdens het bestuurlijk overleg van 21 mei 2025 is ingebracht dat een langere subsidieperiode van de </w:t>
      </w:r>
      <w:proofErr w:type="spellStart"/>
      <w:r w:rsidRPr="00F529DA">
        <w:rPr>
          <w:rFonts w:eastAsia="Calibri"/>
          <w:kern w:val="2"/>
          <w:szCs w:val="18"/>
          <w14:ligatures w14:val="standardContextual"/>
        </w:rPr>
        <w:t>Wsc</w:t>
      </w:r>
      <w:proofErr w:type="spellEnd"/>
      <w:r w:rsidRPr="00F529DA">
        <w:rPr>
          <w:rFonts w:eastAsia="Calibri"/>
          <w:kern w:val="2"/>
          <w:szCs w:val="18"/>
          <w14:ligatures w14:val="standardContextual"/>
        </w:rPr>
        <w:t xml:space="preserve"> ook een grotere verantwoordelijkheid zou moeten betekenen voor deze organisaties in het omliggende gebied. De keuze hiervoor wordt verder uitgewerkt in de </w:t>
      </w:r>
      <w:proofErr w:type="spellStart"/>
      <w:r w:rsidRPr="00F529DA">
        <w:rPr>
          <w:rFonts w:eastAsia="Calibri"/>
          <w:kern w:val="2"/>
          <w:szCs w:val="18"/>
          <w14:ligatures w14:val="standardContextual"/>
        </w:rPr>
        <w:t>Rsc</w:t>
      </w:r>
      <w:proofErr w:type="spellEnd"/>
      <w:r w:rsidRPr="00F529DA">
        <w:rPr>
          <w:rFonts w:eastAsia="Calibri"/>
          <w:kern w:val="2"/>
          <w:szCs w:val="18"/>
          <w14:ligatures w14:val="standardContextual"/>
        </w:rPr>
        <w:t>.</w:t>
      </w:r>
    </w:p>
    <w:p w:rsidRPr="00F529DA" w:rsidR="00877731" w:rsidP="00877731" w:rsidRDefault="00877731" w14:paraId="0DB0620B" w14:textId="77777777">
      <w:pPr>
        <w:spacing w:line="276" w:lineRule="auto"/>
        <w:rPr>
          <w:rFonts w:eastAsia="Calibri"/>
          <w:kern w:val="2"/>
          <w:szCs w:val="18"/>
          <w14:ligatures w14:val="standardContextual"/>
        </w:rPr>
      </w:pPr>
    </w:p>
    <w:p w:rsidRPr="00F529DA" w:rsidR="00192968" w:rsidP="00192968" w:rsidRDefault="00877731" w14:paraId="6BA60F23" w14:textId="24FBB4C7">
      <w:pPr>
        <w:spacing w:line="276" w:lineRule="auto"/>
        <w:rPr>
          <w:rFonts w:eastAsia="Calibri"/>
          <w:kern w:val="2"/>
          <w:szCs w:val="22"/>
          <w14:ligatures w14:val="standardContextual"/>
        </w:rPr>
      </w:pPr>
      <w:r w:rsidRPr="00F529DA">
        <w:rPr>
          <w:rFonts w:eastAsia="Calibri"/>
          <w:kern w:val="2"/>
          <w:szCs w:val="18"/>
          <w14:ligatures w14:val="standardContextual"/>
        </w:rPr>
        <w:t xml:space="preserve">De ambtelijke capaciteit bij gemeenten blijft een aandachtspunt, vooral bij kleinere gemeenten. Dit staat echter los van de wijziging van de </w:t>
      </w:r>
      <w:proofErr w:type="spellStart"/>
      <w:r w:rsidRPr="00F529DA">
        <w:rPr>
          <w:rFonts w:eastAsia="Calibri"/>
          <w:kern w:val="2"/>
          <w:szCs w:val="18"/>
          <w14:ligatures w14:val="standardContextual"/>
        </w:rPr>
        <w:t>Wsc</w:t>
      </w:r>
      <w:proofErr w:type="spellEnd"/>
      <w:r w:rsidRPr="00F529DA" w:rsidR="00192968">
        <w:rPr>
          <w:rFonts w:eastAsia="Calibri"/>
          <w:kern w:val="2"/>
          <w:szCs w:val="18"/>
          <w14:ligatures w14:val="standardContextual"/>
        </w:rPr>
        <w:t xml:space="preserve">. </w:t>
      </w:r>
      <w:r w:rsidRPr="00F529DA">
        <w:rPr>
          <w:rFonts w:eastAsia="Calibri"/>
          <w:kern w:val="2"/>
          <w:szCs w:val="18"/>
          <w14:ligatures w14:val="standardContextual"/>
        </w:rPr>
        <w:t xml:space="preserve">Gemeenten hebben aangegeven dat de druk op de beschikbare ambtenaren groter is ten tijde van het beoordelen van subsidieaanvragen. Mocht een gemeente besluiten om de gewijzigde subsidieperiode van de </w:t>
      </w:r>
      <w:proofErr w:type="spellStart"/>
      <w:r w:rsidRPr="00F529DA">
        <w:rPr>
          <w:rFonts w:eastAsia="Calibri"/>
          <w:kern w:val="2"/>
          <w:szCs w:val="18"/>
          <w14:ligatures w14:val="standardContextual"/>
        </w:rPr>
        <w:t>Wsc</w:t>
      </w:r>
      <w:proofErr w:type="spellEnd"/>
      <w:r w:rsidRPr="00F529DA">
        <w:rPr>
          <w:rFonts w:eastAsia="Calibri"/>
          <w:kern w:val="2"/>
          <w:szCs w:val="18"/>
          <w14:ligatures w14:val="standardContextual"/>
        </w:rPr>
        <w:t xml:space="preserve"> te willen volgen, dan zou er een werkdrukverlichting kunnen ontstaan</w:t>
      </w:r>
      <w:r w:rsidRPr="00F529DA" w:rsidR="00192968">
        <w:rPr>
          <w:rFonts w:eastAsia="Calibri"/>
          <w:kern w:val="2"/>
          <w:szCs w:val="18"/>
          <w14:ligatures w14:val="standardContextual"/>
        </w:rPr>
        <w:t>.</w:t>
      </w:r>
      <w:r w:rsidRPr="00F529DA" w:rsidR="00192968">
        <w:rPr>
          <w:rFonts w:eastAsia="Calibri"/>
          <w:kern w:val="2"/>
          <w:szCs w:val="22"/>
          <w14:ligatures w14:val="standardContextual"/>
        </w:rPr>
        <w:t xml:space="preserve"> Het politiek mandaat en de autonomie om al dan niet mee te gaan met de cyclus van het Rijk ligt bij de gemeenteraden en de provinciale staten. </w:t>
      </w:r>
    </w:p>
    <w:p w:rsidRPr="00F529DA" w:rsidR="00877731" w:rsidP="00877731" w:rsidRDefault="00877731" w14:paraId="604D6BE9" w14:textId="77777777">
      <w:pPr>
        <w:spacing w:line="276" w:lineRule="auto"/>
        <w:rPr>
          <w:rFonts w:eastAsia="Calibri"/>
          <w:kern w:val="2"/>
          <w:szCs w:val="22"/>
          <w14:ligatures w14:val="standardContextual"/>
        </w:rPr>
      </w:pPr>
    </w:p>
    <w:p w:rsidRPr="00F529DA" w:rsidR="00261933" w:rsidP="003E77F1" w:rsidRDefault="00261933" w14:paraId="24A7669F" w14:textId="77777777">
      <w:pPr>
        <w:pStyle w:val="Lijstalinea"/>
        <w:keepNext/>
        <w:keepLines/>
        <w:numPr>
          <w:ilvl w:val="0"/>
          <w:numId w:val="9"/>
        </w:numPr>
        <w:spacing w:before="160" w:after="80" w:line="276" w:lineRule="auto"/>
        <w:outlineLvl w:val="1"/>
        <w:rPr>
          <w:b/>
          <w:kern w:val="2"/>
          <w:szCs w:val="32"/>
          <w14:ligatures w14:val="standardContextual"/>
        </w:rPr>
      </w:pPr>
      <w:bookmarkStart w:name="_Toc210315971" w:id="36"/>
      <w:bookmarkStart w:name="_Toc210315978" w:id="37"/>
      <w:bookmarkStart w:name="_Toc210384044" w:id="38"/>
      <w:bookmarkEnd w:id="36"/>
      <w:bookmarkEnd w:id="37"/>
      <w:r w:rsidRPr="00F529DA">
        <w:rPr>
          <w:b/>
          <w:kern w:val="2"/>
          <w:szCs w:val="32"/>
          <w14:ligatures w14:val="standardContextual"/>
        </w:rPr>
        <w:lastRenderedPageBreak/>
        <w:t>Uitvoerings- en handhavingsgevolgen</w:t>
      </w:r>
    </w:p>
    <w:p w:rsidRPr="00F529DA" w:rsidR="00877731" w:rsidP="003E77F1" w:rsidRDefault="00877731" w14:paraId="136F8B7F" w14:textId="42A3CA43">
      <w:pPr>
        <w:keepNext/>
        <w:keepLines/>
        <w:spacing w:before="160" w:after="80" w:line="276" w:lineRule="auto"/>
        <w:ind w:left="708"/>
        <w:outlineLvl w:val="2"/>
        <w:rPr>
          <w:b/>
          <w:kern w:val="2"/>
          <w:szCs w:val="28"/>
          <w14:ligatures w14:val="standardContextual"/>
        </w:rPr>
      </w:pPr>
      <w:bookmarkStart w:name="_Toc210384041" w:id="39"/>
      <w:bookmarkEnd w:id="38"/>
      <w:r w:rsidRPr="00F529DA">
        <w:rPr>
          <w:b/>
          <w:kern w:val="2"/>
          <w:szCs w:val="28"/>
          <w14:ligatures w14:val="standardContextual"/>
        </w:rPr>
        <w:t>9.1 Ministerie van Onderwijs, Cultuur en Wetenschap</w:t>
      </w:r>
      <w:bookmarkEnd w:id="39"/>
    </w:p>
    <w:p w:rsidRPr="00F529DA" w:rsidR="00877731" w:rsidP="00877731" w:rsidRDefault="00877731" w14:paraId="39473EBC" w14:textId="77777777">
      <w:pPr>
        <w:spacing w:line="276" w:lineRule="auto"/>
        <w:rPr>
          <w:rFonts w:eastAsia="Calibri"/>
          <w:kern w:val="2"/>
          <w:szCs w:val="22"/>
          <w14:ligatures w14:val="standardContextual"/>
        </w:rPr>
      </w:pPr>
      <w:r w:rsidRPr="00F529DA">
        <w:rPr>
          <w:rFonts w:eastAsia="Calibri"/>
          <w:kern w:val="2"/>
          <w:szCs w:val="22"/>
          <w14:ligatures w14:val="standardContextual"/>
        </w:rPr>
        <w:t xml:space="preserve">Het aanpassen van de beleidstermijn en de maximale financieringstermijn in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laat de bestaande systematiek van het vaststellen van een ministeriële regeling in stand. Om die reden zijn er weinig consequenties voor de uitvoerbaarheid en handhaafbaarheid. De wijziging draagt bij aan de vermindering van administratieve handelingen en taken die verricht moeten worden binnen het ministerie. Waar nu maximaal iedere vier jaar een beleidscyclus wordt doorlopen, wordt dat met dit wetsvoorstel maximaal acht jaar. De op grond van artikel 4a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vast te stellen regelingen zullen afzonderlijk op deze aspecten worden bezien.</w:t>
      </w:r>
    </w:p>
    <w:p w:rsidRPr="00F529DA" w:rsidR="00877731" w:rsidP="00877731" w:rsidRDefault="00877731" w14:paraId="7D3E8397" w14:textId="209351F2">
      <w:pPr>
        <w:keepNext/>
        <w:keepLines/>
        <w:numPr>
          <w:ilvl w:val="1"/>
          <w:numId w:val="0"/>
        </w:numPr>
        <w:spacing w:before="160" w:after="80" w:line="276" w:lineRule="auto"/>
        <w:ind w:left="792" w:hanging="84"/>
        <w:outlineLvl w:val="2"/>
        <w:rPr>
          <w:b/>
          <w:kern w:val="2"/>
          <w:szCs w:val="28"/>
          <w14:ligatures w14:val="standardContextual"/>
        </w:rPr>
      </w:pPr>
      <w:bookmarkStart w:name="_Toc210315974" w:id="40"/>
      <w:bookmarkStart w:name="_Toc210384042" w:id="41"/>
      <w:bookmarkEnd w:id="40"/>
      <w:r w:rsidRPr="00F529DA">
        <w:rPr>
          <w:b/>
          <w:kern w:val="2"/>
          <w:szCs w:val="28"/>
          <w14:ligatures w14:val="standardContextual"/>
        </w:rPr>
        <w:t>9.2 Raad voor cultuur</w:t>
      </w:r>
      <w:bookmarkEnd w:id="41"/>
    </w:p>
    <w:p w:rsidRPr="00F529DA" w:rsidR="00877731" w:rsidP="00877731" w:rsidRDefault="00877731" w14:paraId="624B3B21" w14:textId="2F0DC47D">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Raad voor cultuur heeft op basis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 xml:space="preserve"> als wettelijk adviesorgaan de taak de regering en de beide </w:t>
      </w:r>
      <w:r w:rsidRPr="00F529DA" w:rsidR="00CC0B46">
        <w:rPr>
          <w:rFonts w:eastAsia="Calibri"/>
          <w:kern w:val="2"/>
          <w:szCs w:val="22"/>
          <w14:ligatures w14:val="standardContextual"/>
        </w:rPr>
        <w:t>K</w:t>
      </w:r>
      <w:r w:rsidRPr="00F529DA">
        <w:rPr>
          <w:rFonts w:eastAsia="Calibri"/>
          <w:kern w:val="2"/>
          <w:szCs w:val="22"/>
          <w14:ligatures w14:val="standardContextual"/>
        </w:rPr>
        <w:t>amers der Staten-Generaal te adviseren over algemeen verbindende voorschriften of te voeren beleid van het Rijk op het terrein van de cultuur. Daarnaast is er ook nog het reguliere gevraagde en ongevraagde advieswerk van de Raad. Bij aanpassing van de beleidscyclus naar acht jaar, zal de Raad slechts één keer in de acht jaar over de hoofdlijnen van het cultuurbeleid een advies geven, in plaats van iedere vier jaar.</w:t>
      </w:r>
    </w:p>
    <w:p w:rsidRPr="00F529DA" w:rsidR="00877731" w:rsidP="00877731" w:rsidRDefault="00877731" w14:paraId="7B2843D1" w14:textId="3E37B312">
      <w:pPr>
        <w:keepNext/>
        <w:keepLines/>
        <w:numPr>
          <w:ilvl w:val="1"/>
          <w:numId w:val="0"/>
        </w:numPr>
        <w:spacing w:before="160" w:after="80" w:line="276" w:lineRule="auto"/>
        <w:ind w:left="792" w:hanging="84"/>
        <w:outlineLvl w:val="2"/>
        <w:rPr>
          <w:b/>
          <w:kern w:val="2"/>
          <w:szCs w:val="28"/>
          <w14:ligatures w14:val="standardContextual"/>
        </w:rPr>
      </w:pPr>
      <w:bookmarkStart w:name="_Toc210315976" w:id="42"/>
      <w:bookmarkStart w:name="_Toc210384043" w:id="43"/>
      <w:bookmarkEnd w:id="42"/>
      <w:r w:rsidRPr="00F529DA">
        <w:rPr>
          <w:b/>
          <w:kern w:val="2"/>
          <w:szCs w:val="28"/>
          <w14:ligatures w14:val="standardContextual"/>
        </w:rPr>
        <w:t>9.3 Rijkscultuurfondsen</w:t>
      </w:r>
      <w:bookmarkEnd w:id="43"/>
    </w:p>
    <w:p w:rsidRPr="003006A8" w:rsidR="003006A8" w:rsidP="003006A8" w:rsidRDefault="00877731" w14:paraId="2FED86C8" w14:textId="6752F2C2">
      <w:pPr>
        <w:spacing w:line="276" w:lineRule="auto"/>
        <w:rPr>
          <w:rFonts w:eastAsia="Calibri"/>
          <w:kern w:val="2"/>
          <w:szCs w:val="22"/>
          <w14:ligatures w14:val="standardContextual"/>
        </w:rPr>
      </w:pPr>
      <w:r w:rsidRPr="00F529DA">
        <w:rPr>
          <w:rFonts w:eastAsia="Calibri"/>
          <w:kern w:val="2"/>
          <w:szCs w:val="22"/>
          <w14:ligatures w14:val="standardContextual"/>
        </w:rPr>
        <w:t xml:space="preserve">De </w:t>
      </w:r>
      <w:proofErr w:type="spellStart"/>
      <w:r w:rsidRPr="00F529DA">
        <w:rPr>
          <w:rFonts w:eastAsia="Calibri"/>
          <w:kern w:val="2"/>
          <w:szCs w:val="22"/>
          <w14:ligatures w14:val="standardContextual"/>
        </w:rPr>
        <w:t>rijkscultuurfondsen</w:t>
      </w:r>
      <w:proofErr w:type="spellEnd"/>
      <w:r w:rsidRPr="00F529DA">
        <w:rPr>
          <w:rFonts w:eastAsia="Calibri"/>
          <w:kern w:val="2"/>
          <w:szCs w:val="22"/>
          <w14:ligatures w14:val="standardContextual"/>
        </w:rPr>
        <w:t xml:space="preserve"> zorgen voor doorstroming, vernieuwing, talentontwikkeling en zoeken actief naar verbinding met publiek, makers, kunstenaars en regio. De fondsen zijn zelfstandige bestuursorganen (</w:t>
      </w:r>
      <w:proofErr w:type="spellStart"/>
      <w:r w:rsidRPr="00F529DA">
        <w:rPr>
          <w:rFonts w:eastAsia="Calibri"/>
          <w:kern w:val="2"/>
          <w:szCs w:val="22"/>
          <w14:ligatures w14:val="standardContextual"/>
        </w:rPr>
        <w:t>zbo</w:t>
      </w:r>
      <w:proofErr w:type="spellEnd"/>
      <w:r w:rsidRPr="00F529DA">
        <w:rPr>
          <w:rFonts w:eastAsia="Calibri"/>
          <w:kern w:val="2"/>
          <w:szCs w:val="22"/>
          <w14:ligatures w14:val="standardContextual"/>
        </w:rPr>
        <w:t xml:space="preserve">) en voeren een overheidstaak uit. Als </w:t>
      </w:r>
      <w:proofErr w:type="spellStart"/>
      <w:r w:rsidRPr="00F529DA">
        <w:rPr>
          <w:rFonts w:eastAsia="Calibri"/>
          <w:kern w:val="2"/>
          <w:szCs w:val="22"/>
          <w14:ligatures w14:val="standardContextual"/>
        </w:rPr>
        <w:t>zbo</w:t>
      </w:r>
      <w:proofErr w:type="spellEnd"/>
      <w:r w:rsidRPr="00F529DA">
        <w:rPr>
          <w:rFonts w:eastAsia="Calibri"/>
          <w:kern w:val="2"/>
          <w:szCs w:val="22"/>
          <w14:ligatures w14:val="standardContextual"/>
        </w:rPr>
        <w:t xml:space="preserve"> maken de fondsen </w:t>
      </w:r>
      <w:r w:rsidR="003006A8">
        <w:rPr>
          <w:rFonts w:eastAsia="Calibri"/>
          <w:kern w:val="2"/>
          <w:szCs w:val="22"/>
          <w14:ligatures w14:val="standardContextual"/>
        </w:rPr>
        <w:t xml:space="preserve">in beginsel </w:t>
      </w:r>
      <w:r w:rsidRPr="00F529DA">
        <w:rPr>
          <w:rFonts w:eastAsia="Calibri"/>
          <w:kern w:val="2"/>
          <w:szCs w:val="22"/>
          <w14:ligatures w14:val="standardContextual"/>
        </w:rPr>
        <w:t xml:space="preserve">zelf de afweging welke termijn zij hanteren voor de meerjarige subsidieregelingen, binnen de kaders van de </w:t>
      </w:r>
      <w:proofErr w:type="spellStart"/>
      <w:r w:rsidRPr="00F529DA">
        <w:rPr>
          <w:rFonts w:eastAsia="Calibri"/>
          <w:kern w:val="2"/>
          <w:szCs w:val="22"/>
          <w14:ligatures w14:val="standardContextual"/>
        </w:rPr>
        <w:t>Wsc</w:t>
      </w:r>
      <w:proofErr w:type="spellEnd"/>
      <w:r w:rsidRPr="00F529DA">
        <w:rPr>
          <w:rFonts w:eastAsia="Calibri"/>
          <w:kern w:val="2"/>
          <w:szCs w:val="22"/>
          <w14:ligatures w14:val="standardContextual"/>
        </w:rPr>
        <w:t>.</w:t>
      </w:r>
    </w:p>
    <w:p w:rsidR="002826A6" w:rsidP="00877731" w:rsidRDefault="002826A6" w14:paraId="44D0C32F" w14:textId="77777777">
      <w:pPr>
        <w:spacing w:line="276" w:lineRule="auto"/>
        <w:rPr>
          <w:rFonts w:eastAsia="Calibri"/>
          <w:kern w:val="2"/>
          <w:szCs w:val="22"/>
          <w14:ligatures w14:val="standardContextual"/>
        </w:rPr>
      </w:pPr>
    </w:p>
    <w:p w:rsidRPr="00F529DA" w:rsidR="0012761E" w:rsidP="00877731" w:rsidRDefault="00877731" w14:paraId="4555CE1E" w14:textId="09EEE90D">
      <w:pPr>
        <w:spacing w:line="276" w:lineRule="auto"/>
        <w:rPr>
          <w:rFonts w:eastAsia="Calibri"/>
          <w:kern w:val="2"/>
          <w:szCs w:val="22"/>
          <w14:ligatures w14:val="standardContextual"/>
        </w:rPr>
      </w:pPr>
      <w:r w:rsidRPr="00F529DA">
        <w:rPr>
          <w:rFonts w:eastAsia="Calibri"/>
          <w:kern w:val="2"/>
          <w:szCs w:val="22"/>
          <w14:ligatures w14:val="standardContextual"/>
        </w:rPr>
        <w:t xml:space="preserve">Voor de fondsen zal de aanpassing van de subsidieperiode naar acht jaar gevolgen hebben. De fondsen zelf worden in de nieuwe situatie voor een periode van acht jaar gefinancierd door het Rijk. Omdat de fondsen zelf verantwoordelijk zijn voor het opstellen en vaststellen van (het aantal) subsidieregelingen, is het echter niet mogelijk vooraf met zekerheid te zeggen welk effect de aanpassing van de subsidieperiode naar acht jaar heeft. Wel kunnen gevolgen worden ingeschat. De fondsen zullen hun meerjarenplannen niet voor vier, maar voor acht jaar vormgeven, waarmee de inspanningen in frequentie voor de medewerkers van het fonds die zich bezighouden met het ontwikkelen van het meerjarenplan worden verlaagd. Daarnaast kunnen fondsen meer differentiatie aanbrengen in de termijnen van hun regelingen. Als fondsen besluiten </w:t>
      </w:r>
      <w:r w:rsidR="002C31A0">
        <w:rPr>
          <w:rFonts w:eastAsia="Calibri"/>
          <w:kern w:val="2"/>
          <w:szCs w:val="22"/>
          <w14:ligatures w14:val="standardContextual"/>
        </w:rPr>
        <w:t xml:space="preserve">de </w:t>
      </w:r>
      <w:r w:rsidRPr="00F529DA">
        <w:rPr>
          <w:rFonts w:eastAsia="Calibri"/>
          <w:kern w:val="2"/>
          <w:szCs w:val="22"/>
          <w14:ligatures w14:val="standardContextual"/>
        </w:rPr>
        <w:t xml:space="preserve">huidige vierjarige regelingen om te zetten naar achtjarige regelingen, kan de regeldruk voor die regelingen worden beperkt. Immers, minder vaak beoordelen betekent lagere advieskosten, een afname van juridische en administratieve handelingen en minder procedurele handelingen voor het fonds. </w:t>
      </w:r>
    </w:p>
    <w:p w:rsidRPr="00F529DA" w:rsidR="00877731" w:rsidP="00877731" w:rsidRDefault="00877731" w14:paraId="7506E45A" w14:textId="77777777"/>
    <w:p w:rsidRPr="00F529DA" w:rsidR="00261933" w:rsidP="003E77F1" w:rsidRDefault="00261933" w14:paraId="0D80FC36" w14:textId="2EB181E9">
      <w:pPr>
        <w:pStyle w:val="Lijstalinea"/>
        <w:keepNext/>
        <w:keepLines/>
        <w:numPr>
          <w:ilvl w:val="0"/>
          <w:numId w:val="9"/>
        </w:numPr>
        <w:spacing w:before="160" w:after="80" w:line="276" w:lineRule="auto"/>
        <w:outlineLvl w:val="1"/>
        <w:rPr>
          <w:b/>
          <w:kern w:val="2"/>
          <w:szCs w:val="32"/>
          <w14:ligatures w14:val="standardContextual"/>
        </w:rPr>
      </w:pPr>
      <w:r w:rsidRPr="00F529DA">
        <w:rPr>
          <w:b/>
          <w:kern w:val="2"/>
          <w:szCs w:val="32"/>
          <w14:ligatures w14:val="standardContextual"/>
        </w:rPr>
        <w:t xml:space="preserve">Advies en </w:t>
      </w:r>
      <w:r w:rsidRPr="00F529DA" w:rsidR="00B808EB">
        <w:rPr>
          <w:b/>
          <w:kern w:val="2"/>
          <w:szCs w:val="32"/>
          <w14:ligatures w14:val="standardContextual"/>
        </w:rPr>
        <w:t>internet</w:t>
      </w:r>
      <w:r w:rsidRPr="00F529DA" w:rsidR="00D862C4">
        <w:rPr>
          <w:b/>
          <w:kern w:val="2"/>
          <w:szCs w:val="32"/>
          <w14:ligatures w14:val="standardContextual"/>
        </w:rPr>
        <w:t>c</w:t>
      </w:r>
      <w:r w:rsidRPr="00F529DA">
        <w:rPr>
          <w:b/>
          <w:kern w:val="2"/>
          <w:szCs w:val="32"/>
          <w14:ligatures w14:val="standardContextual"/>
        </w:rPr>
        <w:t>onsultatie</w:t>
      </w:r>
    </w:p>
    <w:p w:rsidRPr="00F529DA" w:rsidR="00261933" w:rsidP="00261933" w:rsidRDefault="00261933" w14:paraId="4E64BEE8" w14:textId="04D6FE9F">
      <w:pPr>
        <w:keepNext/>
        <w:keepLines/>
        <w:numPr>
          <w:ilvl w:val="1"/>
          <w:numId w:val="0"/>
        </w:numPr>
        <w:spacing w:before="160" w:after="80" w:line="276" w:lineRule="auto"/>
        <w:ind w:left="792" w:hanging="84"/>
        <w:outlineLvl w:val="2"/>
        <w:rPr>
          <w:b/>
          <w:kern w:val="2"/>
          <w:szCs w:val="28"/>
          <w14:ligatures w14:val="standardContextual"/>
        </w:rPr>
      </w:pPr>
      <w:r w:rsidRPr="00F529DA">
        <w:rPr>
          <w:b/>
          <w:kern w:val="2"/>
          <w:szCs w:val="28"/>
          <w14:ligatures w14:val="standardContextual"/>
        </w:rPr>
        <w:t xml:space="preserve">10.1 </w:t>
      </w:r>
      <w:r w:rsidRPr="00F529DA" w:rsidR="00230EFD">
        <w:rPr>
          <w:b/>
          <w:kern w:val="2"/>
          <w:szCs w:val="28"/>
          <w14:ligatures w14:val="standardContextual"/>
        </w:rPr>
        <w:t xml:space="preserve">Advies </w:t>
      </w:r>
      <w:r w:rsidRPr="00F529DA" w:rsidR="002E0F39">
        <w:rPr>
          <w:b/>
          <w:kern w:val="2"/>
          <w:szCs w:val="28"/>
          <w14:ligatures w14:val="standardContextual"/>
        </w:rPr>
        <w:t xml:space="preserve">Adviescollege </w:t>
      </w:r>
      <w:r w:rsidRPr="00F529DA" w:rsidR="009070F7">
        <w:rPr>
          <w:b/>
          <w:kern w:val="2"/>
          <w:szCs w:val="28"/>
          <w14:ligatures w14:val="standardContextual"/>
        </w:rPr>
        <w:t>t</w:t>
      </w:r>
      <w:r w:rsidRPr="00F529DA" w:rsidR="002E0F39">
        <w:rPr>
          <w:b/>
          <w:kern w:val="2"/>
          <w:szCs w:val="28"/>
          <w14:ligatures w14:val="standardContextual"/>
        </w:rPr>
        <w:t xml:space="preserve">oetsing </w:t>
      </w:r>
      <w:r w:rsidRPr="00F529DA" w:rsidR="009070F7">
        <w:rPr>
          <w:b/>
          <w:kern w:val="2"/>
          <w:szCs w:val="28"/>
          <w14:ligatures w14:val="standardContextual"/>
        </w:rPr>
        <w:t>r</w:t>
      </w:r>
      <w:r w:rsidRPr="00F529DA" w:rsidR="002E0F39">
        <w:rPr>
          <w:b/>
          <w:kern w:val="2"/>
          <w:szCs w:val="28"/>
          <w14:ligatures w14:val="standardContextual"/>
        </w:rPr>
        <w:t>egeldruk</w:t>
      </w:r>
    </w:p>
    <w:p w:rsidRPr="00F529DA" w:rsidR="002E0F39" w:rsidP="002E0F39" w:rsidRDefault="002E0F39" w14:paraId="36D89278" w14:textId="63A9E562">
      <w:pPr>
        <w:spacing w:line="276" w:lineRule="auto"/>
      </w:pPr>
      <w:r w:rsidRPr="00F529DA">
        <w:t xml:space="preserve">Het Adviescollege </w:t>
      </w:r>
      <w:r w:rsidRPr="00F529DA" w:rsidR="00CC0B46">
        <w:t>t</w:t>
      </w:r>
      <w:r w:rsidRPr="00F529DA">
        <w:t xml:space="preserve">oetsing </w:t>
      </w:r>
      <w:r w:rsidRPr="00F529DA" w:rsidR="00CC0B46">
        <w:t>r</w:t>
      </w:r>
      <w:r w:rsidRPr="00F529DA">
        <w:t xml:space="preserve">egeldruk heeft op een conceptversie van dit wetsvoorstel een advies uitgebracht. Het college oordeelde positief over </w:t>
      </w:r>
      <w:r w:rsidRPr="00F529DA" w:rsidR="00BC2FC4">
        <w:t>het</w:t>
      </w:r>
      <w:r w:rsidRPr="00F529DA">
        <w:t xml:space="preserve"> nut en</w:t>
      </w:r>
      <w:r w:rsidRPr="00F529DA" w:rsidR="00BC2FC4">
        <w:t xml:space="preserve"> de </w:t>
      </w:r>
      <w:r w:rsidRPr="00F529DA">
        <w:t xml:space="preserve">noodzaak van de wetswijziging en had geen opmerkingen bij de minder belastende alternatieven. Het college adviseerde wel om de regeldrukberekening, overeenkomstig de </w:t>
      </w:r>
      <w:proofErr w:type="spellStart"/>
      <w:r w:rsidRPr="00F529DA">
        <w:t>Rijksbrede</w:t>
      </w:r>
      <w:proofErr w:type="spellEnd"/>
      <w:r w:rsidRPr="00F529DA">
        <w:t xml:space="preserve"> methodiek, inzichtelijk te maken en aan te vullen met een inschatting van het aantal organisaties. Op basis van het advies is hoofdstuk </w:t>
      </w:r>
      <w:r w:rsidRPr="00F529DA" w:rsidR="00437436">
        <w:t xml:space="preserve">7 </w:t>
      </w:r>
      <w:r w:rsidRPr="00F529DA">
        <w:t xml:space="preserve">aangevuld met de berekening, is </w:t>
      </w:r>
      <w:r w:rsidRPr="00F529DA" w:rsidR="00AE261A">
        <w:t xml:space="preserve">er </w:t>
      </w:r>
      <w:r w:rsidRPr="00F529DA">
        <w:t xml:space="preserve">beter onderbouwd waarom </w:t>
      </w:r>
      <w:r w:rsidRPr="00F529DA" w:rsidR="00B05D2F">
        <w:t>is</w:t>
      </w:r>
      <w:r w:rsidRPr="00F529DA">
        <w:t xml:space="preserve"> gekozen </w:t>
      </w:r>
      <w:r w:rsidRPr="00F529DA" w:rsidR="0010455C">
        <w:t xml:space="preserve">om </w:t>
      </w:r>
      <w:r w:rsidRPr="00F529DA">
        <w:t xml:space="preserve">de inschatting van het aantal organisaties niet op te nemen en is </w:t>
      </w:r>
      <w:r w:rsidRPr="00F529DA" w:rsidR="00AE261A">
        <w:t xml:space="preserve">er </w:t>
      </w:r>
      <w:r w:rsidRPr="00F529DA">
        <w:t>uitleg gegeven over de verantwoordingslast.</w:t>
      </w:r>
    </w:p>
    <w:p w:rsidRPr="00F529DA" w:rsidR="002E0F39" w:rsidP="002E0F39" w:rsidRDefault="002E0F39" w14:paraId="4DC8DAAA" w14:textId="0AD601C1">
      <w:pPr>
        <w:keepNext/>
        <w:keepLines/>
        <w:numPr>
          <w:ilvl w:val="1"/>
          <w:numId w:val="0"/>
        </w:numPr>
        <w:spacing w:before="160" w:after="80" w:line="276" w:lineRule="auto"/>
        <w:ind w:left="792" w:hanging="84"/>
        <w:outlineLvl w:val="2"/>
        <w:rPr>
          <w:b/>
          <w:kern w:val="2"/>
          <w:szCs w:val="28"/>
          <w14:ligatures w14:val="standardContextual"/>
        </w:rPr>
      </w:pPr>
      <w:r w:rsidRPr="00F529DA">
        <w:rPr>
          <w:b/>
          <w:kern w:val="2"/>
          <w:szCs w:val="28"/>
          <w14:ligatures w14:val="standardContextual"/>
        </w:rPr>
        <w:lastRenderedPageBreak/>
        <w:t xml:space="preserve">10.2 </w:t>
      </w:r>
      <w:r w:rsidRPr="00F529DA" w:rsidR="00230EFD">
        <w:rPr>
          <w:b/>
          <w:kern w:val="2"/>
          <w:szCs w:val="28"/>
          <w14:ligatures w14:val="standardContextual"/>
        </w:rPr>
        <w:t>Advies Raad voor cultuur</w:t>
      </w:r>
    </w:p>
    <w:p w:rsidRPr="00F529DA" w:rsidR="00BD5271" w:rsidP="00BD5271" w:rsidRDefault="002E0F39" w14:paraId="3C8498B4" w14:textId="33F86CC4">
      <w:pPr>
        <w:spacing w:line="276" w:lineRule="auto"/>
      </w:pPr>
      <w:r w:rsidRPr="00F529DA">
        <w:t>Dit wetsvoorstel is voor advies voorgelegd aan de Raad voor cultuur.</w:t>
      </w:r>
      <w:r w:rsidRPr="00F529DA" w:rsidR="00BD5271">
        <w:t xml:space="preserve"> De </w:t>
      </w:r>
      <w:r w:rsidRPr="00F529DA" w:rsidR="00BF7B00">
        <w:t>R</w:t>
      </w:r>
      <w:r w:rsidRPr="00F529DA" w:rsidR="00BD5271">
        <w:t>aad heeft op 8 januari 2026 op het advies gereageerd</w:t>
      </w:r>
      <w:r w:rsidRPr="00F529DA" w:rsidR="00FC5DCC">
        <w:t>.</w:t>
      </w:r>
      <w:r w:rsidRPr="00F529DA" w:rsidR="00BD5271">
        <w:rPr>
          <w:rStyle w:val="Voetnootmarkering"/>
        </w:rPr>
        <w:footnoteReference w:id="23"/>
      </w:r>
      <w:r w:rsidRPr="00F529DA" w:rsidR="00BD5271">
        <w:t xml:space="preserve"> De </w:t>
      </w:r>
      <w:r w:rsidRPr="00F529DA" w:rsidR="00BF7B00">
        <w:t>R</w:t>
      </w:r>
      <w:r w:rsidRPr="00F529DA" w:rsidR="00BD5271">
        <w:t xml:space="preserve">aad ondersteunt de aanpassing van de beleidscyclus en ziet het als een noodzakelijke stap voor de vernieuwing van het Nederlandse cultuurbestel. Een verlengde cyclus biedt instellingen meer ruimte voor artistieke en inhoudelijke innovatie en maakt hen aantrekkelijker voor private co-financiers om te investeren. Bovendien zorgt een achtjarige cyclus voor een aanzienlijke vermindering van de administratieve lasten en biedt het de </w:t>
      </w:r>
      <w:proofErr w:type="spellStart"/>
      <w:r w:rsidRPr="00F529DA" w:rsidR="00BD5271">
        <w:t>rijkscultuurfondsen</w:t>
      </w:r>
      <w:proofErr w:type="spellEnd"/>
      <w:r w:rsidRPr="00F529DA" w:rsidR="00BD5271">
        <w:t xml:space="preserve"> de kans een langjarige visie te ontwikkelen. Ook wijst de </w:t>
      </w:r>
      <w:r w:rsidRPr="00F529DA" w:rsidR="00BF7B00">
        <w:t>R</w:t>
      </w:r>
      <w:r w:rsidRPr="00F529DA" w:rsidR="00BD5271">
        <w:t>aad op de meerwaarde voor andere overheden die de mogelijkheid krijgen een langjarige visie te ontwikkelen op het cultuurbeleid en op de culturele instellingen die een sleutelrol kunnen spelen in de regionale ecosystemen.</w:t>
      </w:r>
    </w:p>
    <w:p w:rsidRPr="00F529DA" w:rsidR="00BD5271" w:rsidP="00BD5271" w:rsidRDefault="00BD5271" w14:paraId="4475DE9F" w14:textId="77777777">
      <w:pPr>
        <w:spacing w:line="276" w:lineRule="auto"/>
      </w:pPr>
    </w:p>
    <w:p w:rsidRPr="003006A8" w:rsidR="003006A8" w:rsidP="003006A8" w:rsidRDefault="00BD5271" w14:paraId="7C3EF9DF" w14:textId="16924CDC">
      <w:pPr>
        <w:spacing w:line="276" w:lineRule="auto"/>
      </w:pPr>
      <w:r w:rsidRPr="00F529DA">
        <w:t xml:space="preserve">De </w:t>
      </w:r>
      <w:r w:rsidRPr="00F529DA" w:rsidR="00BF7B00">
        <w:t>R</w:t>
      </w:r>
      <w:r w:rsidRPr="00F529DA">
        <w:t xml:space="preserve">aad gaat in zijn advies in op enkele specifieke punten uit de memorie van toelichting. De </w:t>
      </w:r>
      <w:r w:rsidRPr="00F529DA" w:rsidR="00BF7B00">
        <w:t>R</w:t>
      </w:r>
      <w:r w:rsidRPr="00F529DA">
        <w:t xml:space="preserve">aad adviseert om duidelijker aan te geven dat een subsidieperiode van maximaal acht jaar geldt voor de budgetten die OCW beschikbaar stelt aan de </w:t>
      </w:r>
      <w:proofErr w:type="spellStart"/>
      <w:r w:rsidRPr="00F529DA">
        <w:t>rijkscultuurfondsen</w:t>
      </w:r>
      <w:proofErr w:type="spellEnd"/>
      <w:r w:rsidRPr="00F529DA">
        <w:t xml:space="preserve"> zelf, maar niet voor de subsidies die deze fondsen zelf verstrekken. Als zelfstandig bestuursorgaan maken de fondsen zelf de afweging welke termijn zij hanteren voor de meerjarige subsidieregelingen, binnen de kaders van de </w:t>
      </w:r>
      <w:proofErr w:type="spellStart"/>
      <w:r w:rsidRPr="00F529DA">
        <w:t>Wsc</w:t>
      </w:r>
      <w:proofErr w:type="spellEnd"/>
      <w:r w:rsidRPr="00F529DA">
        <w:t>. De</w:t>
      </w:r>
      <w:r w:rsidRPr="00F529DA" w:rsidR="00A13238">
        <w:t xml:space="preserve"> fondsen zijn</w:t>
      </w:r>
      <w:r w:rsidRPr="00F529DA">
        <w:t xml:space="preserve"> goed in staat om in te schatten wat nodig is om hun regelingen te laten aansluiten op de karakteristieken van de organisaties waarvoor deze bedoeld zijn. </w:t>
      </w:r>
      <w:r w:rsidR="00B148C8">
        <w:t xml:space="preserve">De wens van de regering is om </w:t>
      </w:r>
      <w:r w:rsidRPr="00F529DA">
        <w:t xml:space="preserve">dit vooraf </w:t>
      </w:r>
      <w:r w:rsidR="00B148C8">
        <w:t xml:space="preserve">niet </w:t>
      </w:r>
      <w:r w:rsidRPr="00F529DA">
        <w:t xml:space="preserve">in te perken. </w:t>
      </w:r>
      <w:r w:rsidR="003006A8">
        <w:t>Wel zal a</w:t>
      </w:r>
      <w:r w:rsidRPr="003006A8" w:rsidR="003006A8">
        <w:t xml:space="preserve">an de fondsen worden gevraagd een balans te zoeken tussen enerzijds voldoende ruimte voor vernieuwing, en anderzijds het bieden van rust en ruimte voor de door hen gesubsidieerde culturele instellingen. Zo nodig zal hiervoor gebruik gemaakt worden van de mogelijkheden die de Wet op het specifiek cultuurbeleid als ook de Kaderwet zelfstandige bestuursorganen bieden om hierover aanwijzingen aan de fondsen te geven. </w:t>
      </w:r>
    </w:p>
    <w:p w:rsidR="00A21AA4" w:rsidP="00BD5271" w:rsidRDefault="00A21AA4" w14:paraId="6228B97B" w14:textId="77777777">
      <w:pPr>
        <w:spacing w:line="276" w:lineRule="auto"/>
      </w:pPr>
    </w:p>
    <w:p w:rsidRPr="00F529DA" w:rsidR="00BD5271" w:rsidP="00BD5271" w:rsidRDefault="00BD5271" w14:paraId="45E2F6C6" w14:textId="059B3FAF">
      <w:pPr>
        <w:spacing w:line="276" w:lineRule="auto"/>
      </w:pPr>
      <w:r w:rsidRPr="00F529DA">
        <w:t xml:space="preserve">Daarnaast adviseert de </w:t>
      </w:r>
      <w:r w:rsidRPr="00F529DA" w:rsidR="00BF7B00">
        <w:t>R</w:t>
      </w:r>
      <w:r w:rsidRPr="00F529DA">
        <w:t xml:space="preserve">aad om een overzicht op te nemen van mogelijke instrumenten die tot een vereenvoudiging van het systeem kunnen leiden en adviseert een andere uitwerking van de monitoring en evaluatie. Dit zijn onderwerpen die worden meegewogen bij het opstellen van de onderliggende ministeriële regeling. Als laatste merkt de </w:t>
      </w:r>
      <w:r w:rsidRPr="00F529DA" w:rsidR="00BF7B00">
        <w:t>R</w:t>
      </w:r>
      <w:r w:rsidRPr="00F529DA">
        <w:t xml:space="preserve">aad op dat de beschreven taken van de </w:t>
      </w:r>
      <w:r w:rsidRPr="00F529DA" w:rsidR="00BF7B00">
        <w:t>R</w:t>
      </w:r>
      <w:r w:rsidRPr="00F529DA">
        <w:t xml:space="preserve">aad niet volledig zijn. In de uitwerking van de memorie van toelichting is de </w:t>
      </w:r>
      <w:r w:rsidR="00B148C8">
        <w:t>regering</w:t>
      </w:r>
      <w:r w:rsidRPr="00F529DA">
        <w:t xml:space="preserve"> bij de tekst in de wet gebleven en heeft hij ervoor gekozen taken die voortkomen uit de </w:t>
      </w:r>
      <w:proofErr w:type="spellStart"/>
      <w:r w:rsidRPr="00F529DA">
        <w:t>Rsc</w:t>
      </w:r>
      <w:proofErr w:type="spellEnd"/>
      <w:r w:rsidRPr="00F529DA">
        <w:t xml:space="preserve"> niet op te nemen.</w:t>
      </w:r>
    </w:p>
    <w:p w:rsidRPr="00F529DA" w:rsidR="00BD5271" w:rsidP="00BD5271" w:rsidRDefault="00BD5271" w14:paraId="17761F4B" w14:textId="77777777">
      <w:pPr>
        <w:spacing w:line="276" w:lineRule="auto"/>
      </w:pPr>
    </w:p>
    <w:p w:rsidRPr="00F529DA" w:rsidR="00BD5271" w:rsidP="00BD5271" w:rsidRDefault="00BD5271" w14:paraId="2F21EB6A" w14:textId="0D55E7D3">
      <w:pPr>
        <w:spacing w:line="276" w:lineRule="auto"/>
      </w:pPr>
      <w:r w:rsidRPr="00F529DA">
        <w:t xml:space="preserve">De </w:t>
      </w:r>
      <w:r w:rsidRPr="00F529DA" w:rsidR="00BF7B00">
        <w:t>R</w:t>
      </w:r>
      <w:r w:rsidRPr="00F529DA">
        <w:t xml:space="preserve">aad gaat in zijn advies in op de verdeling van de categorieën instellingen die direct door het Rijk worden gefinancierd en die door de fondsen worden ondersteund. De </w:t>
      </w:r>
      <w:r w:rsidRPr="00F529DA" w:rsidR="00BF7B00">
        <w:t>R</w:t>
      </w:r>
      <w:r w:rsidRPr="00F529DA">
        <w:t xml:space="preserve">aad stelt daarbij dat goed gekeken dient te worden naar de categorieën instellingen die direct door het Rijk worden gefinancierd en hoe deze zich verhouden tot het deel van de cultuursector dat door de </w:t>
      </w:r>
      <w:proofErr w:type="spellStart"/>
      <w:r w:rsidRPr="00F529DA">
        <w:t>rijkscultuurfondsen</w:t>
      </w:r>
      <w:proofErr w:type="spellEnd"/>
      <w:r w:rsidRPr="00F529DA">
        <w:t xml:space="preserve"> wordt ondersteund. De </w:t>
      </w:r>
      <w:r w:rsidRPr="00F529DA" w:rsidR="00BF7B00">
        <w:t>R</w:t>
      </w:r>
      <w:r w:rsidRPr="00F529DA">
        <w:t xml:space="preserve">aad wil ervoor waarschuwen dat om praktische redenen, zoals bijvoorbeeld bezuinigingen, wordt besloten om het aantal instellingen dat direct door het Rijk wordt gefinancierd zodanig te verkleinen dat zij voornamelijk nog zal bestaan uit gecanoniseerde en Randstedelijke instellingen. Daarnaast vindt hij het vanzelfsprekend dat, wanneer het aantal categorieën instellingen dat direct door het Rijk wordt gefinancierd kleiner wordt, voor deze categorieën wel ruimte en bijbehorende financiële middelen komen bij de </w:t>
      </w:r>
      <w:proofErr w:type="spellStart"/>
      <w:r w:rsidRPr="00F529DA">
        <w:t>rijkscultuurfondsen</w:t>
      </w:r>
      <w:proofErr w:type="spellEnd"/>
      <w:r w:rsidRPr="00F529DA">
        <w:t xml:space="preserve">. Ook dit zijn onderwerpen die bij het opstellen van de onderliggende ministeriële regeling en het formuleren van de beleidskaders voor de fondsen zullen worden meegewogen. </w:t>
      </w:r>
    </w:p>
    <w:p w:rsidRPr="00F529DA" w:rsidR="00BD5271" w:rsidP="00BD5271" w:rsidRDefault="00BD5271" w14:paraId="752CB3B2" w14:textId="77777777">
      <w:pPr>
        <w:spacing w:line="276" w:lineRule="auto"/>
      </w:pPr>
    </w:p>
    <w:p w:rsidRPr="00F529DA" w:rsidR="002E0F39" w:rsidP="00BD5271" w:rsidRDefault="00BD5271" w14:paraId="5179B08E" w14:textId="2FE6D30C">
      <w:pPr>
        <w:spacing w:line="276" w:lineRule="auto"/>
      </w:pPr>
      <w:r w:rsidRPr="00F529DA">
        <w:lastRenderedPageBreak/>
        <w:t xml:space="preserve">Tot slot vraagt de </w:t>
      </w:r>
      <w:r w:rsidRPr="00F529DA" w:rsidR="00BF7B00">
        <w:t>R</w:t>
      </w:r>
      <w:r w:rsidRPr="00F529DA">
        <w:t xml:space="preserve">aad aandacht voor aanvullende onderwerpen waarvan de </w:t>
      </w:r>
      <w:r w:rsidRPr="00F529DA" w:rsidR="00BF7B00">
        <w:t>R</w:t>
      </w:r>
      <w:r w:rsidRPr="00F529DA">
        <w:t xml:space="preserve">aad van mening is dat deze ook wettelijk verankerd dienen te worden om de stabiliteit van het stelsel te vergroten. De </w:t>
      </w:r>
      <w:r w:rsidR="00B148C8">
        <w:t>regering</w:t>
      </w:r>
      <w:r w:rsidRPr="00F529DA">
        <w:t xml:space="preserve"> constateert dat de voorstellen die de </w:t>
      </w:r>
      <w:r w:rsidRPr="00F529DA" w:rsidR="00BF7B00">
        <w:t>R</w:t>
      </w:r>
      <w:r w:rsidRPr="00F529DA">
        <w:t>aad in dat verband doet buiten de reikwijdte van dit wetsvoorstel vallen.</w:t>
      </w:r>
    </w:p>
    <w:p w:rsidRPr="00F529DA" w:rsidR="002E0F39" w:rsidP="002E0F39" w:rsidRDefault="002E0F39" w14:paraId="1F86BD48" w14:textId="64DB0E6F">
      <w:pPr>
        <w:keepNext/>
        <w:keepLines/>
        <w:numPr>
          <w:ilvl w:val="1"/>
          <w:numId w:val="0"/>
        </w:numPr>
        <w:spacing w:before="160" w:after="80" w:line="276" w:lineRule="auto"/>
        <w:ind w:left="792" w:hanging="84"/>
        <w:outlineLvl w:val="2"/>
        <w:rPr>
          <w:b/>
          <w:kern w:val="2"/>
          <w:szCs w:val="28"/>
          <w14:ligatures w14:val="standardContextual"/>
        </w:rPr>
      </w:pPr>
      <w:r w:rsidRPr="00F529DA">
        <w:rPr>
          <w:b/>
          <w:kern w:val="2"/>
          <w:szCs w:val="28"/>
          <w14:ligatures w14:val="standardContextual"/>
        </w:rPr>
        <w:t xml:space="preserve">10.3 </w:t>
      </w:r>
      <w:r w:rsidRPr="00F529DA" w:rsidR="00230EFD">
        <w:rPr>
          <w:b/>
          <w:kern w:val="2"/>
          <w:szCs w:val="28"/>
          <w14:ligatures w14:val="standardContextual"/>
        </w:rPr>
        <w:t>I</w:t>
      </w:r>
      <w:r w:rsidRPr="00F529DA">
        <w:rPr>
          <w:b/>
          <w:kern w:val="2"/>
          <w:szCs w:val="28"/>
          <w14:ligatures w14:val="standardContextual"/>
        </w:rPr>
        <w:t>nternetconsultatie</w:t>
      </w:r>
    </w:p>
    <w:p w:rsidRPr="00F529DA" w:rsidR="00C24CD1" w:rsidP="00C24CD1" w:rsidRDefault="00C24CD1" w14:paraId="28ABE394" w14:textId="6EC959BC">
      <w:pPr>
        <w:spacing w:line="276" w:lineRule="auto"/>
      </w:pPr>
      <w:r w:rsidRPr="00F529DA">
        <w:t xml:space="preserve">Op basis van de internetconsultatie </w:t>
      </w:r>
      <w:r w:rsidRPr="00F529DA" w:rsidR="00A13238">
        <w:t>zijn</w:t>
      </w:r>
      <w:r w:rsidRPr="00F529DA">
        <w:t xml:space="preserve"> geen inhoudelijk</w:t>
      </w:r>
      <w:r w:rsidRPr="00F529DA" w:rsidR="00704A0D">
        <w:t>e</w:t>
      </w:r>
      <w:r w:rsidRPr="00F529DA">
        <w:t xml:space="preserve"> aanpassingen op het wetsvoorstel gedaan. Het voorstel is wel op onderdelen redactioneel aangepast, uitsluitend ter bevordering van de leesbaarheid. De aanpassingen hebben geen invloed op de inhoudelijke strekking van het document</w:t>
      </w:r>
      <w:r w:rsidRPr="00F529DA" w:rsidR="00CD2342">
        <w:t>.</w:t>
      </w:r>
    </w:p>
    <w:p w:rsidRPr="00F529DA" w:rsidR="00C24CD1" w:rsidP="00C24CD1" w:rsidRDefault="00C24CD1" w14:paraId="3478FBD1" w14:textId="77777777">
      <w:pPr>
        <w:spacing w:line="276" w:lineRule="auto"/>
      </w:pPr>
    </w:p>
    <w:p w:rsidRPr="00F529DA" w:rsidR="00C24CD1" w:rsidP="00C24CD1" w:rsidRDefault="00C24CD1" w14:paraId="12C77FFC" w14:textId="67632194">
      <w:pPr>
        <w:spacing w:line="276" w:lineRule="auto"/>
      </w:pPr>
      <w:r w:rsidRPr="00F529DA">
        <w:t xml:space="preserve">De binnengekomen reacties op de internetconsultatie zijn overwegend positief. Insprekers zien de waarde van de aanpassing van de termijn van vier naar acht jaar. Een langere looptijd biedt organisaties en makers meer financiële stabiliteit, het vergroot de mogelijkheden voor meerjarige programmering en publieksopbouw en maakt het mogelijk om structureel te investeren in organisatieontwikkeling en samenwerking. </w:t>
      </w:r>
    </w:p>
    <w:p w:rsidRPr="00F529DA" w:rsidR="00C24CD1" w:rsidP="00C24CD1" w:rsidRDefault="00C24CD1" w14:paraId="0A85AE2F" w14:textId="77777777">
      <w:pPr>
        <w:spacing w:line="276" w:lineRule="auto"/>
      </w:pPr>
    </w:p>
    <w:p w:rsidRPr="00F529DA" w:rsidR="00C24CD1" w:rsidP="00C24CD1" w:rsidRDefault="00C24CD1" w14:paraId="4577E710" w14:textId="453B4F39">
      <w:pPr>
        <w:spacing w:line="276" w:lineRule="auto"/>
      </w:pPr>
      <w:r w:rsidRPr="00F529DA">
        <w:t>Insprekers hebben suggesties gegeven voor aanpassing van het wetsvoorstel, en/of kritische kanttekeningen geplaatst bij het wetsvoorstel. De suggesties en kanttekeningen zijn hieronder uiteengezet en onderverdeeld op volgorde van belang voor dit wetsvoorstel. Het betreft samengevoegde hoofdonderwerpen, namelijk administratieve lasten en samenwerking, en doorstroom en vernieuwing en de thema’s evaluatie en toetsing</w:t>
      </w:r>
      <w:r w:rsidRPr="00F529DA" w:rsidR="00704A0D">
        <w:t xml:space="preserve"> en</w:t>
      </w:r>
      <w:r w:rsidRPr="00F529DA">
        <w:t xml:space="preserve"> regionale spreiding. Een aantal meer uiteenlopende onderwerpen zijn samengevat en </w:t>
      </w:r>
      <w:r w:rsidRPr="00F529DA" w:rsidR="00704A0D">
        <w:t xml:space="preserve">hieronder </w:t>
      </w:r>
      <w:r w:rsidRPr="00F529DA">
        <w:t>beantwoord als overige onderwerpen.</w:t>
      </w:r>
    </w:p>
    <w:p w:rsidRPr="00F529DA" w:rsidR="00C24CD1" w:rsidP="00C24CD1" w:rsidRDefault="00C24CD1" w14:paraId="23E82E2D" w14:textId="77777777">
      <w:pPr>
        <w:spacing w:line="276" w:lineRule="auto"/>
      </w:pPr>
    </w:p>
    <w:p w:rsidRPr="00F529DA" w:rsidR="00C24CD1" w:rsidP="00C24CD1" w:rsidRDefault="00C24CD1" w14:paraId="1D403444" w14:textId="3C9123A2">
      <w:pPr>
        <w:spacing w:line="276" w:lineRule="auto"/>
        <w:rPr>
          <w:i/>
          <w:iCs/>
        </w:rPr>
      </w:pPr>
      <w:r w:rsidRPr="00F529DA">
        <w:rPr>
          <w:i/>
          <w:iCs/>
        </w:rPr>
        <w:t>Administratieve lasten en interbestuurlijke samenwerking</w:t>
      </w:r>
    </w:p>
    <w:p w:rsidRPr="00F529DA" w:rsidR="00C24CD1" w:rsidP="00C24CD1" w:rsidRDefault="00C24CD1" w14:paraId="4321C5DB" w14:textId="1CF60E90">
      <w:pPr>
        <w:spacing w:line="276" w:lineRule="auto"/>
      </w:pPr>
      <w:r w:rsidRPr="00F529DA">
        <w:t xml:space="preserve">De verlenging van de subsidieperiode wordt gezien als </w:t>
      </w:r>
      <w:r w:rsidRPr="00F529DA" w:rsidR="00325C40">
        <w:t>het startpunt</w:t>
      </w:r>
      <w:r w:rsidRPr="00F529DA">
        <w:t xml:space="preserve"> om de aanvraag- en beoordelingslasten te verminderen. Tegelijk wordt erop gewezen dat de verschillen in procedures en de versnippering tussen verschillende subsidiegevers blijft bestaan. Er wordt daarom gepleit voor verdere vereenvoudiging, harmonisatie van eisen en betere interbestuurlijke samenwerking, door bijvoorbeeld een gezamenlijke set van indicatoren en criteria. Respondenten benadrukken dat decentrale overheden een eigen verantwoordelijkheid en afwegingsruimte moeten behouden bij het bepalen van subsidieperiodes. De bestuurlijke partners stellen voor om het algemeen kader dat betrekking heeft op de interbestuurlijke samenwerking te wijzigingen en te komen tot nieuwe afspraken. Ook vanuit de sector wordt gepleit voor betere afspraken tussen overheden.</w:t>
      </w:r>
    </w:p>
    <w:p w:rsidRPr="00F529DA" w:rsidR="00C24CD1" w:rsidP="00C24CD1" w:rsidRDefault="00C24CD1" w14:paraId="01B04265" w14:textId="77777777">
      <w:pPr>
        <w:spacing w:line="276" w:lineRule="auto"/>
      </w:pPr>
    </w:p>
    <w:p w:rsidRPr="00F529DA" w:rsidR="00C24CD1" w:rsidP="00C24CD1" w:rsidRDefault="00C24CD1" w14:paraId="61EFDC61" w14:textId="2E0F4E5C">
      <w:pPr>
        <w:spacing w:line="276" w:lineRule="auto"/>
      </w:pPr>
      <w:r w:rsidRPr="00F529DA">
        <w:t xml:space="preserve">De </w:t>
      </w:r>
      <w:r w:rsidR="00B148C8">
        <w:t>regering</w:t>
      </w:r>
      <w:r w:rsidRPr="00F529DA">
        <w:t xml:space="preserve"> herkent de op dit thema gemaakte opmerkingen. De voorwaarden en criteria voor het aanvragen van subsidies, en de daarmee verbonden procedures zijn vastgelegd in de ministeriële regeling. Deze regeling wordt in 2027 opnieuw vastgesteld. Deze onderwerpen worden meegewogen bij het opstellen van de</w:t>
      </w:r>
      <w:r w:rsidRPr="00F529DA" w:rsidR="00A13238">
        <w:t xml:space="preserve"> </w:t>
      </w:r>
      <w:r w:rsidRPr="00F529DA">
        <w:t xml:space="preserve">ministeriële regeling. Provincies en gemeenten maken zelfstandig de afweging over hun beleid en (de termijn van) toekenningen. De opmerkingen over de samenwerking tussen Rijk, provincies en gemeentes neemt de </w:t>
      </w:r>
      <w:r w:rsidRPr="00F529DA" w:rsidR="00A13238">
        <w:t>minister</w:t>
      </w:r>
      <w:r w:rsidRPr="00F529DA">
        <w:t xml:space="preserve"> mee in gesprekken met de decentrale overheden.</w:t>
      </w:r>
    </w:p>
    <w:p w:rsidRPr="00F529DA" w:rsidR="00C24CD1" w:rsidP="00C24CD1" w:rsidRDefault="00C24CD1" w14:paraId="49E65E37" w14:textId="77777777">
      <w:pPr>
        <w:spacing w:line="276" w:lineRule="auto"/>
      </w:pPr>
    </w:p>
    <w:p w:rsidRPr="00F529DA" w:rsidR="00C24CD1" w:rsidP="00C24CD1" w:rsidRDefault="00C24CD1" w14:paraId="25B940D2" w14:textId="04A53B86">
      <w:pPr>
        <w:spacing w:line="276" w:lineRule="auto"/>
        <w:rPr>
          <w:i/>
          <w:iCs/>
        </w:rPr>
      </w:pPr>
      <w:r w:rsidRPr="00F529DA">
        <w:rPr>
          <w:i/>
          <w:iCs/>
        </w:rPr>
        <w:t>Doorstroom en vernieuwing</w:t>
      </w:r>
    </w:p>
    <w:p w:rsidRPr="00F529DA" w:rsidR="00C24CD1" w:rsidP="00C24CD1" w:rsidRDefault="00C24CD1" w14:paraId="4EF86DCA" w14:textId="77777777">
      <w:pPr>
        <w:spacing w:line="276" w:lineRule="auto"/>
      </w:pPr>
      <w:r w:rsidRPr="00F529DA">
        <w:t xml:space="preserve">Doorstroom en vernieuwing worden door insprekers gezien als belangrijke uitgangspunten bij het uitvoering geven aan de Wet op het specifiek cultuurbeleid. In meerdere reacties wordt gewezen op een zorg over de flexibiliteit en vernieuwing van het stelsel. In een aantal reacties wordt gepleit voor aanvullende instrumenten, zoals specifieke regelingen voor instroom en experiment om daarmee jonge makers en snel ontwikkelende disciplines tegemoet te treden. </w:t>
      </w:r>
    </w:p>
    <w:p w:rsidRPr="00F529DA" w:rsidR="00C24CD1" w:rsidP="00C24CD1" w:rsidRDefault="00C24CD1" w14:paraId="2B98AC62" w14:textId="77777777">
      <w:pPr>
        <w:spacing w:line="276" w:lineRule="auto"/>
      </w:pPr>
    </w:p>
    <w:p w:rsidRPr="00F529DA" w:rsidR="00C24CD1" w:rsidP="00C24CD1" w:rsidRDefault="00C24CD1" w14:paraId="1B1A08D1" w14:textId="75FE860D">
      <w:pPr>
        <w:spacing w:line="276" w:lineRule="auto"/>
      </w:pPr>
      <w:r w:rsidRPr="00F529DA">
        <w:lastRenderedPageBreak/>
        <w:t xml:space="preserve">Zoals aangegeven in paragraaf 2.4 krijgen de fondsen de mogelijkheid hun beleid voor acht jaar vorm te geven en kunnen zij daarmee differentiatie aanbrengen in hun instrumentarium waardoor er voldoende ruimte voor vernieuwing blijft bestaan. De beleidskaders voor de fondsen worden samen met de </w:t>
      </w:r>
      <w:proofErr w:type="spellStart"/>
      <w:r w:rsidRPr="00F529DA">
        <w:t>Rsc</w:t>
      </w:r>
      <w:proofErr w:type="spellEnd"/>
      <w:r w:rsidRPr="00F529DA">
        <w:t xml:space="preserve"> in 2027 vastgesteld. Ook dit zijn onderwerpen die bij het opstellen van de onderliggende ministeriële regeling en het formuleren van de beleidskaders voor de fondsen zullen worden meegewogen</w:t>
      </w:r>
      <w:r w:rsidRPr="00F529DA" w:rsidR="00203AD7">
        <w:t>.</w:t>
      </w:r>
      <w:r w:rsidRPr="00F529DA">
        <w:t xml:space="preserve"> </w:t>
      </w:r>
    </w:p>
    <w:p w:rsidRPr="00F529DA" w:rsidR="00C24CD1" w:rsidP="00C24CD1" w:rsidRDefault="00C24CD1" w14:paraId="65DFF3AA" w14:textId="77777777">
      <w:pPr>
        <w:spacing w:line="276" w:lineRule="auto"/>
      </w:pPr>
    </w:p>
    <w:p w:rsidRPr="00F529DA" w:rsidR="00C24CD1" w:rsidP="00C24CD1" w:rsidRDefault="00C24CD1" w14:paraId="503DC4C3" w14:textId="77777777">
      <w:pPr>
        <w:spacing w:line="276" w:lineRule="auto"/>
        <w:rPr>
          <w:i/>
          <w:iCs/>
        </w:rPr>
      </w:pPr>
      <w:r w:rsidRPr="00F529DA">
        <w:rPr>
          <w:i/>
          <w:iCs/>
        </w:rPr>
        <w:t>Evaluatie en toetsing</w:t>
      </w:r>
    </w:p>
    <w:p w:rsidRPr="00F529DA" w:rsidR="00C24CD1" w:rsidP="00C24CD1" w:rsidRDefault="00C24CD1" w14:paraId="6CB24926" w14:textId="72E92E8D">
      <w:pPr>
        <w:spacing w:line="276" w:lineRule="auto"/>
      </w:pPr>
      <w:r w:rsidRPr="00F529DA">
        <w:t>Meerdere insprekers merken op dat het van belang is dat een langere periode gepaard gaat met tussentijdse evaluatiemomenten. Enkele keren wordt daarbij gewezen op controlemomenten buiten de reguliere monitoring. De evaluatie zou volgens insprekers gericht moeten zijn op kwaliteit, doelbereik, de codes en ruimte moeten bieden voor bijsturing.</w:t>
      </w:r>
    </w:p>
    <w:p w:rsidRPr="00F529DA" w:rsidR="00C24CD1" w:rsidP="00C24CD1" w:rsidRDefault="00C24CD1" w14:paraId="0EAD2E9E" w14:textId="77777777">
      <w:pPr>
        <w:spacing w:line="276" w:lineRule="auto"/>
      </w:pPr>
    </w:p>
    <w:p w:rsidRPr="00F529DA" w:rsidR="00C24CD1" w:rsidP="00C24CD1" w:rsidRDefault="00C24CD1" w14:paraId="24E227F6" w14:textId="76ABCB82">
      <w:pPr>
        <w:spacing w:line="276" w:lineRule="auto"/>
      </w:pPr>
      <w:r w:rsidRPr="00F529DA">
        <w:t xml:space="preserve">In hoofdstuk </w:t>
      </w:r>
      <w:r w:rsidRPr="00F529DA" w:rsidR="00203AD7">
        <w:t>5</w:t>
      </w:r>
      <w:r w:rsidRPr="00F529DA">
        <w:t xml:space="preserve"> wordt beschreven hoe de evaluatie en monitoring plaats zal gaan vinden. Het uitgangspunt daarbij is dat dit niet mag leiden tot meer administratieve lasten, maar tegelijkertijd wel mogelijkheden biedt voor het behoud van tussentijdse bijsturing. De voorwaarden voor de monitoring en evaluatie worden nader uitgewerkt in de ministeriële regeling.</w:t>
      </w:r>
    </w:p>
    <w:p w:rsidRPr="00F529DA" w:rsidR="006B2AC6" w:rsidP="00C24CD1" w:rsidRDefault="006B2AC6" w14:paraId="5BAE61D0" w14:textId="77777777">
      <w:pPr>
        <w:spacing w:line="276" w:lineRule="auto"/>
      </w:pPr>
    </w:p>
    <w:p w:rsidRPr="00F529DA" w:rsidR="00C24CD1" w:rsidP="00C24CD1" w:rsidRDefault="00C24CD1" w14:paraId="5E1231D2" w14:textId="77777777">
      <w:pPr>
        <w:spacing w:line="276" w:lineRule="auto"/>
        <w:rPr>
          <w:i/>
          <w:iCs/>
        </w:rPr>
      </w:pPr>
      <w:r w:rsidRPr="00F529DA">
        <w:rPr>
          <w:i/>
          <w:iCs/>
        </w:rPr>
        <w:t>Regionale spreiding</w:t>
      </w:r>
    </w:p>
    <w:p w:rsidRPr="00F529DA" w:rsidR="00C24CD1" w:rsidP="00C24CD1" w:rsidRDefault="00C24CD1" w14:paraId="7B0E1C34" w14:textId="4C9FE4FB">
      <w:pPr>
        <w:spacing w:line="276" w:lineRule="auto"/>
      </w:pPr>
      <w:r w:rsidRPr="00F529DA">
        <w:t>Er wordt in enkele reacties gewezen op het belang van geografische spreiding, waaronder ook Caribisch Nederland, zodat organisaties en makers in alle regio’s gelijke kansen hebben. Bij beoordeling dient rekening gehouden te worden met de regionale context. Een sterke infrastructuur vraagt om goed gefinancierde organisaties per regio.</w:t>
      </w:r>
    </w:p>
    <w:p w:rsidRPr="00F529DA" w:rsidR="00C24CD1" w:rsidP="00C24CD1" w:rsidRDefault="00C24CD1" w14:paraId="675CEBB4" w14:textId="77777777">
      <w:pPr>
        <w:spacing w:line="276" w:lineRule="auto"/>
      </w:pPr>
    </w:p>
    <w:p w:rsidRPr="00F529DA" w:rsidR="00C24CD1" w:rsidP="00C24CD1" w:rsidRDefault="00C24CD1" w14:paraId="72CB391F" w14:textId="77777777">
      <w:pPr>
        <w:spacing w:line="276" w:lineRule="auto"/>
      </w:pPr>
      <w:r w:rsidRPr="00F529DA">
        <w:t xml:space="preserve">In artikel 2 van de Wet op het specifiek cultuurbeleid is opgenomen dat de minister is belast met het scheppen van voorwaarden voor onder andere de geografische spreiding of anderszins verbreiden van cultuuruitingen. Aan het betreffende artikel wordt niets gewijzigd. Het onderwerp heeft in de uitwerking van de </w:t>
      </w:r>
      <w:proofErr w:type="spellStart"/>
      <w:r w:rsidRPr="00F529DA">
        <w:t>Rsc</w:t>
      </w:r>
      <w:proofErr w:type="spellEnd"/>
      <w:r w:rsidRPr="00F529DA">
        <w:t xml:space="preserve"> de aandacht.</w:t>
      </w:r>
    </w:p>
    <w:p w:rsidRPr="00F529DA" w:rsidR="00C24CD1" w:rsidP="00C24CD1" w:rsidRDefault="00C24CD1" w14:paraId="795B4734" w14:textId="77777777">
      <w:pPr>
        <w:spacing w:line="276" w:lineRule="auto"/>
      </w:pPr>
    </w:p>
    <w:p w:rsidRPr="000B4648" w:rsidR="00C24CD1" w:rsidP="000B4648" w:rsidRDefault="00C24CD1" w14:paraId="07CF348B" w14:textId="1F9F8EE0">
      <w:pPr>
        <w:spacing w:line="276" w:lineRule="auto"/>
        <w:rPr>
          <w:i/>
          <w:iCs/>
        </w:rPr>
      </w:pPr>
      <w:r w:rsidRPr="000B4648">
        <w:rPr>
          <w:i/>
          <w:iCs/>
        </w:rPr>
        <w:t>Overige onderwerpen</w:t>
      </w:r>
      <w:bookmarkStart w:name="_Toc210384045" w:id="44"/>
    </w:p>
    <w:p w:rsidR="000B4648" w:rsidP="000B4648" w:rsidRDefault="000B4648" w14:paraId="6DA6328B" w14:textId="4AE91C17">
      <w:pPr>
        <w:spacing w:line="276" w:lineRule="auto"/>
        <w:rPr>
          <w:kern w:val="2"/>
          <w:szCs w:val="32"/>
          <w14:ligatures w14:val="standardContextual"/>
        </w:rPr>
      </w:pPr>
      <w:r w:rsidRPr="000B4648">
        <w:rPr>
          <w:kern w:val="2"/>
          <w:szCs w:val="32"/>
          <w14:ligatures w14:val="standardContextual"/>
        </w:rPr>
        <w:t>Andere onderwerpen die door verschillende insprekers zijn ingebracht gaan onder meer over het vastleggen van de wettelijke doelstellingen voor cultuur en de wettelijke verankering van de indexatie van de loon- en prijsbijstelling, en sectorspecifieke vraagstukken, waaronder de verdeling van het budget over de verschillende kunstdisciplines en gezelschappen, groepen makers en instellingen die zich niet expliciet in één discipline bewegen. Deze en andere consultatiereacties bevatten voorstellen die gaan over onderwerpen die niet tot het bereik van dit wetsvoorstel behoren. Deze blijven daarom buiten beschouwing. Het zijn onderwerpen die behoren tot het bereik van de Regeling op het specifiek cultuurbeleid, raakvlakken hebben met flankerend beleid of gaan over samenwerkingsafspraken tussen overheden. De onderwerpen die daarvoor in aanmerking komen worden meegewogen in het wijzigingstraject voor de ministeriële regeling.</w:t>
      </w:r>
    </w:p>
    <w:p w:rsidRPr="000B4648" w:rsidR="000B4648" w:rsidP="000B4648" w:rsidRDefault="000B4648" w14:paraId="2D08C4A9" w14:textId="77777777">
      <w:pPr>
        <w:spacing w:line="276" w:lineRule="auto"/>
        <w:rPr>
          <w:kern w:val="2"/>
          <w:szCs w:val="32"/>
          <w14:ligatures w14:val="standardContextual"/>
        </w:rPr>
      </w:pPr>
    </w:p>
    <w:p w:rsidRPr="00F529DA" w:rsidR="00261933" w:rsidP="003E77F1" w:rsidRDefault="00261933" w14:paraId="14D660E1" w14:textId="6AA645C3">
      <w:pPr>
        <w:pStyle w:val="Lijstalinea"/>
        <w:keepNext/>
        <w:keepLines/>
        <w:numPr>
          <w:ilvl w:val="0"/>
          <w:numId w:val="9"/>
        </w:numPr>
        <w:spacing w:before="160" w:after="80" w:line="276" w:lineRule="auto"/>
        <w:outlineLvl w:val="1"/>
        <w:rPr>
          <w:b/>
          <w:kern w:val="2"/>
          <w:szCs w:val="32"/>
          <w14:ligatures w14:val="standardContextual"/>
        </w:rPr>
      </w:pPr>
      <w:r w:rsidRPr="00F529DA">
        <w:rPr>
          <w:b/>
          <w:kern w:val="2"/>
          <w:szCs w:val="32"/>
          <w14:ligatures w14:val="standardContextual"/>
        </w:rPr>
        <w:t>Uitvoerings- en handhavingsgevolgen</w:t>
      </w:r>
    </w:p>
    <w:p w:rsidRPr="00F529DA" w:rsidR="00877731" w:rsidP="00877731" w:rsidRDefault="00877731" w14:paraId="03286188" w14:textId="015B4284">
      <w:pPr>
        <w:keepNext/>
        <w:keepLines/>
        <w:numPr>
          <w:ilvl w:val="1"/>
          <w:numId w:val="0"/>
        </w:numPr>
        <w:spacing w:before="160" w:after="80" w:line="276" w:lineRule="auto"/>
        <w:ind w:left="792" w:hanging="84"/>
        <w:outlineLvl w:val="2"/>
        <w:rPr>
          <w:b/>
          <w:bCs/>
          <w:kern w:val="2"/>
          <w:szCs w:val="28"/>
          <w14:ligatures w14:val="standardContextual"/>
        </w:rPr>
      </w:pPr>
      <w:bookmarkStart w:name="_Toc210384046" w:id="45"/>
      <w:bookmarkEnd w:id="44"/>
      <w:r w:rsidRPr="00F529DA">
        <w:rPr>
          <w:b/>
          <w:bCs/>
          <w:kern w:val="2"/>
          <w:szCs w:val="28"/>
          <w14:ligatures w14:val="standardContextual"/>
        </w:rPr>
        <w:t>1</w:t>
      </w:r>
      <w:r w:rsidRPr="00F529DA" w:rsidR="002E0F39">
        <w:rPr>
          <w:b/>
          <w:bCs/>
          <w:kern w:val="2"/>
          <w:szCs w:val="28"/>
          <w14:ligatures w14:val="standardContextual"/>
        </w:rPr>
        <w:t>1</w:t>
      </w:r>
      <w:r w:rsidRPr="00F529DA">
        <w:rPr>
          <w:b/>
          <w:bCs/>
          <w:kern w:val="2"/>
          <w:szCs w:val="28"/>
          <w14:ligatures w14:val="standardContextual"/>
        </w:rPr>
        <w:t>.1 Inwerkingtreding</w:t>
      </w:r>
      <w:bookmarkEnd w:id="45"/>
    </w:p>
    <w:p w:rsidRPr="00F529DA" w:rsidR="00877731" w:rsidP="00877731" w:rsidRDefault="00877731" w14:paraId="0A5F070D" w14:textId="3CA4914C">
      <w:pPr>
        <w:spacing w:line="276" w:lineRule="auto"/>
        <w:rPr>
          <w:rFonts w:eastAsia="Calibri" w:cs="Calibri"/>
          <w:kern w:val="2"/>
          <w:szCs w:val="18"/>
          <w14:ligatures w14:val="standardContextual"/>
        </w:rPr>
      </w:pPr>
      <w:r w:rsidRPr="00F529DA">
        <w:rPr>
          <w:rFonts w:eastAsia="Calibri" w:cs="Calibri"/>
          <w:kern w:val="2"/>
          <w:szCs w:val="18"/>
          <w14:ligatures w14:val="standardContextual"/>
        </w:rPr>
        <w:t xml:space="preserve">De </w:t>
      </w:r>
      <w:r w:rsidR="00DC2734">
        <w:rPr>
          <w:rFonts w:eastAsia="Calibri" w:cs="Calibri"/>
          <w:kern w:val="2"/>
          <w:szCs w:val="18"/>
          <w14:ligatures w14:val="standardContextual"/>
        </w:rPr>
        <w:t xml:space="preserve">inwerkingtreding van deze </w:t>
      </w:r>
      <w:r w:rsidR="004700B9">
        <w:rPr>
          <w:rFonts w:eastAsia="Calibri" w:cs="Calibri"/>
          <w:kern w:val="2"/>
          <w:szCs w:val="18"/>
          <w14:ligatures w14:val="standardContextual"/>
        </w:rPr>
        <w:t>wijziging</w:t>
      </w:r>
      <w:r w:rsidRPr="00F529DA" w:rsidR="004700B9">
        <w:rPr>
          <w:rFonts w:eastAsia="Calibri" w:cs="Calibri"/>
          <w:kern w:val="2"/>
          <w:szCs w:val="18"/>
          <w14:ligatures w14:val="standardContextual"/>
        </w:rPr>
        <w:t xml:space="preserve"> </w:t>
      </w:r>
      <w:r w:rsidRPr="00F529DA">
        <w:rPr>
          <w:rFonts w:eastAsia="Calibri" w:cs="Calibri"/>
          <w:kern w:val="2"/>
          <w:szCs w:val="18"/>
          <w14:ligatures w14:val="standardContextual"/>
        </w:rPr>
        <w:t xml:space="preserve">van de </w:t>
      </w:r>
      <w:proofErr w:type="spellStart"/>
      <w:r w:rsidRPr="00F529DA">
        <w:rPr>
          <w:rFonts w:eastAsia="Calibri" w:cs="Calibri"/>
          <w:kern w:val="2"/>
          <w:szCs w:val="18"/>
          <w14:ligatures w14:val="standardContextual"/>
        </w:rPr>
        <w:t>Wsc</w:t>
      </w:r>
      <w:proofErr w:type="spellEnd"/>
      <w:r w:rsidRPr="00F529DA">
        <w:rPr>
          <w:rFonts w:eastAsia="Calibri" w:cs="Calibri"/>
          <w:kern w:val="2"/>
          <w:szCs w:val="18"/>
          <w14:ligatures w14:val="standardContextual"/>
        </w:rPr>
        <w:t xml:space="preserve"> wordt bepaald bij Koninklijk besluit. Voor het moment van inwerkingtreding zal zoveel mogelijk worden aangesloten bij het beleid inzake vaste</w:t>
      </w:r>
      <w:r w:rsidR="00B5739D">
        <w:rPr>
          <w:rFonts w:eastAsia="Calibri" w:cs="Calibri"/>
          <w:kern w:val="2"/>
          <w:szCs w:val="18"/>
          <w14:ligatures w14:val="standardContextual"/>
        </w:rPr>
        <w:t xml:space="preserve"> </w:t>
      </w:r>
      <w:r w:rsidRPr="00F529DA">
        <w:rPr>
          <w:rFonts w:eastAsia="Calibri" w:cs="Calibri"/>
          <w:kern w:val="2"/>
          <w:szCs w:val="18"/>
          <w14:ligatures w14:val="standardContextual"/>
        </w:rPr>
        <w:t>verandermomenten. Het voornemen is om het wetsvoorstel op 1 juli 2027 in werking te laten treden.</w:t>
      </w:r>
    </w:p>
    <w:p w:rsidRPr="00F529DA" w:rsidR="00877731" w:rsidP="00877731" w:rsidRDefault="00877731" w14:paraId="7A9E45F3" w14:textId="3E43755F">
      <w:pPr>
        <w:keepNext/>
        <w:keepLines/>
        <w:numPr>
          <w:ilvl w:val="1"/>
          <w:numId w:val="0"/>
        </w:numPr>
        <w:spacing w:before="160" w:after="80" w:line="276" w:lineRule="auto"/>
        <w:ind w:left="792" w:hanging="84"/>
        <w:outlineLvl w:val="2"/>
        <w:rPr>
          <w:b/>
          <w:kern w:val="2"/>
          <w:szCs w:val="28"/>
          <w14:ligatures w14:val="standardContextual"/>
        </w:rPr>
      </w:pPr>
      <w:bookmarkStart w:name="_Toc210384047" w:id="46"/>
      <w:r w:rsidRPr="00F529DA">
        <w:rPr>
          <w:b/>
          <w:kern w:val="2"/>
          <w:szCs w:val="28"/>
          <w14:ligatures w14:val="standardContextual"/>
        </w:rPr>
        <w:lastRenderedPageBreak/>
        <w:t>1</w:t>
      </w:r>
      <w:r w:rsidRPr="00F529DA" w:rsidR="002E0F39">
        <w:rPr>
          <w:b/>
          <w:kern w:val="2"/>
          <w:szCs w:val="28"/>
          <w14:ligatures w14:val="standardContextual"/>
        </w:rPr>
        <w:t>1</w:t>
      </w:r>
      <w:r w:rsidRPr="00F529DA">
        <w:rPr>
          <w:b/>
          <w:kern w:val="2"/>
          <w:szCs w:val="28"/>
          <w14:ligatures w14:val="standardContextual"/>
        </w:rPr>
        <w:t>.2 Overgangsbepaling</w:t>
      </w:r>
      <w:bookmarkEnd w:id="46"/>
    </w:p>
    <w:p w:rsidRPr="00F529DA" w:rsidR="00877731" w:rsidP="00877731" w:rsidRDefault="00877731" w14:paraId="24EE7F61" w14:textId="77777777">
      <w:pPr>
        <w:spacing w:line="276" w:lineRule="auto"/>
        <w:rPr>
          <w:rFonts w:eastAsia="Calibri" w:cs="Calibri"/>
          <w:kern w:val="2"/>
          <w:szCs w:val="18"/>
          <w14:ligatures w14:val="standardContextual"/>
        </w:rPr>
      </w:pPr>
      <w:bookmarkStart w:name="_Hlk209508392" w:id="47"/>
      <w:r w:rsidRPr="00F529DA">
        <w:rPr>
          <w:rFonts w:eastAsia="Calibri" w:cs="Calibri"/>
          <w:kern w:val="2"/>
          <w:szCs w:val="18"/>
          <w14:ligatures w14:val="standardContextual"/>
        </w:rPr>
        <w:t xml:space="preserve">Er is gekozen voor eerbiedigende werking. Indien op grond van deze wet een subsidie of specifieke uitkering is verstrekt voor het tijdstip van inwerkingtreding van deze wetswijziging, is het nieuwe recht daarop niet van toepassing. In plaats daarvan blijft het oude recht van toepassing. </w:t>
      </w:r>
    </w:p>
    <w:bookmarkEnd w:id="47"/>
    <w:p w:rsidRPr="00F529DA" w:rsidR="00877731" w:rsidP="00877731" w:rsidRDefault="00877731" w14:paraId="6C9968B4" w14:textId="77777777"/>
    <w:p w:rsidRPr="00F529DA" w:rsidR="00877731" w:rsidP="00877731" w:rsidRDefault="00877731" w14:paraId="5452B1A2" w14:textId="77777777"/>
    <w:p w:rsidRPr="00F529DA" w:rsidR="00C106A2" w:rsidP="00877731" w:rsidRDefault="00C106A2" w14:paraId="7FC6D3B0" w14:textId="77777777"/>
    <w:p w:rsidR="00C106A2" w:rsidP="00877731" w:rsidRDefault="00C106A2" w14:paraId="76134A7F" w14:textId="77777777"/>
    <w:p w:rsidR="006B2AC6" w:rsidP="00877731" w:rsidRDefault="006B2AC6" w14:paraId="1AF7BFC0" w14:textId="77777777"/>
    <w:p w:rsidR="006B2AC6" w:rsidP="00877731" w:rsidRDefault="006B2AC6" w14:paraId="35CFB850" w14:textId="77777777"/>
    <w:p w:rsidR="002C31A0" w:rsidP="00877731" w:rsidRDefault="002C31A0" w14:paraId="123339ED" w14:textId="77777777"/>
    <w:p w:rsidRPr="00F529DA" w:rsidR="00877731" w:rsidP="00877731" w:rsidRDefault="00877731" w14:paraId="715FDC29" w14:textId="144FE2B2">
      <w:pPr>
        <w:rPr>
          <w:b/>
          <w:bCs/>
        </w:rPr>
      </w:pPr>
      <w:r w:rsidRPr="00F529DA">
        <w:rPr>
          <w:b/>
          <w:bCs/>
        </w:rPr>
        <w:t>II. Artikelsgewij</w:t>
      </w:r>
      <w:r w:rsidRPr="00F529DA" w:rsidR="00011725">
        <w:rPr>
          <w:b/>
          <w:bCs/>
        </w:rPr>
        <w:t>ze toelichting</w:t>
      </w:r>
    </w:p>
    <w:p w:rsidRPr="00F529DA" w:rsidR="00877731" w:rsidP="00877731" w:rsidRDefault="00877731" w14:paraId="058DF29B" w14:textId="77777777"/>
    <w:p w:rsidRPr="00F529DA" w:rsidR="00877731" w:rsidP="00877731" w:rsidRDefault="00877731" w14:paraId="31A0D264" w14:textId="77777777">
      <w:r w:rsidRPr="00F529DA">
        <w:t>Artikel I, onderdelen A tot en met E</w:t>
      </w:r>
    </w:p>
    <w:p w:rsidRPr="00F529DA" w:rsidR="00877731" w:rsidP="00877731" w:rsidRDefault="00877731" w14:paraId="01B41502" w14:textId="77777777"/>
    <w:p w:rsidRPr="00F529DA" w:rsidR="00877731" w:rsidP="00877731" w:rsidRDefault="00877731" w14:paraId="7496968F" w14:textId="0B1439AB">
      <w:r w:rsidRPr="00F529DA">
        <w:t xml:space="preserve">Dit artikel vormt de feitelijke uitwerking van hetgeen besproken is in het algemeen deel van deze toelichting. De minister stelt voor een periode van acht jaar regels vast voor de verstrekking van subsidies ten behoeve van cultuuruitingen. Aan de fondsen wordt voor een periode van acht jaar subsidie verstrekt en ook zal de minister voortaan ten minste eens per acht jaar beide </w:t>
      </w:r>
      <w:r w:rsidRPr="00F529DA" w:rsidR="00184E63">
        <w:t>K</w:t>
      </w:r>
      <w:r w:rsidRPr="00F529DA">
        <w:t>amers der Staten-Generaal informeren over de hoofdlijnen van het cultuurbeleid. Op deze manier wordt voor de gehele beleidscyclus de termijn van acht jaar gehanteerd.</w:t>
      </w:r>
    </w:p>
    <w:p w:rsidRPr="00F529DA" w:rsidR="00877731" w:rsidP="00877731" w:rsidRDefault="00877731" w14:paraId="501AEBEE" w14:textId="77777777"/>
    <w:p w:rsidRPr="00F529DA" w:rsidR="00877731" w:rsidP="00877731" w:rsidRDefault="00877731" w14:paraId="33D9DD4F" w14:textId="77777777">
      <w:r w:rsidRPr="00F529DA">
        <w:t>Artikel I, onderdeel F</w:t>
      </w:r>
    </w:p>
    <w:p w:rsidRPr="00F529DA" w:rsidR="00877731" w:rsidP="00877731" w:rsidRDefault="00877731" w14:paraId="480BDCFE" w14:textId="77777777"/>
    <w:p w:rsidRPr="00F529DA" w:rsidR="00877731" w:rsidP="00877731" w:rsidRDefault="00877731" w14:paraId="0A29C615" w14:textId="77777777">
      <w:r w:rsidRPr="00F529DA">
        <w:t xml:space="preserve">Dit artikel bevat de overgangsbepaling die regelt dat de geldende ministeriële regeling, die nog uitgaat van vier jaar, blijft gelden tot en met het einde van de geldende subsidieperiode. Dit geldt ook voor de afgegeven subsidiebeschikkingen die gebaseerd zijn op vier jaar. </w:t>
      </w:r>
    </w:p>
    <w:p w:rsidRPr="00F529DA" w:rsidR="00877731" w:rsidP="00877731" w:rsidRDefault="00877731" w14:paraId="7FA0C3E1" w14:textId="77777777"/>
    <w:p w:rsidRPr="00F529DA" w:rsidR="00877731" w:rsidP="00877731" w:rsidRDefault="00877731" w14:paraId="55878E0A" w14:textId="77777777">
      <w:r w:rsidRPr="00F529DA">
        <w:t>De Minister van Onderwijs, Cultuur en Wetenschap,</w:t>
      </w:r>
    </w:p>
    <w:p w:rsidRPr="00F529DA" w:rsidR="00877731" w:rsidP="00877731" w:rsidRDefault="00877731" w14:paraId="4C6106D9" w14:textId="77777777"/>
    <w:p w:rsidRPr="00F529DA" w:rsidR="00877731" w:rsidP="00877731" w:rsidRDefault="00877731" w14:paraId="41509E48" w14:textId="77777777"/>
    <w:p w:rsidRPr="00F529DA" w:rsidR="00877731" w:rsidP="00877731" w:rsidRDefault="00877731" w14:paraId="4CD4F5C4" w14:textId="77777777"/>
    <w:p w:rsidRPr="00F529DA" w:rsidR="00877731" w:rsidP="00877731" w:rsidRDefault="00877731" w14:paraId="20E5303B" w14:textId="77777777"/>
    <w:p w:rsidR="00B25E3D" w:rsidP="008B21BB" w:rsidRDefault="008B21BB" w14:paraId="1AB892CF" w14:textId="1CFD248D">
      <w:pPr>
        <w:rPr>
          <w:b/>
        </w:rPr>
      </w:pPr>
      <w:r w:rsidRPr="008B21BB">
        <w:rPr>
          <w:szCs w:val="18"/>
        </w:rPr>
        <w:t xml:space="preserve">Rianne </w:t>
      </w:r>
      <w:proofErr w:type="spellStart"/>
      <w:r w:rsidRPr="008B21BB">
        <w:rPr>
          <w:szCs w:val="18"/>
        </w:rPr>
        <w:t>Letschert</w:t>
      </w:r>
      <w:proofErr w:type="spellEnd"/>
    </w:p>
    <w:sectPr w:rsidR="00B25E3D" w:rsidSect="00B25E3D">
      <w:headerReference w:type="first" r:id="rId8"/>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B3D0" w14:textId="77777777" w:rsidR="002F0FAE" w:rsidRDefault="002F0FAE">
      <w:pPr>
        <w:spacing w:line="240" w:lineRule="auto"/>
      </w:pPr>
      <w:r>
        <w:separator/>
      </w:r>
    </w:p>
  </w:endnote>
  <w:endnote w:type="continuationSeparator" w:id="0">
    <w:p w14:paraId="6E6105CF" w14:textId="77777777" w:rsidR="002F0FAE" w:rsidRDefault="002F0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7560" w14:textId="77777777" w:rsidR="002F0FAE" w:rsidRDefault="002F0FAE">
      <w:pPr>
        <w:spacing w:line="240" w:lineRule="auto"/>
      </w:pPr>
      <w:r>
        <w:separator/>
      </w:r>
    </w:p>
  </w:footnote>
  <w:footnote w:type="continuationSeparator" w:id="0">
    <w:p w14:paraId="41CEBDA1" w14:textId="77777777" w:rsidR="002F0FAE" w:rsidRDefault="002F0FAE">
      <w:pPr>
        <w:spacing w:line="240" w:lineRule="auto"/>
      </w:pPr>
      <w:r>
        <w:continuationSeparator/>
      </w:r>
    </w:p>
  </w:footnote>
  <w:footnote w:id="1">
    <w:p w14:paraId="1917CD59"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Kamerstukken II 2004/05, 28989, nr 22.</w:t>
      </w:r>
    </w:p>
  </w:footnote>
  <w:footnote w:id="2">
    <w:p w14:paraId="412D946B"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w:t>
      </w:r>
      <w:hyperlink r:id="rId1" w:history="1">
        <w:r w:rsidRPr="00BD5271">
          <w:rPr>
            <w:sz w:val="16"/>
            <w:szCs w:val="16"/>
          </w:rPr>
          <w:t>Kamerstukken</w:t>
        </w:r>
      </w:hyperlink>
      <w:r w:rsidRPr="00BD5271">
        <w:rPr>
          <w:sz w:val="16"/>
          <w:szCs w:val="16"/>
        </w:rPr>
        <w:t xml:space="preserve"> II 2006/07, 30847, nr 3.</w:t>
      </w:r>
    </w:p>
  </w:footnote>
  <w:footnote w:id="3">
    <w:p w14:paraId="0CA3927C"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Te weten: de rijksgesubsidieerde musea, orkesten, operagezelschappen, grote dansgezelschappen en sectorinstituten.</w:t>
      </w:r>
    </w:p>
  </w:footnote>
  <w:footnote w:id="4">
    <w:p w14:paraId="7A3748B4"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In beleidsdocumenten en in debatten wordt dit ook wel de culturele basisinfrastructuur of “de bis” genoemd.</w:t>
      </w:r>
    </w:p>
  </w:footnote>
  <w:footnote w:id="5">
    <w:p w14:paraId="35ED214B" w14:textId="056DC6FD"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Kamerstukken II 2006/07, 28989. </w:t>
      </w:r>
      <w:r w:rsidR="002E25CD" w:rsidRPr="00BD5271">
        <w:rPr>
          <w:sz w:val="16"/>
          <w:szCs w:val="16"/>
        </w:rPr>
        <w:t>n</w:t>
      </w:r>
      <w:r w:rsidRPr="00BD5271">
        <w:rPr>
          <w:sz w:val="16"/>
          <w:szCs w:val="16"/>
        </w:rPr>
        <w:t>r 44 – het gaat hier om de fondsen zelf, niet de door hen gesubsidieerde organisaties en projecten.</w:t>
      </w:r>
    </w:p>
  </w:footnote>
  <w:footnote w:id="6">
    <w:p w14:paraId="6523167B"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Kamerstukken II 2010/11, 33100, nr 3. </w:t>
      </w:r>
    </w:p>
  </w:footnote>
  <w:footnote w:id="7">
    <w:p w14:paraId="0E225D87" w14:textId="77777777" w:rsidR="00877731" w:rsidRPr="003E77F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Kamerstukken II 2005/06, 28989, nr 35.</w:t>
      </w:r>
    </w:p>
  </w:footnote>
  <w:footnote w:id="8">
    <w:p w14:paraId="576ACCA6"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w:t>
      </w:r>
      <w:hyperlink r:id="rId2">
        <w:r w:rsidRPr="00BD5271">
          <w:rPr>
            <w:sz w:val="16"/>
            <w:szCs w:val="16"/>
          </w:rPr>
          <w:t>Kamerstukken</w:t>
        </w:r>
      </w:hyperlink>
      <w:r w:rsidRPr="00BD5271">
        <w:rPr>
          <w:sz w:val="16"/>
          <w:szCs w:val="16"/>
        </w:rPr>
        <w:t xml:space="preserve"> II 2022/23, 32820, nr 485.</w:t>
      </w:r>
    </w:p>
  </w:footnote>
  <w:footnote w:id="9">
    <w:p w14:paraId="3739D685"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Kamerstukken II 2022/23, 32820, nr. 492, bijlage 1080747.</w:t>
      </w:r>
    </w:p>
  </w:footnote>
  <w:footnote w:id="10">
    <w:p w14:paraId="40E77A78" w14:textId="77777777" w:rsidR="00877731" w:rsidRPr="00BD5271" w:rsidRDefault="00877731" w:rsidP="00877731">
      <w:pPr>
        <w:pStyle w:val="Voetnoottekst"/>
        <w:rPr>
          <w:sz w:val="16"/>
          <w:szCs w:val="16"/>
        </w:rPr>
      </w:pPr>
      <w:r w:rsidRPr="00BD5271">
        <w:rPr>
          <w:sz w:val="16"/>
          <w:szCs w:val="16"/>
          <w:vertAlign w:val="superscript"/>
        </w:rPr>
        <w:footnoteRef/>
      </w:r>
      <w:r w:rsidRPr="00BD5271">
        <w:rPr>
          <w:sz w:val="16"/>
          <w:szCs w:val="16"/>
        </w:rPr>
        <w:t xml:space="preserve"> </w:t>
      </w:r>
      <w:hyperlink r:id="rId3" w:history="1">
        <w:r w:rsidRPr="00BD5271">
          <w:rPr>
            <w:sz w:val="16"/>
            <w:szCs w:val="16"/>
          </w:rPr>
          <w:t>Raad voor cultuur. Toegang tot cultuur. Op weg naar een nieuw bestel in 2029</w:t>
        </w:r>
      </w:hyperlink>
      <w:r w:rsidRPr="00BD5271">
        <w:rPr>
          <w:sz w:val="16"/>
          <w:szCs w:val="16"/>
        </w:rPr>
        <w:t>, 26 januari 2024.</w:t>
      </w:r>
    </w:p>
  </w:footnote>
  <w:footnote w:id="11">
    <w:p w14:paraId="30E12C4E" w14:textId="77777777" w:rsidR="002E25CD" w:rsidRPr="00BD5271" w:rsidRDefault="002E25CD" w:rsidP="002E25CD">
      <w:pPr>
        <w:pStyle w:val="Voetnoottekst"/>
        <w:rPr>
          <w:sz w:val="16"/>
          <w:szCs w:val="16"/>
        </w:rPr>
      </w:pPr>
      <w:r w:rsidRPr="00BD5271">
        <w:rPr>
          <w:sz w:val="16"/>
          <w:szCs w:val="16"/>
          <w:vertAlign w:val="superscript"/>
        </w:rPr>
        <w:footnoteRef/>
      </w:r>
      <w:r w:rsidRPr="00BD5271">
        <w:rPr>
          <w:sz w:val="16"/>
          <w:szCs w:val="16"/>
        </w:rPr>
        <w:t xml:space="preserve"> </w:t>
      </w:r>
      <w:hyperlink r:id="rId4" w:history="1">
        <w:r w:rsidRPr="00BD5271">
          <w:rPr>
            <w:sz w:val="16"/>
            <w:szCs w:val="16"/>
          </w:rPr>
          <w:t>Raad voor cultuur. Nieuw Cultuurbeleid, 12 mei 2025</w:t>
        </w:r>
      </w:hyperlink>
      <w:r w:rsidRPr="00BD5271">
        <w:rPr>
          <w:sz w:val="16"/>
          <w:szCs w:val="16"/>
        </w:rPr>
        <w:t>.</w:t>
      </w:r>
    </w:p>
  </w:footnote>
  <w:footnote w:id="12">
    <w:p w14:paraId="6697E356"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Kunsten ’92. Stelselverbetering in vijf punten, 25 april 2025.</w:t>
      </w:r>
    </w:p>
  </w:footnote>
  <w:footnote w:id="13">
    <w:p w14:paraId="6BF93ABF" w14:textId="77777777" w:rsidR="00877731" w:rsidRPr="003E77F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Kamerstukken II 2024/25, 36600-VIII, nr 26.</w:t>
      </w:r>
    </w:p>
  </w:footnote>
  <w:footnote w:id="14">
    <w:p w14:paraId="534FAFCA" w14:textId="1066EFB2"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Van de 117 organisaties die in de periode 2025-202</w:t>
      </w:r>
      <w:r w:rsidR="006F607C">
        <w:rPr>
          <w:sz w:val="16"/>
          <w:szCs w:val="16"/>
        </w:rPr>
        <w:t>8</w:t>
      </w:r>
      <w:r w:rsidRPr="00BD5271">
        <w:rPr>
          <w:sz w:val="16"/>
          <w:szCs w:val="16"/>
        </w:rPr>
        <w:t xml:space="preserve"> subsidie ontvingen, ontving 89% dat ook in de periode 2021-2024. </w:t>
      </w:r>
    </w:p>
  </w:footnote>
  <w:footnote w:id="15">
    <w:p w14:paraId="3317C2B5"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w:t>
      </w:r>
      <w:hyperlink r:id="rId5">
        <w:r w:rsidRPr="00BD5271">
          <w:rPr>
            <w:sz w:val="16"/>
            <w:szCs w:val="16"/>
          </w:rPr>
          <w:t>Kamerstukken</w:t>
        </w:r>
      </w:hyperlink>
      <w:r w:rsidRPr="00BD5271">
        <w:rPr>
          <w:sz w:val="16"/>
          <w:szCs w:val="16"/>
        </w:rPr>
        <w:t xml:space="preserve"> II 2022/23, 32 820, nr 485.</w:t>
      </w:r>
    </w:p>
  </w:footnote>
  <w:footnote w:id="16">
    <w:p w14:paraId="5985741B" w14:textId="77777777" w:rsidR="002E25CD" w:rsidRPr="00BD5271" w:rsidRDefault="002E25CD" w:rsidP="002E25CD">
      <w:pPr>
        <w:pStyle w:val="Voetnoottekst"/>
        <w:rPr>
          <w:sz w:val="16"/>
          <w:szCs w:val="16"/>
        </w:rPr>
      </w:pPr>
      <w:r w:rsidRPr="00BD5271">
        <w:rPr>
          <w:rStyle w:val="Voetnootmarkering"/>
          <w:sz w:val="16"/>
          <w:szCs w:val="16"/>
        </w:rPr>
        <w:footnoteRef/>
      </w:r>
      <w:r w:rsidRPr="00BD5271">
        <w:rPr>
          <w:sz w:val="16"/>
          <w:szCs w:val="16"/>
        </w:rPr>
        <w:t xml:space="preserve"> Lid 3 van artikel 4.10 van de Comptabiliteitswet biedt de mogelijkheid om de vervaldatum van een subsidieregeling later te leggen dan vijf jaar na de inwerkingtreding van de subsidieregeling, doch niet later dan tien jaren.</w:t>
      </w:r>
    </w:p>
  </w:footnote>
  <w:footnote w:id="17">
    <w:p w14:paraId="4C0D9093"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Raad voor cultuur. Toegang tot cultuur. Op weg naar een nieuw bestel in 2029, 26 januari 2024.</w:t>
      </w:r>
    </w:p>
  </w:footnote>
  <w:footnote w:id="18">
    <w:p w14:paraId="4CAF076E" w14:textId="30FA3F84" w:rsidR="00DE09FE" w:rsidRPr="003E77F1" w:rsidRDefault="00DE09FE" w:rsidP="00DE09FE">
      <w:pPr>
        <w:pStyle w:val="Voetnoottekst"/>
        <w:rPr>
          <w:sz w:val="16"/>
          <w:szCs w:val="16"/>
        </w:rPr>
      </w:pPr>
      <w:r w:rsidRPr="003E77F1">
        <w:rPr>
          <w:rStyle w:val="Voetnootmarkering"/>
          <w:sz w:val="16"/>
          <w:szCs w:val="16"/>
        </w:rPr>
        <w:footnoteRef/>
      </w:r>
      <w:r w:rsidRPr="003E77F1">
        <w:rPr>
          <w:sz w:val="16"/>
          <w:szCs w:val="16"/>
        </w:rPr>
        <w:t xml:space="preserve"> </w:t>
      </w:r>
      <w:r w:rsidRPr="00BD5271">
        <w:rPr>
          <w:sz w:val="16"/>
          <w:szCs w:val="16"/>
        </w:rPr>
        <w:t xml:space="preserve">Zie handboek meting regeldrukkosten, versie 2.1 </w:t>
      </w:r>
      <w:hyperlink r:id="rId6" w:history="1">
        <w:r w:rsidRPr="00BD5271">
          <w:rPr>
            <w:rStyle w:val="Hyperlink"/>
            <w:sz w:val="16"/>
            <w:szCs w:val="16"/>
          </w:rPr>
          <w:t>Handboek meting regeldrukkosten | Adviescollege toetsing regeldruk</w:t>
        </w:r>
      </w:hyperlink>
      <w:r w:rsidRPr="00BD5271">
        <w:rPr>
          <w:sz w:val="16"/>
          <w:szCs w:val="16"/>
        </w:rPr>
        <w:t>.</w:t>
      </w:r>
      <w:r w:rsidRPr="003E77F1">
        <w:rPr>
          <w:sz w:val="16"/>
          <w:szCs w:val="16"/>
        </w:rPr>
        <w:t xml:space="preserve"> </w:t>
      </w:r>
      <w:r w:rsidRPr="00BD5271">
        <w:rPr>
          <w:sz w:val="16"/>
          <w:szCs w:val="16"/>
        </w:rPr>
        <w:t>De bruto uurlonen zijn verkregen uit de combinatie van de CBS-enquête Beroepsbevolking (EBB) en de Polisadministratie over het jaar 2020. De aldus verkregen bruto uurlonen zijn vervolgens opgehoogd met een opslag voor werkgeverslasten van 40%.</w:t>
      </w:r>
    </w:p>
  </w:footnote>
  <w:footnote w:id="19">
    <w:p w14:paraId="2FBDE687" w14:textId="77777777" w:rsidR="00261933" w:rsidRPr="00BD5271" w:rsidRDefault="00261933" w:rsidP="00261933">
      <w:pPr>
        <w:pStyle w:val="Voetnoottekst"/>
        <w:rPr>
          <w:sz w:val="16"/>
          <w:szCs w:val="16"/>
        </w:rPr>
      </w:pPr>
      <w:r w:rsidRPr="00BD5271">
        <w:rPr>
          <w:rStyle w:val="Voetnootmarkering"/>
          <w:sz w:val="16"/>
          <w:szCs w:val="16"/>
        </w:rPr>
        <w:footnoteRef/>
      </w:r>
      <w:r w:rsidRPr="00BD5271">
        <w:rPr>
          <w:sz w:val="16"/>
          <w:szCs w:val="16"/>
        </w:rPr>
        <w:t xml:space="preserve"> Kamerstukken II 2025/26, 31482, nr 129.</w:t>
      </w:r>
    </w:p>
  </w:footnote>
  <w:footnote w:id="20">
    <w:p w14:paraId="3F702B53"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G9: Amsterdam, Arnhem, Den Haag, Eindhoven, Enschede, Groningen, Maastricht, Rotterdam en Utrecht. </w:t>
      </w:r>
    </w:p>
  </w:footnote>
  <w:footnote w:id="21">
    <w:p w14:paraId="4D3AD369" w14:textId="5F7796C6" w:rsidR="00877731" w:rsidRPr="003E77F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De minister van Onderwijs, Cultuur en Wetenschap</w:t>
      </w:r>
      <w:r w:rsidR="00261933" w:rsidRPr="00BD5271">
        <w:rPr>
          <w:sz w:val="16"/>
          <w:szCs w:val="16"/>
        </w:rPr>
        <w:t xml:space="preserve"> </w:t>
      </w:r>
      <w:r w:rsidRPr="00BD5271">
        <w:rPr>
          <w:sz w:val="16"/>
          <w:szCs w:val="16"/>
        </w:rPr>
        <w:t>heeft in 9 cultuurconvenanten afspraken gemaakt met provincies, gemeenten en de cultuurregio’s voor de periode 2025-2028. Alle 12 provincies zijn hierin vertegenwoordigd. In de convenanten die op 17 januari 2025 zijn ondertekend door alle partijen, staan afspraken tussen het ministerie en de medeoverheden, vanuit het gedeelde belang van cultuur, over de gezamenlijke verantwoordelijkheid voor de cultuursector en de onderlinge samenwerking op cultuurgebied.</w:t>
      </w:r>
      <w:r w:rsidRPr="003E77F1">
        <w:rPr>
          <w:sz w:val="16"/>
          <w:szCs w:val="16"/>
        </w:rPr>
        <w:t xml:space="preserve"> </w:t>
      </w:r>
    </w:p>
  </w:footnote>
  <w:footnote w:id="22">
    <w:p w14:paraId="64CD4F30" w14:textId="77777777" w:rsidR="00877731" w:rsidRPr="00BD5271" w:rsidRDefault="00877731" w:rsidP="00877731">
      <w:pPr>
        <w:pStyle w:val="Voetnoottekst"/>
        <w:rPr>
          <w:sz w:val="16"/>
          <w:szCs w:val="16"/>
        </w:rPr>
      </w:pPr>
      <w:r w:rsidRPr="00BD5271">
        <w:rPr>
          <w:rStyle w:val="Voetnootmarkering"/>
          <w:sz w:val="16"/>
          <w:szCs w:val="16"/>
        </w:rPr>
        <w:footnoteRef/>
      </w:r>
      <w:r w:rsidRPr="00BD5271">
        <w:rPr>
          <w:sz w:val="16"/>
          <w:szCs w:val="16"/>
        </w:rPr>
        <w:t xml:space="preserve"> VNG, IPO. Position paper, 12 juni 2025.</w:t>
      </w:r>
    </w:p>
  </w:footnote>
  <w:footnote w:id="23">
    <w:p w14:paraId="3662D56E" w14:textId="09E012FC" w:rsidR="00BD5271" w:rsidRPr="003E77F1" w:rsidRDefault="00BD5271">
      <w:pPr>
        <w:pStyle w:val="Voetnoottekst"/>
        <w:rPr>
          <w:sz w:val="16"/>
          <w:szCs w:val="16"/>
        </w:rPr>
      </w:pPr>
      <w:r w:rsidRPr="003E77F1">
        <w:rPr>
          <w:rStyle w:val="Voetnootmarkering"/>
          <w:sz w:val="16"/>
          <w:szCs w:val="16"/>
        </w:rPr>
        <w:footnoteRef/>
      </w:r>
      <w:r w:rsidRPr="003E77F1">
        <w:rPr>
          <w:sz w:val="16"/>
          <w:szCs w:val="16"/>
        </w:rPr>
        <w:t xml:space="preserve"> Raad voor Cultuur</w:t>
      </w:r>
      <w:r>
        <w:rPr>
          <w:sz w:val="16"/>
          <w:szCs w:val="16"/>
        </w:rPr>
        <w:t xml:space="preserve">. </w:t>
      </w:r>
      <w:r w:rsidRPr="003E77F1">
        <w:rPr>
          <w:sz w:val="16"/>
          <w:szCs w:val="16"/>
        </w:rPr>
        <w:t>Advies conceptwetsvoorstel tot wijziging van de Wet op het specifiek cultuurbeleid</w:t>
      </w:r>
      <w:r w:rsidR="00BE6A58">
        <w:rPr>
          <w:sz w:val="16"/>
          <w:szCs w:val="16"/>
        </w:rPr>
        <w:t>,</w:t>
      </w:r>
      <w:r>
        <w:rPr>
          <w:sz w:val="16"/>
          <w:szCs w:val="16"/>
        </w:rPr>
        <w:t xml:space="preserve"> 8 januari 2026</w:t>
      </w:r>
      <w:r w:rsidR="00BE6A5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4BE0"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AB1"/>
    <w:multiLevelType w:val="hybridMultilevel"/>
    <w:tmpl w:val="EE641728"/>
    <w:lvl w:ilvl="0" w:tplc="D1A8B29A">
      <w:start w:val="1"/>
      <w:numFmt w:val="bullet"/>
      <w:lvlText w:val=""/>
      <w:lvlJc w:val="left"/>
      <w:pPr>
        <w:ind w:left="720" w:hanging="360"/>
      </w:pPr>
      <w:rPr>
        <w:rFonts w:ascii="Symbol" w:hAnsi="Symbol"/>
      </w:rPr>
    </w:lvl>
    <w:lvl w:ilvl="1" w:tplc="41A01D9A">
      <w:start w:val="1"/>
      <w:numFmt w:val="bullet"/>
      <w:lvlText w:val=""/>
      <w:lvlJc w:val="left"/>
      <w:pPr>
        <w:ind w:left="720" w:hanging="360"/>
      </w:pPr>
      <w:rPr>
        <w:rFonts w:ascii="Symbol" w:hAnsi="Symbol"/>
      </w:rPr>
    </w:lvl>
    <w:lvl w:ilvl="2" w:tplc="F35CA432">
      <w:start w:val="1"/>
      <w:numFmt w:val="bullet"/>
      <w:lvlText w:val=""/>
      <w:lvlJc w:val="left"/>
      <w:pPr>
        <w:ind w:left="720" w:hanging="360"/>
      </w:pPr>
      <w:rPr>
        <w:rFonts w:ascii="Symbol" w:hAnsi="Symbol"/>
      </w:rPr>
    </w:lvl>
    <w:lvl w:ilvl="3" w:tplc="AB264696">
      <w:start w:val="1"/>
      <w:numFmt w:val="bullet"/>
      <w:lvlText w:val=""/>
      <w:lvlJc w:val="left"/>
      <w:pPr>
        <w:ind w:left="720" w:hanging="360"/>
      </w:pPr>
      <w:rPr>
        <w:rFonts w:ascii="Symbol" w:hAnsi="Symbol"/>
      </w:rPr>
    </w:lvl>
    <w:lvl w:ilvl="4" w:tplc="7F103072">
      <w:start w:val="1"/>
      <w:numFmt w:val="bullet"/>
      <w:lvlText w:val=""/>
      <w:lvlJc w:val="left"/>
      <w:pPr>
        <w:ind w:left="720" w:hanging="360"/>
      </w:pPr>
      <w:rPr>
        <w:rFonts w:ascii="Symbol" w:hAnsi="Symbol"/>
      </w:rPr>
    </w:lvl>
    <w:lvl w:ilvl="5" w:tplc="CC4AD7F4">
      <w:start w:val="1"/>
      <w:numFmt w:val="bullet"/>
      <w:lvlText w:val=""/>
      <w:lvlJc w:val="left"/>
      <w:pPr>
        <w:ind w:left="720" w:hanging="360"/>
      </w:pPr>
      <w:rPr>
        <w:rFonts w:ascii="Symbol" w:hAnsi="Symbol"/>
      </w:rPr>
    </w:lvl>
    <w:lvl w:ilvl="6" w:tplc="2722D0DA">
      <w:start w:val="1"/>
      <w:numFmt w:val="bullet"/>
      <w:lvlText w:val=""/>
      <w:lvlJc w:val="left"/>
      <w:pPr>
        <w:ind w:left="720" w:hanging="360"/>
      </w:pPr>
      <w:rPr>
        <w:rFonts w:ascii="Symbol" w:hAnsi="Symbol"/>
      </w:rPr>
    </w:lvl>
    <w:lvl w:ilvl="7" w:tplc="EC8A3084">
      <w:start w:val="1"/>
      <w:numFmt w:val="bullet"/>
      <w:lvlText w:val=""/>
      <w:lvlJc w:val="left"/>
      <w:pPr>
        <w:ind w:left="720" w:hanging="360"/>
      </w:pPr>
      <w:rPr>
        <w:rFonts w:ascii="Symbol" w:hAnsi="Symbol"/>
      </w:rPr>
    </w:lvl>
    <w:lvl w:ilvl="8" w:tplc="C7801C80">
      <w:start w:val="1"/>
      <w:numFmt w:val="bullet"/>
      <w:lvlText w:val=""/>
      <w:lvlJc w:val="left"/>
      <w:pPr>
        <w:ind w:left="720" w:hanging="360"/>
      </w:pPr>
      <w:rPr>
        <w:rFonts w:ascii="Symbol" w:hAnsi="Symbol"/>
      </w:rPr>
    </w:lvl>
  </w:abstractNum>
  <w:abstractNum w:abstractNumId="1" w15:restartNumberingAfterBreak="0">
    <w:nsid w:val="06076F03"/>
    <w:multiLevelType w:val="multilevel"/>
    <w:tmpl w:val="1A0C9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4120A4"/>
    <w:multiLevelType w:val="hybridMultilevel"/>
    <w:tmpl w:val="1D8E1FCE"/>
    <w:lvl w:ilvl="0" w:tplc="6562F14E">
      <w:start w:val="1"/>
      <w:numFmt w:val="bullet"/>
      <w:pStyle w:val="Lijstopsomteken"/>
      <w:lvlText w:val="•"/>
      <w:lvlJc w:val="left"/>
      <w:pPr>
        <w:tabs>
          <w:tab w:val="num" w:pos="227"/>
        </w:tabs>
        <w:ind w:left="227" w:hanging="227"/>
      </w:pPr>
      <w:rPr>
        <w:rFonts w:ascii="Verdana" w:hAnsi="Verdana" w:hint="default"/>
        <w:sz w:val="18"/>
        <w:szCs w:val="18"/>
      </w:rPr>
    </w:lvl>
    <w:lvl w:ilvl="1" w:tplc="D286D674" w:tentative="1">
      <w:start w:val="1"/>
      <w:numFmt w:val="bullet"/>
      <w:lvlText w:val="o"/>
      <w:lvlJc w:val="left"/>
      <w:pPr>
        <w:tabs>
          <w:tab w:val="num" w:pos="1440"/>
        </w:tabs>
        <w:ind w:left="1440" w:hanging="360"/>
      </w:pPr>
      <w:rPr>
        <w:rFonts w:ascii="Courier New" w:hAnsi="Courier New" w:cs="Courier New" w:hint="default"/>
      </w:rPr>
    </w:lvl>
    <w:lvl w:ilvl="2" w:tplc="C34A6C56" w:tentative="1">
      <w:start w:val="1"/>
      <w:numFmt w:val="bullet"/>
      <w:lvlText w:val=""/>
      <w:lvlJc w:val="left"/>
      <w:pPr>
        <w:tabs>
          <w:tab w:val="num" w:pos="2160"/>
        </w:tabs>
        <w:ind w:left="2160" w:hanging="360"/>
      </w:pPr>
      <w:rPr>
        <w:rFonts w:ascii="Wingdings" w:hAnsi="Wingdings" w:hint="default"/>
      </w:rPr>
    </w:lvl>
    <w:lvl w:ilvl="3" w:tplc="889A0014" w:tentative="1">
      <w:start w:val="1"/>
      <w:numFmt w:val="bullet"/>
      <w:lvlText w:val=""/>
      <w:lvlJc w:val="left"/>
      <w:pPr>
        <w:tabs>
          <w:tab w:val="num" w:pos="2880"/>
        </w:tabs>
        <w:ind w:left="2880" w:hanging="360"/>
      </w:pPr>
      <w:rPr>
        <w:rFonts w:ascii="Symbol" w:hAnsi="Symbol" w:hint="default"/>
      </w:rPr>
    </w:lvl>
    <w:lvl w:ilvl="4" w:tplc="46CC6E2C" w:tentative="1">
      <w:start w:val="1"/>
      <w:numFmt w:val="bullet"/>
      <w:lvlText w:val="o"/>
      <w:lvlJc w:val="left"/>
      <w:pPr>
        <w:tabs>
          <w:tab w:val="num" w:pos="3600"/>
        </w:tabs>
        <w:ind w:left="3600" w:hanging="360"/>
      </w:pPr>
      <w:rPr>
        <w:rFonts w:ascii="Courier New" w:hAnsi="Courier New" w:cs="Courier New" w:hint="default"/>
      </w:rPr>
    </w:lvl>
    <w:lvl w:ilvl="5" w:tplc="135E3940" w:tentative="1">
      <w:start w:val="1"/>
      <w:numFmt w:val="bullet"/>
      <w:lvlText w:val=""/>
      <w:lvlJc w:val="left"/>
      <w:pPr>
        <w:tabs>
          <w:tab w:val="num" w:pos="4320"/>
        </w:tabs>
        <w:ind w:left="4320" w:hanging="360"/>
      </w:pPr>
      <w:rPr>
        <w:rFonts w:ascii="Wingdings" w:hAnsi="Wingdings" w:hint="default"/>
      </w:rPr>
    </w:lvl>
    <w:lvl w:ilvl="6" w:tplc="A50E7B16" w:tentative="1">
      <w:start w:val="1"/>
      <w:numFmt w:val="bullet"/>
      <w:lvlText w:val=""/>
      <w:lvlJc w:val="left"/>
      <w:pPr>
        <w:tabs>
          <w:tab w:val="num" w:pos="5040"/>
        </w:tabs>
        <w:ind w:left="5040" w:hanging="360"/>
      </w:pPr>
      <w:rPr>
        <w:rFonts w:ascii="Symbol" w:hAnsi="Symbol" w:hint="default"/>
      </w:rPr>
    </w:lvl>
    <w:lvl w:ilvl="7" w:tplc="5AA6FA36" w:tentative="1">
      <w:start w:val="1"/>
      <w:numFmt w:val="bullet"/>
      <w:lvlText w:val="o"/>
      <w:lvlJc w:val="left"/>
      <w:pPr>
        <w:tabs>
          <w:tab w:val="num" w:pos="5760"/>
        </w:tabs>
        <w:ind w:left="5760" w:hanging="360"/>
      </w:pPr>
      <w:rPr>
        <w:rFonts w:ascii="Courier New" w:hAnsi="Courier New" w:cs="Courier New" w:hint="default"/>
      </w:rPr>
    </w:lvl>
    <w:lvl w:ilvl="8" w:tplc="A9AC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96898"/>
    <w:multiLevelType w:val="hybridMultilevel"/>
    <w:tmpl w:val="98CA205A"/>
    <w:lvl w:ilvl="0" w:tplc="30801AD4">
      <w:start w:val="1"/>
      <w:numFmt w:val="bullet"/>
      <w:lvlText w:val=""/>
      <w:lvlJc w:val="left"/>
      <w:pPr>
        <w:ind w:left="720" w:hanging="360"/>
      </w:pPr>
      <w:rPr>
        <w:rFonts w:ascii="Symbol" w:hAnsi="Symbol" w:hint="default"/>
      </w:rPr>
    </w:lvl>
    <w:lvl w:ilvl="1" w:tplc="87D6A29C" w:tentative="1">
      <w:start w:val="1"/>
      <w:numFmt w:val="bullet"/>
      <w:lvlText w:val="o"/>
      <w:lvlJc w:val="left"/>
      <w:pPr>
        <w:ind w:left="1440" w:hanging="360"/>
      </w:pPr>
      <w:rPr>
        <w:rFonts w:ascii="Courier New" w:hAnsi="Courier New" w:cs="Courier New" w:hint="default"/>
      </w:rPr>
    </w:lvl>
    <w:lvl w:ilvl="2" w:tplc="E6DE6C06" w:tentative="1">
      <w:start w:val="1"/>
      <w:numFmt w:val="bullet"/>
      <w:lvlText w:val=""/>
      <w:lvlJc w:val="left"/>
      <w:pPr>
        <w:ind w:left="2160" w:hanging="360"/>
      </w:pPr>
      <w:rPr>
        <w:rFonts w:ascii="Wingdings" w:hAnsi="Wingdings" w:hint="default"/>
      </w:rPr>
    </w:lvl>
    <w:lvl w:ilvl="3" w:tplc="8708B45E" w:tentative="1">
      <w:start w:val="1"/>
      <w:numFmt w:val="bullet"/>
      <w:lvlText w:val=""/>
      <w:lvlJc w:val="left"/>
      <w:pPr>
        <w:ind w:left="2880" w:hanging="360"/>
      </w:pPr>
      <w:rPr>
        <w:rFonts w:ascii="Symbol" w:hAnsi="Symbol" w:hint="default"/>
      </w:rPr>
    </w:lvl>
    <w:lvl w:ilvl="4" w:tplc="EE50FCF4" w:tentative="1">
      <w:start w:val="1"/>
      <w:numFmt w:val="bullet"/>
      <w:lvlText w:val="o"/>
      <w:lvlJc w:val="left"/>
      <w:pPr>
        <w:ind w:left="3600" w:hanging="360"/>
      </w:pPr>
      <w:rPr>
        <w:rFonts w:ascii="Courier New" w:hAnsi="Courier New" w:cs="Courier New" w:hint="default"/>
      </w:rPr>
    </w:lvl>
    <w:lvl w:ilvl="5" w:tplc="AC945FC2" w:tentative="1">
      <w:start w:val="1"/>
      <w:numFmt w:val="bullet"/>
      <w:lvlText w:val=""/>
      <w:lvlJc w:val="left"/>
      <w:pPr>
        <w:ind w:left="4320" w:hanging="360"/>
      </w:pPr>
      <w:rPr>
        <w:rFonts w:ascii="Wingdings" w:hAnsi="Wingdings" w:hint="default"/>
      </w:rPr>
    </w:lvl>
    <w:lvl w:ilvl="6" w:tplc="19867806" w:tentative="1">
      <w:start w:val="1"/>
      <w:numFmt w:val="bullet"/>
      <w:lvlText w:val=""/>
      <w:lvlJc w:val="left"/>
      <w:pPr>
        <w:ind w:left="5040" w:hanging="360"/>
      </w:pPr>
      <w:rPr>
        <w:rFonts w:ascii="Symbol" w:hAnsi="Symbol" w:hint="default"/>
      </w:rPr>
    </w:lvl>
    <w:lvl w:ilvl="7" w:tplc="2288475E" w:tentative="1">
      <w:start w:val="1"/>
      <w:numFmt w:val="bullet"/>
      <w:lvlText w:val="o"/>
      <w:lvlJc w:val="left"/>
      <w:pPr>
        <w:ind w:left="5760" w:hanging="360"/>
      </w:pPr>
      <w:rPr>
        <w:rFonts w:ascii="Courier New" w:hAnsi="Courier New" w:cs="Courier New" w:hint="default"/>
      </w:rPr>
    </w:lvl>
    <w:lvl w:ilvl="8" w:tplc="556C9504" w:tentative="1">
      <w:start w:val="1"/>
      <w:numFmt w:val="bullet"/>
      <w:lvlText w:val=""/>
      <w:lvlJc w:val="left"/>
      <w:pPr>
        <w:ind w:left="6480" w:hanging="360"/>
      </w:pPr>
      <w:rPr>
        <w:rFonts w:ascii="Wingdings" w:hAnsi="Wingdings" w:hint="default"/>
      </w:rPr>
    </w:lvl>
  </w:abstractNum>
  <w:abstractNum w:abstractNumId="4" w15:restartNumberingAfterBreak="0">
    <w:nsid w:val="155E6861"/>
    <w:multiLevelType w:val="multilevel"/>
    <w:tmpl w:val="1A0C9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E555FEF"/>
    <w:multiLevelType w:val="hybridMultilevel"/>
    <w:tmpl w:val="50F0923E"/>
    <w:lvl w:ilvl="0" w:tplc="BE6CBA24">
      <w:start w:val="1"/>
      <w:numFmt w:val="bullet"/>
      <w:pStyle w:val="Lijstopsomteken2"/>
      <w:lvlText w:val="–"/>
      <w:lvlJc w:val="left"/>
      <w:pPr>
        <w:tabs>
          <w:tab w:val="num" w:pos="227"/>
        </w:tabs>
        <w:ind w:left="227" w:firstLine="0"/>
      </w:pPr>
      <w:rPr>
        <w:rFonts w:ascii="Verdana" w:hAnsi="Verdana" w:hint="default"/>
      </w:rPr>
    </w:lvl>
    <w:lvl w:ilvl="1" w:tplc="7EC2549C" w:tentative="1">
      <w:start w:val="1"/>
      <w:numFmt w:val="bullet"/>
      <w:lvlText w:val="o"/>
      <w:lvlJc w:val="left"/>
      <w:pPr>
        <w:tabs>
          <w:tab w:val="num" w:pos="1440"/>
        </w:tabs>
        <w:ind w:left="1440" w:hanging="360"/>
      </w:pPr>
      <w:rPr>
        <w:rFonts w:ascii="Courier New" w:hAnsi="Courier New" w:cs="Courier New" w:hint="default"/>
      </w:rPr>
    </w:lvl>
    <w:lvl w:ilvl="2" w:tplc="6CCE9978" w:tentative="1">
      <w:start w:val="1"/>
      <w:numFmt w:val="bullet"/>
      <w:lvlText w:val=""/>
      <w:lvlJc w:val="left"/>
      <w:pPr>
        <w:tabs>
          <w:tab w:val="num" w:pos="2160"/>
        </w:tabs>
        <w:ind w:left="2160" w:hanging="360"/>
      </w:pPr>
      <w:rPr>
        <w:rFonts w:ascii="Wingdings" w:hAnsi="Wingdings" w:hint="default"/>
      </w:rPr>
    </w:lvl>
    <w:lvl w:ilvl="3" w:tplc="F8F8CBEA" w:tentative="1">
      <w:start w:val="1"/>
      <w:numFmt w:val="bullet"/>
      <w:lvlText w:val=""/>
      <w:lvlJc w:val="left"/>
      <w:pPr>
        <w:tabs>
          <w:tab w:val="num" w:pos="2880"/>
        </w:tabs>
        <w:ind w:left="2880" w:hanging="360"/>
      </w:pPr>
      <w:rPr>
        <w:rFonts w:ascii="Symbol" w:hAnsi="Symbol" w:hint="default"/>
      </w:rPr>
    </w:lvl>
    <w:lvl w:ilvl="4" w:tplc="6BBA4618" w:tentative="1">
      <w:start w:val="1"/>
      <w:numFmt w:val="bullet"/>
      <w:lvlText w:val="o"/>
      <w:lvlJc w:val="left"/>
      <w:pPr>
        <w:tabs>
          <w:tab w:val="num" w:pos="3600"/>
        </w:tabs>
        <w:ind w:left="3600" w:hanging="360"/>
      </w:pPr>
      <w:rPr>
        <w:rFonts w:ascii="Courier New" w:hAnsi="Courier New" w:cs="Courier New" w:hint="default"/>
      </w:rPr>
    </w:lvl>
    <w:lvl w:ilvl="5" w:tplc="7722B7B2" w:tentative="1">
      <w:start w:val="1"/>
      <w:numFmt w:val="bullet"/>
      <w:lvlText w:val=""/>
      <w:lvlJc w:val="left"/>
      <w:pPr>
        <w:tabs>
          <w:tab w:val="num" w:pos="4320"/>
        </w:tabs>
        <w:ind w:left="4320" w:hanging="360"/>
      </w:pPr>
      <w:rPr>
        <w:rFonts w:ascii="Wingdings" w:hAnsi="Wingdings" w:hint="default"/>
      </w:rPr>
    </w:lvl>
    <w:lvl w:ilvl="6" w:tplc="D05608CC" w:tentative="1">
      <w:start w:val="1"/>
      <w:numFmt w:val="bullet"/>
      <w:lvlText w:val=""/>
      <w:lvlJc w:val="left"/>
      <w:pPr>
        <w:tabs>
          <w:tab w:val="num" w:pos="5040"/>
        </w:tabs>
        <w:ind w:left="5040" w:hanging="360"/>
      </w:pPr>
      <w:rPr>
        <w:rFonts w:ascii="Symbol" w:hAnsi="Symbol" w:hint="default"/>
      </w:rPr>
    </w:lvl>
    <w:lvl w:ilvl="7" w:tplc="C2F248D4" w:tentative="1">
      <w:start w:val="1"/>
      <w:numFmt w:val="bullet"/>
      <w:lvlText w:val="o"/>
      <w:lvlJc w:val="left"/>
      <w:pPr>
        <w:tabs>
          <w:tab w:val="num" w:pos="5760"/>
        </w:tabs>
        <w:ind w:left="5760" w:hanging="360"/>
      </w:pPr>
      <w:rPr>
        <w:rFonts w:ascii="Courier New" w:hAnsi="Courier New" w:cs="Courier New" w:hint="default"/>
      </w:rPr>
    </w:lvl>
    <w:lvl w:ilvl="8" w:tplc="71380D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72000"/>
    <w:multiLevelType w:val="hybridMultilevel"/>
    <w:tmpl w:val="BBD0A77E"/>
    <w:lvl w:ilvl="0" w:tplc="0DEED038">
      <w:start w:val="1"/>
      <w:numFmt w:val="bullet"/>
      <w:lvlText w:val=""/>
      <w:lvlJc w:val="left"/>
      <w:pPr>
        <w:ind w:left="1440" w:hanging="360"/>
      </w:pPr>
      <w:rPr>
        <w:rFonts w:ascii="Symbol" w:hAnsi="Symbol"/>
      </w:rPr>
    </w:lvl>
    <w:lvl w:ilvl="1" w:tplc="6D48FCAE">
      <w:start w:val="1"/>
      <w:numFmt w:val="bullet"/>
      <w:lvlText w:val=""/>
      <w:lvlJc w:val="left"/>
      <w:pPr>
        <w:ind w:left="1440" w:hanging="360"/>
      </w:pPr>
      <w:rPr>
        <w:rFonts w:ascii="Symbol" w:hAnsi="Symbol"/>
      </w:rPr>
    </w:lvl>
    <w:lvl w:ilvl="2" w:tplc="3DC037CE">
      <w:start w:val="1"/>
      <w:numFmt w:val="bullet"/>
      <w:lvlText w:val=""/>
      <w:lvlJc w:val="left"/>
      <w:pPr>
        <w:ind w:left="1440" w:hanging="360"/>
      </w:pPr>
      <w:rPr>
        <w:rFonts w:ascii="Symbol" w:hAnsi="Symbol"/>
      </w:rPr>
    </w:lvl>
    <w:lvl w:ilvl="3" w:tplc="46268622">
      <w:start w:val="1"/>
      <w:numFmt w:val="bullet"/>
      <w:lvlText w:val=""/>
      <w:lvlJc w:val="left"/>
      <w:pPr>
        <w:ind w:left="1440" w:hanging="360"/>
      </w:pPr>
      <w:rPr>
        <w:rFonts w:ascii="Symbol" w:hAnsi="Symbol"/>
      </w:rPr>
    </w:lvl>
    <w:lvl w:ilvl="4" w:tplc="46FA4A46">
      <w:start w:val="1"/>
      <w:numFmt w:val="bullet"/>
      <w:lvlText w:val=""/>
      <w:lvlJc w:val="left"/>
      <w:pPr>
        <w:ind w:left="1440" w:hanging="360"/>
      </w:pPr>
      <w:rPr>
        <w:rFonts w:ascii="Symbol" w:hAnsi="Symbol"/>
      </w:rPr>
    </w:lvl>
    <w:lvl w:ilvl="5" w:tplc="EE0014D2">
      <w:start w:val="1"/>
      <w:numFmt w:val="bullet"/>
      <w:lvlText w:val=""/>
      <w:lvlJc w:val="left"/>
      <w:pPr>
        <w:ind w:left="1440" w:hanging="360"/>
      </w:pPr>
      <w:rPr>
        <w:rFonts w:ascii="Symbol" w:hAnsi="Symbol"/>
      </w:rPr>
    </w:lvl>
    <w:lvl w:ilvl="6" w:tplc="28F246A6">
      <w:start w:val="1"/>
      <w:numFmt w:val="bullet"/>
      <w:lvlText w:val=""/>
      <w:lvlJc w:val="left"/>
      <w:pPr>
        <w:ind w:left="1440" w:hanging="360"/>
      </w:pPr>
      <w:rPr>
        <w:rFonts w:ascii="Symbol" w:hAnsi="Symbol"/>
      </w:rPr>
    </w:lvl>
    <w:lvl w:ilvl="7" w:tplc="B99C38DE">
      <w:start w:val="1"/>
      <w:numFmt w:val="bullet"/>
      <w:lvlText w:val=""/>
      <w:lvlJc w:val="left"/>
      <w:pPr>
        <w:ind w:left="1440" w:hanging="360"/>
      </w:pPr>
      <w:rPr>
        <w:rFonts w:ascii="Symbol" w:hAnsi="Symbol"/>
      </w:rPr>
    </w:lvl>
    <w:lvl w:ilvl="8" w:tplc="297CD596">
      <w:start w:val="1"/>
      <w:numFmt w:val="bullet"/>
      <w:lvlText w:val=""/>
      <w:lvlJc w:val="left"/>
      <w:pPr>
        <w:ind w:left="1440" w:hanging="360"/>
      </w:pPr>
      <w:rPr>
        <w:rFonts w:ascii="Symbol" w:hAnsi="Symbol"/>
      </w:rPr>
    </w:lvl>
  </w:abstractNum>
  <w:abstractNum w:abstractNumId="7" w15:restartNumberingAfterBreak="0">
    <w:nsid w:val="43CC1A63"/>
    <w:multiLevelType w:val="multilevel"/>
    <w:tmpl w:val="D862C9FE"/>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D5170F7"/>
    <w:multiLevelType w:val="multilevel"/>
    <w:tmpl w:val="15FA9EEE"/>
    <w:lvl w:ilvl="0">
      <w:start w:val="9"/>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82E275B"/>
    <w:multiLevelType w:val="hybridMultilevel"/>
    <w:tmpl w:val="047A022C"/>
    <w:lvl w:ilvl="0" w:tplc="C5E2212E">
      <w:start w:val="1"/>
      <w:numFmt w:val="decimal"/>
      <w:lvlText w:val="%1."/>
      <w:lvlJc w:val="left"/>
      <w:pPr>
        <w:ind w:left="1020" w:hanging="360"/>
      </w:pPr>
    </w:lvl>
    <w:lvl w:ilvl="1" w:tplc="5E102A80">
      <w:start w:val="1"/>
      <w:numFmt w:val="decimal"/>
      <w:lvlText w:val="%2."/>
      <w:lvlJc w:val="left"/>
      <w:pPr>
        <w:ind w:left="1020" w:hanging="360"/>
      </w:pPr>
    </w:lvl>
    <w:lvl w:ilvl="2" w:tplc="CBD2D6F6">
      <w:start w:val="1"/>
      <w:numFmt w:val="decimal"/>
      <w:lvlText w:val="%3."/>
      <w:lvlJc w:val="left"/>
      <w:pPr>
        <w:ind w:left="1020" w:hanging="360"/>
      </w:pPr>
    </w:lvl>
    <w:lvl w:ilvl="3" w:tplc="558406C4">
      <w:start w:val="1"/>
      <w:numFmt w:val="decimal"/>
      <w:lvlText w:val="%4."/>
      <w:lvlJc w:val="left"/>
      <w:pPr>
        <w:ind w:left="1020" w:hanging="360"/>
      </w:pPr>
    </w:lvl>
    <w:lvl w:ilvl="4" w:tplc="02561D0C">
      <w:start w:val="1"/>
      <w:numFmt w:val="decimal"/>
      <w:lvlText w:val="%5."/>
      <w:lvlJc w:val="left"/>
      <w:pPr>
        <w:ind w:left="1020" w:hanging="360"/>
      </w:pPr>
    </w:lvl>
    <w:lvl w:ilvl="5" w:tplc="9E9C4138">
      <w:start w:val="1"/>
      <w:numFmt w:val="decimal"/>
      <w:lvlText w:val="%6."/>
      <w:lvlJc w:val="left"/>
      <w:pPr>
        <w:ind w:left="1020" w:hanging="360"/>
      </w:pPr>
    </w:lvl>
    <w:lvl w:ilvl="6" w:tplc="8A2E92AE">
      <w:start w:val="1"/>
      <w:numFmt w:val="decimal"/>
      <w:lvlText w:val="%7."/>
      <w:lvlJc w:val="left"/>
      <w:pPr>
        <w:ind w:left="1020" w:hanging="360"/>
      </w:pPr>
    </w:lvl>
    <w:lvl w:ilvl="7" w:tplc="A13C0C9A">
      <w:start w:val="1"/>
      <w:numFmt w:val="decimal"/>
      <w:lvlText w:val="%8."/>
      <w:lvlJc w:val="left"/>
      <w:pPr>
        <w:ind w:left="1020" w:hanging="360"/>
      </w:pPr>
    </w:lvl>
    <w:lvl w:ilvl="8" w:tplc="E71219FE">
      <w:start w:val="1"/>
      <w:numFmt w:val="decimal"/>
      <w:lvlText w:val="%9."/>
      <w:lvlJc w:val="left"/>
      <w:pPr>
        <w:ind w:left="1020" w:hanging="360"/>
      </w:pPr>
    </w:lvl>
  </w:abstractNum>
  <w:abstractNum w:abstractNumId="10" w15:restartNumberingAfterBreak="0">
    <w:nsid w:val="5B04780C"/>
    <w:multiLevelType w:val="hybridMultilevel"/>
    <w:tmpl w:val="5406E9C8"/>
    <w:lvl w:ilvl="0" w:tplc="20D631DE">
      <w:start w:val="1"/>
      <w:numFmt w:val="decimal"/>
      <w:lvlText w:val="%1)"/>
      <w:lvlJc w:val="left"/>
      <w:pPr>
        <w:ind w:left="1020" w:hanging="360"/>
      </w:pPr>
    </w:lvl>
    <w:lvl w:ilvl="1" w:tplc="A030C644">
      <w:start w:val="1"/>
      <w:numFmt w:val="decimal"/>
      <w:lvlText w:val="%2)"/>
      <w:lvlJc w:val="left"/>
      <w:pPr>
        <w:ind w:left="1020" w:hanging="360"/>
      </w:pPr>
    </w:lvl>
    <w:lvl w:ilvl="2" w:tplc="CC743332">
      <w:start w:val="1"/>
      <w:numFmt w:val="decimal"/>
      <w:lvlText w:val="%3)"/>
      <w:lvlJc w:val="left"/>
      <w:pPr>
        <w:ind w:left="1020" w:hanging="360"/>
      </w:pPr>
    </w:lvl>
    <w:lvl w:ilvl="3" w:tplc="62ACD424">
      <w:start w:val="1"/>
      <w:numFmt w:val="decimal"/>
      <w:lvlText w:val="%4)"/>
      <w:lvlJc w:val="left"/>
      <w:pPr>
        <w:ind w:left="1020" w:hanging="360"/>
      </w:pPr>
    </w:lvl>
    <w:lvl w:ilvl="4" w:tplc="0D189CC6">
      <w:start w:val="1"/>
      <w:numFmt w:val="decimal"/>
      <w:lvlText w:val="%5)"/>
      <w:lvlJc w:val="left"/>
      <w:pPr>
        <w:ind w:left="1020" w:hanging="360"/>
      </w:pPr>
    </w:lvl>
    <w:lvl w:ilvl="5" w:tplc="D9D8F2BA">
      <w:start w:val="1"/>
      <w:numFmt w:val="decimal"/>
      <w:lvlText w:val="%6)"/>
      <w:lvlJc w:val="left"/>
      <w:pPr>
        <w:ind w:left="1020" w:hanging="360"/>
      </w:pPr>
    </w:lvl>
    <w:lvl w:ilvl="6" w:tplc="53961CC4">
      <w:start w:val="1"/>
      <w:numFmt w:val="decimal"/>
      <w:lvlText w:val="%7)"/>
      <w:lvlJc w:val="left"/>
      <w:pPr>
        <w:ind w:left="1020" w:hanging="360"/>
      </w:pPr>
    </w:lvl>
    <w:lvl w:ilvl="7" w:tplc="DF52073A">
      <w:start w:val="1"/>
      <w:numFmt w:val="decimal"/>
      <w:lvlText w:val="%8)"/>
      <w:lvlJc w:val="left"/>
      <w:pPr>
        <w:ind w:left="1020" w:hanging="360"/>
      </w:pPr>
    </w:lvl>
    <w:lvl w:ilvl="8" w:tplc="AAB2015A">
      <w:start w:val="1"/>
      <w:numFmt w:val="decimal"/>
      <w:lvlText w:val="%9)"/>
      <w:lvlJc w:val="left"/>
      <w:pPr>
        <w:ind w:left="1020" w:hanging="360"/>
      </w:pPr>
    </w:lvl>
  </w:abstractNum>
  <w:abstractNum w:abstractNumId="11" w15:restartNumberingAfterBreak="0">
    <w:nsid w:val="5B8674DD"/>
    <w:multiLevelType w:val="hybridMultilevel"/>
    <w:tmpl w:val="3622422C"/>
    <w:lvl w:ilvl="0" w:tplc="172A2642">
      <w:start w:val="1"/>
      <w:numFmt w:val="bullet"/>
      <w:lvlText w:val=""/>
      <w:lvlJc w:val="left"/>
      <w:pPr>
        <w:ind w:left="1440" w:hanging="360"/>
      </w:pPr>
      <w:rPr>
        <w:rFonts w:ascii="Symbol" w:hAnsi="Symbol"/>
      </w:rPr>
    </w:lvl>
    <w:lvl w:ilvl="1" w:tplc="2584988E">
      <w:start w:val="1"/>
      <w:numFmt w:val="bullet"/>
      <w:lvlText w:val=""/>
      <w:lvlJc w:val="left"/>
      <w:pPr>
        <w:ind w:left="1440" w:hanging="360"/>
      </w:pPr>
      <w:rPr>
        <w:rFonts w:ascii="Symbol" w:hAnsi="Symbol"/>
      </w:rPr>
    </w:lvl>
    <w:lvl w:ilvl="2" w:tplc="2EACE4C2">
      <w:start w:val="1"/>
      <w:numFmt w:val="bullet"/>
      <w:lvlText w:val=""/>
      <w:lvlJc w:val="left"/>
      <w:pPr>
        <w:ind w:left="1440" w:hanging="360"/>
      </w:pPr>
      <w:rPr>
        <w:rFonts w:ascii="Symbol" w:hAnsi="Symbol"/>
      </w:rPr>
    </w:lvl>
    <w:lvl w:ilvl="3" w:tplc="96FCEC0A">
      <w:start w:val="1"/>
      <w:numFmt w:val="bullet"/>
      <w:lvlText w:val=""/>
      <w:lvlJc w:val="left"/>
      <w:pPr>
        <w:ind w:left="1440" w:hanging="360"/>
      </w:pPr>
      <w:rPr>
        <w:rFonts w:ascii="Symbol" w:hAnsi="Symbol"/>
      </w:rPr>
    </w:lvl>
    <w:lvl w:ilvl="4" w:tplc="F61AD9F8">
      <w:start w:val="1"/>
      <w:numFmt w:val="bullet"/>
      <w:lvlText w:val=""/>
      <w:lvlJc w:val="left"/>
      <w:pPr>
        <w:ind w:left="1440" w:hanging="360"/>
      </w:pPr>
      <w:rPr>
        <w:rFonts w:ascii="Symbol" w:hAnsi="Symbol"/>
      </w:rPr>
    </w:lvl>
    <w:lvl w:ilvl="5" w:tplc="844488D8">
      <w:start w:val="1"/>
      <w:numFmt w:val="bullet"/>
      <w:lvlText w:val=""/>
      <w:lvlJc w:val="left"/>
      <w:pPr>
        <w:ind w:left="1440" w:hanging="360"/>
      </w:pPr>
      <w:rPr>
        <w:rFonts w:ascii="Symbol" w:hAnsi="Symbol"/>
      </w:rPr>
    </w:lvl>
    <w:lvl w:ilvl="6" w:tplc="5EAC782A">
      <w:start w:val="1"/>
      <w:numFmt w:val="bullet"/>
      <w:lvlText w:val=""/>
      <w:lvlJc w:val="left"/>
      <w:pPr>
        <w:ind w:left="1440" w:hanging="360"/>
      </w:pPr>
      <w:rPr>
        <w:rFonts w:ascii="Symbol" w:hAnsi="Symbol"/>
      </w:rPr>
    </w:lvl>
    <w:lvl w:ilvl="7" w:tplc="65446C62">
      <w:start w:val="1"/>
      <w:numFmt w:val="bullet"/>
      <w:lvlText w:val=""/>
      <w:lvlJc w:val="left"/>
      <w:pPr>
        <w:ind w:left="1440" w:hanging="360"/>
      </w:pPr>
      <w:rPr>
        <w:rFonts w:ascii="Symbol" w:hAnsi="Symbol"/>
      </w:rPr>
    </w:lvl>
    <w:lvl w:ilvl="8" w:tplc="868E8930">
      <w:start w:val="1"/>
      <w:numFmt w:val="bullet"/>
      <w:lvlText w:val=""/>
      <w:lvlJc w:val="left"/>
      <w:pPr>
        <w:ind w:left="1440" w:hanging="360"/>
      </w:pPr>
      <w:rPr>
        <w:rFonts w:ascii="Symbol" w:hAnsi="Symbol"/>
      </w:rPr>
    </w:lvl>
  </w:abstractNum>
  <w:abstractNum w:abstractNumId="12" w15:restartNumberingAfterBreak="0">
    <w:nsid w:val="62300863"/>
    <w:multiLevelType w:val="hybridMultilevel"/>
    <w:tmpl w:val="DF50A216"/>
    <w:lvl w:ilvl="0" w:tplc="929847B4">
      <w:start w:val="1"/>
      <w:numFmt w:val="bullet"/>
      <w:lvlText w:val=""/>
      <w:lvlJc w:val="left"/>
      <w:pPr>
        <w:ind w:left="720" w:hanging="360"/>
      </w:pPr>
      <w:rPr>
        <w:rFonts w:ascii="Symbol" w:hAnsi="Symbol" w:hint="default"/>
      </w:rPr>
    </w:lvl>
    <w:lvl w:ilvl="1" w:tplc="45682006" w:tentative="1">
      <w:start w:val="1"/>
      <w:numFmt w:val="bullet"/>
      <w:lvlText w:val="o"/>
      <w:lvlJc w:val="left"/>
      <w:pPr>
        <w:ind w:left="1440" w:hanging="360"/>
      </w:pPr>
      <w:rPr>
        <w:rFonts w:ascii="Courier New" w:hAnsi="Courier New" w:cs="Courier New" w:hint="default"/>
      </w:rPr>
    </w:lvl>
    <w:lvl w:ilvl="2" w:tplc="E5323AB4" w:tentative="1">
      <w:start w:val="1"/>
      <w:numFmt w:val="bullet"/>
      <w:lvlText w:val=""/>
      <w:lvlJc w:val="left"/>
      <w:pPr>
        <w:ind w:left="2160" w:hanging="360"/>
      </w:pPr>
      <w:rPr>
        <w:rFonts w:ascii="Wingdings" w:hAnsi="Wingdings" w:hint="default"/>
      </w:rPr>
    </w:lvl>
    <w:lvl w:ilvl="3" w:tplc="60701CB0" w:tentative="1">
      <w:start w:val="1"/>
      <w:numFmt w:val="bullet"/>
      <w:lvlText w:val=""/>
      <w:lvlJc w:val="left"/>
      <w:pPr>
        <w:ind w:left="2880" w:hanging="360"/>
      </w:pPr>
      <w:rPr>
        <w:rFonts w:ascii="Symbol" w:hAnsi="Symbol" w:hint="default"/>
      </w:rPr>
    </w:lvl>
    <w:lvl w:ilvl="4" w:tplc="12D02DA2" w:tentative="1">
      <w:start w:val="1"/>
      <w:numFmt w:val="bullet"/>
      <w:lvlText w:val="o"/>
      <w:lvlJc w:val="left"/>
      <w:pPr>
        <w:ind w:left="3600" w:hanging="360"/>
      </w:pPr>
      <w:rPr>
        <w:rFonts w:ascii="Courier New" w:hAnsi="Courier New" w:cs="Courier New" w:hint="default"/>
      </w:rPr>
    </w:lvl>
    <w:lvl w:ilvl="5" w:tplc="EDFA43F6" w:tentative="1">
      <w:start w:val="1"/>
      <w:numFmt w:val="bullet"/>
      <w:lvlText w:val=""/>
      <w:lvlJc w:val="left"/>
      <w:pPr>
        <w:ind w:left="4320" w:hanging="360"/>
      </w:pPr>
      <w:rPr>
        <w:rFonts w:ascii="Wingdings" w:hAnsi="Wingdings" w:hint="default"/>
      </w:rPr>
    </w:lvl>
    <w:lvl w:ilvl="6" w:tplc="84B23036" w:tentative="1">
      <w:start w:val="1"/>
      <w:numFmt w:val="bullet"/>
      <w:lvlText w:val=""/>
      <w:lvlJc w:val="left"/>
      <w:pPr>
        <w:ind w:left="5040" w:hanging="360"/>
      </w:pPr>
      <w:rPr>
        <w:rFonts w:ascii="Symbol" w:hAnsi="Symbol" w:hint="default"/>
      </w:rPr>
    </w:lvl>
    <w:lvl w:ilvl="7" w:tplc="0568AC98" w:tentative="1">
      <w:start w:val="1"/>
      <w:numFmt w:val="bullet"/>
      <w:lvlText w:val="o"/>
      <w:lvlJc w:val="left"/>
      <w:pPr>
        <w:ind w:left="5760" w:hanging="360"/>
      </w:pPr>
      <w:rPr>
        <w:rFonts w:ascii="Courier New" w:hAnsi="Courier New" w:cs="Courier New" w:hint="default"/>
      </w:rPr>
    </w:lvl>
    <w:lvl w:ilvl="8" w:tplc="B4E08558" w:tentative="1">
      <w:start w:val="1"/>
      <w:numFmt w:val="bullet"/>
      <w:lvlText w:val=""/>
      <w:lvlJc w:val="left"/>
      <w:pPr>
        <w:ind w:left="6480" w:hanging="360"/>
      </w:pPr>
      <w:rPr>
        <w:rFonts w:ascii="Wingdings" w:hAnsi="Wingdings" w:hint="default"/>
      </w:rPr>
    </w:lvl>
  </w:abstractNum>
  <w:abstractNum w:abstractNumId="13" w15:restartNumberingAfterBreak="0">
    <w:nsid w:val="687A645A"/>
    <w:multiLevelType w:val="hybridMultilevel"/>
    <w:tmpl w:val="73DC3596"/>
    <w:lvl w:ilvl="0" w:tplc="10AC18FC">
      <w:start w:val="1"/>
      <w:numFmt w:val="bullet"/>
      <w:lvlText w:val=""/>
      <w:lvlJc w:val="left"/>
      <w:pPr>
        <w:ind w:left="720" w:hanging="360"/>
      </w:pPr>
      <w:rPr>
        <w:rFonts w:ascii="Symbol" w:hAnsi="Symbol" w:hint="default"/>
      </w:rPr>
    </w:lvl>
    <w:lvl w:ilvl="1" w:tplc="F49478F0" w:tentative="1">
      <w:start w:val="1"/>
      <w:numFmt w:val="bullet"/>
      <w:lvlText w:val="o"/>
      <w:lvlJc w:val="left"/>
      <w:pPr>
        <w:ind w:left="1440" w:hanging="360"/>
      </w:pPr>
      <w:rPr>
        <w:rFonts w:ascii="Courier New" w:hAnsi="Courier New" w:cs="Courier New" w:hint="default"/>
      </w:rPr>
    </w:lvl>
    <w:lvl w:ilvl="2" w:tplc="35DC8BDC" w:tentative="1">
      <w:start w:val="1"/>
      <w:numFmt w:val="bullet"/>
      <w:lvlText w:val=""/>
      <w:lvlJc w:val="left"/>
      <w:pPr>
        <w:ind w:left="2160" w:hanging="360"/>
      </w:pPr>
      <w:rPr>
        <w:rFonts w:ascii="Wingdings" w:hAnsi="Wingdings" w:hint="default"/>
      </w:rPr>
    </w:lvl>
    <w:lvl w:ilvl="3" w:tplc="DADEFDE4" w:tentative="1">
      <w:start w:val="1"/>
      <w:numFmt w:val="bullet"/>
      <w:lvlText w:val=""/>
      <w:lvlJc w:val="left"/>
      <w:pPr>
        <w:ind w:left="2880" w:hanging="360"/>
      </w:pPr>
      <w:rPr>
        <w:rFonts w:ascii="Symbol" w:hAnsi="Symbol" w:hint="default"/>
      </w:rPr>
    </w:lvl>
    <w:lvl w:ilvl="4" w:tplc="DB747604" w:tentative="1">
      <w:start w:val="1"/>
      <w:numFmt w:val="bullet"/>
      <w:lvlText w:val="o"/>
      <w:lvlJc w:val="left"/>
      <w:pPr>
        <w:ind w:left="3600" w:hanging="360"/>
      </w:pPr>
      <w:rPr>
        <w:rFonts w:ascii="Courier New" w:hAnsi="Courier New" w:cs="Courier New" w:hint="default"/>
      </w:rPr>
    </w:lvl>
    <w:lvl w:ilvl="5" w:tplc="E5441650" w:tentative="1">
      <w:start w:val="1"/>
      <w:numFmt w:val="bullet"/>
      <w:lvlText w:val=""/>
      <w:lvlJc w:val="left"/>
      <w:pPr>
        <w:ind w:left="4320" w:hanging="360"/>
      </w:pPr>
      <w:rPr>
        <w:rFonts w:ascii="Wingdings" w:hAnsi="Wingdings" w:hint="default"/>
      </w:rPr>
    </w:lvl>
    <w:lvl w:ilvl="6" w:tplc="666E0CA0" w:tentative="1">
      <w:start w:val="1"/>
      <w:numFmt w:val="bullet"/>
      <w:lvlText w:val=""/>
      <w:lvlJc w:val="left"/>
      <w:pPr>
        <w:ind w:left="5040" w:hanging="360"/>
      </w:pPr>
      <w:rPr>
        <w:rFonts w:ascii="Symbol" w:hAnsi="Symbol" w:hint="default"/>
      </w:rPr>
    </w:lvl>
    <w:lvl w:ilvl="7" w:tplc="B6C2B55C" w:tentative="1">
      <w:start w:val="1"/>
      <w:numFmt w:val="bullet"/>
      <w:lvlText w:val="o"/>
      <w:lvlJc w:val="left"/>
      <w:pPr>
        <w:ind w:left="5760" w:hanging="360"/>
      </w:pPr>
      <w:rPr>
        <w:rFonts w:ascii="Courier New" w:hAnsi="Courier New" w:cs="Courier New" w:hint="default"/>
      </w:rPr>
    </w:lvl>
    <w:lvl w:ilvl="8" w:tplc="FBC08858" w:tentative="1">
      <w:start w:val="1"/>
      <w:numFmt w:val="bullet"/>
      <w:lvlText w:val=""/>
      <w:lvlJc w:val="left"/>
      <w:pPr>
        <w:ind w:left="6480" w:hanging="360"/>
      </w:pPr>
      <w:rPr>
        <w:rFonts w:ascii="Wingdings" w:hAnsi="Wingdings" w:hint="default"/>
      </w:rPr>
    </w:lvl>
  </w:abstractNum>
  <w:abstractNum w:abstractNumId="14" w15:restartNumberingAfterBreak="0">
    <w:nsid w:val="750169C2"/>
    <w:multiLevelType w:val="hybridMultilevel"/>
    <w:tmpl w:val="45FEAA68"/>
    <w:lvl w:ilvl="0" w:tplc="0318EEF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5" w15:restartNumberingAfterBreak="0">
    <w:nsid w:val="7A3B00D9"/>
    <w:multiLevelType w:val="hybridMultilevel"/>
    <w:tmpl w:val="688A038E"/>
    <w:lvl w:ilvl="0" w:tplc="8DDA901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894661272">
    <w:abstractNumId w:val="3"/>
  </w:num>
  <w:num w:numId="2" w16cid:durableId="1682269613">
    <w:abstractNumId w:val="13"/>
  </w:num>
  <w:num w:numId="3" w16cid:durableId="1164736869">
    <w:abstractNumId w:val="12"/>
  </w:num>
  <w:num w:numId="4" w16cid:durableId="1654748394">
    <w:abstractNumId w:val="2"/>
  </w:num>
  <w:num w:numId="5" w16cid:durableId="363099752">
    <w:abstractNumId w:val="5"/>
  </w:num>
  <w:num w:numId="6" w16cid:durableId="1327397237">
    <w:abstractNumId w:val="15"/>
  </w:num>
  <w:num w:numId="7" w16cid:durableId="384834944">
    <w:abstractNumId w:val="14"/>
  </w:num>
  <w:num w:numId="8" w16cid:durableId="746418676">
    <w:abstractNumId w:val="10"/>
  </w:num>
  <w:num w:numId="9" w16cid:durableId="1901551838">
    <w:abstractNumId w:val="1"/>
  </w:num>
  <w:num w:numId="10" w16cid:durableId="1316907781">
    <w:abstractNumId w:val="7"/>
  </w:num>
  <w:num w:numId="11" w16cid:durableId="1090658012">
    <w:abstractNumId w:val="8"/>
  </w:num>
  <w:num w:numId="12" w16cid:durableId="268509668">
    <w:abstractNumId w:val="4"/>
  </w:num>
  <w:num w:numId="13" w16cid:durableId="1214539921">
    <w:abstractNumId w:val="9"/>
  </w:num>
  <w:num w:numId="14" w16cid:durableId="1126124746">
    <w:abstractNumId w:val="6"/>
  </w:num>
  <w:num w:numId="15" w16cid:durableId="863324847">
    <w:abstractNumId w:val="11"/>
  </w:num>
  <w:num w:numId="16" w16cid:durableId="136918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47B9"/>
    <w:rsid w:val="00005826"/>
    <w:rsid w:val="0000703B"/>
    <w:rsid w:val="00011725"/>
    <w:rsid w:val="000130D9"/>
    <w:rsid w:val="0001435A"/>
    <w:rsid w:val="00016AE0"/>
    <w:rsid w:val="00021979"/>
    <w:rsid w:val="00051AB1"/>
    <w:rsid w:val="00054588"/>
    <w:rsid w:val="00064A0A"/>
    <w:rsid w:val="00082D35"/>
    <w:rsid w:val="00084587"/>
    <w:rsid w:val="000908A4"/>
    <w:rsid w:val="000A6BCF"/>
    <w:rsid w:val="000B4648"/>
    <w:rsid w:val="000B63A9"/>
    <w:rsid w:val="000C1D50"/>
    <w:rsid w:val="000C5EA4"/>
    <w:rsid w:val="000E1655"/>
    <w:rsid w:val="000F0E2C"/>
    <w:rsid w:val="000F1E8A"/>
    <w:rsid w:val="000F521E"/>
    <w:rsid w:val="00101F83"/>
    <w:rsid w:val="0010455C"/>
    <w:rsid w:val="0010771B"/>
    <w:rsid w:val="00114C6A"/>
    <w:rsid w:val="00121248"/>
    <w:rsid w:val="00124C88"/>
    <w:rsid w:val="0012761E"/>
    <w:rsid w:val="00130A0F"/>
    <w:rsid w:val="001464FB"/>
    <w:rsid w:val="0017037E"/>
    <w:rsid w:val="00175101"/>
    <w:rsid w:val="00184B30"/>
    <w:rsid w:val="00184E63"/>
    <w:rsid w:val="00192968"/>
    <w:rsid w:val="001935DB"/>
    <w:rsid w:val="00193A77"/>
    <w:rsid w:val="001979E5"/>
    <w:rsid w:val="001B0BCB"/>
    <w:rsid w:val="001C0D77"/>
    <w:rsid w:val="001C20F2"/>
    <w:rsid w:val="001D1B45"/>
    <w:rsid w:val="001D4C3F"/>
    <w:rsid w:val="001E269C"/>
    <w:rsid w:val="001E3D8A"/>
    <w:rsid w:val="001F65F3"/>
    <w:rsid w:val="00203AD7"/>
    <w:rsid w:val="00211893"/>
    <w:rsid w:val="00213C5B"/>
    <w:rsid w:val="002223B9"/>
    <w:rsid w:val="00222440"/>
    <w:rsid w:val="00223FC8"/>
    <w:rsid w:val="00226B21"/>
    <w:rsid w:val="00230837"/>
    <w:rsid w:val="00230EFD"/>
    <w:rsid w:val="00233041"/>
    <w:rsid w:val="0024006D"/>
    <w:rsid w:val="00241BD3"/>
    <w:rsid w:val="00245C73"/>
    <w:rsid w:val="00253799"/>
    <w:rsid w:val="00254E54"/>
    <w:rsid w:val="00256F90"/>
    <w:rsid w:val="00261933"/>
    <w:rsid w:val="00261FFD"/>
    <w:rsid w:val="00262958"/>
    <w:rsid w:val="0026300D"/>
    <w:rsid w:val="00281D3B"/>
    <w:rsid w:val="002826A6"/>
    <w:rsid w:val="00283F5A"/>
    <w:rsid w:val="00293479"/>
    <w:rsid w:val="00297ED6"/>
    <w:rsid w:val="002A21EB"/>
    <w:rsid w:val="002B5820"/>
    <w:rsid w:val="002C0F62"/>
    <w:rsid w:val="002C31A0"/>
    <w:rsid w:val="002D21C3"/>
    <w:rsid w:val="002D7DD0"/>
    <w:rsid w:val="002E005C"/>
    <w:rsid w:val="002E0F39"/>
    <w:rsid w:val="002E1693"/>
    <w:rsid w:val="002E25CD"/>
    <w:rsid w:val="002F01F2"/>
    <w:rsid w:val="002F0FAE"/>
    <w:rsid w:val="002F43EF"/>
    <w:rsid w:val="002F7BA1"/>
    <w:rsid w:val="003006A8"/>
    <w:rsid w:val="00312559"/>
    <w:rsid w:val="00316A2B"/>
    <w:rsid w:val="00325C40"/>
    <w:rsid w:val="00326F27"/>
    <w:rsid w:val="00334493"/>
    <w:rsid w:val="00334ACA"/>
    <w:rsid w:val="003371F3"/>
    <w:rsid w:val="00364E3C"/>
    <w:rsid w:val="003679DB"/>
    <w:rsid w:val="003708F3"/>
    <w:rsid w:val="00375D84"/>
    <w:rsid w:val="00380A02"/>
    <w:rsid w:val="00380BBC"/>
    <w:rsid w:val="00390344"/>
    <w:rsid w:val="00390F8D"/>
    <w:rsid w:val="003A7160"/>
    <w:rsid w:val="003C113C"/>
    <w:rsid w:val="003C3092"/>
    <w:rsid w:val="003C6131"/>
    <w:rsid w:val="003C7458"/>
    <w:rsid w:val="003D5287"/>
    <w:rsid w:val="003E77F1"/>
    <w:rsid w:val="003F0A3A"/>
    <w:rsid w:val="003F66B3"/>
    <w:rsid w:val="00406E18"/>
    <w:rsid w:val="00411858"/>
    <w:rsid w:val="00422A3F"/>
    <w:rsid w:val="00427801"/>
    <w:rsid w:val="00431301"/>
    <w:rsid w:val="00431F9E"/>
    <w:rsid w:val="00433886"/>
    <w:rsid w:val="00435AF5"/>
    <w:rsid w:val="00437436"/>
    <w:rsid w:val="0044765E"/>
    <w:rsid w:val="004668E9"/>
    <w:rsid w:val="00467455"/>
    <w:rsid w:val="00467931"/>
    <w:rsid w:val="004700B9"/>
    <w:rsid w:val="00471B4F"/>
    <w:rsid w:val="004808B6"/>
    <w:rsid w:val="00480C7C"/>
    <w:rsid w:val="00480DCF"/>
    <w:rsid w:val="004850C8"/>
    <w:rsid w:val="00491894"/>
    <w:rsid w:val="00491AC0"/>
    <w:rsid w:val="004A3AC9"/>
    <w:rsid w:val="004A4917"/>
    <w:rsid w:val="004B0D56"/>
    <w:rsid w:val="004B3B1E"/>
    <w:rsid w:val="004C2260"/>
    <w:rsid w:val="004F1162"/>
    <w:rsid w:val="004F5801"/>
    <w:rsid w:val="005134AD"/>
    <w:rsid w:val="005153EB"/>
    <w:rsid w:val="005176A5"/>
    <w:rsid w:val="00517728"/>
    <w:rsid w:val="005224F2"/>
    <w:rsid w:val="00535006"/>
    <w:rsid w:val="00564020"/>
    <w:rsid w:val="005730AB"/>
    <w:rsid w:val="0057409C"/>
    <w:rsid w:val="0058439F"/>
    <w:rsid w:val="005848B0"/>
    <w:rsid w:val="00590385"/>
    <w:rsid w:val="0059298E"/>
    <w:rsid w:val="00594B5B"/>
    <w:rsid w:val="005A0867"/>
    <w:rsid w:val="005A2FE0"/>
    <w:rsid w:val="005B40B4"/>
    <w:rsid w:val="005E285C"/>
    <w:rsid w:val="005E6F1E"/>
    <w:rsid w:val="005F22EB"/>
    <w:rsid w:val="005F5A5F"/>
    <w:rsid w:val="00601EFF"/>
    <w:rsid w:val="00613B0A"/>
    <w:rsid w:val="00617559"/>
    <w:rsid w:val="00623C0C"/>
    <w:rsid w:val="006352F8"/>
    <w:rsid w:val="006371FE"/>
    <w:rsid w:val="00637D1D"/>
    <w:rsid w:val="00644669"/>
    <w:rsid w:val="00645CD6"/>
    <w:rsid w:val="006631D7"/>
    <w:rsid w:val="00673C59"/>
    <w:rsid w:val="006773C2"/>
    <w:rsid w:val="00686366"/>
    <w:rsid w:val="006A23CE"/>
    <w:rsid w:val="006A4098"/>
    <w:rsid w:val="006A5D19"/>
    <w:rsid w:val="006B2AC6"/>
    <w:rsid w:val="006C0B09"/>
    <w:rsid w:val="006D2CFF"/>
    <w:rsid w:val="006D3935"/>
    <w:rsid w:val="006E56C6"/>
    <w:rsid w:val="006E78E0"/>
    <w:rsid w:val="006F5950"/>
    <w:rsid w:val="006F607C"/>
    <w:rsid w:val="0070251F"/>
    <w:rsid w:val="00704A0D"/>
    <w:rsid w:val="007214C8"/>
    <w:rsid w:val="007236E1"/>
    <w:rsid w:val="00725232"/>
    <w:rsid w:val="007438F4"/>
    <w:rsid w:val="00775AEA"/>
    <w:rsid w:val="007947BB"/>
    <w:rsid w:val="007A366D"/>
    <w:rsid w:val="007A74EB"/>
    <w:rsid w:val="007A7D13"/>
    <w:rsid w:val="007B76D6"/>
    <w:rsid w:val="007D19D9"/>
    <w:rsid w:val="007D20C5"/>
    <w:rsid w:val="007D3745"/>
    <w:rsid w:val="007F5ECF"/>
    <w:rsid w:val="007F6D48"/>
    <w:rsid w:val="0080056F"/>
    <w:rsid w:val="008025F9"/>
    <w:rsid w:val="00804382"/>
    <w:rsid w:val="00807CA7"/>
    <w:rsid w:val="008112F5"/>
    <w:rsid w:val="00815943"/>
    <w:rsid w:val="00820B42"/>
    <w:rsid w:val="008233F5"/>
    <w:rsid w:val="00823410"/>
    <w:rsid w:val="008417A4"/>
    <w:rsid w:val="00841A93"/>
    <w:rsid w:val="008427C2"/>
    <w:rsid w:val="00861D8E"/>
    <w:rsid w:val="00867187"/>
    <w:rsid w:val="00867BB2"/>
    <w:rsid w:val="00875D6C"/>
    <w:rsid w:val="00877731"/>
    <w:rsid w:val="00896C4A"/>
    <w:rsid w:val="008A2288"/>
    <w:rsid w:val="008B21BB"/>
    <w:rsid w:val="008C20DD"/>
    <w:rsid w:val="008D768F"/>
    <w:rsid w:val="008E760E"/>
    <w:rsid w:val="008F7D6D"/>
    <w:rsid w:val="009070F7"/>
    <w:rsid w:val="00923AC2"/>
    <w:rsid w:val="0092730F"/>
    <w:rsid w:val="009429CC"/>
    <w:rsid w:val="009450AE"/>
    <w:rsid w:val="00947E78"/>
    <w:rsid w:val="0095395B"/>
    <w:rsid w:val="00956CE1"/>
    <w:rsid w:val="009905D8"/>
    <w:rsid w:val="0099482E"/>
    <w:rsid w:val="009B69A8"/>
    <w:rsid w:val="009C1CCE"/>
    <w:rsid w:val="009C2919"/>
    <w:rsid w:val="009C3A54"/>
    <w:rsid w:val="009C50AC"/>
    <w:rsid w:val="009C7B25"/>
    <w:rsid w:val="009D24D4"/>
    <w:rsid w:val="009D2619"/>
    <w:rsid w:val="009D57FD"/>
    <w:rsid w:val="009E02CE"/>
    <w:rsid w:val="00A03FA3"/>
    <w:rsid w:val="00A056D2"/>
    <w:rsid w:val="00A10104"/>
    <w:rsid w:val="00A13238"/>
    <w:rsid w:val="00A21AA4"/>
    <w:rsid w:val="00A21D78"/>
    <w:rsid w:val="00A349E0"/>
    <w:rsid w:val="00A558A3"/>
    <w:rsid w:val="00A60B58"/>
    <w:rsid w:val="00A8029C"/>
    <w:rsid w:val="00A91462"/>
    <w:rsid w:val="00AA1F71"/>
    <w:rsid w:val="00AA427B"/>
    <w:rsid w:val="00AA6A0D"/>
    <w:rsid w:val="00AB190A"/>
    <w:rsid w:val="00AB7922"/>
    <w:rsid w:val="00AD4580"/>
    <w:rsid w:val="00AE261A"/>
    <w:rsid w:val="00AF49D1"/>
    <w:rsid w:val="00B02405"/>
    <w:rsid w:val="00B05D2F"/>
    <w:rsid w:val="00B148C8"/>
    <w:rsid w:val="00B177B0"/>
    <w:rsid w:val="00B25E3D"/>
    <w:rsid w:val="00B33D35"/>
    <w:rsid w:val="00B41ACE"/>
    <w:rsid w:val="00B426F0"/>
    <w:rsid w:val="00B5163D"/>
    <w:rsid w:val="00B52B7B"/>
    <w:rsid w:val="00B53AA1"/>
    <w:rsid w:val="00B5739D"/>
    <w:rsid w:val="00B577EE"/>
    <w:rsid w:val="00B665E2"/>
    <w:rsid w:val="00B67DBE"/>
    <w:rsid w:val="00B72043"/>
    <w:rsid w:val="00B808EB"/>
    <w:rsid w:val="00B8105C"/>
    <w:rsid w:val="00B81684"/>
    <w:rsid w:val="00B951C0"/>
    <w:rsid w:val="00B97AA5"/>
    <w:rsid w:val="00BA4446"/>
    <w:rsid w:val="00BB6338"/>
    <w:rsid w:val="00BC2FC4"/>
    <w:rsid w:val="00BC42D1"/>
    <w:rsid w:val="00BC6266"/>
    <w:rsid w:val="00BD5271"/>
    <w:rsid w:val="00BD5302"/>
    <w:rsid w:val="00BE6A58"/>
    <w:rsid w:val="00BE74AF"/>
    <w:rsid w:val="00BF4411"/>
    <w:rsid w:val="00BF7B00"/>
    <w:rsid w:val="00C013D3"/>
    <w:rsid w:val="00C10501"/>
    <w:rsid w:val="00C106A2"/>
    <w:rsid w:val="00C13BB4"/>
    <w:rsid w:val="00C14129"/>
    <w:rsid w:val="00C24A0A"/>
    <w:rsid w:val="00C24CD1"/>
    <w:rsid w:val="00C270A7"/>
    <w:rsid w:val="00C35BF5"/>
    <w:rsid w:val="00C37418"/>
    <w:rsid w:val="00C71655"/>
    <w:rsid w:val="00C74E8D"/>
    <w:rsid w:val="00C8220D"/>
    <w:rsid w:val="00C83AB9"/>
    <w:rsid w:val="00C96D80"/>
    <w:rsid w:val="00C97304"/>
    <w:rsid w:val="00CA0EC0"/>
    <w:rsid w:val="00CB7187"/>
    <w:rsid w:val="00CB7322"/>
    <w:rsid w:val="00CC0B46"/>
    <w:rsid w:val="00CC0B77"/>
    <w:rsid w:val="00CD2342"/>
    <w:rsid w:val="00CE5896"/>
    <w:rsid w:val="00CF231A"/>
    <w:rsid w:val="00CF69E9"/>
    <w:rsid w:val="00D02CD1"/>
    <w:rsid w:val="00D0799D"/>
    <w:rsid w:val="00D1267A"/>
    <w:rsid w:val="00D23338"/>
    <w:rsid w:val="00D35C9A"/>
    <w:rsid w:val="00D54A24"/>
    <w:rsid w:val="00D55FA0"/>
    <w:rsid w:val="00D61E24"/>
    <w:rsid w:val="00D862C4"/>
    <w:rsid w:val="00D92E4F"/>
    <w:rsid w:val="00DA2DCD"/>
    <w:rsid w:val="00DA3802"/>
    <w:rsid w:val="00DA458A"/>
    <w:rsid w:val="00DA785D"/>
    <w:rsid w:val="00DC2734"/>
    <w:rsid w:val="00DD4903"/>
    <w:rsid w:val="00DE09FE"/>
    <w:rsid w:val="00DE0E0A"/>
    <w:rsid w:val="00DE3306"/>
    <w:rsid w:val="00DF3021"/>
    <w:rsid w:val="00E043B8"/>
    <w:rsid w:val="00E06CD8"/>
    <w:rsid w:val="00E107AA"/>
    <w:rsid w:val="00E163E2"/>
    <w:rsid w:val="00E24908"/>
    <w:rsid w:val="00E31F5A"/>
    <w:rsid w:val="00E441B6"/>
    <w:rsid w:val="00E47422"/>
    <w:rsid w:val="00E51C24"/>
    <w:rsid w:val="00E61F30"/>
    <w:rsid w:val="00E6328F"/>
    <w:rsid w:val="00E71EA5"/>
    <w:rsid w:val="00E77D86"/>
    <w:rsid w:val="00E914AE"/>
    <w:rsid w:val="00E920FC"/>
    <w:rsid w:val="00E9457C"/>
    <w:rsid w:val="00EA0409"/>
    <w:rsid w:val="00EA4E0D"/>
    <w:rsid w:val="00EB0375"/>
    <w:rsid w:val="00EB61D3"/>
    <w:rsid w:val="00EB7D5C"/>
    <w:rsid w:val="00ED0C38"/>
    <w:rsid w:val="00ED2C6F"/>
    <w:rsid w:val="00ED5C42"/>
    <w:rsid w:val="00ED5D7B"/>
    <w:rsid w:val="00EE1F93"/>
    <w:rsid w:val="00EF03A5"/>
    <w:rsid w:val="00EF6FE6"/>
    <w:rsid w:val="00F00E17"/>
    <w:rsid w:val="00F01557"/>
    <w:rsid w:val="00F14102"/>
    <w:rsid w:val="00F4376F"/>
    <w:rsid w:val="00F529DA"/>
    <w:rsid w:val="00F57E00"/>
    <w:rsid w:val="00F60A45"/>
    <w:rsid w:val="00F73855"/>
    <w:rsid w:val="00FA0C48"/>
    <w:rsid w:val="00FB3100"/>
    <w:rsid w:val="00FB7AD9"/>
    <w:rsid w:val="00FC5DCC"/>
    <w:rsid w:val="00FE21E9"/>
    <w:rsid w:val="00FE2716"/>
    <w:rsid w:val="00FE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16281"/>
  <w15:docId w15:val="{65678EF1-F627-419C-B9F5-6975D4F5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09FE"/>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nhideWhenUsed/>
    <w:rsid w:val="00B25E3D"/>
    <w:pPr>
      <w:tabs>
        <w:tab w:val="center" w:pos="4536"/>
        <w:tab w:val="right" w:pos="9072"/>
      </w:tabs>
    </w:pPr>
  </w:style>
  <w:style w:type="character" w:customStyle="1" w:styleId="VoettekstChar">
    <w:name w:val="Voettekst Char"/>
    <w:link w:val="Voettekst"/>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BB6338"/>
    <w:pPr>
      <w:ind w:left="720"/>
      <w:contextualSpacing/>
    </w:pPr>
    <w:rPr>
      <w:rFonts w:eastAsia="MS Mincho"/>
    </w:rPr>
  </w:style>
  <w:style w:type="character" w:styleId="Verwijzingopmerking">
    <w:name w:val="annotation reference"/>
    <w:basedOn w:val="Standaardalinea-lettertype"/>
    <w:semiHidden/>
    <w:unhideWhenUsed/>
    <w:qFormat/>
    <w:rsid w:val="00EF6FE6"/>
    <w:rPr>
      <w:sz w:val="16"/>
      <w:szCs w:val="16"/>
    </w:rPr>
  </w:style>
  <w:style w:type="paragraph" w:styleId="Tekstopmerking">
    <w:name w:val="annotation text"/>
    <w:basedOn w:val="Standaard"/>
    <w:link w:val="TekstopmerkingChar"/>
    <w:unhideWhenUsed/>
    <w:qFormat/>
    <w:rsid w:val="00EF6FE6"/>
    <w:pPr>
      <w:spacing w:line="240" w:lineRule="auto"/>
    </w:pPr>
    <w:rPr>
      <w:sz w:val="20"/>
      <w:szCs w:val="20"/>
    </w:rPr>
  </w:style>
  <w:style w:type="character" w:customStyle="1" w:styleId="TekstopmerkingChar">
    <w:name w:val="Tekst opmerking Char"/>
    <w:basedOn w:val="Standaardalinea-lettertype"/>
    <w:link w:val="Tekstopmerking"/>
    <w:qFormat/>
    <w:rsid w:val="00EF6FE6"/>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EF6FE6"/>
    <w:rPr>
      <w:b/>
      <w:bCs/>
    </w:rPr>
  </w:style>
  <w:style w:type="character" w:customStyle="1" w:styleId="OnderwerpvanopmerkingChar">
    <w:name w:val="Onderwerp van opmerking Char"/>
    <w:basedOn w:val="TekstopmerkingChar"/>
    <w:link w:val="Onderwerpvanopmerking"/>
    <w:uiPriority w:val="99"/>
    <w:semiHidden/>
    <w:rsid w:val="00EF6FE6"/>
    <w:rPr>
      <w:rFonts w:ascii="Verdana" w:hAnsi="Verdana"/>
      <w:b/>
      <w:bCs/>
      <w:lang w:val="nl-NL"/>
    </w:rPr>
  </w:style>
  <w:style w:type="paragraph" w:styleId="Revisie">
    <w:name w:val="Revision"/>
    <w:hidden/>
    <w:uiPriority w:val="99"/>
    <w:semiHidden/>
    <w:rsid w:val="001979E5"/>
    <w:rPr>
      <w:rFonts w:ascii="Verdana" w:hAnsi="Verdana"/>
      <w:sz w:val="18"/>
      <w:szCs w:val="24"/>
      <w:lang w:val="nl-NL"/>
    </w:rPr>
  </w:style>
  <w:style w:type="paragraph" w:styleId="Voetnoottekst">
    <w:name w:val="footnote text"/>
    <w:basedOn w:val="Standaard"/>
    <w:link w:val="VoetnoottekstChar"/>
    <w:uiPriority w:val="99"/>
    <w:semiHidden/>
    <w:unhideWhenUsed/>
    <w:rsid w:val="004850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850C8"/>
    <w:rPr>
      <w:rFonts w:ascii="Verdana" w:hAnsi="Verdana"/>
      <w:lang w:val="nl-NL"/>
    </w:rPr>
  </w:style>
  <w:style w:type="character" w:styleId="Voetnootmarkering">
    <w:name w:val="footnote reference"/>
    <w:uiPriority w:val="99"/>
    <w:unhideWhenUsed/>
    <w:rsid w:val="00485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14579">
      <w:bodyDiv w:val="1"/>
      <w:marLeft w:val="0"/>
      <w:marRight w:val="0"/>
      <w:marTop w:val="0"/>
      <w:marBottom w:val="0"/>
      <w:divBdr>
        <w:top w:val="none" w:sz="0" w:space="0" w:color="auto"/>
        <w:left w:val="none" w:sz="0" w:space="0" w:color="auto"/>
        <w:bottom w:val="none" w:sz="0" w:space="0" w:color="auto"/>
        <w:right w:val="none" w:sz="0" w:space="0" w:color="auto"/>
      </w:divBdr>
    </w:div>
    <w:div w:id="495148490">
      <w:bodyDiv w:val="1"/>
      <w:marLeft w:val="0"/>
      <w:marRight w:val="0"/>
      <w:marTop w:val="0"/>
      <w:marBottom w:val="0"/>
      <w:divBdr>
        <w:top w:val="none" w:sz="0" w:space="0" w:color="auto"/>
        <w:left w:val="none" w:sz="0" w:space="0" w:color="auto"/>
        <w:bottom w:val="none" w:sz="0" w:space="0" w:color="auto"/>
        <w:right w:val="none" w:sz="0" w:space="0" w:color="auto"/>
      </w:divBdr>
    </w:div>
    <w:div w:id="530463364">
      <w:bodyDiv w:val="1"/>
      <w:marLeft w:val="0"/>
      <w:marRight w:val="0"/>
      <w:marTop w:val="0"/>
      <w:marBottom w:val="0"/>
      <w:divBdr>
        <w:top w:val="none" w:sz="0" w:space="0" w:color="auto"/>
        <w:left w:val="none" w:sz="0" w:space="0" w:color="auto"/>
        <w:bottom w:val="none" w:sz="0" w:space="0" w:color="auto"/>
        <w:right w:val="none" w:sz="0" w:space="0" w:color="auto"/>
      </w:divBdr>
    </w:div>
    <w:div w:id="839925119">
      <w:bodyDiv w:val="1"/>
      <w:marLeft w:val="0"/>
      <w:marRight w:val="0"/>
      <w:marTop w:val="0"/>
      <w:marBottom w:val="0"/>
      <w:divBdr>
        <w:top w:val="none" w:sz="0" w:space="0" w:color="auto"/>
        <w:left w:val="none" w:sz="0" w:space="0" w:color="auto"/>
        <w:bottom w:val="none" w:sz="0" w:space="0" w:color="auto"/>
        <w:right w:val="none" w:sz="0" w:space="0" w:color="auto"/>
      </w:divBdr>
    </w:div>
    <w:div w:id="997424505">
      <w:bodyDiv w:val="1"/>
      <w:marLeft w:val="0"/>
      <w:marRight w:val="0"/>
      <w:marTop w:val="0"/>
      <w:marBottom w:val="0"/>
      <w:divBdr>
        <w:top w:val="none" w:sz="0" w:space="0" w:color="auto"/>
        <w:left w:val="none" w:sz="0" w:space="0" w:color="auto"/>
        <w:bottom w:val="none" w:sz="0" w:space="0" w:color="auto"/>
        <w:right w:val="none" w:sz="0" w:space="0" w:color="auto"/>
      </w:divBdr>
    </w:div>
    <w:div w:id="1108232977">
      <w:bodyDiv w:val="1"/>
      <w:marLeft w:val="0"/>
      <w:marRight w:val="0"/>
      <w:marTop w:val="0"/>
      <w:marBottom w:val="0"/>
      <w:divBdr>
        <w:top w:val="none" w:sz="0" w:space="0" w:color="auto"/>
        <w:left w:val="none" w:sz="0" w:space="0" w:color="auto"/>
        <w:bottom w:val="none" w:sz="0" w:space="0" w:color="auto"/>
        <w:right w:val="none" w:sz="0" w:space="0" w:color="auto"/>
      </w:divBdr>
    </w:div>
    <w:div w:id="1120801761">
      <w:bodyDiv w:val="1"/>
      <w:marLeft w:val="0"/>
      <w:marRight w:val="0"/>
      <w:marTop w:val="0"/>
      <w:marBottom w:val="0"/>
      <w:divBdr>
        <w:top w:val="none" w:sz="0" w:space="0" w:color="auto"/>
        <w:left w:val="none" w:sz="0" w:space="0" w:color="auto"/>
        <w:bottom w:val="none" w:sz="0" w:space="0" w:color="auto"/>
        <w:right w:val="none" w:sz="0" w:space="0" w:color="auto"/>
      </w:divBdr>
    </w:div>
    <w:div w:id="1757899684">
      <w:bodyDiv w:val="1"/>
      <w:marLeft w:val="0"/>
      <w:marRight w:val="0"/>
      <w:marTop w:val="0"/>
      <w:marBottom w:val="0"/>
      <w:divBdr>
        <w:top w:val="none" w:sz="0" w:space="0" w:color="auto"/>
        <w:left w:val="none" w:sz="0" w:space="0" w:color="auto"/>
        <w:bottom w:val="none" w:sz="0" w:space="0" w:color="auto"/>
        <w:right w:val="none" w:sz="0" w:space="0" w:color="auto"/>
      </w:divBdr>
    </w:div>
    <w:div w:id="1922635839">
      <w:bodyDiv w:val="1"/>
      <w:marLeft w:val="0"/>
      <w:marRight w:val="0"/>
      <w:marTop w:val="0"/>
      <w:marBottom w:val="0"/>
      <w:divBdr>
        <w:top w:val="none" w:sz="0" w:space="0" w:color="auto"/>
        <w:left w:val="none" w:sz="0" w:space="0" w:color="auto"/>
        <w:bottom w:val="none" w:sz="0" w:space="0" w:color="auto"/>
        <w:right w:val="none" w:sz="0" w:space="0" w:color="auto"/>
      </w:divBdr>
    </w:div>
    <w:div w:id="19394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aadvoorcultuur.nl/toegang-tot-cultuur/documenten/adviezen/2024/01/26/advies-toegang-tot-cultuur" TargetMode="External"/><Relationship Id="rId2" Type="http://schemas.openxmlformats.org/officeDocument/2006/relationships/hyperlink" Target="https://www.rijksoverheid.nl/documenten/kamerstukken/2022/10/20/toekomst-culturele-basisinfrastructuur" TargetMode="External"/><Relationship Id="rId1" Type="http://schemas.openxmlformats.org/officeDocument/2006/relationships/hyperlink" Target="https://zoek.officielebekendmakingen.nl/kst-30847-3.html" TargetMode="External"/><Relationship Id="rId6" Type="http://schemas.openxmlformats.org/officeDocument/2006/relationships/hyperlink" Target="https://www.adviescollegeregeldruk.nl/documenten/2023/11/29/handboek-meting-regeldrukkosten" TargetMode="External"/><Relationship Id="rId5" Type="http://schemas.openxmlformats.org/officeDocument/2006/relationships/hyperlink" Target="https://www.rijksoverheid.nl/documenten/kamerstukken/2022/10/20/toekomst-culturele-basisinfrastructuur" TargetMode="External"/><Relationship Id="rId4" Type="http://schemas.openxmlformats.org/officeDocument/2006/relationships/hyperlink" Target="https://www.raadvoorcultuur.nl/documenten/adviezen/2025/05/briefadvies-nieuw-cultuurbestel-vanaf-2029/briefadvies-nieuw-cultuurbestel-vanaf-2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7907</ap:Words>
  <ap:Characters>43492</ap:Characters>
  <ap:DocSecurity>4</ap:DocSecurity>
  <ap:Lines>362</ap:Lines>
  <ap:Paragraphs>102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2026-01-27T10:33:00.0000000Z</lastPrinted>
  <dcterms:created xsi:type="dcterms:W3CDTF">2026-07-09T11:49:00.0000000Z</dcterms:created>
  <dcterms:modified xsi:type="dcterms:W3CDTF">2026-07-09T11:49:00.0000000Z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O201BLA</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O201BLA</vt:lpwstr>
  </property>
  <property fmtid="{D5CDD505-2E9C-101B-9397-08002B2CF9AE}" pid="6" name="cs_objectid">
    <vt:lpwstr>64808758</vt:lpwstr>
  </property>
  <property fmtid="{D5CDD505-2E9C-101B-9397-08002B2CF9AE}" pid="7" name="ContentTypeId">
    <vt:lpwstr>0x01010038E60350FC170647B310166F2EB204D8</vt:lpwstr>
  </property>
</Properties>
</file>