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3105" w:rsidR="003A1EBC" w:rsidP="00462384" w:rsidRDefault="003A1EBC" w14:paraId="52782A68" w14:textId="77777777">
      <w:pPr>
        <w:rPr>
          <w:color w:val="auto"/>
          <w:sz w:val="20"/>
          <w:szCs w:val="20"/>
        </w:rPr>
      </w:pPr>
      <w:bookmarkStart w:name="_GoBack" w:id="0"/>
      <w:bookmarkEnd w:id="0"/>
    </w:p>
    <w:p w:rsidRPr="00C04388" w:rsidR="00525894" w:rsidP="00462384" w:rsidRDefault="00525894" w14:paraId="058AB68E" w14:textId="2DB1299B">
      <w:pPr>
        <w:rPr>
          <w:color w:val="auto"/>
        </w:rPr>
      </w:pPr>
      <w:r w:rsidRPr="00C04388">
        <w:rPr>
          <w:color w:val="auto"/>
        </w:rPr>
        <w:t>Geachte voorzitter,</w:t>
      </w:r>
    </w:p>
    <w:p w:rsidRPr="00C04388" w:rsidR="00525894" w:rsidP="00462384" w:rsidRDefault="00525894" w14:paraId="0C1321F5" w14:textId="77777777">
      <w:pPr>
        <w:rPr>
          <w:color w:val="auto"/>
        </w:rPr>
      </w:pPr>
    </w:p>
    <w:p w:rsidRPr="00C04388" w:rsidR="009C7D41" w:rsidP="00462384" w:rsidRDefault="00284245" w14:paraId="25CB8205" w14:textId="22B0B147">
      <w:r w:rsidRPr="00C04388">
        <w:rPr>
          <w:color w:val="auto"/>
        </w:rPr>
        <w:t xml:space="preserve">Met deze brief wordt </w:t>
      </w:r>
      <w:r w:rsidRPr="00C04388" w:rsidR="00AD2EA7">
        <w:rPr>
          <w:color w:val="auto"/>
        </w:rPr>
        <w:t xml:space="preserve">de Kamer </w:t>
      </w:r>
      <w:r w:rsidRPr="00C04388">
        <w:rPr>
          <w:color w:val="auto"/>
        </w:rPr>
        <w:t>geïnformeerd</w:t>
      </w:r>
      <w:r w:rsidRPr="00C04388" w:rsidR="00462384">
        <w:rPr>
          <w:color w:val="auto"/>
        </w:rPr>
        <w:t xml:space="preserve"> </w:t>
      </w:r>
      <w:r w:rsidRPr="00C04388" w:rsidR="00712A32">
        <w:rPr>
          <w:color w:val="auto"/>
        </w:rPr>
        <w:t xml:space="preserve">over </w:t>
      </w:r>
      <w:r w:rsidRPr="00C04388">
        <w:rPr>
          <w:color w:val="auto"/>
        </w:rPr>
        <w:t xml:space="preserve">de </w:t>
      </w:r>
      <w:r w:rsidRPr="00C04388" w:rsidR="00712A32">
        <w:rPr>
          <w:color w:val="auto"/>
        </w:rPr>
        <w:t>maatregelen</w:t>
      </w:r>
      <w:r w:rsidRPr="00C04388" w:rsidR="00462384">
        <w:rPr>
          <w:color w:val="auto"/>
        </w:rPr>
        <w:t xml:space="preserve"> </w:t>
      </w:r>
      <w:r w:rsidRPr="00C04388" w:rsidR="00AD2EA7">
        <w:rPr>
          <w:color w:val="auto"/>
        </w:rPr>
        <w:t>als</w:t>
      </w:r>
      <w:r w:rsidRPr="00C04388" w:rsidR="00462384">
        <w:rPr>
          <w:color w:val="auto"/>
        </w:rPr>
        <w:t xml:space="preserve"> aanpak van de problematiek rond ordeverstorende passagiers</w:t>
      </w:r>
      <w:r w:rsidRPr="00C04388" w:rsidR="004719EE">
        <w:rPr>
          <w:color w:val="auto"/>
        </w:rPr>
        <w:t xml:space="preserve"> in de luchtvaart</w:t>
      </w:r>
      <w:r w:rsidRPr="00C04388">
        <w:rPr>
          <w:color w:val="auto"/>
        </w:rPr>
        <w:t>, zoals</w:t>
      </w:r>
      <w:r w:rsidRPr="00C04388" w:rsidR="00D125F1">
        <w:rPr>
          <w:color w:val="auto"/>
        </w:rPr>
        <w:t xml:space="preserve"> toegezegd</w:t>
      </w:r>
      <w:r w:rsidRPr="00C04388" w:rsidR="00462384">
        <w:rPr>
          <w:color w:val="auto"/>
        </w:rPr>
        <w:t xml:space="preserve"> aan het voormalig lid Boutkan (PVV) tijdens het tweeminutendebat van 17 december 2024</w:t>
      </w:r>
      <w:r w:rsidRPr="00C04388" w:rsidR="00525894">
        <w:rPr>
          <w:rStyle w:val="FootnoteReference"/>
          <w:color w:val="auto"/>
        </w:rPr>
        <w:footnoteReference w:id="1"/>
      </w:r>
      <w:r w:rsidRPr="00C04388" w:rsidR="00F91987">
        <w:rPr>
          <w:color w:val="auto"/>
        </w:rPr>
        <w:t xml:space="preserve"> en in de beantwoording van het schriftelijk overleg van </w:t>
      </w:r>
      <w:r w:rsidRPr="00C04388" w:rsidR="008D73F4">
        <w:rPr>
          <w:color w:val="auto"/>
        </w:rPr>
        <w:t>19 september 2025</w:t>
      </w:r>
      <w:r w:rsidRPr="00C04388" w:rsidR="007B55DC">
        <w:rPr>
          <w:rStyle w:val="FootnoteReference"/>
          <w:color w:val="auto"/>
        </w:rPr>
        <w:footnoteReference w:id="2"/>
      </w:r>
      <w:r w:rsidRPr="00C04388" w:rsidR="000904F7">
        <w:rPr>
          <w:color w:val="auto"/>
        </w:rPr>
        <w:t xml:space="preserve">. </w:t>
      </w:r>
      <w:r w:rsidRPr="00C04388" w:rsidR="009C7D41">
        <w:rPr>
          <w:color w:val="auto"/>
        </w:rPr>
        <w:t>Met deze Kamerbrief word</w:t>
      </w:r>
      <w:r w:rsidRPr="00C04388" w:rsidR="002A3A3C">
        <w:rPr>
          <w:color w:val="auto"/>
        </w:rPr>
        <w:t>en</w:t>
      </w:r>
      <w:r w:rsidRPr="00C04388" w:rsidR="009C7D41">
        <w:rPr>
          <w:color w:val="auto"/>
        </w:rPr>
        <w:t xml:space="preserve"> deze toezegging</w:t>
      </w:r>
      <w:r w:rsidRPr="00C04388" w:rsidR="00D125F1">
        <w:rPr>
          <w:color w:val="auto"/>
        </w:rPr>
        <w:t>en</w:t>
      </w:r>
      <w:r w:rsidRPr="00C04388" w:rsidR="009C7D41">
        <w:rPr>
          <w:color w:val="auto"/>
        </w:rPr>
        <w:t xml:space="preserve"> afgedaan</w:t>
      </w:r>
      <w:r w:rsidRPr="00C04388" w:rsidR="009C7D41">
        <w:t xml:space="preserve">. </w:t>
      </w:r>
    </w:p>
    <w:p w:rsidRPr="00C04388" w:rsidR="00B14520" w:rsidP="000302CC" w:rsidRDefault="00E1031B" w14:paraId="6861D1C0" w14:textId="428A656F">
      <w:pPr>
        <w:spacing w:line="240" w:lineRule="auto"/>
        <w:rPr>
          <w:color w:val="auto"/>
        </w:rPr>
      </w:pPr>
      <w:r w:rsidRPr="00C04388">
        <w:t xml:space="preserve"> </w:t>
      </w:r>
      <w:r w:rsidRPr="00C04388" w:rsidR="00211D0C">
        <w:br/>
      </w:r>
      <w:r w:rsidRPr="00C04388" w:rsidR="000302CC">
        <w:rPr>
          <w:color w:val="auto"/>
        </w:rPr>
        <w:t xml:space="preserve">De luchtvaartsector wordt in toenemende mate geconfronteerd met ordeverstorende passagiers. </w:t>
      </w:r>
      <w:r w:rsidRPr="00C04388" w:rsidR="00B14520">
        <w:rPr>
          <w:color w:val="auto"/>
        </w:rPr>
        <w:t>H</w:t>
      </w:r>
      <w:r w:rsidRPr="00C04388" w:rsidR="00AF20DE">
        <w:rPr>
          <w:color w:val="auto"/>
        </w:rPr>
        <w:t xml:space="preserve">elaas </w:t>
      </w:r>
      <w:r w:rsidRPr="00C04388" w:rsidR="00B14520">
        <w:rPr>
          <w:color w:val="auto"/>
        </w:rPr>
        <w:t xml:space="preserve">betreft dit een </w:t>
      </w:r>
      <w:r w:rsidRPr="00C04388" w:rsidR="00AD5005">
        <w:rPr>
          <w:color w:val="auto"/>
        </w:rPr>
        <w:t>wereldwijd</w:t>
      </w:r>
      <w:r w:rsidRPr="00C04388" w:rsidR="00B14520">
        <w:rPr>
          <w:color w:val="auto"/>
        </w:rPr>
        <w:t>e trend</w:t>
      </w:r>
      <w:r w:rsidRPr="00C04388" w:rsidR="00AF20DE">
        <w:rPr>
          <w:color w:val="auto"/>
        </w:rPr>
        <w:t xml:space="preserve">. </w:t>
      </w:r>
      <w:r w:rsidRPr="00C04388" w:rsidR="00B14520">
        <w:rPr>
          <w:color w:val="auto"/>
        </w:rPr>
        <w:t>De International Civil Aviation Organization (ICAO) waarschuwt voor een aanhoudende mondiale stijging van het aantal incidenten met ordeverstorende passagiers, waarbij situaties bovendien steeds vaker escaleren tot fysieke agressie. Daarbij gaat het niet alleen om het niet opvolgen van instructies van de bemanning, maar ook om verbale intimidatie, bedreigingen, intimidatie van medepassagiers en alcoholgerelateerde incidenten. Ook het aantal gevallen van fysieke agressie tegen cabinepersoneel en passagiers neemt toe.</w:t>
      </w:r>
    </w:p>
    <w:p w:rsidRPr="00C04388" w:rsidR="00B92C8F" w:rsidP="00B92C8F" w:rsidRDefault="00D544E9" w14:paraId="23C1999F" w14:textId="77777777">
      <w:pPr>
        <w:spacing w:line="240" w:lineRule="auto"/>
        <w:rPr>
          <w:color w:val="auto"/>
        </w:rPr>
      </w:pPr>
      <w:r w:rsidRPr="00C04388">
        <w:rPr>
          <w:color w:val="auto"/>
        </w:rPr>
        <w:br/>
      </w:r>
      <w:r w:rsidRPr="00C04388" w:rsidR="000302CC">
        <w:rPr>
          <w:color w:val="auto"/>
        </w:rPr>
        <w:t xml:space="preserve">In Nederland gaat het momenteel om gemiddeld 2 à 3 incidenten per dag en 75 tot 100 per maand. De cijfers laten een zorgwekkende stijging zien: </w:t>
      </w:r>
    </w:p>
    <w:p w:rsidRPr="00C04388" w:rsidR="00293633" w:rsidP="00DC010E" w:rsidRDefault="00B92C8F" w14:paraId="41F2A75B" w14:textId="7F6B90B4">
      <w:pPr>
        <w:spacing w:line="240" w:lineRule="auto"/>
        <w:rPr>
          <w:color w:val="auto"/>
        </w:rPr>
      </w:pPr>
      <w:r w:rsidRPr="00C04388">
        <w:rPr>
          <w:color w:val="auto"/>
        </w:rPr>
        <w:t>ten opzichte van oktober 2022 was in oktober 2024 het aantal ordeverstorende passagiers bij KLM toegenomen met</w:t>
      </w:r>
      <w:r w:rsidRPr="00C04388" w:rsidR="003F0F48">
        <w:rPr>
          <w:color w:val="auto"/>
        </w:rPr>
        <w:t xml:space="preserve"> </w:t>
      </w:r>
      <w:r w:rsidRPr="00C04388">
        <w:rPr>
          <w:color w:val="auto"/>
        </w:rPr>
        <w:t>52%.</w:t>
      </w:r>
      <w:r w:rsidRPr="00C04388" w:rsidR="00717E08">
        <w:rPr>
          <w:color w:val="auto"/>
        </w:rPr>
        <w:t xml:space="preserve"> </w:t>
      </w:r>
      <w:r w:rsidRPr="00C04388" w:rsidR="00AF20DE">
        <w:rPr>
          <w:color w:val="auto"/>
        </w:rPr>
        <w:t>Bij</w:t>
      </w:r>
      <w:r w:rsidRPr="00C04388" w:rsidR="00AD5005">
        <w:rPr>
          <w:color w:val="auto"/>
        </w:rPr>
        <w:t xml:space="preserve"> </w:t>
      </w:r>
      <w:r w:rsidRPr="00C04388" w:rsidR="000302CC">
        <w:rPr>
          <w:color w:val="auto"/>
        </w:rPr>
        <w:t xml:space="preserve">Transavia </w:t>
      </w:r>
      <w:r w:rsidRPr="00C04388" w:rsidR="00AF20DE">
        <w:rPr>
          <w:color w:val="auto"/>
        </w:rPr>
        <w:t xml:space="preserve">ging het </w:t>
      </w:r>
      <w:r w:rsidRPr="00C04388" w:rsidR="003E1E89">
        <w:rPr>
          <w:color w:val="auto"/>
        </w:rPr>
        <w:t xml:space="preserve">in 2024 </w:t>
      </w:r>
      <w:r w:rsidRPr="00C04388" w:rsidR="00AF20DE">
        <w:rPr>
          <w:color w:val="auto"/>
        </w:rPr>
        <w:t xml:space="preserve">om 168% </w:t>
      </w:r>
      <w:r w:rsidRPr="00C04388" w:rsidR="000302CC">
        <w:rPr>
          <w:color w:val="auto"/>
        </w:rPr>
        <w:t xml:space="preserve">ten opzichte van 2022. </w:t>
      </w:r>
      <w:r w:rsidRPr="00C04388" w:rsidR="00DC010E">
        <w:rPr>
          <w:color w:val="auto"/>
        </w:rPr>
        <w:t xml:space="preserve">Ook het aantal strafzaken laat een duidelijke stijging zien: een toename van circa 110% in 2024 ten opzichte van 2022. Daarnaast ontvangt de ILT-Luchtvaartautoriteit steeds meer meldingen van incidenten. Het aantal meldingen in 2024 steeg met circa 27% ten opzichte van 2023. </w:t>
      </w:r>
      <w:r w:rsidRPr="00C04388" w:rsidR="00293633">
        <w:rPr>
          <w:color w:val="auto"/>
        </w:rPr>
        <w:t xml:space="preserve">De cijfers over </w:t>
      </w:r>
      <w:r w:rsidRPr="00C04388" w:rsidR="00DC010E">
        <w:rPr>
          <w:color w:val="auto"/>
        </w:rPr>
        <w:t>2025</w:t>
      </w:r>
      <w:r w:rsidRPr="00C04388" w:rsidR="00293633">
        <w:rPr>
          <w:color w:val="auto"/>
        </w:rPr>
        <w:t xml:space="preserve"> laten een stabiel</w:t>
      </w:r>
      <w:r w:rsidRPr="00C04388" w:rsidR="003E1E89">
        <w:rPr>
          <w:color w:val="auto"/>
        </w:rPr>
        <w:t>er</w:t>
      </w:r>
      <w:r w:rsidRPr="00C04388" w:rsidR="00293633">
        <w:rPr>
          <w:color w:val="auto"/>
        </w:rPr>
        <w:t xml:space="preserve"> beeld </w:t>
      </w:r>
      <w:r w:rsidRPr="00C04388" w:rsidR="0005028D">
        <w:rPr>
          <w:color w:val="auto"/>
        </w:rPr>
        <w:t>zien, met</w:t>
      </w:r>
      <w:r w:rsidRPr="00C04388" w:rsidR="00DC010E">
        <w:rPr>
          <w:color w:val="auto"/>
        </w:rPr>
        <w:t xml:space="preserve"> een gelijkblijvend niveau dan wel een lichte stijging ten opzichte van 2024.</w:t>
      </w:r>
      <w:r w:rsidRPr="00C04388" w:rsidR="00293633">
        <w:rPr>
          <w:color w:val="auto"/>
        </w:rPr>
        <w:t xml:space="preserve"> </w:t>
      </w:r>
    </w:p>
    <w:p w:rsidRPr="00C04388" w:rsidR="007D3A9B" w:rsidP="000302CC" w:rsidRDefault="007D3A9B" w14:paraId="713F830C" w14:textId="77777777">
      <w:pPr>
        <w:spacing w:line="240" w:lineRule="auto"/>
        <w:rPr>
          <w:color w:val="auto"/>
        </w:rPr>
      </w:pPr>
    </w:p>
    <w:p w:rsidRPr="00C04388" w:rsidR="00293633" w:rsidP="000302CC" w:rsidRDefault="00341D35" w14:paraId="5F407050" w14:textId="29D4701B">
      <w:pPr>
        <w:spacing w:line="240" w:lineRule="auto"/>
        <w:rPr>
          <w:color w:val="auto"/>
        </w:rPr>
      </w:pPr>
      <w:r w:rsidRPr="00C04388">
        <w:rPr>
          <w:color w:val="auto"/>
        </w:rPr>
        <w:t xml:space="preserve">De ontwikkeling </w:t>
      </w:r>
      <w:r w:rsidRPr="00C04388" w:rsidR="007D3A9B">
        <w:rPr>
          <w:color w:val="auto"/>
        </w:rPr>
        <w:t xml:space="preserve">van een toenemend aantal incidenten </w:t>
      </w:r>
      <w:r w:rsidRPr="00C04388">
        <w:rPr>
          <w:color w:val="auto"/>
        </w:rPr>
        <w:t xml:space="preserve">is volstrekt onacceptabel. Ordeverstorend gedrag in de luchtvaart raakt de kern van wat veilig en verantwoord reizen moet zijn. Het brengt de veiligheid van passagiers in gevaar en zet het luchtvaartpersoneel, dat dagelijks </w:t>
      </w:r>
      <w:r w:rsidRPr="00C04388" w:rsidR="00AF20DE">
        <w:rPr>
          <w:color w:val="auto"/>
        </w:rPr>
        <w:t xml:space="preserve">met een grote </w:t>
      </w:r>
      <w:r w:rsidRPr="00C04388">
        <w:rPr>
          <w:color w:val="auto"/>
        </w:rPr>
        <w:t xml:space="preserve">verantwoordelijkheid werkt, onnodig onder druk. Het </w:t>
      </w:r>
      <w:r w:rsidRPr="00C04388" w:rsidR="00AF20DE">
        <w:rPr>
          <w:color w:val="auto"/>
        </w:rPr>
        <w:t>is belangrijk hier een grens te trekken</w:t>
      </w:r>
      <w:r w:rsidRPr="00C04388">
        <w:rPr>
          <w:color w:val="auto"/>
        </w:rPr>
        <w:t xml:space="preserve">: agressie, </w:t>
      </w:r>
      <w:r w:rsidRPr="00C04388">
        <w:rPr>
          <w:color w:val="auto"/>
        </w:rPr>
        <w:lastRenderedPageBreak/>
        <w:t>intimidatie en het negeren van instructies worden niet getolereerd.</w:t>
      </w:r>
      <w:r w:rsidRPr="00C04388" w:rsidR="00293633">
        <w:rPr>
          <w:color w:val="auto"/>
        </w:rPr>
        <w:t xml:space="preserve"> In het Nederlands Actieplan voor Luchtvaartveiligheid (NALV) 2023-2026 is het terugdringen van het aantal voorvallen met ordeverstorende passagiers benoemd als één van de prioritaire veiligheidsinitiatieven.</w:t>
      </w:r>
      <w:r w:rsidRPr="00C04388" w:rsidR="00B92C8F">
        <w:rPr>
          <w:rStyle w:val="FootnoteReference"/>
          <w:color w:val="auto"/>
        </w:rPr>
        <w:footnoteReference w:id="3"/>
      </w:r>
      <w:r w:rsidRPr="00C04388" w:rsidR="00293633">
        <w:rPr>
          <w:color w:val="auto"/>
        </w:rPr>
        <w:t xml:space="preserve"> </w:t>
      </w:r>
    </w:p>
    <w:p w:rsidRPr="00C04388" w:rsidR="00293633" w:rsidP="000302CC" w:rsidRDefault="00293633" w14:paraId="21BC0525" w14:textId="77777777">
      <w:pPr>
        <w:spacing w:line="240" w:lineRule="auto"/>
        <w:rPr>
          <w:color w:val="auto"/>
        </w:rPr>
      </w:pPr>
    </w:p>
    <w:p w:rsidRPr="00C04388" w:rsidR="00293633" w:rsidP="000302CC" w:rsidRDefault="00572486" w14:paraId="78382BAB" w14:textId="592B3433">
      <w:pPr>
        <w:spacing w:line="240" w:lineRule="auto"/>
        <w:rPr>
          <w:b/>
          <w:bCs/>
          <w:color w:val="auto"/>
          <w:u w:val="single"/>
        </w:rPr>
      </w:pPr>
      <w:r w:rsidRPr="00C04388">
        <w:rPr>
          <w:b/>
          <w:bCs/>
          <w:color w:val="auto"/>
          <w:u w:val="single"/>
        </w:rPr>
        <w:t>Roadmap unruly passenger</w:t>
      </w:r>
      <w:r w:rsidRPr="00C04388" w:rsidR="007C48C7">
        <w:rPr>
          <w:b/>
          <w:bCs/>
          <w:color w:val="auto"/>
          <w:u w:val="single"/>
        </w:rPr>
        <w:t>s</w:t>
      </w:r>
      <w:r w:rsidRPr="00C04388">
        <w:rPr>
          <w:b/>
          <w:bCs/>
          <w:color w:val="auto"/>
          <w:u w:val="single"/>
        </w:rPr>
        <w:t xml:space="preserve"> 2026-2027</w:t>
      </w:r>
    </w:p>
    <w:p w:rsidRPr="00C04388" w:rsidR="00293633" w:rsidP="00293633" w:rsidRDefault="00293633" w14:paraId="30530C36" w14:textId="53D21442">
      <w:pPr>
        <w:spacing w:line="240" w:lineRule="auto"/>
        <w:rPr>
          <w:color w:val="auto"/>
        </w:rPr>
      </w:pPr>
      <w:r w:rsidRPr="00C04388">
        <w:rPr>
          <w:color w:val="auto"/>
        </w:rPr>
        <w:t>Het terugdringen van het aantal voorvallen met ordeverstorende passagiers vraagt om een aanpak van de gehele luchtvaartketen. Daarom werkt het ministerie van I</w:t>
      </w:r>
      <w:r w:rsidRPr="00C04388" w:rsidR="007C48C7">
        <w:rPr>
          <w:color w:val="auto"/>
        </w:rPr>
        <w:t xml:space="preserve">nfrastructuur </w:t>
      </w:r>
      <w:r w:rsidRPr="00C04388">
        <w:rPr>
          <w:color w:val="auto"/>
        </w:rPr>
        <w:t>en</w:t>
      </w:r>
      <w:r w:rsidRPr="00C04388" w:rsidR="007C48C7">
        <w:rPr>
          <w:color w:val="auto"/>
        </w:rPr>
        <w:t xml:space="preserve"> </w:t>
      </w:r>
      <w:r w:rsidRPr="00C04388">
        <w:rPr>
          <w:color w:val="auto"/>
        </w:rPr>
        <w:t>W</w:t>
      </w:r>
      <w:r w:rsidRPr="00C04388" w:rsidR="007C48C7">
        <w:rPr>
          <w:color w:val="auto"/>
        </w:rPr>
        <w:t>aterstaat</w:t>
      </w:r>
      <w:r w:rsidRPr="00C04388">
        <w:rPr>
          <w:color w:val="auto"/>
        </w:rPr>
        <w:t xml:space="preserve"> nauw samen met luchtvaartmaatschappijen, luchthavens, de Koninklijke Marechaussee (KMar), het Openbaar Ministerie (OM) en de vakbonden om ordeverstorend gedrag te voorkomen en aan te pakken.</w:t>
      </w:r>
    </w:p>
    <w:p w:rsidRPr="00C04388" w:rsidR="00293633" w:rsidP="000302CC" w:rsidRDefault="00293633" w14:paraId="43D6F48F" w14:textId="77777777">
      <w:pPr>
        <w:spacing w:line="240" w:lineRule="auto"/>
        <w:rPr>
          <w:color w:val="auto"/>
        </w:rPr>
      </w:pPr>
    </w:p>
    <w:p w:rsidRPr="00C04388" w:rsidR="00293633" w:rsidP="00013FBA" w:rsidRDefault="00013FBA" w14:paraId="07A43081" w14:textId="3094DA8C">
      <w:pPr>
        <w:spacing w:line="240" w:lineRule="auto"/>
        <w:rPr>
          <w:color w:val="auto"/>
        </w:rPr>
      </w:pPr>
      <w:r w:rsidRPr="00C04388">
        <w:rPr>
          <w:color w:val="auto"/>
        </w:rPr>
        <w:t xml:space="preserve">Het ministerie van Infrastructuur en Waterstaat heeft samen met deze partijen een “Roadmap Unruly Passagers 2026 - 2027” opgesteld. Deze roadmap vindt u als bijlage bij deze brief bijgevoegd. </w:t>
      </w:r>
      <w:r w:rsidRPr="00C04388" w:rsidR="00293633">
        <w:rPr>
          <w:color w:val="auto"/>
        </w:rPr>
        <w:t>Het betreft een samenhangend pakket aan maatregelen dat door de betrokken organisaties als het meest kansrijk wordt ingeschat om het probleem effectief te adresseren. Deze integrale aanpak vormt een belangrijke mijlpaal in de versterking van de veiligheid en orde in de luchtvaart</w:t>
      </w:r>
      <w:r w:rsidRPr="00C04388" w:rsidR="00226691">
        <w:rPr>
          <w:color w:val="auto"/>
        </w:rPr>
        <w:t>. De maatregelen zijn onderverdeeld in</w:t>
      </w:r>
      <w:r w:rsidRPr="00C04388" w:rsidR="00293633">
        <w:rPr>
          <w:color w:val="auto"/>
        </w:rPr>
        <w:t xml:space="preserve"> 3</w:t>
      </w:r>
      <w:r w:rsidRPr="00C04388" w:rsidR="00226691">
        <w:rPr>
          <w:color w:val="auto"/>
        </w:rPr>
        <w:t xml:space="preserve"> inhoudelijke clusters</w:t>
      </w:r>
      <w:r w:rsidRPr="00C04388" w:rsidR="00293633">
        <w:rPr>
          <w:color w:val="auto"/>
        </w:rPr>
        <w:t>:</w:t>
      </w:r>
    </w:p>
    <w:p w:rsidRPr="00C04388" w:rsidR="00293633" w:rsidP="000302CC" w:rsidRDefault="00293633" w14:paraId="16F9D9A1" w14:textId="77777777">
      <w:pPr>
        <w:spacing w:line="240" w:lineRule="auto"/>
        <w:rPr>
          <w:color w:val="auto"/>
        </w:rPr>
      </w:pPr>
    </w:p>
    <w:p w:rsidRPr="00C04388" w:rsidR="00293633" w:rsidP="00293633" w:rsidRDefault="00293633" w14:paraId="5BFBFC85" w14:textId="77777777">
      <w:pPr>
        <w:pStyle w:val="ListParagraph"/>
        <w:numPr>
          <w:ilvl w:val="0"/>
          <w:numId w:val="24"/>
        </w:numPr>
        <w:rPr>
          <w:rFonts w:ascii="Verdana" w:hAnsi="Verdana" w:eastAsia="Times New Roman" w:cs="Calibri"/>
          <w:sz w:val="18"/>
          <w:szCs w:val="18"/>
          <w:lang w:eastAsia="nl-NL"/>
        </w:rPr>
      </w:pPr>
      <w:r w:rsidRPr="00C04388">
        <w:rPr>
          <w:rFonts w:ascii="Verdana" w:hAnsi="Verdana" w:eastAsia="Times New Roman" w:cs="Calibri"/>
          <w:sz w:val="18"/>
          <w:szCs w:val="18"/>
          <w:lang w:eastAsia="nl-NL"/>
        </w:rPr>
        <w:t xml:space="preserve">Data en inzicht in wettelijke kaders; </w:t>
      </w:r>
    </w:p>
    <w:p w:rsidRPr="00C04388" w:rsidR="00293633" w:rsidP="00293633" w:rsidRDefault="00293633" w14:paraId="6D135DE5" w14:textId="77777777">
      <w:pPr>
        <w:pStyle w:val="ListParagraph"/>
        <w:numPr>
          <w:ilvl w:val="0"/>
          <w:numId w:val="24"/>
        </w:numPr>
        <w:rPr>
          <w:rFonts w:ascii="Verdana" w:hAnsi="Verdana" w:eastAsia="Times New Roman" w:cs="Calibri"/>
          <w:sz w:val="18"/>
          <w:szCs w:val="18"/>
          <w:lang w:eastAsia="nl-NL"/>
        </w:rPr>
      </w:pPr>
      <w:r w:rsidRPr="00C04388">
        <w:rPr>
          <w:rFonts w:ascii="Verdana" w:hAnsi="Verdana" w:eastAsia="Times New Roman" w:cs="Calibri"/>
          <w:sz w:val="18"/>
          <w:szCs w:val="18"/>
          <w:lang w:eastAsia="nl-NL"/>
        </w:rPr>
        <w:t>Preventie en gedrag;</w:t>
      </w:r>
    </w:p>
    <w:p w:rsidRPr="00C04388" w:rsidR="00293633" w:rsidP="00293633" w:rsidRDefault="00293633" w14:paraId="50BCEE11" w14:textId="68151C15">
      <w:pPr>
        <w:pStyle w:val="ListParagraph"/>
        <w:numPr>
          <w:ilvl w:val="0"/>
          <w:numId w:val="24"/>
        </w:numPr>
        <w:rPr>
          <w:rFonts w:ascii="Verdana" w:hAnsi="Verdana" w:eastAsia="Times New Roman" w:cs="Calibri"/>
          <w:sz w:val="18"/>
          <w:szCs w:val="18"/>
          <w:lang w:eastAsia="nl-NL"/>
        </w:rPr>
      </w:pPr>
      <w:r w:rsidRPr="00C04388">
        <w:rPr>
          <w:rFonts w:ascii="Verdana" w:hAnsi="Verdana" w:eastAsia="Times New Roman" w:cs="Calibri"/>
          <w:sz w:val="18"/>
          <w:szCs w:val="18"/>
          <w:lang w:eastAsia="nl-NL"/>
        </w:rPr>
        <w:t xml:space="preserve">Registratie en handhaving. </w:t>
      </w:r>
      <w:r w:rsidRPr="00C04388">
        <w:rPr>
          <w:rFonts w:eastAsia="Times New Roman" w:cs="Calibri"/>
          <w:sz w:val="18"/>
          <w:szCs w:val="18"/>
        </w:rPr>
        <w:br/>
      </w:r>
    </w:p>
    <w:p w:rsidRPr="00C04388" w:rsidR="00293633" w:rsidP="00293633" w:rsidRDefault="00293633" w14:paraId="7B05DABD" w14:textId="77777777">
      <w:pPr>
        <w:spacing w:line="240" w:lineRule="auto"/>
        <w:rPr>
          <w:rFonts w:eastAsia="Times New Roman" w:cs="Calibri"/>
        </w:rPr>
      </w:pPr>
      <w:r w:rsidRPr="00C04388">
        <w:rPr>
          <w:rFonts w:eastAsia="Times New Roman" w:cs="Calibri"/>
          <w:u w:val="single"/>
        </w:rPr>
        <w:t>Cluster 1: Data en inzicht in wettelijke kaders</w:t>
      </w:r>
      <w:r w:rsidRPr="00C04388" w:rsidDel="00FC2F64">
        <w:rPr>
          <w:rFonts w:eastAsia="Times New Roman" w:cs="Calibri"/>
          <w:u w:val="single"/>
        </w:rPr>
        <w:t xml:space="preserve"> </w:t>
      </w:r>
    </w:p>
    <w:p w:rsidRPr="00C04388" w:rsidR="00664667" w:rsidP="00AA2E46" w:rsidRDefault="00013FBA" w14:paraId="54D36E14" w14:textId="519F344B">
      <w:pPr>
        <w:rPr>
          <w:rFonts w:eastAsia="Times New Roman" w:cs="Calibri"/>
        </w:rPr>
      </w:pPr>
      <w:r w:rsidRPr="00C04388">
        <w:rPr>
          <w:rFonts w:eastAsia="Times New Roman" w:cs="Calibri"/>
        </w:rPr>
        <w:t>Het gaat hier om het verzamelen, delen en analyseren van data om trends te ontdekken en mogelijkheden voor effectieve interventies te identificeren. Ook worden eventuele onduidelijkheden over de (on)mogelijkheden met betrekking tot privacywetgeving hierbij betrokken.</w:t>
      </w:r>
      <w:r w:rsidRPr="00C04388">
        <w:rPr>
          <w:rFonts w:eastAsia="Times New Roman" w:cs="Calibri"/>
        </w:rPr>
        <w:br/>
      </w:r>
    </w:p>
    <w:p w:rsidRPr="00C04388" w:rsidR="00F03D96" w:rsidP="00013FBA" w:rsidRDefault="00F03D96" w14:paraId="658F61BB" w14:textId="1F2C4240">
      <w:pPr>
        <w:pStyle w:val="ListParagraph"/>
        <w:numPr>
          <w:ilvl w:val="0"/>
          <w:numId w:val="30"/>
        </w:numPr>
        <w:rPr>
          <w:rFonts w:ascii="Verdana" w:hAnsi="Verdana" w:eastAsia="Times New Roman" w:cs="Calibri"/>
          <w:sz w:val="18"/>
          <w:szCs w:val="18"/>
        </w:rPr>
      </w:pPr>
      <w:r w:rsidRPr="00C04388">
        <w:rPr>
          <w:rFonts w:ascii="Verdana" w:hAnsi="Verdana" w:eastAsia="Times New Roman" w:cs="Calibri"/>
          <w:b/>
          <w:bCs/>
          <w:sz w:val="18"/>
          <w:szCs w:val="18"/>
        </w:rPr>
        <w:t xml:space="preserve">Advies inwinnen bij de Autoriteit Persoonsgegevens </w:t>
      </w:r>
      <w:r w:rsidRPr="00C04388">
        <w:rPr>
          <w:rFonts w:ascii="Verdana" w:hAnsi="Verdana" w:eastAsia="Times New Roman" w:cs="Calibri"/>
          <w:sz w:val="18"/>
          <w:szCs w:val="18"/>
        </w:rPr>
        <w:t xml:space="preserve">Privacywetgeving wordt vaak als een obstakel ervaren bij het delen van data over ordeverstorende passagiers. </w:t>
      </w:r>
      <w:r w:rsidRPr="00C04388" w:rsidR="00013FBA">
        <w:rPr>
          <w:rFonts w:ascii="Verdana" w:hAnsi="Verdana" w:eastAsia="Times New Roman" w:cs="Calibri"/>
          <w:sz w:val="18"/>
          <w:szCs w:val="18"/>
        </w:rPr>
        <w:t xml:space="preserve">We </w:t>
      </w:r>
      <w:r w:rsidRPr="00C04388" w:rsidR="007D3A9B">
        <w:rPr>
          <w:rFonts w:ascii="Verdana" w:hAnsi="Verdana" w:eastAsia="Times New Roman" w:cs="Calibri"/>
          <w:sz w:val="18"/>
          <w:szCs w:val="18"/>
        </w:rPr>
        <w:t>zijn</w:t>
      </w:r>
      <w:r w:rsidRPr="00C04388" w:rsidR="00013FBA">
        <w:rPr>
          <w:rFonts w:ascii="Verdana" w:hAnsi="Verdana" w:eastAsia="Times New Roman" w:cs="Calibri"/>
          <w:sz w:val="18"/>
          <w:szCs w:val="18"/>
        </w:rPr>
        <w:t xml:space="preserve"> met de Autoriteit Persoongegevens in gesprek om zoveel mogelijk uitwisseling van data mogelijk te maken.</w:t>
      </w:r>
      <w:r w:rsidRPr="00C04388" w:rsidR="00013FBA">
        <w:rPr>
          <w:rFonts w:eastAsia="Times New Roman" w:cs="Calibri"/>
          <w:sz w:val="18"/>
          <w:szCs w:val="18"/>
        </w:rPr>
        <w:t xml:space="preserve"> </w:t>
      </w:r>
      <w:r w:rsidRPr="00C04388">
        <w:rPr>
          <w:rFonts w:eastAsia="Times New Roman" w:cs="Calibri"/>
          <w:sz w:val="18"/>
          <w:szCs w:val="18"/>
        </w:rPr>
        <w:t>.</w:t>
      </w:r>
    </w:p>
    <w:p w:rsidRPr="00C04388" w:rsidR="00535162" w:rsidP="00F83105" w:rsidRDefault="00535162" w14:paraId="45F8A962" w14:textId="77777777">
      <w:pPr>
        <w:pStyle w:val="ListParagraph"/>
        <w:ind w:left="360"/>
        <w:rPr>
          <w:rFonts w:ascii="Verdana" w:hAnsi="Verdana" w:eastAsia="Times New Roman" w:cs="Calibri"/>
          <w:sz w:val="18"/>
          <w:szCs w:val="18"/>
        </w:rPr>
      </w:pPr>
    </w:p>
    <w:p w:rsidRPr="00C04388" w:rsidR="00F03D96" w:rsidP="00F03D96" w:rsidRDefault="00F03D96" w14:paraId="7A1883B5" w14:textId="185ADC45">
      <w:pPr>
        <w:pStyle w:val="ListParagraph"/>
        <w:numPr>
          <w:ilvl w:val="0"/>
          <w:numId w:val="30"/>
        </w:numPr>
        <w:rPr>
          <w:rFonts w:ascii="Verdana" w:hAnsi="Verdana" w:eastAsia="Times New Roman" w:cs="Calibri"/>
          <w:sz w:val="18"/>
          <w:szCs w:val="18"/>
        </w:rPr>
      </w:pPr>
      <w:r w:rsidRPr="00C04388">
        <w:rPr>
          <w:rFonts w:ascii="Verdana" w:hAnsi="Verdana" w:eastAsia="Times New Roman" w:cs="Calibri"/>
          <w:b/>
          <w:bCs/>
          <w:sz w:val="18"/>
          <w:szCs w:val="18"/>
        </w:rPr>
        <w:t>Gezamenlijke dashboards voor data-analyse en preventiebeleid</w:t>
      </w:r>
      <w:r w:rsidRPr="00C04388" w:rsidR="00226691">
        <w:rPr>
          <w:rFonts w:ascii="Verdana" w:hAnsi="Verdana" w:eastAsia="Times New Roman" w:cs="Calibri"/>
          <w:b/>
          <w:bCs/>
          <w:sz w:val="18"/>
          <w:szCs w:val="18"/>
        </w:rPr>
        <w:br/>
      </w:r>
      <w:r w:rsidRPr="00C04388">
        <w:rPr>
          <w:rFonts w:ascii="Verdana" w:hAnsi="Verdana" w:eastAsia="Times New Roman" w:cs="Calibri"/>
          <w:sz w:val="18"/>
          <w:szCs w:val="18"/>
        </w:rPr>
        <w:t>Betrokken partijen gaan verkennen op welke wijze relevante data geharmoniseerd en geregistreerd kan worden zodat zij data beter kunnen vergelijken, makkelijker trends kunnen identificeren zodat er risicogericht maatregelen genomen kunnen worden.</w:t>
      </w:r>
    </w:p>
    <w:p w:rsidRPr="00C04388" w:rsidR="00535162" w:rsidP="00F83105" w:rsidRDefault="00535162" w14:paraId="4C9BB1E0" w14:textId="77777777">
      <w:pPr>
        <w:rPr>
          <w:rFonts w:eastAsia="Times New Roman" w:cs="Calibri"/>
        </w:rPr>
      </w:pPr>
    </w:p>
    <w:p w:rsidRPr="00C04388" w:rsidR="00DF18C7" w:rsidP="00F83105" w:rsidRDefault="00F03D96" w14:paraId="5CD40BAB" w14:textId="4C90DBFA">
      <w:pPr>
        <w:pStyle w:val="ListParagraph"/>
        <w:numPr>
          <w:ilvl w:val="0"/>
          <w:numId w:val="30"/>
        </w:numPr>
        <w:rPr>
          <w:rFonts w:ascii="Verdana" w:hAnsi="Verdana" w:eastAsia="Times New Roman" w:cs="Calibri"/>
          <w:sz w:val="18"/>
          <w:szCs w:val="18"/>
        </w:rPr>
      </w:pPr>
      <w:r w:rsidRPr="00C04388">
        <w:rPr>
          <w:rFonts w:ascii="Verdana" w:hAnsi="Verdana" w:eastAsia="Times New Roman" w:cs="Calibri"/>
          <w:b/>
          <w:bCs/>
          <w:sz w:val="18"/>
          <w:szCs w:val="18"/>
        </w:rPr>
        <w:t>Kwartaaldata delen en ver</w:t>
      </w:r>
      <w:r w:rsidRPr="00C04388" w:rsidR="00DF18C7">
        <w:rPr>
          <w:rFonts w:ascii="Verdana" w:hAnsi="Verdana" w:eastAsia="Times New Roman" w:cs="Calibri"/>
          <w:b/>
          <w:bCs/>
          <w:sz w:val="18"/>
          <w:szCs w:val="18"/>
        </w:rPr>
        <w:t>diepen</w:t>
      </w:r>
      <w:r w:rsidRPr="00C04388" w:rsidR="00DF18C7">
        <w:rPr>
          <w:rFonts w:ascii="Verdana" w:hAnsi="Verdana" w:eastAsia="Times New Roman" w:cs="Calibri"/>
          <w:sz w:val="18"/>
          <w:szCs w:val="18"/>
        </w:rPr>
        <w:br/>
        <w:t>Het analyseren van trends in ordeverstoringen, bijvoorbeeld de combinatie van tijdstip, bestemming en groepsgrootte die als risicovol worden aangemerkt. Op basis van dergelijke inzichten kan bijvoorbeeld de personeelsinzet gerichter worden afgestemd.</w:t>
      </w:r>
    </w:p>
    <w:p w:rsidRPr="00C04388" w:rsidR="00AA2E46" w:rsidP="00293633" w:rsidRDefault="00AA2E46" w14:paraId="1C0F265D" w14:textId="77777777">
      <w:pPr>
        <w:rPr>
          <w:rFonts w:eastAsia="Times New Roman" w:cs="Calibri"/>
        </w:rPr>
      </w:pPr>
    </w:p>
    <w:p w:rsidRPr="00C04388" w:rsidR="00293633" w:rsidP="00293633" w:rsidRDefault="00293633" w14:paraId="2A0A203E" w14:textId="77777777">
      <w:pPr>
        <w:rPr>
          <w:rFonts w:eastAsia="Times New Roman" w:cs="Calibri"/>
          <w:u w:val="single"/>
        </w:rPr>
      </w:pPr>
      <w:r w:rsidRPr="00C04388">
        <w:rPr>
          <w:rFonts w:eastAsia="Times New Roman" w:cs="Calibri"/>
          <w:u w:val="single"/>
        </w:rPr>
        <w:t>Cluster 2: Preventie en gedrag</w:t>
      </w:r>
    </w:p>
    <w:p w:rsidRPr="00C04388" w:rsidR="00293633" w:rsidP="00293633" w:rsidRDefault="00013FBA" w14:paraId="6183C110" w14:textId="0CE331B1">
      <w:pPr>
        <w:rPr>
          <w:rFonts w:eastAsia="Times New Roman" w:cs="Calibri"/>
        </w:rPr>
      </w:pPr>
      <w:r w:rsidRPr="00C04388">
        <w:rPr>
          <w:rFonts w:eastAsia="Times New Roman" w:cs="Calibri"/>
        </w:rPr>
        <w:t>Het gaat hier om de</w:t>
      </w:r>
      <w:r w:rsidRPr="00C04388" w:rsidR="00293633">
        <w:rPr>
          <w:rFonts w:eastAsia="Times New Roman" w:cs="Calibri"/>
        </w:rPr>
        <w:t xml:space="preserve"> maatregelen die de kans op ordeverstorend gedrag moeten verkleinen, onder meer door gerichte communicatie naar passagiers en het versterken van personeelstrainingen</w:t>
      </w:r>
      <w:r w:rsidRPr="00C04388" w:rsidR="00DF18C7">
        <w:rPr>
          <w:rFonts w:eastAsia="Times New Roman" w:cs="Calibri"/>
        </w:rPr>
        <w:t>:</w:t>
      </w:r>
    </w:p>
    <w:p w:rsidRPr="00C04388" w:rsidR="00DF18C7" w:rsidP="00293633" w:rsidRDefault="00DF18C7" w14:paraId="4CF8E5A3" w14:textId="77777777">
      <w:pPr>
        <w:rPr>
          <w:rFonts w:eastAsia="Times New Roman" w:cs="Calibri"/>
        </w:rPr>
      </w:pPr>
    </w:p>
    <w:p w:rsidRPr="00C04388" w:rsidR="00293633" w:rsidP="00600669" w:rsidRDefault="00DF18C7" w14:paraId="16927B26" w14:textId="0EE8A548">
      <w:pPr>
        <w:pStyle w:val="ListParagraph"/>
        <w:numPr>
          <w:ilvl w:val="0"/>
          <w:numId w:val="30"/>
        </w:numPr>
        <w:rPr>
          <w:rFonts w:ascii="Verdana" w:hAnsi="Verdana" w:eastAsia="Times New Roman" w:cs="Calibri"/>
          <w:b/>
          <w:bCs/>
          <w:sz w:val="18"/>
          <w:szCs w:val="18"/>
        </w:rPr>
      </w:pPr>
      <w:r w:rsidRPr="00C04388">
        <w:rPr>
          <w:rFonts w:ascii="Verdana" w:hAnsi="Verdana" w:eastAsia="Times New Roman" w:cs="Calibri"/>
          <w:b/>
          <w:bCs/>
          <w:sz w:val="18"/>
          <w:szCs w:val="18"/>
        </w:rPr>
        <w:t>Alcoholbeleid</w:t>
      </w:r>
    </w:p>
    <w:p w:rsidRPr="00C04388" w:rsidR="00DF18C7" w:rsidP="00C45267" w:rsidRDefault="00293633" w14:paraId="1D171C98" w14:textId="492B56BF">
      <w:pPr>
        <w:ind w:left="360"/>
        <w:rPr>
          <w:rFonts w:eastAsia="Times New Roman" w:cs="Calibri"/>
        </w:rPr>
      </w:pPr>
      <w:r w:rsidRPr="00C04388">
        <w:rPr>
          <w:rFonts w:eastAsia="Times New Roman" w:cs="Calibri"/>
        </w:rPr>
        <w:t xml:space="preserve">Uit het belevingsonderzoek komt alcohol naar voren als een van de belangrijkste oorzaken van ordeverstorend gedrag. In dit kader wordt het alcoholbeleid van zowel luchthavens als luchtvaartmaatschappijen bezien. </w:t>
      </w:r>
      <w:r w:rsidRPr="00C04388" w:rsidR="00535162">
        <w:rPr>
          <w:rFonts w:eastAsia="Times New Roman" w:cs="Calibri"/>
        </w:rPr>
        <w:t xml:space="preserve">Enerzijds willen wij </w:t>
      </w:r>
      <w:r w:rsidRPr="00C04388">
        <w:rPr>
          <w:rFonts w:eastAsia="Times New Roman" w:cs="Calibri"/>
        </w:rPr>
        <w:t>de gastvrijheid van luchthavens en luchtvaartmaatschappijen</w:t>
      </w:r>
      <w:r w:rsidRPr="00C04388" w:rsidR="00535162">
        <w:rPr>
          <w:rFonts w:eastAsia="Times New Roman" w:cs="Calibri"/>
        </w:rPr>
        <w:t xml:space="preserve"> behouden. Daarbij moet de consument de vrijheid hebben </w:t>
      </w:r>
      <w:r w:rsidRPr="00C04388" w:rsidR="00664667">
        <w:rPr>
          <w:rFonts w:eastAsia="Times New Roman" w:cs="Calibri"/>
        </w:rPr>
        <w:t xml:space="preserve">om een </w:t>
      </w:r>
      <w:r w:rsidRPr="00C04388" w:rsidR="00535162">
        <w:rPr>
          <w:rFonts w:eastAsia="Times New Roman" w:cs="Calibri"/>
        </w:rPr>
        <w:t>glas wijn of een biertje</w:t>
      </w:r>
      <w:r w:rsidRPr="00C04388" w:rsidR="00664667">
        <w:rPr>
          <w:rFonts w:eastAsia="Times New Roman" w:cs="Calibri"/>
        </w:rPr>
        <w:t xml:space="preserve"> te bestellen</w:t>
      </w:r>
      <w:r w:rsidRPr="00C04388" w:rsidR="00C45267">
        <w:rPr>
          <w:rFonts w:eastAsia="Times New Roman" w:cs="Calibri"/>
        </w:rPr>
        <w:t>, voordat hij</w:t>
      </w:r>
      <w:r w:rsidRPr="00C04388" w:rsidR="007D3A9B">
        <w:rPr>
          <w:rFonts w:eastAsia="Times New Roman" w:cs="Calibri"/>
        </w:rPr>
        <w:t xml:space="preserve"> of </w:t>
      </w:r>
      <w:r w:rsidRPr="00C04388" w:rsidR="00C45267">
        <w:rPr>
          <w:rFonts w:eastAsia="Times New Roman" w:cs="Calibri"/>
        </w:rPr>
        <w:t>zij  met vrienden of familie met vakantie gaat</w:t>
      </w:r>
      <w:r w:rsidRPr="00C04388" w:rsidR="00535162">
        <w:rPr>
          <w:rFonts w:eastAsia="Times New Roman" w:cs="Calibri"/>
        </w:rPr>
        <w:t xml:space="preserve">. Anderzijds zetten wij ons in om het aantal </w:t>
      </w:r>
      <w:r w:rsidRPr="00C04388" w:rsidR="00664667">
        <w:rPr>
          <w:rFonts w:eastAsia="Times New Roman" w:cs="Calibri"/>
        </w:rPr>
        <w:t xml:space="preserve">incidenten vanwege excessief alcoholgebruik </w:t>
      </w:r>
      <w:r w:rsidRPr="00C04388" w:rsidR="00535162">
        <w:rPr>
          <w:rFonts w:eastAsia="Times New Roman" w:cs="Calibri"/>
        </w:rPr>
        <w:t>tegen te gaan om de luchtvaartveiligheid te waarborgen</w:t>
      </w:r>
      <w:r w:rsidRPr="00C04388">
        <w:rPr>
          <w:rFonts w:eastAsia="Times New Roman" w:cs="Calibri"/>
        </w:rPr>
        <w:t xml:space="preserve">. De komende periode </w:t>
      </w:r>
      <w:r w:rsidRPr="00C04388" w:rsidR="00535162">
        <w:rPr>
          <w:rFonts w:eastAsia="Times New Roman" w:cs="Calibri"/>
        </w:rPr>
        <w:t>wordt</w:t>
      </w:r>
      <w:r w:rsidRPr="00C04388">
        <w:rPr>
          <w:rFonts w:eastAsia="Times New Roman" w:cs="Calibri"/>
        </w:rPr>
        <w:t xml:space="preserve"> daar gezamenlijk </w:t>
      </w:r>
      <w:r w:rsidRPr="00C04388" w:rsidR="00C45267">
        <w:rPr>
          <w:rFonts w:eastAsia="Times New Roman" w:cs="Calibri"/>
        </w:rPr>
        <w:t>aan gewerkt</w:t>
      </w:r>
      <w:r w:rsidRPr="00C04388">
        <w:rPr>
          <w:rFonts w:eastAsia="Times New Roman" w:cs="Calibri"/>
        </w:rPr>
        <w:t>.</w:t>
      </w:r>
    </w:p>
    <w:p w:rsidRPr="00C04388" w:rsidR="00535162" w:rsidP="00DF18C7" w:rsidRDefault="00535162" w14:paraId="29C93116" w14:textId="77777777">
      <w:pPr>
        <w:ind w:left="360"/>
        <w:rPr>
          <w:rFonts w:eastAsia="Times New Roman" w:cs="Calibri"/>
        </w:rPr>
      </w:pPr>
    </w:p>
    <w:p w:rsidRPr="00C04388" w:rsidR="00293633" w:rsidP="00293633" w:rsidRDefault="00DF18C7" w14:paraId="0F640564" w14:textId="725500B6">
      <w:pPr>
        <w:pStyle w:val="ListParagraph"/>
        <w:numPr>
          <w:ilvl w:val="0"/>
          <w:numId w:val="30"/>
        </w:numPr>
        <w:rPr>
          <w:rFonts w:ascii="Verdana" w:hAnsi="Verdana" w:eastAsia="Times New Roman" w:cs="Calibri"/>
          <w:sz w:val="18"/>
          <w:szCs w:val="18"/>
        </w:rPr>
      </w:pPr>
      <w:r w:rsidRPr="00C04388">
        <w:rPr>
          <w:rFonts w:ascii="Verdana" w:hAnsi="Verdana" w:eastAsia="Times New Roman" w:cs="Calibri"/>
          <w:b/>
          <w:bCs/>
          <w:sz w:val="18"/>
          <w:szCs w:val="18"/>
        </w:rPr>
        <w:t>Training in de-escalatie voor grond- en cabinepersoneel</w:t>
      </w:r>
      <w:r w:rsidRPr="00C04388">
        <w:rPr>
          <w:rFonts w:ascii="Verdana" w:hAnsi="Verdana" w:eastAsia="Times New Roman" w:cs="Calibri"/>
          <w:sz w:val="18"/>
          <w:szCs w:val="18"/>
        </w:rPr>
        <w:br/>
        <w:t>L</w:t>
      </w:r>
      <w:r w:rsidRPr="00C04388" w:rsidR="00293633">
        <w:rPr>
          <w:rFonts w:ascii="Verdana" w:hAnsi="Verdana" w:eastAsia="Times New Roman" w:cs="Calibri"/>
          <w:sz w:val="18"/>
          <w:szCs w:val="18"/>
        </w:rPr>
        <w:t xml:space="preserve">uchtvaartmaatschappijen </w:t>
      </w:r>
      <w:r w:rsidRPr="00C04388">
        <w:rPr>
          <w:rFonts w:ascii="Verdana" w:hAnsi="Verdana" w:eastAsia="Times New Roman" w:cs="Calibri"/>
          <w:sz w:val="18"/>
          <w:szCs w:val="18"/>
        </w:rPr>
        <w:t xml:space="preserve">zullen </w:t>
      </w:r>
      <w:r w:rsidRPr="00C04388" w:rsidR="00293633">
        <w:rPr>
          <w:rFonts w:ascii="Verdana" w:hAnsi="Verdana" w:eastAsia="Times New Roman" w:cs="Calibri"/>
          <w:sz w:val="18"/>
          <w:szCs w:val="18"/>
        </w:rPr>
        <w:t>onderling best practices uit bestaande trainingen voor grond- en cabinepersoneel uitwisselen, met als doel deze trainingen verder te verbeteren en waar nodig beter op elkaar af te stemmen. Daarna wordt nagegaan in hoeverre deze inzichten kunnen worden geïntegreerd in de bestaande opleidingsprogramma’s voor luchtvaartpersoneel.</w:t>
      </w:r>
    </w:p>
    <w:p w:rsidRPr="00C04388" w:rsidR="00535162" w:rsidP="00F83105" w:rsidRDefault="00535162" w14:paraId="1690F26F" w14:textId="77777777">
      <w:pPr>
        <w:pStyle w:val="ListParagraph"/>
        <w:ind w:left="360"/>
        <w:rPr>
          <w:rFonts w:ascii="Verdana" w:hAnsi="Verdana" w:eastAsia="Times New Roman" w:cs="Calibri"/>
          <w:sz w:val="18"/>
          <w:szCs w:val="18"/>
        </w:rPr>
      </w:pPr>
    </w:p>
    <w:p w:rsidRPr="00C04388" w:rsidR="00DF18C7" w:rsidP="00293633" w:rsidRDefault="00DF18C7" w14:paraId="5CA60EC8" w14:textId="31D4C791">
      <w:pPr>
        <w:pStyle w:val="ListParagraph"/>
        <w:numPr>
          <w:ilvl w:val="0"/>
          <w:numId w:val="30"/>
        </w:numPr>
        <w:rPr>
          <w:rFonts w:ascii="Verdana" w:hAnsi="Verdana" w:eastAsia="Times New Roman" w:cs="Calibri"/>
          <w:b/>
          <w:bCs/>
          <w:sz w:val="18"/>
          <w:szCs w:val="18"/>
        </w:rPr>
      </w:pPr>
      <w:r w:rsidRPr="00C04388">
        <w:rPr>
          <w:rFonts w:ascii="Verdana" w:hAnsi="Verdana" w:eastAsia="Times New Roman" w:cs="Calibri"/>
          <w:b/>
          <w:bCs/>
          <w:sz w:val="18"/>
          <w:szCs w:val="18"/>
        </w:rPr>
        <w:t>Vergroten bewustzijn passagier</w:t>
      </w:r>
    </w:p>
    <w:p w:rsidRPr="00C04388" w:rsidR="00293633" w:rsidP="00F83105" w:rsidRDefault="00DF18C7" w14:paraId="39FCBE88" w14:textId="49B80772">
      <w:pPr>
        <w:ind w:left="360"/>
        <w:rPr>
          <w:rFonts w:eastAsia="Times New Roman" w:cs="Calibri"/>
        </w:rPr>
      </w:pPr>
      <w:r w:rsidRPr="00C04388">
        <w:rPr>
          <w:rFonts w:eastAsia="Times New Roman" w:cs="Calibri"/>
        </w:rPr>
        <w:t xml:space="preserve">Op grond </w:t>
      </w:r>
      <w:r w:rsidRPr="00C04388" w:rsidR="00293633">
        <w:rPr>
          <w:rFonts w:eastAsia="Times New Roman" w:cs="Calibri"/>
        </w:rPr>
        <w:t xml:space="preserve">van Annex 9 bij het Verdrag van Chicago </w:t>
      </w:r>
      <w:r w:rsidRPr="00C04388">
        <w:rPr>
          <w:rFonts w:eastAsia="Times New Roman" w:cs="Calibri"/>
        </w:rPr>
        <w:t xml:space="preserve">gelden verplichtingen </w:t>
      </w:r>
      <w:r w:rsidRPr="00C04388" w:rsidR="00293633">
        <w:rPr>
          <w:rFonts w:eastAsia="Times New Roman" w:cs="Calibri"/>
        </w:rPr>
        <w:t xml:space="preserve">om aandacht te besteden aan duidelijke communicatie over de geldende (veiligheids)regels op luchthavens en aan boord van luchtvaartuigen. Daarbij is het ook belangrijk om de gevolgen van het overtreden van deze regels te benoemen. Met goede communicatie kan onduidelijkheid en verwarring over de regels voorkomen worden, en kunnen reizigers directer aangesproken worden. Daarom wordt aangesloten bij de EASA-campagne, die – na een beperkte vertraging – in de zomer van 2026 opnieuw wordt opgepakt. Het doel van deze campagne is om passagiers bewust te maken van de gevolgen als je je misdraagt aan boord. </w:t>
      </w:r>
    </w:p>
    <w:p w:rsidRPr="00C04388" w:rsidR="00293633" w:rsidP="00293633" w:rsidRDefault="00293633" w14:paraId="3026436B" w14:textId="77777777">
      <w:pPr>
        <w:rPr>
          <w:rFonts w:eastAsia="Times New Roman" w:cs="Calibri"/>
        </w:rPr>
      </w:pPr>
    </w:p>
    <w:p w:rsidRPr="00C04388" w:rsidR="00293633" w:rsidP="00293633" w:rsidRDefault="00293633" w14:paraId="46F53BCF" w14:textId="77777777">
      <w:pPr>
        <w:rPr>
          <w:rFonts w:eastAsia="Times New Roman" w:cs="Calibri"/>
          <w:u w:val="single"/>
        </w:rPr>
      </w:pPr>
      <w:r w:rsidRPr="00C04388">
        <w:rPr>
          <w:rFonts w:eastAsia="Times New Roman" w:cs="Calibri"/>
          <w:u w:val="single"/>
        </w:rPr>
        <w:t>Cluster 3: Registratie en handhaving</w:t>
      </w:r>
    </w:p>
    <w:p w:rsidRPr="00C04388" w:rsidR="00293633" w:rsidP="00293633" w:rsidRDefault="00013FBA" w14:paraId="4904492B" w14:textId="1EABA6BE">
      <w:pPr>
        <w:rPr>
          <w:rFonts w:eastAsia="Times New Roman" w:cs="Calibri"/>
        </w:rPr>
      </w:pPr>
      <w:r w:rsidRPr="00C04388">
        <w:rPr>
          <w:rFonts w:eastAsia="Times New Roman" w:cs="Calibri"/>
        </w:rPr>
        <w:t xml:space="preserve">Het gaat hier om maatregelen die </w:t>
      </w:r>
      <w:r w:rsidRPr="00C04388" w:rsidR="00293633">
        <w:rPr>
          <w:rFonts w:eastAsia="Times New Roman" w:cs="Calibri"/>
        </w:rPr>
        <w:t>zich</w:t>
      </w:r>
      <w:r w:rsidRPr="00C04388">
        <w:rPr>
          <w:rFonts w:eastAsia="Times New Roman" w:cs="Calibri"/>
        </w:rPr>
        <w:t xml:space="preserve"> richten</w:t>
      </w:r>
      <w:r w:rsidRPr="00C04388" w:rsidR="00293633">
        <w:rPr>
          <w:rFonts w:eastAsia="Times New Roman" w:cs="Calibri"/>
        </w:rPr>
        <w:t xml:space="preserve"> op het vergroten van de efficiëntie van processen na een incident, het verlagen van de drempel voor melding en aangifte, en het bevorderen van een consequente sanctionering.</w:t>
      </w:r>
    </w:p>
    <w:p w:rsidRPr="00C04388" w:rsidR="006B4ECF" w:rsidRDefault="006B4ECF" w14:paraId="4477CFB6" w14:textId="63A6093F">
      <w:pPr>
        <w:spacing w:line="240" w:lineRule="auto"/>
        <w:rPr>
          <w:rFonts w:eastAsia="Times New Roman" w:cs="Calibri"/>
        </w:rPr>
      </w:pPr>
      <w:r w:rsidRPr="00C04388">
        <w:rPr>
          <w:rFonts w:eastAsia="Times New Roman" w:cs="Calibri"/>
        </w:rPr>
        <w:br w:type="page"/>
      </w:r>
    </w:p>
    <w:p w:rsidRPr="00C04388" w:rsidR="00293633" w:rsidP="00293633" w:rsidRDefault="00293633" w14:paraId="73BD9438" w14:textId="77777777">
      <w:pPr>
        <w:rPr>
          <w:rFonts w:eastAsia="Times New Roman" w:cs="Calibri"/>
        </w:rPr>
      </w:pPr>
    </w:p>
    <w:p w:rsidRPr="00C04388" w:rsidR="00DF18C7" w:rsidP="00DF18C7" w:rsidRDefault="00DF18C7" w14:paraId="050347F6" w14:textId="77777777">
      <w:pPr>
        <w:pStyle w:val="ListParagraph"/>
        <w:numPr>
          <w:ilvl w:val="0"/>
          <w:numId w:val="30"/>
        </w:numPr>
        <w:rPr>
          <w:rFonts w:ascii="Verdana" w:hAnsi="Verdana" w:eastAsia="Times New Roman" w:cs="Calibri"/>
          <w:b/>
          <w:bCs/>
          <w:sz w:val="18"/>
          <w:szCs w:val="18"/>
        </w:rPr>
      </w:pPr>
      <w:r w:rsidRPr="00C04388">
        <w:rPr>
          <w:rFonts w:ascii="Verdana" w:hAnsi="Verdana" w:eastAsia="Times New Roman" w:cs="Calibri"/>
          <w:b/>
          <w:bCs/>
          <w:sz w:val="18"/>
          <w:szCs w:val="18"/>
        </w:rPr>
        <w:t>Aangifteproces (voor personeel) verhelderen</w:t>
      </w:r>
    </w:p>
    <w:p w:rsidRPr="00C04388" w:rsidR="00077189" w:rsidP="00077189" w:rsidRDefault="00293633" w14:paraId="557E6931" w14:textId="77777777">
      <w:pPr>
        <w:ind w:left="360"/>
        <w:rPr>
          <w:rFonts w:eastAsia="Times New Roman" w:cs="Calibri"/>
        </w:rPr>
      </w:pPr>
      <w:r w:rsidRPr="00C04388">
        <w:rPr>
          <w:rFonts w:eastAsia="Times New Roman" w:cs="Calibri"/>
        </w:rPr>
        <w:t>De KMar en het OM hebben een digitaal formulier ontwikkeld om het aangifteproces te vereenvoudigen. Aanvullend hierop wordt een Q&amp;A-document opgesteld waarin veel gestelde vragen over aangifte en strafrechtelijke vervolging worden beantwoord. Hiermee wordt beoogd eventuele drempels voor het doen van aangifte weg te nemen en het proces zo efficiënt mogelijk te laten verlopen.</w:t>
      </w:r>
      <w:r w:rsidRPr="00C04388" w:rsidR="00546161">
        <w:rPr>
          <w:rFonts w:eastAsia="Times New Roman" w:cs="Calibri"/>
        </w:rPr>
        <w:t xml:space="preserve"> </w:t>
      </w:r>
    </w:p>
    <w:p w:rsidRPr="00C04388" w:rsidR="00077189" w:rsidP="00077189" w:rsidRDefault="00077189" w14:paraId="3F7FF4B3" w14:textId="77777777">
      <w:pPr>
        <w:ind w:left="360"/>
        <w:rPr>
          <w:rFonts w:eastAsia="Times New Roman" w:cs="Calibri"/>
        </w:rPr>
      </w:pPr>
    </w:p>
    <w:p w:rsidRPr="00C04388" w:rsidR="00077189" w:rsidP="00F83105" w:rsidRDefault="00DF053C" w14:paraId="3768647C" w14:textId="6DF84484">
      <w:pPr>
        <w:pStyle w:val="ListParagraph"/>
        <w:numPr>
          <w:ilvl w:val="0"/>
          <w:numId w:val="30"/>
        </w:numPr>
        <w:rPr>
          <w:rFonts w:eastAsia="Times New Roman" w:cs="Calibri"/>
          <w:b/>
          <w:bCs/>
          <w:sz w:val="18"/>
          <w:szCs w:val="18"/>
        </w:rPr>
      </w:pPr>
      <w:r w:rsidRPr="00C04388">
        <w:rPr>
          <w:rFonts w:ascii="Verdana" w:hAnsi="Verdana" w:eastAsia="Times New Roman" w:cs="Calibri"/>
          <w:b/>
          <w:bCs/>
          <w:sz w:val="18"/>
          <w:szCs w:val="18"/>
        </w:rPr>
        <w:t>Zwarte lijsten</w:t>
      </w:r>
    </w:p>
    <w:p w:rsidRPr="00C04388" w:rsidR="00546161" w:rsidP="00F83105" w:rsidRDefault="00077189" w14:paraId="673F8AD4" w14:textId="3A546DD2">
      <w:pPr>
        <w:ind w:left="360"/>
        <w:rPr>
          <w:rFonts w:eastAsia="Times New Roman" w:cs="Calibri"/>
        </w:rPr>
      </w:pPr>
      <w:r w:rsidRPr="00C04388">
        <w:rPr>
          <w:rFonts w:eastAsia="Times New Roman" w:cs="Calibri"/>
        </w:rPr>
        <w:t xml:space="preserve">Een taskforce zal de mogelijkheden onderzoeken voor het delen van zwarte lijsten. </w:t>
      </w:r>
      <w:r w:rsidRPr="00C04388" w:rsidR="00546161">
        <w:rPr>
          <w:rFonts w:eastAsia="Times New Roman" w:cs="Calibri"/>
        </w:rPr>
        <w:t xml:space="preserve">Zwarte lijsten zijn interne lijsten van luchtvaartmaatschappijen met passagiers aan wie wegens ernstig wangedrag aan boord een (tijdelijk) vliegverbod is opgelegd. Momenteel worden deze lijsten door luchtvaartmaatschappijen afzonderlijk bijgehouden en niet structureel tussen maatschappijen gedeeld. KLM en Transavia delen sinds september 2022 onderling deze lijsten binnen hun concernstructuur. Door deze informatie-uitwisseling kunnen luchtvaartmaatschappijen vooraf beter inschatten of een passagier een risico vormt voor de orde en veiligheid aan boord of op de luchthaven, en waar nodig tijdig maatregelen treffen. Daarmee wordt niet alleen opgetreden ná incidenten, maar juist voorkomen dat nieuwe incidenten zich voordoen </w:t>
      </w:r>
    </w:p>
    <w:p w:rsidRPr="00C04388" w:rsidR="00546161" w:rsidP="00546161" w:rsidRDefault="00546161" w14:paraId="0BBDD1B8" w14:textId="77777777">
      <w:pPr>
        <w:spacing w:line="240" w:lineRule="auto"/>
        <w:rPr>
          <w:color w:val="auto"/>
        </w:rPr>
      </w:pPr>
    </w:p>
    <w:p w:rsidRPr="00C04388" w:rsidR="00546161" w:rsidP="00F83105" w:rsidRDefault="00546161" w14:paraId="0C232623" w14:textId="77777777">
      <w:pPr>
        <w:spacing w:line="240" w:lineRule="auto"/>
        <w:ind w:left="360"/>
        <w:rPr>
          <w:color w:val="auto"/>
        </w:rPr>
      </w:pPr>
      <w:r w:rsidRPr="00C04388">
        <w:rPr>
          <w:color w:val="auto"/>
        </w:rPr>
        <w:t xml:space="preserve">Tijdens de Transportraad van 8 juni jl. heb ik mijn zorgen over de problematiek rond ordeverstorende passagiers uitgesproken en aangegeven hoe het onderling delen van zwarte lijsten kan bijdragen aan het voorkomen van incidenten aan boord. Daarbij heb ik mede namens Hongarije, Estland en Polen de oproep gedaan om te onderzoeken hoe Europese luchtvaartmaatschappijen onderling zwarte lijsten kunnen delen, waarop Frankrijk, België en Roemenië hun steun hebben uitgesproken. Samen met deze EU lidstaten, de Europese Commissie, de European Union Aviation Safety Agency (EASA) en andere belanghebbende partijen zullen wij komende periode onderzoeken hoe wij het delen van zwarte lijsten vorm kunnen geven. </w:t>
      </w:r>
    </w:p>
    <w:p w:rsidRPr="00C04388" w:rsidR="00546161" w:rsidP="00546161" w:rsidRDefault="00546161" w14:paraId="3B7AB939" w14:textId="77777777">
      <w:pPr>
        <w:spacing w:line="240" w:lineRule="auto"/>
        <w:rPr>
          <w:color w:val="auto"/>
        </w:rPr>
      </w:pPr>
    </w:p>
    <w:p w:rsidRPr="00C04388" w:rsidR="00546161" w:rsidP="00F83105" w:rsidRDefault="00546161" w14:paraId="6E20957F" w14:textId="3A289A32">
      <w:pPr>
        <w:spacing w:line="240" w:lineRule="auto"/>
        <w:ind w:left="360"/>
        <w:rPr>
          <w:color w:val="auto"/>
        </w:rPr>
      </w:pPr>
      <w:r w:rsidRPr="00C04388">
        <w:rPr>
          <w:color w:val="auto"/>
        </w:rPr>
        <w:t xml:space="preserve">In dit verband zal ik de Europese Commissie formeel verzoeken om schriftelijk te bevestigen dat de Europese privacyregelgeving (GDPR)geen belemmering vormt voor het delen van deze lijsten binnen de geldende juridische kaders. Hiermee hoop ik eventuele twijfels bij andere lidstaten weg te nemen en meer steun te verkrijgen voor een gezamenlijke aanpak op dit dossier. </w:t>
      </w:r>
    </w:p>
    <w:p w:rsidRPr="00C04388" w:rsidR="00546161" w:rsidP="00546161" w:rsidRDefault="00546161" w14:paraId="73142883" w14:textId="77777777">
      <w:pPr>
        <w:spacing w:line="240" w:lineRule="auto"/>
        <w:rPr>
          <w:color w:val="auto"/>
        </w:rPr>
      </w:pPr>
    </w:p>
    <w:p w:rsidRPr="00C04388" w:rsidR="00546161" w:rsidP="00F83105" w:rsidRDefault="00546161" w14:paraId="676321B3" w14:textId="77777777">
      <w:pPr>
        <w:spacing w:line="240" w:lineRule="auto"/>
        <w:ind w:left="360"/>
        <w:rPr>
          <w:color w:val="auto"/>
        </w:rPr>
      </w:pPr>
      <w:r w:rsidRPr="00C04388">
        <w:rPr>
          <w:color w:val="auto"/>
        </w:rPr>
        <w:t>Het opstellen van het plan van aanpak voor het delen van zwarte lijsten tussen Europese luchtvaartmaatschappijen en de uitwerking en implementatie hiervan is voorzien voor 2026/2027.</w:t>
      </w:r>
    </w:p>
    <w:p w:rsidRPr="00C04388" w:rsidR="00546161" w:rsidP="00F83105" w:rsidRDefault="00546161" w14:paraId="462834B3" w14:textId="77777777">
      <w:pPr>
        <w:rPr>
          <w:rFonts w:eastAsia="Times New Roman" w:cs="Calibri"/>
        </w:rPr>
      </w:pPr>
    </w:p>
    <w:p w:rsidRPr="00C04388" w:rsidR="00DF18C7" w:rsidP="00DF18C7" w:rsidRDefault="00DF053C" w14:paraId="38FFCDAC" w14:textId="16106AC2">
      <w:pPr>
        <w:pStyle w:val="ListParagraph"/>
        <w:numPr>
          <w:ilvl w:val="0"/>
          <w:numId w:val="30"/>
        </w:numPr>
        <w:rPr>
          <w:rFonts w:ascii="Verdana" w:hAnsi="Verdana" w:eastAsia="Times New Roman" w:cs="Calibri"/>
          <w:b/>
          <w:bCs/>
          <w:sz w:val="18"/>
          <w:szCs w:val="18"/>
        </w:rPr>
      </w:pPr>
      <w:r w:rsidRPr="00C04388">
        <w:rPr>
          <w:rFonts w:ascii="Verdana" w:hAnsi="Verdana" w:eastAsia="Times New Roman" w:cs="Calibri"/>
          <w:b/>
          <w:bCs/>
          <w:sz w:val="18"/>
          <w:szCs w:val="18"/>
        </w:rPr>
        <w:t>Verkenning opleggen civielrechtelijke boetes door luchtvaartmaatschappijen</w:t>
      </w:r>
    </w:p>
    <w:p w:rsidRPr="00C04388" w:rsidR="00293633" w:rsidP="00DF18C7" w:rsidRDefault="00DF18C7" w14:paraId="7FA75BE0" w14:textId="4BBB66D7">
      <w:pPr>
        <w:ind w:left="360"/>
        <w:rPr>
          <w:rFonts w:eastAsia="Times New Roman" w:cs="Calibri"/>
        </w:rPr>
      </w:pPr>
      <w:r w:rsidRPr="00C04388">
        <w:rPr>
          <w:rFonts w:eastAsia="Times New Roman" w:cs="Calibri"/>
        </w:rPr>
        <w:t xml:space="preserve">Er </w:t>
      </w:r>
      <w:r w:rsidRPr="00C04388" w:rsidR="00293633">
        <w:t xml:space="preserve">wordt </w:t>
      </w:r>
      <w:r w:rsidRPr="00C04388" w:rsidR="00293633">
        <w:rPr>
          <w:rFonts w:eastAsia="Times New Roman" w:cs="Calibri"/>
        </w:rPr>
        <w:t xml:space="preserve">verkend of de SODA-aanpak (Service Organisatie Directe Aansprakelijkheid) kan worden toegepast. Dit principe, dat lijkt op boete-incasso in de retail- en supermarktsector, zou civielrechtelijke boetes naast strafrechtelijke vervolging mogelijk kunnen maken. Deze boete kan </w:t>
      </w:r>
      <w:r w:rsidRPr="00C04388" w:rsidR="00DF053C">
        <w:rPr>
          <w:rFonts w:eastAsia="Times New Roman" w:cs="Calibri"/>
        </w:rPr>
        <w:t xml:space="preserve">door een luchtvaartmaatschappij aan </w:t>
      </w:r>
      <w:r w:rsidRPr="00C04388" w:rsidR="00293633">
        <w:rPr>
          <w:rFonts w:eastAsia="Times New Roman" w:cs="Calibri"/>
        </w:rPr>
        <w:t xml:space="preserve">een ordeverstorende passagier worden opgelegd als extra afschrikking die kan bijdragen aan het verminderen van ongewenst gedrag. Met partijen zal gekeken worden </w:t>
      </w:r>
      <w:r w:rsidRPr="00C04388">
        <w:rPr>
          <w:rFonts w:eastAsia="Times New Roman" w:cs="Calibri"/>
        </w:rPr>
        <w:t xml:space="preserve">wat de hoogte van deze boete moet zijn en </w:t>
      </w:r>
      <w:r w:rsidRPr="00C04388" w:rsidR="00293633">
        <w:rPr>
          <w:rFonts w:eastAsia="Times New Roman" w:cs="Calibri"/>
        </w:rPr>
        <w:t>waar de opbrengsten van de boetes voor gebruikt zullen gaan worden.</w:t>
      </w:r>
    </w:p>
    <w:p w:rsidRPr="00C04388" w:rsidR="00546161" w:rsidP="00DF18C7" w:rsidRDefault="00546161" w14:paraId="66E70F84" w14:textId="77777777">
      <w:pPr>
        <w:ind w:left="360"/>
        <w:rPr>
          <w:rFonts w:eastAsia="Times New Roman" w:cs="Calibri"/>
        </w:rPr>
      </w:pPr>
    </w:p>
    <w:p w:rsidRPr="00C04388" w:rsidR="00546161" w:rsidP="00F83105" w:rsidRDefault="00DF053C" w14:paraId="7688E425" w14:textId="5DA235A4">
      <w:pPr>
        <w:rPr>
          <w:rFonts w:cs="Calibri"/>
        </w:rPr>
      </w:pPr>
      <w:r w:rsidRPr="00C04388">
        <w:rPr>
          <w:rFonts w:cs="Calibri"/>
        </w:rPr>
        <w:t>Ten slotte hebben de betrokken partijen afgesproken vaker en beter af te stemmen,</w:t>
      </w:r>
      <w:r w:rsidRPr="00C04388" w:rsidR="00546161">
        <w:rPr>
          <w:rFonts w:cs="Calibri"/>
        </w:rPr>
        <w:t xml:space="preserve"> zodat er sneller geschakeld kan worden indien nieuwe maatregelen genomen moeten worden.</w:t>
      </w:r>
    </w:p>
    <w:p w:rsidRPr="00C04388" w:rsidR="00546161" w:rsidP="00546161" w:rsidRDefault="00546161" w14:paraId="2A1F134A" w14:textId="77777777">
      <w:pPr>
        <w:ind w:left="360"/>
        <w:rPr>
          <w:rFonts w:cs="Calibri"/>
        </w:rPr>
      </w:pPr>
    </w:p>
    <w:p w:rsidRPr="00C04388" w:rsidR="00BB775D" w:rsidP="00BB775D" w:rsidRDefault="00535162" w14:paraId="0667B1CB" w14:textId="00ABCAF6">
      <w:pPr>
        <w:spacing w:line="240" w:lineRule="auto"/>
        <w:rPr>
          <w:color w:val="auto"/>
        </w:rPr>
      </w:pPr>
      <w:r w:rsidRPr="00C04388">
        <w:rPr>
          <w:color w:val="auto"/>
        </w:rPr>
        <w:t xml:space="preserve">Het doel van </w:t>
      </w:r>
      <w:r w:rsidRPr="00C04388" w:rsidR="00BB775D">
        <w:rPr>
          <w:color w:val="auto"/>
        </w:rPr>
        <w:t xml:space="preserve">deze integrale aanpak </w:t>
      </w:r>
      <w:r w:rsidRPr="00C04388">
        <w:rPr>
          <w:color w:val="auto"/>
        </w:rPr>
        <w:t xml:space="preserve">is het verminderen van het </w:t>
      </w:r>
      <w:r w:rsidRPr="00C04388" w:rsidR="00BB775D">
        <w:rPr>
          <w:color w:val="auto"/>
        </w:rPr>
        <w:t xml:space="preserve">aantal voorvallen met ordeverstorende passagiers. Om goed te kunnen monitoren of de maatregelen het gewenste effect hebben, is het van belang dat melding wordt gemaakt van incidenten bij de ILT-luchtvaartautoriteit. </w:t>
      </w:r>
      <w:r w:rsidRPr="00C04388" w:rsidR="00E7328F">
        <w:rPr>
          <w:color w:val="auto"/>
        </w:rPr>
        <w:t xml:space="preserve">De ILT-luchtvaartautoriteit heeft </w:t>
      </w:r>
      <w:r w:rsidRPr="00C04388" w:rsidR="00BB775D">
        <w:rPr>
          <w:color w:val="auto"/>
        </w:rPr>
        <w:t xml:space="preserve">afgelopen jaren een lichte stijging gezien van het aantal meldingen. </w:t>
      </w:r>
      <w:r w:rsidRPr="00C04388" w:rsidR="00572486">
        <w:rPr>
          <w:color w:val="auto"/>
        </w:rPr>
        <w:t>Deze stijging zou kunnen samenhangen met het groeiend aantal passagiers in de luchtvaart, maar zou ook verklaard kunnen worden door een grotere meldingsbereidheid binnen de sector</w:t>
      </w:r>
      <w:r w:rsidRPr="00C04388" w:rsidR="00BB775D">
        <w:rPr>
          <w:color w:val="auto"/>
        </w:rPr>
        <w:t>. Het is van belang dat de sector voorvallen met ordeverstorende passagiers blijft melden bij de ILT-luchtvaartautoriteit om een goed beeld te krijgen o</w:t>
      </w:r>
      <w:r w:rsidRPr="00C04388">
        <w:rPr>
          <w:color w:val="auto"/>
        </w:rPr>
        <w:t>f</w:t>
      </w:r>
      <w:r w:rsidRPr="00C04388" w:rsidR="00BB775D">
        <w:rPr>
          <w:color w:val="auto"/>
        </w:rPr>
        <w:t xml:space="preserve"> de integrale aanpak aanslaat.</w:t>
      </w:r>
    </w:p>
    <w:p w:rsidRPr="00C04388" w:rsidR="00BB775D" w:rsidP="00BB775D" w:rsidRDefault="00BB775D" w14:paraId="0A69F778" w14:textId="77777777">
      <w:pPr>
        <w:spacing w:line="240" w:lineRule="auto"/>
        <w:rPr>
          <w:color w:val="auto"/>
        </w:rPr>
      </w:pPr>
    </w:p>
    <w:p w:rsidRPr="00C04388" w:rsidR="00BB775D" w:rsidP="00C45267" w:rsidRDefault="00BB775D" w14:paraId="25E110E5" w14:textId="5246AA19">
      <w:pPr>
        <w:spacing w:line="240" w:lineRule="auto"/>
        <w:rPr>
          <w:color w:val="auto"/>
        </w:rPr>
      </w:pPr>
      <w:r w:rsidRPr="00C04388">
        <w:rPr>
          <w:color w:val="auto"/>
        </w:rPr>
        <w:t xml:space="preserve">De betrokken partijen </w:t>
      </w:r>
      <w:r w:rsidRPr="00C04388" w:rsidR="00D36129">
        <w:rPr>
          <w:color w:val="auto"/>
        </w:rPr>
        <w:t xml:space="preserve">zetten </w:t>
      </w:r>
      <w:r w:rsidRPr="00C04388">
        <w:rPr>
          <w:color w:val="auto"/>
        </w:rPr>
        <w:t>zich onverminderd in om het aantal voorvallen met ordevers</w:t>
      </w:r>
      <w:r w:rsidRPr="00C04388" w:rsidR="00535162">
        <w:rPr>
          <w:color w:val="auto"/>
        </w:rPr>
        <w:t>t</w:t>
      </w:r>
      <w:r w:rsidRPr="00C04388">
        <w:rPr>
          <w:color w:val="auto"/>
        </w:rPr>
        <w:t>orende passagiers te verminderen</w:t>
      </w:r>
      <w:r w:rsidRPr="00C04388" w:rsidR="00D36129">
        <w:rPr>
          <w:color w:val="auto"/>
        </w:rPr>
        <w:t xml:space="preserve">. Het moet duidelijk zijn dat </w:t>
      </w:r>
      <w:r w:rsidRPr="00C04388">
        <w:rPr>
          <w:color w:val="auto"/>
        </w:rPr>
        <w:t xml:space="preserve">dergelijk gedrag niet wordt getolereerd. </w:t>
      </w:r>
      <w:r w:rsidRPr="00C04388" w:rsidR="00C45267">
        <w:rPr>
          <w:color w:val="auto"/>
        </w:rPr>
        <w:t>De concrete doelstelling die ik hierbij voor ogen heb</w:t>
      </w:r>
      <w:r w:rsidRPr="00C04388" w:rsidR="007C48C7">
        <w:rPr>
          <w:color w:val="auto"/>
        </w:rPr>
        <w:t>,</w:t>
      </w:r>
      <w:r w:rsidRPr="00C04388" w:rsidR="00C45267">
        <w:rPr>
          <w:color w:val="auto"/>
        </w:rPr>
        <w:t xml:space="preserve"> is dat we na jaren van een stijgende trend van incidenten, vanaf 2027 een dalende trend zien. </w:t>
      </w:r>
      <w:r w:rsidRPr="00C04388">
        <w:rPr>
          <w:color w:val="auto"/>
        </w:rPr>
        <w:t>Alleen door gezamenlijke inspanning kan de veiligheid en het respect in de luchtvaart worden gewaarborgd.</w:t>
      </w:r>
    </w:p>
    <w:p w:rsidRPr="00C04388" w:rsidR="00BB775D" w:rsidP="00BB775D" w:rsidRDefault="00BB775D" w14:paraId="242A4C9B" w14:textId="77777777">
      <w:pPr>
        <w:spacing w:line="240" w:lineRule="auto"/>
        <w:rPr>
          <w:color w:val="auto"/>
        </w:rPr>
      </w:pPr>
    </w:p>
    <w:p w:rsidRPr="00C04388" w:rsidR="004574A9" w:rsidP="004574A9" w:rsidRDefault="004574A9" w14:paraId="578BCEC7" w14:textId="77777777"/>
    <w:p w:rsidRPr="00C04388" w:rsidR="00A3488F" w:rsidRDefault="0019067A" w14:paraId="5CE04D97" w14:textId="77777777">
      <w:pPr>
        <w:pStyle w:val="Slotzin"/>
      </w:pPr>
      <w:r w:rsidRPr="00C04388">
        <w:t>Hoogachtend,</w:t>
      </w:r>
    </w:p>
    <w:p w:rsidRPr="00C04388" w:rsidR="00A3488F" w:rsidRDefault="0019067A" w14:paraId="240D8874" w14:textId="77777777">
      <w:pPr>
        <w:pStyle w:val="OndertekeningArea1"/>
      </w:pPr>
      <w:r w:rsidRPr="00C04388">
        <w:t>DE MINISTER VAN INFRASTRUCTUUR EN WATERSTAAT,</w:t>
      </w:r>
    </w:p>
    <w:p w:rsidRPr="00C04388" w:rsidR="00A3488F" w:rsidRDefault="00A3488F" w14:paraId="36388183" w14:textId="77777777"/>
    <w:p w:rsidRPr="00C04388" w:rsidR="00A3488F" w:rsidRDefault="00A3488F" w14:paraId="30CD6159" w14:textId="77777777"/>
    <w:p w:rsidRPr="00C04388" w:rsidR="00A84BAD" w:rsidRDefault="00A84BAD" w14:paraId="38BB93DC" w14:textId="77777777"/>
    <w:p w:rsidRPr="00C04388" w:rsidR="00A3488F" w:rsidRDefault="00A3488F" w14:paraId="521C563E" w14:textId="77777777"/>
    <w:p w:rsidRPr="00C04388" w:rsidR="00A3488F" w:rsidRDefault="00A84BAD" w14:paraId="24256A3B" w14:textId="5A62BC38">
      <w:r w:rsidRPr="00C04388">
        <w:t>Vincent Karremans</w:t>
      </w:r>
    </w:p>
    <w:p w:rsidRPr="00C04388" w:rsidR="00A3488F" w:rsidRDefault="00A3488F" w14:paraId="4A692DE1" w14:textId="68022073"/>
    <w:p w:rsidRPr="00C04388" w:rsidR="00293633" w:rsidRDefault="00293633" w14:paraId="049C286C" w14:textId="77777777"/>
    <w:p w:rsidRPr="00C04388" w:rsidR="00293633" w:rsidRDefault="00293633" w14:paraId="56997752" w14:textId="64C07296"/>
    <w:sectPr w:rsidRPr="00C04388" w:rsidR="0029363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6A451" w14:textId="77777777" w:rsidR="00DA52D1" w:rsidRDefault="00DA52D1">
      <w:pPr>
        <w:spacing w:line="240" w:lineRule="auto"/>
      </w:pPr>
      <w:r>
        <w:separator/>
      </w:r>
    </w:p>
  </w:endnote>
  <w:endnote w:type="continuationSeparator" w:id="0">
    <w:p w14:paraId="038D437F" w14:textId="77777777" w:rsidR="00DA52D1" w:rsidRDefault="00DA5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4F7AB" w14:textId="77777777" w:rsidR="00DA52D1" w:rsidRDefault="00DA52D1">
      <w:pPr>
        <w:spacing w:line="240" w:lineRule="auto"/>
      </w:pPr>
      <w:r>
        <w:separator/>
      </w:r>
    </w:p>
  </w:footnote>
  <w:footnote w:type="continuationSeparator" w:id="0">
    <w:p w14:paraId="316235DE" w14:textId="77777777" w:rsidR="00DA52D1" w:rsidRDefault="00DA52D1">
      <w:pPr>
        <w:spacing w:line="240" w:lineRule="auto"/>
      </w:pPr>
      <w:r>
        <w:continuationSeparator/>
      </w:r>
    </w:p>
  </w:footnote>
  <w:footnote w:id="1">
    <w:p w14:paraId="51925BA8" w14:textId="0C0D9ACD" w:rsidR="00525894" w:rsidRPr="00717E08" w:rsidRDefault="00525894">
      <w:pPr>
        <w:pStyle w:val="FootnoteText"/>
        <w:rPr>
          <w:sz w:val="16"/>
          <w:szCs w:val="16"/>
        </w:rPr>
      </w:pPr>
      <w:r w:rsidRPr="00717E08">
        <w:rPr>
          <w:rStyle w:val="FootnoteReference"/>
          <w:sz w:val="16"/>
          <w:szCs w:val="16"/>
        </w:rPr>
        <w:footnoteRef/>
      </w:r>
      <w:r w:rsidRPr="00717E08">
        <w:rPr>
          <w:sz w:val="16"/>
          <w:szCs w:val="16"/>
        </w:rPr>
        <w:t xml:space="preserve"> </w:t>
      </w:r>
      <w:r w:rsidR="000A1472" w:rsidRPr="00B92C8F">
        <w:rPr>
          <w:sz w:val="16"/>
          <w:szCs w:val="16"/>
        </w:rPr>
        <w:t xml:space="preserve">Toezegging nummer: </w:t>
      </w:r>
      <w:r w:rsidRPr="00B92C8F">
        <w:rPr>
          <w:color w:val="auto"/>
          <w:sz w:val="16"/>
          <w:szCs w:val="16"/>
        </w:rPr>
        <w:t>TZ202501-049</w:t>
      </w:r>
      <w:r w:rsidR="00D63A98" w:rsidRPr="00B92C8F">
        <w:rPr>
          <w:color w:val="auto"/>
          <w:sz w:val="16"/>
          <w:szCs w:val="16"/>
        </w:rPr>
        <w:t>; Tweede Kamer, vergaderjaar 2025–2026, 31 936, nr. 1246</w:t>
      </w:r>
      <w:r w:rsidR="007828E7" w:rsidRPr="00B92C8F">
        <w:rPr>
          <w:color w:val="auto"/>
          <w:sz w:val="16"/>
          <w:szCs w:val="16"/>
        </w:rPr>
        <w:t>.</w:t>
      </w:r>
    </w:p>
  </w:footnote>
  <w:footnote w:id="2">
    <w:p w14:paraId="6F8DB1AE" w14:textId="10934942" w:rsidR="007B55DC" w:rsidRPr="00F83105" w:rsidRDefault="007B55DC" w:rsidP="007B55DC">
      <w:pPr>
        <w:pStyle w:val="FootnoteText"/>
        <w:rPr>
          <w:sz w:val="16"/>
          <w:szCs w:val="16"/>
        </w:rPr>
      </w:pPr>
      <w:r w:rsidRPr="00B92C8F">
        <w:rPr>
          <w:rStyle w:val="FootnoteReference"/>
          <w:sz w:val="16"/>
          <w:szCs w:val="16"/>
        </w:rPr>
        <w:footnoteRef/>
      </w:r>
      <w:r w:rsidRPr="00B92C8F">
        <w:rPr>
          <w:sz w:val="16"/>
          <w:szCs w:val="16"/>
        </w:rPr>
        <w:t xml:space="preserve"> Tweede Kamer, vergaderjaar 2025–2026, 31 936, nr. 1246.</w:t>
      </w:r>
      <w:r w:rsidRPr="00F83105">
        <w:rPr>
          <w:sz w:val="16"/>
          <w:szCs w:val="16"/>
        </w:rPr>
        <w:t xml:space="preserve">  </w:t>
      </w:r>
    </w:p>
  </w:footnote>
  <w:footnote w:id="3">
    <w:p w14:paraId="4FB6696D" w14:textId="6943835C" w:rsidR="00B92C8F" w:rsidRDefault="00B92C8F">
      <w:pPr>
        <w:pStyle w:val="FootnoteText"/>
      </w:pPr>
      <w:r>
        <w:rPr>
          <w:rStyle w:val="FootnoteReference"/>
        </w:rPr>
        <w:footnoteRef/>
      </w:r>
      <w:r>
        <w:t xml:space="preserve"> </w:t>
      </w:r>
      <w:r w:rsidRPr="00717E08">
        <w:rPr>
          <w:sz w:val="16"/>
          <w:szCs w:val="16"/>
        </w:rPr>
        <w:t xml:space="preserve">Tweede Kamer, vergaderjaar 2024 – 2025, </w:t>
      </w:r>
      <w:r w:rsidR="00013FBA" w:rsidRPr="00717E08">
        <w:rPr>
          <w:sz w:val="16"/>
          <w:szCs w:val="16"/>
        </w:rPr>
        <w:t>31936, nr. 1182.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4515" w14:textId="77777777" w:rsidR="00A3488F" w:rsidRDefault="0019067A">
    <w:r>
      <w:rPr>
        <w:noProof/>
        <w:lang w:val="en-GB" w:eastAsia="en-GB"/>
      </w:rPr>
      <mc:AlternateContent>
        <mc:Choice Requires="wps">
          <w:drawing>
            <wp:anchor distT="0" distB="0" distL="0" distR="0" simplePos="0" relativeHeight="251651584" behindDoc="0" locked="1" layoutInCell="1" allowOverlap="1" wp14:anchorId="470B8F4E" wp14:editId="21857BA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BB0A39" w14:textId="77777777" w:rsidR="00A3488F" w:rsidRDefault="0019067A">
                          <w:pPr>
                            <w:pStyle w:val="AfzendgegevensKop0"/>
                          </w:pPr>
                          <w:r>
                            <w:t>Ministerie van Infrastructuur en Waterstaat</w:t>
                          </w:r>
                        </w:p>
                        <w:p w14:paraId="144B78CB" w14:textId="77777777" w:rsidR="00712A32" w:rsidRDefault="00712A32" w:rsidP="00712A32"/>
                        <w:p w14:paraId="39CDBA13" w14:textId="050B15B8" w:rsidR="00712A32" w:rsidRDefault="00712A32" w:rsidP="00712A32">
                          <w:pPr>
                            <w:spacing w:line="276" w:lineRule="auto"/>
                            <w:rPr>
                              <w:bCs/>
                              <w:sz w:val="13"/>
                              <w:szCs w:val="13"/>
                            </w:rPr>
                          </w:pPr>
                          <w:r w:rsidRPr="00FA28D8">
                            <w:rPr>
                              <w:b/>
                              <w:sz w:val="13"/>
                              <w:szCs w:val="13"/>
                            </w:rPr>
                            <w:t>Ons kenmerk</w:t>
                          </w:r>
                          <w:r>
                            <w:rPr>
                              <w:b/>
                              <w:sz w:val="13"/>
                              <w:szCs w:val="13"/>
                            </w:rPr>
                            <w:br/>
                          </w:r>
                          <w:r w:rsidR="00245402" w:rsidRPr="00245402">
                            <w:rPr>
                              <w:bCs/>
                              <w:sz w:val="13"/>
                              <w:szCs w:val="13"/>
                            </w:rPr>
                            <w:t>IENW/BSK-2026/114283</w:t>
                          </w:r>
                        </w:p>
                        <w:p w14:paraId="120736CB" w14:textId="77777777" w:rsidR="00712A32" w:rsidRPr="00712A32" w:rsidRDefault="00712A32" w:rsidP="00712A32"/>
                      </w:txbxContent>
                    </wps:txbx>
                    <wps:bodyPr vert="horz" wrap="square" lIns="0" tIns="0" rIns="0" bIns="0" anchor="t" anchorCtr="0"/>
                  </wps:wsp>
                </a:graphicData>
              </a:graphic>
            </wp:anchor>
          </w:drawing>
        </mc:Choice>
        <mc:Fallback>
          <w:pict>
            <v:shapetype w14:anchorId="470B8F4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BB0A39" w14:textId="77777777" w:rsidR="00A3488F" w:rsidRDefault="0019067A">
                    <w:pPr>
                      <w:pStyle w:val="AfzendgegevensKop0"/>
                    </w:pPr>
                    <w:r>
                      <w:t>Ministerie van Infrastructuur en Waterstaat</w:t>
                    </w:r>
                  </w:p>
                  <w:p w14:paraId="144B78CB" w14:textId="77777777" w:rsidR="00712A32" w:rsidRDefault="00712A32" w:rsidP="00712A32"/>
                  <w:p w14:paraId="39CDBA13" w14:textId="050B15B8" w:rsidR="00712A32" w:rsidRDefault="00712A32" w:rsidP="00712A32">
                    <w:pPr>
                      <w:spacing w:line="276" w:lineRule="auto"/>
                      <w:rPr>
                        <w:bCs/>
                        <w:sz w:val="13"/>
                        <w:szCs w:val="13"/>
                      </w:rPr>
                    </w:pPr>
                    <w:r w:rsidRPr="00FA28D8">
                      <w:rPr>
                        <w:b/>
                        <w:sz w:val="13"/>
                        <w:szCs w:val="13"/>
                      </w:rPr>
                      <w:t>Ons kenmerk</w:t>
                    </w:r>
                    <w:r>
                      <w:rPr>
                        <w:b/>
                        <w:sz w:val="13"/>
                        <w:szCs w:val="13"/>
                      </w:rPr>
                      <w:br/>
                    </w:r>
                    <w:r w:rsidR="00245402" w:rsidRPr="00245402">
                      <w:rPr>
                        <w:bCs/>
                        <w:sz w:val="13"/>
                        <w:szCs w:val="13"/>
                      </w:rPr>
                      <w:t>IENW/BSK-2026/114283</w:t>
                    </w:r>
                  </w:p>
                  <w:p w14:paraId="120736CB" w14:textId="77777777" w:rsidR="00712A32" w:rsidRPr="00712A32" w:rsidRDefault="00712A32" w:rsidP="00712A32"/>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E67B9C" wp14:editId="5D20C86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A89E47" w14:textId="77777777" w:rsidR="00A3488F" w:rsidRDefault="0019067A">
                          <w:pPr>
                            <w:pStyle w:val="Referentiegegevens"/>
                          </w:pPr>
                          <w:r>
                            <w:t xml:space="preserve">Page </w:t>
                          </w:r>
                          <w:r>
                            <w:fldChar w:fldCharType="begin"/>
                          </w:r>
                          <w:r>
                            <w:instrText>PAGE</w:instrText>
                          </w:r>
                          <w:r>
                            <w:fldChar w:fldCharType="separate"/>
                          </w:r>
                          <w:r w:rsidR="00DD31F1">
                            <w:rPr>
                              <w:noProof/>
                            </w:rPr>
                            <w:t>1</w:t>
                          </w:r>
                          <w:r>
                            <w:fldChar w:fldCharType="end"/>
                          </w:r>
                          <w:r>
                            <w:t xml:space="preserve"> of </w:t>
                          </w:r>
                          <w:r>
                            <w:fldChar w:fldCharType="begin"/>
                          </w:r>
                          <w:r>
                            <w:instrText>NUMPAGES</w:instrText>
                          </w:r>
                          <w:r>
                            <w:fldChar w:fldCharType="separate"/>
                          </w:r>
                          <w:r w:rsidR="00DD31F1">
                            <w:rPr>
                              <w:noProof/>
                            </w:rPr>
                            <w:t>1</w:t>
                          </w:r>
                          <w:r>
                            <w:fldChar w:fldCharType="end"/>
                          </w:r>
                        </w:p>
                      </w:txbxContent>
                    </wps:txbx>
                    <wps:bodyPr vert="horz" wrap="square" lIns="0" tIns="0" rIns="0" bIns="0" anchor="t" anchorCtr="0"/>
                  </wps:wsp>
                </a:graphicData>
              </a:graphic>
            </wp:anchor>
          </w:drawing>
        </mc:Choice>
        <mc:Fallback>
          <w:pict>
            <v:shape w14:anchorId="18E67B9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AA89E47" w14:textId="77777777" w:rsidR="00A3488F" w:rsidRDefault="0019067A">
                    <w:pPr>
                      <w:pStyle w:val="Referentiegegevens"/>
                    </w:pPr>
                    <w:r>
                      <w:t xml:space="preserve">Page </w:t>
                    </w:r>
                    <w:r>
                      <w:fldChar w:fldCharType="begin"/>
                    </w:r>
                    <w:r>
                      <w:instrText>PAGE</w:instrText>
                    </w:r>
                    <w:r>
                      <w:fldChar w:fldCharType="separate"/>
                    </w:r>
                    <w:r w:rsidR="00DD31F1">
                      <w:rPr>
                        <w:noProof/>
                      </w:rPr>
                      <w:t>1</w:t>
                    </w:r>
                    <w:r>
                      <w:fldChar w:fldCharType="end"/>
                    </w:r>
                    <w:r>
                      <w:t xml:space="preserve"> of </w:t>
                    </w:r>
                    <w:r>
                      <w:fldChar w:fldCharType="begin"/>
                    </w:r>
                    <w:r>
                      <w:instrText>NUMPAGES</w:instrText>
                    </w:r>
                    <w:r>
                      <w:fldChar w:fldCharType="separate"/>
                    </w:r>
                    <w:r w:rsidR="00DD31F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B4916C" wp14:editId="233BC80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9DA675" w14:textId="77777777" w:rsidR="00C019FC" w:rsidRDefault="00C019FC"/>
                      </w:txbxContent>
                    </wps:txbx>
                    <wps:bodyPr vert="horz" wrap="square" lIns="0" tIns="0" rIns="0" bIns="0" anchor="t" anchorCtr="0"/>
                  </wps:wsp>
                </a:graphicData>
              </a:graphic>
            </wp:anchor>
          </w:drawing>
        </mc:Choice>
        <mc:Fallback>
          <w:pict>
            <v:shape w14:anchorId="4DB4916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29DA675" w14:textId="77777777" w:rsidR="00C019FC" w:rsidRDefault="00C019F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776A989" wp14:editId="2E52CE8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F74053" w14:textId="77777777" w:rsidR="00C019FC" w:rsidRDefault="00C019FC"/>
                      </w:txbxContent>
                    </wps:txbx>
                    <wps:bodyPr vert="horz" wrap="square" lIns="0" tIns="0" rIns="0" bIns="0" anchor="t" anchorCtr="0"/>
                  </wps:wsp>
                </a:graphicData>
              </a:graphic>
            </wp:anchor>
          </w:drawing>
        </mc:Choice>
        <mc:Fallback>
          <w:pict>
            <v:shape w14:anchorId="4776A98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EF74053" w14:textId="77777777" w:rsidR="00C019FC" w:rsidRDefault="00C019FC"/>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19AD" w14:textId="77777777" w:rsidR="00A3488F" w:rsidRDefault="0019067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9CAD2A3" wp14:editId="34FF81C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035420" w14:textId="77777777" w:rsidR="00C019FC" w:rsidRDefault="00C019FC"/>
                      </w:txbxContent>
                    </wps:txbx>
                    <wps:bodyPr vert="horz" wrap="square" lIns="0" tIns="0" rIns="0" bIns="0" anchor="t" anchorCtr="0"/>
                  </wps:wsp>
                </a:graphicData>
              </a:graphic>
            </wp:anchor>
          </w:drawing>
        </mc:Choice>
        <mc:Fallback>
          <w:pict>
            <v:shapetype w14:anchorId="39CAD2A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3035420" w14:textId="77777777" w:rsidR="00C019FC" w:rsidRDefault="00C019F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9223224" wp14:editId="3FEA652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967D40" w14:textId="6DA402A3" w:rsidR="00A3488F" w:rsidRDefault="0019067A">
                          <w:pPr>
                            <w:pStyle w:val="Referentiegegevens"/>
                          </w:pPr>
                          <w:r>
                            <w:t xml:space="preserve">Page </w:t>
                          </w:r>
                          <w:r>
                            <w:fldChar w:fldCharType="begin"/>
                          </w:r>
                          <w:r>
                            <w:instrText>PAGE</w:instrText>
                          </w:r>
                          <w:r>
                            <w:fldChar w:fldCharType="separate"/>
                          </w:r>
                          <w:r w:rsidR="00874C19">
                            <w:rPr>
                              <w:noProof/>
                            </w:rPr>
                            <w:t>1</w:t>
                          </w:r>
                          <w:r>
                            <w:fldChar w:fldCharType="end"/>
                          </w:r>
                          <w:r>
                            <w:t xml:space="preserve"> of </w:t>
                          </w:r>
                          <w:r>
                            <w:fldChar w:fldCharType="begin"/>
                          </w:r>
                          <w:r>
                            <w:instrText>NUMPAGES</w:instrText>
                          </w:r>
                          <w:r>
                            <w:fldChar w:fldCharType="separate"/>
                          </w:r>
                          <w:r w:rsidR="00874C19">
                            <w:rPr>
                              <w:noProof/>
                            </w:rPr>
                            <w:t>1</w:t>
                          </w:r>
                          <w:r>
                            <w:fldChar w:fldCharType="end"/>
                          </w:r>
                        </w:p>
                      </w:txbxContent>
                    </wps:txbx>
                    <wps:bodyPr vert="horz" wrap="square" lIns="0" tIns="0" rIns="0" bIns="0" anchor="t" anchorCtr="0"/>
                  </wps:wsp>
                </a:graphicData>
              </a:graphic>
            </wp:anchor>
          </w:drawing>
        </mc:Choice>
        <mc:Fallback>
          <w:pict>
            <v:shape w14:anchorId="4922322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6967D40" w14:textId="6DA402A3" w:rsidR="00A3488F" w:rsidRDefault="0019067A">
                    <w:pPr>
                      <w:pStyle w:val="Referentiegegevens"/>
                    </w:pPr>
                    <w:r>
                      <w:t xml:space="preserve">Page </w:t>
                    </w:r>
                    <w:r>
                      <w:fldChar w:fldCharType="begin"/>
                    </w:r>
                    <w:r>
                      <w:instrText>PAGE</w:instrText>
                    </w:r>
                    <w:r>
                      <w:fldChar w:fldCharType="separate"/>
                    </w:r>
                    <w:r w:rsidR="00874C19">
                      <w:rPr>
                        <w:noProof/>
                      </w:rPr>
                      <w:t>1</w:t>
                    </w:r>
                    <w:r>
                      <w:fldChar w:fldCharType="end"/>
                    </w:r>
                    <w:r>
                      <w:t xml:space="preserve"> of </w:t>
                    </w:r>
                    <w:r>
                      <w:fldChar w:fldCharType="begin"/>
                    </w:r>
                    <w:r>
                      <w:instrText>NUMPAGES</w:instrText>
                    </w:r>
                    <w:r>
                      <w:fldChar w:fldCharType="separate"/>
                    </w:r>
                    <w:r w:rsidR="00874C1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E381783" wp14:editId="68EABDD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E20A63" w14:textId="77777777" w:rsidR="00A3488F" w:rsidRDefault="0019067A">
                          <w:pPr>
                            <w:pStyle w:val="AfzendgegevensKop0"/>
                          </w:pPr>
                          <w:r>
                            <w:t>Ministerie van Infrastructuur en Waterstaat</w:t>
                          </w:r>
                        </w:p>
                        <w:p w14:paraId="43B5570D" w14:textId="77777777" w:rsidR="00A3488F" w:rsidRDefault="00A3488F">
                          <w:pPr>
                            <w:pStyle w:val="WitregelW1"/>
                          </w:pPr>
                        </w:p>
                        <w:p w14:paraId="1ED95475" w14:textId="77777777" w:rsidR="00A3488F" w:rsidRDefault="0019067A">
                          <w:pPr>
                            <w:pStyle w:val="Afzendgegevens"/>
                          </w:pPr>
                          <w:r>
                            <w:t>Rijnstraat 8</w:t>
                          </w:r>
                        </w:p>
                        <w:p w14:paraId="1289D1F7" w14:textId="6A6A43ED" w:rsidR="00A3488F" w:rsidRPr="00DD31F1" w:rsidRDefault="0019067A">
                          <w:pPr>
                            <w:pStyle w:val="Afzendgegevens"/>
                            <w:rPr>
                              <w:lang w:val="de-DE"/>
                            </w:rPr>
                          </w:pPr>
                          <w:r w:rsidRPr="00DD31F1">
                            <w:rPr>
                              <w:lang w:val="de-DE"/>
                            </w:rPr>
                            <w:t xml:space="preserve">2515 </w:t>
                          </w:r>
                          <w:r w:rsidR="00712A32" w:rsidRPr="00DD31F1">
                            <w:rPr>
                              <w:lang w:val="de-DE"/>
                            </w:rPr>
                            <w:t>XP Den</w:t>
                          </w:r>
                          <w:r w:rsidRPr="00DD31F1">
                            <w:rPr>
                              <w:lang w:val="de-DE"/>
                            </w:rPr>
                            <w:t xml:space="preserve"> Haag</w:t>
                          </w:r>
                        </w:p>
                        <w:p w14:paraId="4C48B2D1" w14:textId="77777777" w:rsidR="00A3488F" w:rsidRPr="00DD31F1" w:rsidRDefault="0019067A">
                          <w:pPr>
                            <w:pStyle w:val="Afzendgegevens"/>
                            <w:rPr>
                              <w:lang w:val="de-DE"/>
                            </w:rPr>
                          </w:pPr>
                          <w:r w:rsidRPr="00DD31F1">
                            <w:rPr>
                              <w:lang w:val="de-DE"/>
                            </w:rPr>
                            <w:t>Postbus 20901</w:t>
                          </w:r>
                        </w:p>
                        <w:p w14:paraId="1C00DDB6" w14:textId="77777777" w:rsidR="00A3488F" w:rsidRPr="00DD31F1" w:rsidRDefault="0019067A">
                          <w:pPr>
                            <w:pStyle w:val="Afzendgegevens"/>
                            <w:rPr>
                              <w:lang w:val="de-DE"/>
                            </w:rPr>
                          </w:pPr>
                          <w:r w:rsidRPr="00DD31F1">
                            <w:rPr>
                              <w:lang w:val="de-DE"/>
                            </w:rPr>
                            <w:t>2500 EX Den Haag</w:t>
                          </w:r>
                        </w:p>
                        <w:p w14:paraId="6846442A" w14:textId="77777777" w:rsidR="00A3488F" w:rsidRPr="00DD31F1" w:rsidRDefault="00A3488F">
                          <w:pPr>
                            <w:pStyle w:val="WitregelW1"/>
                            <w:rPr>
                              <w:lang w:val="de-DE"/>
                            </w:rPr>
                          </w:pPr>
                        </w:p>
                        <w:p w14:paraId="6AB1F02C" w14:textId="77777777" w:rsidR="00A3488F" w:rsidRPr="00DD31F1" w:rsidRDefault="0019067A">
                          <w:pPr>
                            <w:pStyle w:val="Afzendgegevens"/>
                            <w:rPr>
                              <w:lang w:val="de-DE"/>
                            </w:rPr>
                          </w:pPr>
                          <w:r w:rsidRPr="00DD31F1">
                            <w:rPr>
                              <w:lang w:val="de-DE"/>
                            </w:rPr>
                            <w:t>T   070-456 0000</w:t>
                          </w:r>
                        </w:p>
                        <w:p w14:paraId="4757BDEC" w14:textId="77777777" w:rsidR="00A3488F" w:rsidRDefault="0019067A">
                          <w:pPr>
                            <w:pStyle w:val="Afzendgegevens"/>
                          </w:pPr>
                          <w:r>
                            <w:t>F   070-456 1111</w:t>
                          </w:r>
                        </w:p>
                        <w:p w14:paraId="4D7A3D59" w14:textId="77777777" w:rsidR="00FA28D8" w:rsidRDefault="00FA28D8" w:rsidP="00FA28D8"/>
                        <w:p w14:paraId="2065F761" w14:textId="1894005A" w:rsidR="00FA28D8" w:rsidRDefault="00FA28D8" w:rsidP="00712A32">
                          <w:pPr>
                            <w:spacing w:line="276" w:lineRule="auto"/>
                            <w:rPr>
                              <w:bCs/>
                              <w:sz w:val="13"/>
                              <w:szCs w:val="13"/>
                            </w:rPr>
                          </w:pPr>
                          <w:r w:rsidRPr="00FA28D8">
                            <w:rPr>
                              <w:b/>
                              <w:sz w:val="13"/>
                              <w:szCs w:val="13"/>
                            </w:rPr>
                            <w:t>Ons kenmerk</w:t>
                          </w:r>
                          <w:r>
                            <w:rPr>
                              <w:b/>
                              <w:sz w:val="13"/>
                              <w:szCs w:val="13"/>
                            </w:rPr>
                            <w:br/>
                          </w:r>
                          <w:r w:rsidR="00245402" w:rsidRPr="00245402">
                            <w:rPr>
                              <w:bCs/>
                              <w:sz w:val="13"/>
                              <w:szCs w:val="13"/>
                            </w:rPr>
                            <w:t>IENW/BSK-2026/114283</w:t>
                          </w:r>
                        </w:p>
                        <w:p w14:paraId="02D17174" w14:textId="77777777" w:rsidR="00FA28D8" w:rsidRDefault="00FA28D8" w:rsidP="00712A32">
                          <w:pPr>
                            <w:spacing w:line="276" w:lineRule="auto"/>
                            <w:rPr>
                              <w:bCs/>
                              <w:sz w:val="13"/>
                              <w:szCs w:val="13"/>
                            </w:rPr>
                          </w:pPr>
                        </w:p>
                        <w:p w14:paraId="2CBB350E" w14:textId="77777777" w:rsidR="00FA28D8" w:rsidRDefault="00FA28D8" w:rsidP="00712A32">
                          <w:pPr>
                            <w:spacing w:line="276" w:lineRule="auto"/>
                            <w:rPr>
                              <w:b/>
                              <w:sz w:val="13"/>
                              <w:szCs w:val="13"/>
                            </w:rPr>
                          </w:pPr>
                          <w:r w:rsidRPr="00FA28D8">
                            <w:rPr>
                              <w:b/>
                              <w:sz w:val="13"/>
                              <w:szCs w:val="13"/>
                            </w:rPr>
                            <w:t>Bijlage(n)</w:t>
                          </w:r>
                        </w:p>
                        <w:p w14:paraId="6ED371FB" w14:textId="51F96F73" w:rsidR="00FA28D8" w:rsidRPr="00FA28D8" w:rsidRDefault="000A0DD9" w:rsidP="00712A32">
                          <w:pPr>
                            <w:spacing w:line="276" w:lineRule="auto"/>
                            <w:rPr>
                              <w:bCs/>
                              <w:sz w:val="13"/>
                              <w:szCs w:val="13"/>
                            </w:rPr>
                          </w:pPr>
                          <w:r>
                            <w:rPr>
                              <w:bCs/>
                              <w:sz w:val="13"/>
                              <w:szCs w:val="13"/>
                            </w:rPr>
                            <w:t>2</w:t>
                          </w:r>
                          <w:r w:rsidR="00FA28D8" w:rsidRPr="00FA28D8">
                            <w:rPr>
                              <w:bCs/>
                              <w:sz w:val="13"/>
                              <w:szCs w:val="13"/>
                            </w:rPr>
                            <w:br/>
                          </w:r>
                        </w:p>
                      </w:txbxContent>
                    </wps:txbx>
                    <wps:bodyPr vert="horz" wrap="square" lIns="0" tIns="0" rIns="0" bIns="0" anchor="t" anchorCtr="0"/>
                  </wps:wsp>
                </a:graphicData>
              </a:graphic>
            </wp:anchor>
          </w:drawing>
        </mc:Choice>
        <mc:Fallback>
          <w:pict>
            <v:shape w14:anchorId="1E38178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DE20A63" w14:textId="77777777" w:rsidR="00A3488F" w:rsidRDefault="0019067A">
                    <w:pPr>
                      <w:pStyle w:val="AfzendgegevensKop0"/>
                    </w:pPr>
                    <w:r>
                      <w:t>Ministerie van Infrastructuur en Waterstaat</w:t>
                    </w:r>
                  </w:p>
                  <w:p w14:paraId="43B5570D" w14:textId="77777777" w:rsidR="00A3488F" w:rsidRDefault="00A3488F">
                    <w:pPr>
                      <w:pStyle w:val="WitregelW1"/>
                    </w:pPr>
                  </w:p>
                  <w:p w14:paraId="1ED95475" w14:textId="77777777" w:rsidR="00A3488F" w:rsidRDefault="0019067A">
                    <w:pPr>
                      <w:pStyle w:val="Afzendgegevens"/>
                    </w:pPr>
                    <w:r>
                      <w:t>Rijnstraat 8</w:t>
                    </w:r>
                  </w:p>
                  <w:p w14:paraId="1289D1F7" w14:textId="6A6A43ED" w:rsidR="00A3488F" w:rsidRPr="00DD31F1" w:rsidRDefault="0019067A">
                    <w:pPr>
                      <w:pStyle w:val="Afzendgegevens"/>
                      <w:rPr>
                        <w:lang w:val="de-DE"/>
                      </w:rPr>
                    </w:pPr>
                    <w:r w:rsidRPr="00DD31F1">
                      <w:rPr>
                        <w:lang w:val="de-DE"/>
                      </w:rPr>
                      <w:t xml:space="preserve">2515 </w:t>
                    </w:r>
                    <w:r w:rsidR="00712A32" w:rsidRPr="00DD31F1">
                      <w:rPr>
                        <w:lang w:val="de-DE"/>
                      </w:rPr>
                      <w:t>XP Den</w:t>
                    </w:r>
                    <w:r w:rsidRPr="00DD31F1">
                      <w:rPr>
                        <w:lang w:val="de-DE"/>
                      </w:rPr>
                      <w:t xml:space="preserve"> Haag</w:t>
                    </w:r>
                  </w:p>
                  <w:p w14:paraId="4C48B2D1" w14:textId="77777777" w:rsidR="00A3488F" w:rsidRPr="00DD31F1" w:rsidRDefault="0019067A">
                    <w:pPr>
                      <w:pStyle w:val="Afzendgegevens"/>
                      <w:rPr>
                        <w:lang w:val="de-DE"/>
                      </w:rPr>
                    </w:pPr>
                    <w:r w:rsidRPr="00DD31F1">
                      <w:rPr>
                        <w:lang w:val="de-DE"/>
                      </w:rPr>
                      <w:t>Postbus 20901</w:t>
                    </w:r>
                  </w:p>
                  <w:p w14:paraId="1C00DDB6" w14:textId="77777777" w:rsidR="00A3488F" w:rsidRPr="00DD31F1" w:rsidRDefault="0019067A">
                    <w:pPr>
                      <w:pStyle w:val="Afzendgegevens"/>
                      <w:rPr>
                        <w:lang w:val="de-DE"/>
                      </w:rPr>
                    </w:pPr>
                    <w:r w:rsidRPr="00DD31F1">
                      <w:rPr>
                        <w:lang w:val="de-DE"/>
                      </w:rPr>
                      <w:t>2500 EX Den Haag</w:t>
                    </w:r>
                  </w:p>
                  <w:p w14:paraId="6846442A" w14:textId="77777777" w:rsidR="00A3488F" w:rsidRPr="00DD31F1" w:rsidRDefault="00A3488F">
                    <w:pPr>
                      <w:pStyle w:val="WitregelW1"/>
                      <w:rPr>
                        <w:lang w:val="de-DE"/>
                      </w:rPr>
                    </w:pPr>
                  </w:p>
                  <w:p w14:paraId="6AB1F02C" w14:textId="77777777" w:rsidR="00A3488F" w:rsidRPr="00DD31F1" w:rsidRDefault="0019067A">
                    <w:pPr>
                      <w:pStyle w:val="Afzendgegevens"/>
                      <w:rPr>
                        <w:lang w:val="de-DE"/>
                      </w:rPr>
                    </w:pPr>
                    <w:r w:rsidRPr="00DD31F1">
                      <w:rPr>
                        <w:lang w:val="de-DE"/>
                      </w:rPr>
                      <w:t>T   070-456 0000</w:t>
                    </w:r>
                  </w:p>
                  <w:p w14:paraId="4757BDEC" w14:textId="77777777" w:rsidR="00A3488F" w:rsidRDefault="0019067A">
                    <w:pPr>
                      <w:pStyle w:val="Afzendgegevens"/>
                    </w:pPr>
                    <w:r>
                      <w:t>F   070-456 1111</w:t>
                    </w:r>
                  </w:p>
                  <w:p w14:paraId="4D7A3D59" w14:textId="77777777" w:rsidR="00FA28D8" w:rsidRDefault="00FA28D8" w:rsidP="00FA28D8"/>
                  <w:p w14:paraId="2065F761" w14:textId="1894005A" w:rsidR="00FA28D8" w:rsidRDefault="00FA28D8" w:rsidP="00712A32">
                    <w:pPr>
                      <w:spacing w:line="276" w:lineRule="auto"/>
                      <w:rPr>
                        <w:bCs/>
                        <w:sz w:val="13"/>
                        <w:szCs w:val="13"/>
                      </w:rPr>
                    </w:pPr>
                    <w:r w:rsidRPr="00FA28D8">
                      <w:rPr>
                        <w:b/>
                        <w:sz w:val="13"/>
                        <w:szCs w:val="13"/>
                      </w:rPr>
                      <w:t>Ons kenmerk</w:t>
                    </w:r>
                    <w:r>
                      <w:rPr>
                        <w:b/>
                        <w:sz w:val="13"/>
                        <w:szCs w:val="13"/>
                      </w:rPr>
                      <w:br/>
                    </w:r>
                    <w:r w:rsidR="00245402" w:rsidRPr="00245402">
                      <w:rPr>
                        <w:bCs/>
                        <w:sz w:val="13"/>
                        <w:szCs w:val="13"/>
                      </w:rPr>
                      <w:t>IENW/BSK-2026/114283</w:t>
                    </w:r>
                  </w:p>
                  <w:p w14:paraId="02D17174" w14:textId="77777777" w:rsidR="00FA28D8" w:rsidRDefault="00FA28D8" w:rsidP="00712A32">
                    <w:pPr>
                      <w:spacing w:line="276" w:lineRule="auto"/>
                      <w:rPr>
                        <w:bCs/>
                        <w:sz w:val="13"/>
                        <w:szCs w:val="13"/>
                      </w:rPr>
                    </w:pPr>
                  </w:p>
                  <w:p w14:paraId="2CBB350E" w14:textId="77777777" w:rsidR="00FA28D8" w:rsidRDefault="00FA28D8" w:rsidP="00712A32">
                    <w:pPr>
                      <w:spacing w:line="276" w:lineRule="auto"/>
                      <w:rPr>
                        <w:b/>
                        <w:sz w:val="13"/>
                        <w:szCs w:val="13"/>
                      </w:rPr>
                    </w:pPr>
                    <w:r w:rsidRPr="00FA28D8">
                      <w:rPr>
                        <w:b/>
                        <w:sz w:val="13"/>
                        <w:szCs w:val="13"/>
                      </w:rPr>
                      <w:t>Bijlage(n)</w:t>
                    </w:r>
                  </w:p>
                  <w:p w14:paraId="6ED371FB" w14:textId="51F96F73" w:rsidR="00FA28D8" w:rsidRPr="00FA28D8" w:rsidRDefault="000A0DD9" w:rsidP="00712A32">
                    <w:pPr>
                      <w:spacing w:line="276" w:lineRule="auto"/>
                      <w:rPr>
                        <w:bCs/>
                        <w:sz w:val="13"/>
                        <w:szCs w:val="13"/>
                      </w:rPr>
                    </w:pPr>
                    <w:r>
                      <w:rPr>
                        <w:bCs/>
                        <w:sz w:val="13"/>
                        <w:szCs w:val="13"/>
                      </w:rPr>
                      <w:t>2</w:t>
                    </w:r>
                    <w:r w:rsidR="00FA28D8" w:rsidRPr="00FA28D8">
                      <w:rPr>
                        <w:bCs/>
                        <w:sz w:val="13"/>
                        <w:szCs w:val="13"/>
                      </w:rPr>
                      <w:br/>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082360E" wp14:editId="6E60731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0AD7F8A" w14:textId="77777777" w:rsidR="00A3488F" w:rsidRDefault="0019067A">
                          <w:pPr>
                            <w:spacing w:line="240" w:lineRule="auto"/>
                          </w:pPr>
                          <w:r>
                            <w:rPr>
                              <w:noProof/>
                              <w:lang w:val="en-GB" w:eastAsia="en-GB"/>
                            </w:rPr>
                            <w:drawing>
                              <wp:inline distT="0" distB="0" distL="0" distR="0" wp14:anchorId="39218544" wp14:editId="560246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82360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0AD7F8A" w14:textId="77777777" w:rsidR="00A3488F" w:rsidRDefault="0019067A">
                    <w:pPr>
                      <w:spacing w:line="240" w:lineRule="auto"/>
                    </w:pPr>
                    <w:r>
                      <w:rPr>
                        <w:noProof/>
                        <w:lang w:val="en-GB" w:eastAsia="en-GB"/>
                      </w:rPr>
                      <w:drawing>
                        <wp:inline distT="0" distB="0" distL="0" distR="0" wp14:anchorId="39218544" wp14:editId="560246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52C993F" wp14:editId="1AFFAF7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76CC68" w14:textId="77777777" w:rsidR="00A3488F" w:rsidRDefault="0019067A">
                          <w:pPr>
                            <w:spacing w:line="240" w:lineRule="auto"/>
                          </w:pPr>
                          <w:r>
                            <w:rPr>
                              <w:noProof/>
                              <w:lang w:val="en-GB" w:eastAsia="en-GB"/>
                            </w:rPr>
                            <w:drawing>
                              <wp:inline distT="0" distB="0" distL="0" distR="0" wp14:anchorId="306278FE" wp14:editId="4CC8784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2C993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276CC68" w14:textId="77777777" w:rsidR="00A3488F" w:rsidRDefault="0019067A">
                    <w:pPr>
                      <w:spacing w:line="240" w:lineRule="auto"/>
                    </w:pPr>
                    <w:r>
                      <w:rPr>
                        <w:noProof/>
                        <w:lang w:val="en-GB" w:eastAsia="en-GB"/>
                      </w:rPr>
                      <w:drawing>
                        <wp:inline distT="0" distB="0" distL="0" distR="0" wp14:anchorId="306278FE" wp14:editId="4CC8784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DFB8787" wp14:editId="158B265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72829AA" w14:textId="77777777" w:rsidR="00A3488F" w:rsidRDefault="0019067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DFB878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72829AA" w14:textId="77777777" w:rsidR="00A3488F" w:rsidRDefault="0019067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4A27A7" wp14:editId="35E001E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2C207AE" w14:textId="77777777" w:rsidR="00A3488F" w:rsidRDefault="0019067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64A27A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2C207AE" w14:textId="77777777" w:rsidR="00A3488F" w:rsidRDefault="0019067A">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DB65C73" wp14:editId="08059DF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488F" w14:paraId="4A06D5BC" w14:textId="77777777">
                            <w:trPr>
                              <w:trHeight w:val="200"/>
                            </w:trPr>
                            <w:tc>
                              <w:tcPr>
                                <w:tcW w:w="1140" w:type="dxa"/>
                              </w:tcPr>
                              <w:p w14:paraId="1FC6F4B6" w14:textId="77777777" w:rsidR="00A3488F" w:rsidRDefault="00A3488F"/>
                            </w:tc>
                            <w:tc>
                              <w:tcPr>
                                <w:tcW w:w="5400" w:type="dxa"/>
                              </w:tcPr>
                              <w:p w14:paraId="2EA6A4A3" w14:textId="77777777" w:rsidR="00A3488F" w:rsidRDefault="00A3488F"/>
                            </w:tc>
                          </w:tr>
                          <w:tr w:rsidR="00A3488F" w14:paraId="6DD2347A" w14:textId="77777777">
                            <w:trPr>
                              <w:trHeight w:val="240"/>
                            </w:trPr>
                            <w:tc>
                              <w:tcPr>
                                <w:tcW w:w="1140" w:type="dxa"/>
                              </w:tcPr>
                              <w:p w14:paraId="034262F2" w14:textId="77777777" w:rsidR="00A3488F" w:rsidRDefault="0019067A">
                                <w:r>
                                  <w:t>Datum</w:t>
                                </w:r>
                              </w:p>
                            </w:tc>
                            <w:tc>
                              <w:tcPr>
                                <w:tcW w:w="5400" w:type="dxa"/>
                              </w:tcPr>
                              <w:p w14:paraId="24DA82A2" w14:textId="4162B936" w:rsidR="00A3488F" w:rsidRDefault="00245402">
                                <w:r>
                                  <w:t>9 juli 2026</w:t>
                                </w:r>
                              </w:p>
                            </w:tc>
                          </w:tr>
                          <w:tr w:rsidR="00A3488F" w14:paraId="0A725DF4" w14:textId="77777777">
                            <w:trPr>
                              <w:trHeight w:val="240"/>
                            </w:trPr>
                            <w:tc>
                              <w:tcPr>
                                <w:tcW w:w="1140" w:type="dxa"/>
                              </w:tcPr>
                              <w:p w14:paraId="343422EF" w14:textId="77777777" w:rsidR="00A3488F" w:rsidRDefault="0019067A">
                                <w:r>
                                  <w:t>Betreft</w:t>
                                </w:r>
                              </w:p>
                            </w:tc>
                            <w:tc>
                              <w:tcPr>
                                <w:tcW w:w="5400" w:type="dxa"/>
                              </w:tcPr>
                              <w:p w14:paraId="5764794C" w14:textId="77777777" w:rsidR="005674C4" w:rsidRDefault="005674C4" w:rsidP="005674C4">
                                <w:r>
                                  <w:t>Alternatieve maatregelen aanpak ordeverstorende passagiers</w:t>
                                </w:r>
                              </w:p>
                              <w:p w14:paraId="4F2CF2FB" w14:textId="71EE2092" w:rsidR="00A3488F" w:rsidRDefault="00A3488F"/>
                            </w:tc>
                          </w:tr>
                          <w:tr w:rsidR="00A3488F" w14:paraId="1EEEF868" w14:textId="77777777">
                            <w:trPr>
                              <w:trHeight w:val="200"/>
                            </w:trPr>
                            <w:tc>
                              <w:tcPr>
                                <w:tcW w:w="1140" w:type="dxa"/>
                              </w:tcPr>
                              <w:p w14:paraId="608B1A27" w14:textId="77777777" w:rsidR="00A3488F" w:rsidRDefault="00A3488F"/>
                            </w:tc>
                            <w:tc>
                              <w:tcPr>
                                <w:tcW w:w="5400" w:type="dxa"/>
                              </w:tcPr>
                              <w:p w14:paraId="53773311" w14:textId="77777777" w:rsidR="00A3488F" w:rsidRDefault="00A3488F"/>
                            </w:tc>
                          </w:tr>
                        </w:tbl>
                        <w:p w14:paraId="50BC7077" w14:textId="77777777" w:rsidR="00C019FC" w:rsidRDefault="00C019FC"/>
                      </w:txbxContent>
                    </wps:txbx>
                    <wps:bodyPr vert="horz" wrap="square" lIns="0" tIns="0" rIns="0" bIns="0" anchor="t" anchorCtr="0"/>
                  </wps:wsp>
                </a:graphicData>
              </a:graphic>
            </wp:anchor>
          </w:drawing>
        </mc:Choice>
        <mc:Fallback>
          <w:pict>
            <v:shape w14:anchorId="6DB65C7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3488F" w14:paraId="4A06D5BC" w14:textId="77777777">
                      <w:trPr>
                        <w:trHeight w:val="200"/>
                      </w:trPr>
                      <w:tc>
                        <w:tcPr>
                          <w:tcW w:w="1140" w:type="dxa"/>
                        </w:tcPr>
                        <w:p w14:paraId="1FC6F4B6" w14:textId="77777777" w:rsidR="00A3488F" w:rsidRDefault="00A3488F"/>
                      </w:tc>
                      <w:tc>
                        <w:tcPr>
                          <w:tcW w:w="5400" w:type="dxa"/>
                        </w:tcPr>
                        <w:p w14:paraId="2EA6A4A3" w14:textId="77777777" w:rsidR="00A3488F" w:rsidRDefault="00A3488F"/>
                      </w:tc>
                    </w:tr>
                    <w:tr w:rsidR="00A3488F" w14:paraId="6DD2347A" w14:textId="77777777">
                      <w:trPr>
                        <w:trHeight w:val="240"/>
                      </w:trPr>
                      <w:tc>
                        <w:tcPr>
                          <w:tcW w:w="1140" w:type="dxa"/>
                        </w:tcPr>
                        <w:p w14:paraId="034262F2" w14:textId="77777777" w:rsidR="00A3488F" w:rsidRDefault="0019067A">
                          <w:r>
                            <w:t>Datum</w:t>
                          </w:r>
                        </w:p>
                      </w:tc>
                      <w:tc>
                        <w:tcPr>
                          <w:tcW w:w="5400" w:type="dxa"/>
                        </w:tcPr>
                        <w:p w14:paraId="24DA82A2" w14:textId="4162B936" w:rsidR="00A3488F" w:rsidRDefault="00245402">
                          <w:r>
                            <w:t>9 juli 2026</w:t>
                          </w:r>
                        </w:p>
                      </w:tc>
                    </w:tr>
                    <w:tr w:rsidR="00A3488F" w14:paraId="0A725DF4" w14:textId="77777777">
                      <w:trPr>
                        <w:trHeight w:val="240"/>
                      </w:trPr>
                      <w:tc>
                        <w:tcPr>
                          <w:tcW w:w="1140" w:type="dxa"/>
                        </w:tcPr>
                        <w:p w14:paraId="343422EF" w14:textId="77777777" w:rsidR="00A3488F" w:rsidRDefault="0019067A">
                          <w:r>
                            <w:t>Betreft</w:t>
                          </w:r>
                        </w:p>
                      </w:tc>
                      <w:tc>
                        <w:tcPr>
                          <w:tcW w:w="5400" w:type="dxa"/>
                        </w:tcPr>
                        <w:p w14:paraId="5764794C" w14:textId="77777777" w:rsidR="005674C4" w:rsidRDefault="005674C4" w:rsidP="005674C4">
                          <w:r>
                            <w:t>Alternatieve maatregelen aanpak ordeverstorende passagiers</w:t>
                          </w:r>
                        </w:p>
                        <w:p w14:paraId="4F2CF2FB" w14:textId="71EE2092" w:rsidR="00A3488F" w:rsidRDefault="00A3488F"/>
                      </w:tc>
                    </w:tr>
                    <w:tr w:rsidR="00A3488F" w14:paraId="1EEEF868" w14:textId="77777777">
                      <w:trPr>
                        <w:trHeight w:val="200"/>
                      </w:trPr>
                      <w:tc>
                        <w:tcPr>
                          <w:tcW w:w="1140" w:type="dxa"/>
                        </w:tcPr>
                        <w:p w14:paraId="608B1A27" w14:textId="77777777" w:rsidR="00A3488F" w:rsidRDefault="00A3488F"/>
                      </w:tc>
                      <w:tc>
                        <w:tcPr>
                          <w:tcW w:w="5400" w:type="dxa"/>
                        </w:tcPr>
                        <w:p w14:paraId="53773311" w14:textId="77777777" w:rsidR="00A3488F" w:rsidRDefault="00A3488F"/>
                      </w:tc>
                    </w:tr>
                  </w:tbl>
                  <w:p w14:paraId="50BC7077" w14:textId="77777777" w:rsidR="00C019FC" w:rsidRDefault="00C019F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A88EB42" wp14:editId="51B6327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99E9B80" w14:textId="77777777" w:rsidR="00C019FC" w:rsidRDefault="00C019FC"/>
                      </w:txbxContent>
                    </wps:txbx>
                    <wps:bodyPr vert="horz" wrap="square" lIns="0" tIns="0" rIns="0" bIns="0" anchor="t" anchorCtr="0"/>
                  </wps:wsp>
                </a:graphicData>
              </a:graphic>
            </wp:anchor>
          </w:drawing>
        </mc:Choice>
        <mc:Fallback>
          <w:pict>
            <v:shape w14:anchorId="5A88EB4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99E9B80" w14:textId="77777777" w:rsidR="00C019FC" w:rsidRDefault="00C019F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212E15"/>
    <w:multiLevelType w:val="multilevel"/>
    <w:tmpl w:val="9FD9F58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80CBA2"/>
    <w:multiLevelType w:val="multilevel"/>
    <w:tmpl w:val="1F7EFBB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3AC773"/>
    <w:multiLevelType w:val="multilevel"/>
    <w:tmpl w:val="817DD4D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F311DF"/>
    <w:multiLevelType w:val="multilevel"/>
    <w:tmpl w:val="C9BBC25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CA05F3"/>
    <w:multiLevelType w:val="multilevel"/>
    <w:tmpl w:val="230F40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6DB2DA"/>
    <w:multiLevelType w:val="multilevel"/>
    <w:tmpl w:val="A97F66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47B7FA"/>
    <w:multiLevelType w:val="multilevel"/>
    <w:tmpl w:val="695A413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7EBC44"/>
    <w:multiLevelType w:val="multilevel"/>
    <w:tmpl w:val="5BCF836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F88DE5"/>
    <w:multiLevelType w:val="multilevel"/>
    <w:tmpl w:val="D496303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C0670E"/>
    <w:multiLevelType w:val="hybridMultilevel"/>
    <w:tmpl w:val="5AE42F8C"/>
    <w:lvl w:ilvl="0" w:tplc="5F247C3A">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DABDB1"/>
    <w:multiLevelType w:val="multilevel"/>
    <w:tmpl w:val="667A622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0750A3"/>
    <w:multiLevelType w:val="multilevel"/>
    <w:tmpl w:val="8CE6B48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59DC22"/>
    <w:multiLevelType w:val="multilevel"/>
    <w:tmpl w:val="003CF63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D7A100"/>
    <w:multiLevelType w:val="multilevel"/>
    <w:tmpl w:val="57E7149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69BA3F"/>
    <w:multiLevelType w:val="multilevel"/>
    <w:tmpl w:val="E68E9E5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179226"/>
    <w:multiLevelType w:val="multilevel"/>
    <w:tmpl w:val="0BCB227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804349"/>
    <w:multiLevelType w:val="multilevel"/>
    <w:tmpl w:val="6DFA603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D8B08E"/>
    <w:multiLevelType w:val="multilevel"/>
    <w:tmpl w:val="5DFCA8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480E73BF"/>
    <w:multiLevelType w:val="hybridMultilevel"/>
    <w:tmpl w:val="903A8D9C"/>
    <w:lvl w:ilvl="0" w:tplc="169E17C6">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082BA6"/>
    <w:multiLevelType w:val="multilevel"/>
    <w:tmpl w:val="5462BF4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E5319A"/>
    <w:multiLevelType w:val="multilevel"/>
    <w:tmpl w:val="4588CB3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E52080"/>
    <w:multiLevelType w:val="hybridMultilevel"/>
    <w:tmpl w:val="64C68E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25D64C"/>
    <w:multiLevelType w:val="multilevel"/>
    <w:tmpl w:val="F3337AE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717AB7"/>
    <w:multiLevelType w:val="hybridMultilevel"/>
    <w:tmpl w:val="82C06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332A0F"/>
    <w:multiLevelType w:val="hybridMultilevel"/>
    <w:tmpl w:val="64C68E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5C8185"/>
    <w:multiLevelType w:val="multilevel"/>
    <w:tmpl w:val="B245E2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72642C04"/>
    <w:multiLevelType w:val="hybridMultilevel"/>
    <w:tmpl w:val="100840C8"/>
    <w:lvl w:ilvl="0" w:tplc="0413000B">
      <w:start w:val="1"/>
      <w:numFmt w:val="bullet"/>
      <w:lvlText w:val=""/>
      <w:lvlJc w:val="left"/>
      <w:pPr>
        <w:ind w:left="360" w:hanging="360"/>
      </w:pPr>
      <w:rPr>
        <w:rFonts w:ascii="Wingdings" w:hAnsi="Wingding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8DD66C"/>
    <w:multiLevelType w:val="multilevel"/>
    <w:tmpl w:val="7C429D7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F10338"/>
    <w:multiLevelType w:val="hybridMultilevel"/>
    <w:tmpl w:val="64C68E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E00FA4D"/>
    <w:multiLevelType w:val="multilevel"/>
    <w:tmpl w:val="CB93B5B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8"/>
  </w:num>
  <w:num w:numId="4">
    <w:abstractNumId w:val="19"/>
  </w:num>
  <w:num w:numId="5">
    <w:abstractNumId w:val="25"/>
  </w:num>
  <w:num w:numId="6">
    <w:abstractNumId w:val="0"/>
  </w:num>
  <w:num w:numId="7">
    <w:abstractNumId w:val="29"/>
  </w:num>
  <w:num w:numId="8">
    <w:abstractNumId w:val="4"/>
  </w:num>
  <w:num w:numId="9">
    <w:abstractNumId w:val="20"/>
  </w:num>
  <w:num w:numId="10">
    <w:abstractNumId w:val="27"/>
  </w:num>
  <w:num w:numId="11">
    <w:abstractNumId w:val="22"/>
  </w:num>
  <w:num w:numId="12">
    <w:abstractNumId w:val="17"/>
  </w:num>
  <w:num w:numId="13">
    <w:abstractNumId w:val="15"/>
  </w:num>
  <w:num w:numId="14">
    <w:abstractNumId w:val="1"/>
  </w:num>
  <w:num w:numId="15">
    <w:abstractNumId w:val="10"/>
  </w:num>
  <w:num w:numId="16">
    <w:abstractNumId w:val="11"/>
  </w:num>
  <w:num w:numId="17">
    <w:abstractNumId w:val="16"/>
  </w:num>
  <w:num w:numId="18">
    <w:abstractNumId w:val="6"/>
  </w:num>
  <w:num w:numId="19">
    <w:abstractNumId w:val="3"/>
  </w:num>
  <w:num w:numId="20">
    <w:abstractNumId w:val="5"/>
  </w:num>
  <w:num w:numId="21">
    <w:abstractNumId w:val="2"/>
  </w:num>
  <w:num w:numId="22">
    <w:abstractNumId w:val="12"/>
  </w:num>
  <w:num w:numId="23">
    <w:abstractNumId w:val="7"/>
  </w:num>
  <w:num w:numId="24">
    <w:abstractNumId w:val="28"/>
  </w:num>
  <w:num w:numId="25">
    <w:abstractNumId w:val="23"/>
  </w:num>
  <w:num w:numId="26">
    <w:abstractNumId w:val="24"/>
  </w:num>
  <w:num w:numId="27">
    <w:abstractNumId w:val="21"/>
  </w:num>
  <w:num w:numId="28">
    <w:abstractNumId w:val="18"/>
  </w:num>
  <w:num w:numId="29">
    <w:abstractNumId w:val="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F1"/>
    <w:rsid w:val="00001DB6"/>
    <w:rsid w:val="00001F85"/>
    <w:rsid w:val="000050CE"/>
    <w:rsid w:val="00013573"/>
    <w:rsid w:val="00013FBA"/>
    <w:rsid w:val="00014132"/>
    <w:rsid w:val="00015951"/>
    <w:rsid w:val="000220DF"/>
    <w:rsid w:val="000302CC"/>
    <w:rsid w:val="000315D5"/>
    <w:rsid w:val="000336CC"/>
    <w:rsid w:val="00040757"/>
    <w:rsid w:val="00044DDE"/>
    <w:rsid w:val="00046049"/>
    <w:rsid w:val="0005028D"/>
    <w:rsid w:val="0005318C"/>
    <w:rsid w:val="0006549B"/>
    <w:rsid w:val="00066820"/>
    <w:rsid w:val="0007477D"/>
    <w:rsid w:val="00077189"/>
    <w:rsid w:val="00086C2B"/>
    <w:rsid w:val="000904F7"/>
    <w:rsid w:val="0009152E"/>
    <w:rsid w:val="0009448E"/>
    <w:rsid w:val="000A0DD9"/>
    <w:rsid w:val="000A1472"/>
    <w:rsid w:val="000A4C52"/>
    <w:rsid w:val="000B1A02"/>
    <w:rsid w:val="000B38AA"/>
    <w:rsid w:val="000D3352"/>
    <w:rsid w:val="000E7695"/>
    <w:rsid w:val="000F01AC"/>
    <w:rsid w:val="00104456"/>
    <w:rsid w:val="00122484"/>
    <w:rsid w:val="00140F3F"/>
    <w:rsid w:val="00154424"/>
    <w:rsid w:val="00162DB3"/>
    <w:rsid w:val="00171A70"/>
    <w:rsid w:val="0018243C"/>
    <w:rsid w:val="0019067A"/>
    <w:rsid w:val="00191747"/>
    <w:rsid w:val="0019732A"/>
    <w:rsid w:val="001A0DAB"/>
    <w:rsid w:val="001A3E6E"/>
    <w:rsid w:val="001A4590"/>
    <w:rsid w:val="001A50CD"/>
    <w:rsid w:val="001C2136"/>
    <w:rsid w:val="001C2F73"/>
    <w:rsid w:val="001E29E2"/>
    <w:rsid w:val="001E36B9"/>
    <w:rsid w:val="00205EEF"/>
    <w:rsid w:val="00211D0C"/>
    <w:rsid w:val="00226691"/>
    <w:rsid w:val="002334B9"/>
    <w:rsid w:val="00243F3E"/>
    <w:rsid w:val="00245402"/>
    <w:rsid w:val="0025639D"/>
    <w:rsid w:val="002752C3"/>
    <w:rsid w:val="00284245"/>
    <w:rsid w:val="00293633"/>
    <w:rsid w:val="00293C99"/>
    <w:rsid w:val="002A3A3C"/>
    <w:rsid w:val="002B0EB7"/>
    <w:rsid w:val="002B18A6"/>
    <w:rsid w:val="002E0372"/>
    <w:rsid w:val="002E1DD6"/>
    <w:rsid w:val="002F2561"/>
    <w:rsid w:val="00306D20"/>
    <w:rsid w:val="00315E05"/>
    <w:rsid w:val="00323132"/>
    <w:rsid w:val="00323A7B"/>
    <w:rsid w:val="003308EF"/>
    <w:rsid w:val="00330A9E"/>
    <w:rsid w:val="00341D35"/>
    <w:rsid w:val="00342380"/>
    <w:rsid w:val="00362534"/>
    <w:rsid w:val="00366E57"/>
    <w:rsid w:val="003676EE"/>
    <w:rsid w:val="00381E6B"/>
    <w:rsid w:val="003822B5"/>
    <w:rsid w:val="003836DA"/>
    <w:rsid w:val="00395D54"/>
    <w:rsid w:val="003A1EBC"/>
    <w:rsid w:val="003B01CB"/>
    <w:rsid w:val="003C56BD"/>
    <w:rsid w:val="003C7132"/>
    <w:rsid w:val="003D4F0A"/>
    <w:rsid w:val="003E0F7B"/>
    <w:rsid w:val="003E1E89"/>
    <w:rsid w:val="003E2E79"/>
    <w:rsid w:val="003E642A"/>
    <w:rsid w:val="003E7C1E"/>
    <w:rsid w:val="003F0F48"/>
    <w:rsid w:val="003F7113"/>
    <w:rsid w:val="00403C6E"/>
    <w:rsid w:val="00405518"/>
    <w:rsid w:val="004104DF"/>
    <w:rsid w:val="004168BB"/>
    <w:rsid w:val="00445847"/>
    <w:rsid w:val="0044667A"/>
    <w:rsid w:val="0045043C"/>
    <w:rsid w:val="004574A9"/>
    <w:rsid w:val="00462384"/>
    <w:rsid w:val="00467F47"/>
    <w:rsid w:val="004719EE"/>
    <w:rsid w:val="004757C1"/>
    <w:rsid w:val="00486C01"/>
    <w:rsid w:val="00487432"/>
    <w:rsid w:val="004A2DC3"/>
    <w:rsid w:val="004A33FC"/>
    <w:rsid w:val="004A58E5"/>
    <w:rsid w:val="004B4A82"/>
    <w:rsid w:val="004B611D"/>
    <w:rsid w:val="004C17A2"/>
    <w:rsid w:val="004C60D3"/>
    <w:rsid w:val="004C766D"/>
    <w:rsid w:val="004D6AB7"/>
    <w:rsid w:val="00504BBF"/>
    <w:rsid w:val="0052017D"/>
    <w:rsid w:val="005211B1"/>
    <w:rsid w:val="00525894"/>
    <w:rsid w:val="00535162"/>
    <w:rsid w:val="005412D8"/>
    <w:rsid w:val="00541C44"/>
    <w:rsid w:val="00542363"/>
    <w:rsid w:val="00546161"/>
    <w:rsid w:val="00550F22"/>
    <w:rsid w:val="005674C4"/>
    <w:rsid w:val="0057018B"/>
    <w:rsid w:val="00572486"/>
    <w:rsid w:val="005A1F79"/>
    <w:rsid w:val="005A2B77"/>
    <w:rsid w:val="005B1DB9"/>
    <w:rsid w:val="005B568F"/>
    <w:rsid w:val="005C7EC6"/>
    <w:rsid w:val="005D1EA1"/>
    <w:rsid w:val="005E3E25"/>
    <w:rsid w:val="005F1770"/>
    <w:rsid w:val="005F1C1B"/>
    <w:rsid w:val="005F2322"/>
    <w:rsid w:val="005F47A9"/>
    <w:rsid w:val="00600A9B"/>
    <w:rsid w:val="00606117"/>
    <w:rsid w:val="00606CAA"/>
    <w:rsid w:val="00610DE8"/>
    <w:rsid w:val="006173FE"/>
    <w:rsid w:val="006239AE"/>
    <w:rsid w:val="00635A25"/>
    <w:rsid w:val="00641F5D"/>
    <w:rsid w:val="00664667"/>
    <w:rsid w:val="00664717"/>
    <w:rsid w:val="00672C1B"/>
    <w:rsid w:val="00681011"/>
    <w:rsid w:val="006955BA"/>
    <w:rsid w:val="006B2241"/>
    <w:rsid w:val="006B4ECF"/>
    <w:rsid w:val="006B776E"/>
    <w:rsid w:val="006D0AC2"/>
    <w:rsid w:val="006D29F2"/>
    <w:rsid w:val="006E04CB"/>
    <w:rsid w:val="006E6F61"/>
    <w:rsid w:val="006F5876"/>
    <w:rsid w:val="006F79B8"/>
    <w:rsid w:val="00712A32"/>
    <w:rsid w:val="00717E08"/>
    <w:rsid w:val="0072523E"/>
    <w:rsid w:val="00766A92"/>
    <w:rsid w:val="00772879"/>
    <w:rsid w:val="00777775"/>
    <w:rsid w:val="007828E7"/>
    <w:rsid w:val="00785F82"/>
    <w:rsid w:val="007A24E8"/>
    <w:rsid w:val="007A3EC0"/>
    <w:rsid w:val="007B0D3F"/>
    <w:rsid w:val="007B50B4"/>
    <w:rsid w:val="007B55DC"/>
    <w:rsid w:val="007C48C7"/>
    <w:rsid w:val="007D3A9B"/>
    <w:rsid w:val="007D7FA2"/>
    <w:rsid w:val="007E2E01"/>
    <w:rsid w:val="00802648"/>
    <w:rsid w:val="00815449"/>
    <w:rsid w:val="0082716D"/>
    <w:rsid w:val="00832F74"/>
    <w:rsid w:val="00874C19"/>
    <w:rsid w:val="0088416D"/>
    <w:rsid w:val="008A4F46"/>
    <w:rsid w:val="008B23EB"/>
    <w:rsid w:val="008C4B3E"/>
    <w:rsid w:val="008C4FD6"/>
    <w:rsid w:val="008D02F3"/>
    <w:rsid w:val="008D73F4"/>
    <w:rsid w:val="008E2F22"/>
    <w:rsid w:val="008F238B"/>
    <w:rsid w:val="00904251"/>
    <w:rsid w:val="009043BF"/>
    <w:rsid w:val="00905554"/>
    <w:rsid w:val="00935BED"/>
    <w:rsid w:val="0094733C"/>
    <w:rsid w:val="0095572A"/>
    <w:rsid w:val="009620D5"/>
    <w:rsid w:val="009711E7"/>
    <w:rsid w:val="00975371"/>
    <w:rsid w:val="00975383"/>
    <w:rsid w:val="00976622"/>
    <w:rsid w:val="009C7D41"/>
    <w:rsid w:val="009D0ADF"/>
    <w:rsid w:val="009D5446"/>
    <w:rsid w:val="009D71B4"/>
    <w:rsid w:val="009E3114"/>
    <w:rsid w:val="009F2017"/>
    <w:rsid w:val="00A02623"/>
    <w:rsid w:val="00A10A6F"/>
    <w:rsid w:val="00A15B2F"/>
    <w:rsid w:val="00A165C5"/>
    <w:rsid w:val="00A3488F"/>
    <w:rsid w:val="00A50EB2"/>
    <w:rsid w:val="00A557CD"/>
    <w:rsid w:val="00A558D8"/>
    <w:rsid w:val="00A64CC4"/>
    <w:rsid w:val="00A84BAD"/>
    <w:rsid w:val="00A9554D"/>
    <w:rsid w:val="00AA2E46"/>
    <w:rsid w:val="00AA7121"/>
    <w:rsid w:val="00AB177A"/>
    <w:rsid w:val="00AB4DEC"/>
    <w:rsid w:val="00AD2EA7"/>
    <w:rsid w:val="00AD4447"/>
    <w:rsid w:val="00AD5005"/>
    <w:rsid w:val="00AE317C"/>
    <w:rsid w:val="00AF20DE"/>
    <w:rsid w:val="00B01DDB"/>
    <w:rsid w:val="00B07487"/>
    <w:rsid w:val="00B14520"/>
    <w:rsid w:val="00B236FE"/>
    <w:rsid w:val="00B471E3"/>
    <w:rsid w:val="00B55AB7"/>
    <w:rsid w:val="00B63E6A"/>
    <w:rsid w:val="00B92C8F"/>
    <w:rsid w:val="00BB35F4"/>
    <w:rsid w:val="00BB5AC0"/>
    <w:rsid w:val="00BB775D"/>
    <w:rsid w:val="00BC4914"/>
    <w:rsid w:val="00BC59A7"/>
    <w:rsid w:val="00BD2F67"/>
    <w:rsid w:val="00BE00F9"/>
    <w:rsid w:val="00BE122C"/>
    <w:rsid w:val="00BE4551"/>
    <w:rsid w:val="00BF442F"/>
    <w:rsid w:val="00C019FC"/>
    <w:rsid w:val="00C04388"/>
    <w:rsid w:val="00C118D0"/>
    <w:rsid w:val="00C13C3D"/>
    <w:rsid w:val="00C24E3F"/>
    <w:rsid w:val="00C411EB"/>
    <w:rsid w:val="00C43C06"/>
    <w:rsid w:val="00C45267"/>
    <w:rsid w:val="00C6144D"/>
    <w:rsid w:val="00C64592"/>
    <w:rsid w:val="00C708B7"/>
    <w:rsid w:val="00C73296"/>
    <w:rsid w:val="00C74DFA"/>
    <w:rsid w:val="00C759C3"/>
    <w:rsid w:val="00C759D6"/>
    <w:rsid w:val="00C8434E"/>
    <w:rsid w:val="00C90A93"/>
    <w:rsid w:val="00C95F7E"/>
    <w:rsid w:val="00CA136F"/>
    <w:rsid w:val="00CA4EFA"/>
    <w:rsid w:val="00CA78BF"/>
    <w:rsid w:val="00CB742A"/>
    <w:rsid w:val="00CF4F14"/>
    <w:rsid w:val="00CF670E"/>
    <w:rsid w:val="00D004F8"/>
    <w:rsid w:val="00D02F17"/>
    <w:rsid w:val="00D032B2"/>
    <w:rsid w:val="00D07C45"/>
    <w:rsid w:val="00D125F1"/>
    <w:rsid w:val="00D35344"/>
    <w:rsid w:val="00D36129"/>
    <w:rsid w:val="00D46CA2"/>
    <w:rsid w:val="00D544E9"/>
    <w:rsid w:val="00D56984"/>
    <w:rsid w:val="00D63A98"/>
    <w:rsid w:val="00D653AE"/>
    <w:rsid w:val="00D76DC9"/>
    <w:rsid w:val="00D80A60"/>
    <w:rsid w:val="00D81D99"/>
    <w:rsid w:val="00D911A7"/>
    <w:rsid w:val="00DA3F33"/>
    <w:rsid w:val="00DA52D1"/>
    <w:rsid w:val="00DA58F7"/>
    <w:rsid w:val="00DC010E"/>
    <w:rsid w:val="00DC34DD"/>
    <w:rsid w:val="00DD31F1"/>
    <w:rsid w:val="00DD45DA"/>
    <w:rsid w:val="00DF053C"/>
    <w:rsid w:val="00DF18C7"/>
    <w:rsid w:val="00DF4EAE"/>
    <w:rsid w:val="00E07613"/>
    <w:rsid w:val="00E1031B"/>
    <w:rsid w:val="00E11609"/>
    <w:rsid w:val="00E24484"/>
    <w:rsid w:val="00E32CD1"/>
    <w:rsid w:val="00E473F0"/>
    <w:rsid w:val="00E63CB2"/>
    <w:rsid w:val="00E71948"/>
    <w:rsid w:val="00E71CE4"/>
    <w:rsid w:val="00E7328F"/>
    <w:rsid w:val="00E86E90"/>
    <w:rsid w:val="00E97913"/>
    <w:rsid w:val="00EB0627"/>
    <w:rsid w:val="00EB0BF1"/>
    <w:rsid w:val="00EC3C3A"/>
    <w:rsid w:val="00ED3972"/>
    <w:rsid w:val="00ED3C7C"/>
    <w:rsid w:val="00EF1FEC"/>
    <w:rsid w:val="00EF37AF"/>
    <w:rsid w:val="00F03409"/>
    <w:rsid w:val="00F03975"/>
    <w:rsid w:val="00F03D96"/>
    <w:rsid w:val="00F11D78"/>
    <w:rsid w:val="00F13E96"/>
    <w:rsid w:val="00F21BB0"/>
    <w:rsid w:val="00F247E3"/>
    <w:rsid w:val="00F328B3"/>
    <w:rsid w:val="00F35755"/>
    <w:rsid w:val="00F3584D"/>
    <w:rsid w:val="00F3713E"/>
    <w:rsid w:val="00F37C29"/>
    <w:rsid w:val="00F40823"/>
    <w:rsid w:val="00F62014"/>
    <w:rsid w:val="00F75A95"/>
    <w:rsid w:val="00F83105"/>
    <w:rsid w:val="00F900D0"/>
    <w:rsid w:val="00F909E5"/>
    <w:rsid w:val="00F91987"/>
    <w:rsid w:val="00F94195"/>
    <w:rsid w:val="00FA0B44"/>
    <w:rsid w:val="00FA28D8"/>
    <w:rsid w:val="00FC2F64"/>
    <w:rsid w:val="00FF0133"/>
    <w:rsid w:val="00FF47C5"/>
    <w:rsid w:val="00FF6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D31F1"/>
    <w:pPr>
      <w:tabs>
        <w:tab w:val="center" w:pos="4536"/>
        <w:tab w:val="right" w:pos="9072"/>
      </w:tabs>
      <w:spacing w:line="240" w:lineRule="auto"/>
    </w:pPr>
  </w:style>
  <w:style w:type="character" w:customStyle="1" w:styleId="HeaderChar">
    <w:name w:val="Header Char"/>
    <w:basedOn w:val="DefaultParagraphFont"/>
    <w:link w:val="Header"/>
    <w:uiPriority w:val="99"/>
    <w:rsid w:val="00DD31F1"/>
    <w:rPr>
      <w:rFonts w:ascii="Verdana" w:hAnsi="Verdana"/>
      <w:color w:val="000000"/>
      <w:sz w:val="18"/>
      <w:szCs w:val="18"/>
    </w:rPr>
  </w:style>
  <w:style w:type="paragraph" w:styleId="Footer">
    <w:name w:val="footer"/>
    <w:basedOn w:val="Normal"/>
    <w:link w:val="FooterChar"/>
    <w:uiPriority w:val="99"/>
    <w:unhideWhenUsed/>
    <w:rsid w:val="00DD31F1"/>
    <w:pPr>
      <w:tabs>
        <w:tab w:val="center" w:pos="4536"/>
        <w:tab w:val="right" w:pos="9072"/>
      </w:tabs>
      <w:spacing w:line="240" w:lineRule="auto"/>
    </w:pPr>
  </w:style>
  <w:style w:type="character" w:customStyle="1" w:styleId="FooterChar">
    <w:name w:val="Footer Char"/>
    <w:basedOn w:val="DefaultParagraphFont"/>
    <w:link w:val="Footer"/>
    <w:uiPriority w:val="99"/>
    <w:rsid w:val="00DD31F1"/>
    <w:rPr>
      <w:rFonts w:ascii="Verdana" w:hAnsi="Verdana"/>
      <w:color w:val="000000"/>
      <w:sz w:val="18"/>
      <w:szCs w:val="18"/>
    </w:rPr>
  </w:style>
  <w:style w:type="paragraph" w:styleId="FootnoteText">
    <w:name w:val="footnote text"/>
    <w:basedOn w:val="Normal"/>
    <w:link w:val="FootnoteTextChar"/>
    <w:uiPriority w:val="99"/>
    <w:semiHidden/>
    <w:unhideWhenUsed/>
    <w:rsid w:val="00525894"/>
    <w:pPr>
      <w:spacing w:line="240" w:lineRule="auto"/>
    </w:pPr>
    <w:rPr>
      <w:sz w:val="20"/>
      <w:szCs w:val="20"/>
    </w:rPr>
  </w:style>
  <w:style w:type="character" w:customStyle="1" w:styleId="FootnoteTextChar">
    <w:name w:val="Footnote Text Char"/>
    <w:basedOn w:val="DefaultParagraphFont"/>
    <w:link w:val="FootnoteText"/>
    <w:uiPriority w:val="99"/>
    <w:semiHidden/>
    <w:rsid w:val="00525894"/>
    <w:rPr>
      <w:rFonts w:ascii="Verdana" w:hAnsi="Verdana"/>
      <w:color w:val="000000"/>
    </w:rPr>
  </w:style>
  <w:style w:type="character" w:styleId="FootnoteReference">
    <w:name w:val="footnote reference"/>
    <w:basedOn w:val="DefaultParagraphFont"/>
    <w:uiPriority w:val="99"/>
    <w:semiHidden/>
    <w:unhideWhenUsed/>
    <w:rsid w:val="00525894"/>
    <w:rPr>
      <w:vertAlign w:val="superscript"/>
    </w:rPr>
  </w:style>
  <w:style w:type="paragraph" w:styleId="ListParagraph">
    <w:name w:val="List Paragraph"/>
    <w:basedOn w:val="Normal"/>
    <w:uiPriority w:val="34"/>
    <w:qFormat/>
    <w:rsid w:val="003676EE"/>
    <w:pPr>
      <w:autoSpaceDN/>
      <w:spacing w:line="240"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CommentReference">
    <w:name w:val="annotation reference"/>
    <w:basedOn w:val="DefaultParagraphFont"/>
    <w:uiPriority w:val="99"/>
    <w:semiHidden/>
    <w:unhideWhenUsed/>
    <w:rsid w:val="00D125F1"/>
    <w:rPr>
      <w:sz w:val="16"/>
      <w:szCs w:val="16"/>
    </w:rPr>
  </w:style>
  <w:style w:type="paragraph" w:styleId="CommentText">
    <w:name w:val="annotation text"/>
    <w:basedOn w:val="Normal"/>
    <w:link w:val="CommentTextChar"/>
    <w:uiPriority w:val="99"/>
    <w:unhideWhenUsed/>
    <w:rsid w:val="00D125F1"/>
    <w:pPr>
      <w:spacing w:line="240" w:lineRule="auto"/>
    </w:pPr>
    <w:rPr>
      <w:sz w:val="20"/>
      <w:szCs w:val="20"/>
    </w:rPr>
  </w:style>
  <w:style w:type="character" w:customStyle="1" w:styleId="CommentTextChar">
    <w:name w:val="Comment Text Char"/>
    <w:basedOn w:val="DefaultParagraphFont"/>
    <w:link w:val="CommentText"/>
    <w:uiPriority w:val="99"/>
    <w:rsid w:val="00D125F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125F1"/>
    <w:rPr>
      <w:b/>
      <w:bCs/>
    </w:rPr>
  </w:style>
  <w:style w:type="character" w:customStyle="1" w:styleId="CommentSubjectChar">
    <w:name w:val="Comment Subject Char"/>
    <w:basedOn w:val="CommentTextChar"/>
    <w:link w:val="CommentSubject"/>
    <w:uiPriority w:val="99"/>
    <w:semiHidden/>
    <w:rsid w:val="00D125F1"/>
    <w:rPr>
      <w:rFonts w:ascii="Verdana" w:hAnsi="Verdana"/>
      <w:b/>
      <w:bCs/>
      <w:color w:val="000000"/>
    </w:rPr>
  </w:style>
  <w:style w:type="paragraph" w:styleId="Revision">
    <w:name w:val="Revision"/>
    <w:hidden/>
    <w:uiPriority w:val="99"/>
    <w:semiHidden/>
    <w:rsid w:val="00D125F1"/>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3423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3127">
      <w:bodyDiv w:val="1"/>
      <w:marLeft w:val="0"/>
      <w:marRight w:val="0"/>
      <w:marTop w:val="0"/>
      <w:marBottom w:val="0"/>
      <w:divBdr>
        <w:top w:val="none" w:sz="0" w:space="0" w:color="auto"/>
        <w:left w:val="none" w:sz="0" w:space="0" w:color="auto"/>
        <w:bottom w:val="none" w:sz="0" w:space="0" w:color="auto"/>
        <w:right w:val="none" w:sz="0" w:space="0" w:color="auto"/>
      </w:divBdr>
    </w:div>
    <w:div w:id="131676913">
      <w:bodyDiv w:val="1"/>
      <w:marLeft w:val="0"/>
      <w:marRight w:val="0"/>
      <w:marTop w:val="0"/>
      <w:marBottom w:val="0"/>
      <w:divBdr>
        <w:top w:val="none" w:sz="0" w:space="0" w:color="auto"/>
        <w:left w:val="none" w:sz="0" w:space="0" w:color="auto"/>
        <w:bottom w:val="none" w:sz="0" w:space="0" w:color="auto"/>
        <w:right w:val="none" w:sz="0" w:space="0" w:color="auto"/>
      </w:divBdr>
    </w:div>
    <w:div w:id="149098055">
      <w:bodyDiv w:val="1"/>
      <w:marLeft w:val="0"/>
      <w:marRight w:val="0"/>
      <w:marTop w:val="0"/>
      <w:marBottom w:val="0"/>
      <w:divBdr>
        <w:top w:val="none" w:sz="0" w:space="0" w:color="auto"/>
        <w:left w:val="none" w:sz="0" w:space="0" w:color="auto"/>
        <w:bottom w:val="none" w:sz="0" w:space="0" w:color="auto"/>
        <w:right w:val="none" w:sz="0" w:space="0" w:color="auto"/>
      </w:divBdr>
    </w:div>
    <w:div w:id="308945072">
      <w:bodyDiv w:val="1"/>
      <w:marLeft w:val="0"/>
      <w:marRight w:val="0"/>
      <w:marTop w:val="0"/>
      <w:marBottom w:val="0"/>
      <w:divBdr>
        <w:top w:val="none" w:sz="0" w:space="0" w:color="auto"/>
        <w:left w:val="none" w:sz="0" w:space="0" w:color="auto"/>
        <w:bottom w:val="none" w:sz="0" w:space="0" w:color="auto"/>
        <w:right w:val="none" w:sz="0" w:space="0" w:color="auto"/>
      </w:divBdr>
    </w:div>
    <w:div w:id="435248557">
      <w:bodyDiv w:val="1"/>
      <w:marLeft w:val="0"/>
      <w:marRight w:val="0"/>
      <w:marTop w:val="0"/>
      <w:marBottom w:val="0"/>
      <w:divBdr>
        <w:top w:val="none" w:sz="0" w:space="0" w:color="auto"/>
        <w:left w:val="none" w:sz="0" w:space="0" w:color="auto"/>
        <w:bottom w:val="none" w:sz="0" w:space="0" w:color="auto"/>
        <w:right w:val="none" w:sz="0" w:space="0" w:color="auto"/>
      </w:divBdr>
    </w:div>
    <w:div w:id="634919014">
      <w:bodyDiv w:val="1"/>
      <w:marLeft w:val="0"/>
      <w:marRight w:val="0"/>
      <w:marTop w:val="0"/>
      <w:marBottom w:val="0"/>
      <w:divBdr>
        <w:top w:val="none" w:sz="0" w:space="0" w:color="auto"/>
        <w:left w:val="none" w:sz="0" w:space="0" w:color="auto"/>
        <w:bottom w:val="none" w:sz="0" w:space="0" w:color="auto"/>
        <w:right w:val="none" w:sz="0" w:space="0" w:color="auto"/>
      </w:divBdr>
    </w:div>
    <w:div w:id="871529747">
      <w:bodyDiv w:val="1"/>
      <w:marLeft w:val="0"/>
      <w:marRight w:val="0"/>
      <w:marTop w:val="0"/>
      <w:marBottom w:val="0"/>
      <w:divBdr>
        <w:top w:val="none" w:sz="0" w:space="0" w:color="auto"/>
        <w:left w:val="none" w:sz="0" w:space="0" w:color="auto"/>
        <w:bottom w:val="none" w:sz="0" w:space="0" w:color="auto"/>
        <w:right w:val="none" w:sz="0" w:space="0" w:color="auto"/>
      </w:divBdr>
    </w:div>
    <w:div w:id="958798259">
      <w:bodyDiv w:val="1"/>
      <w:marLeft w:val="0"/>
      <w:marRight w:val="0"/>
      <w:marTop w:val="0"/>
      <w:marBottom w:val="0"/>
      <w:divBdr>
        <w:top w:val="none" w:sz="0" w:space="0" w:color="auto"/>
        <w:left w:val="none" w:sz="0" w:space="0" w:color="auto"/>
        <w:bottom w:val="none" w:sz="0" w:space="0" w:color="auto"/>
        <w:right w:val="none" w:sz="0" w:space="0" w:color="auto"/>
      </w:divBdr>
    </w:div>
    <w:div w:id="1012024638">
      <w:bodyDiv w:val="1"/>
      <w:marLeft w:val="0"/>
      <w:marRight w:val="0"/>
      <w:marTop w:val="0"/>
      <w:marBottom w:val="0"/>
      <w:divBdr>
        <w:top w:val="none" w:sz="0" w:space="0" w:color="auto"/>
        <w:left w:val="none" w:sz="0" w:space="0" w:color="auto"/>
        <w:bottom w:val="none" w:sz="0" w:space="0" w:color="auto"/>
        <w:right w:val="none" w:sz="0" w:space="0" w:color="auto"/>
      </w:divBdr>
    </w:div>
    <w:div w:id="1055272938">
      <w:bodyDiv w:val="1"/>
      <w:marLeft w:val="0"/>
      <w:marRight w:val="0"/>
      <w:marTop w:val="0"/>
      <w:marBottom w:val="0"/>
      <w:divBdr>
        <w:top w:val="none" w:sz="0" w:space="0" w:color="auto"/>
        <w:left w:val="none" w:sz="0" w:space="0" w:color="auto"/>
        <w:bottom w:val="none" w:sz="0" w:space="0" w:color="auto"/>
        <w:right w:val="none" w:sz="0" w:space="0" w:color="auto"/>
      </w:divBdr>
    </w:div>
    <w:div w:id="1154220461">
      <w:bodyDiv w:val="1"/>
      <w:marLeft w:val="0"/>
      <w:marRight w:val="0"/>
      <w:marTop w:val="0"/>
      <w:marBottom w:val="0"/>
      <w:divBdr>
        <w:top w:val="none" w:sz="0" w:space="0" w:color="auto"/>
        <w:left w:val="none" w:sz="0" w:space="0" w:color="auto"/>
        <w:bottom w:val="none" w:sz="0" w:space="0" w:color="auto"/>
        <w:right w:val="none" w:sz="0" w:space="0" w:color="auto"/>
      </w:divBdr>
    </w:div>
    <w:div w:id="1343169359">
      <w:bodyDiv w:val="1"/>
      <w:marLeft w:val="0"/>
      <w:marRight w:val="0"/>
      <w:marTop w:val="0"/>
      <w:marBottom w:val="0"/>
      <w:divBdr>
        <w:top w:val="none" w:sz="0" w:space="0" w:color="auto"/>
        <w:left w:val="none" w:sz="0" w:space="0" w:color="auto"/>
        <w:bottom w:val="none" w:sz="0" w:space="0" w:color="auto"/>
        <w:right w:val="none" w:sz="0" w:space="0" w:color="auto"/>
      </w:divBdr>
    </w:div>
    <w:div w:id="1436945564">
      <w:bodyDiv w:val="1"/>
      <w:marLeft w:val="0"/>
      <w:marRight w:val="0"/>
      <w:marTop w:val="0"/>
      <w:marBottom w:val="0"/>
      <w:divBdr>
        <w:top w:val="none" w:sz="0" w:space="0" w:color="auto"/>
        <w:left w:val="none" w:sz="0" w:space="0" w:color="auto"/>
        <w:bottom w:val="none" w:sz="0" w:space="0" w:color="auto"/>
        <w:right w:val="none" w:sz="0" w:space="0" w:color="auto"/>
      </w:divBdr>
    </w:div>
    <w:div w:id="1828862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1730</ap:Words>
  <ap:Characters>9864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Brief aan Parlement - Aanpak ordeverstorende passagiers</vt:lpstr>
    </vt:vector>
  </ap:TitlesOfParts>
  <ap:LinksUpToDate>false</ap:LinksUpToDate>
  <ap:CharactersWithSpaces>11571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2026-07-09T12:49:00.0000000Z</dcterms:created>
  <dcterms:modified xsi:type="dcterms:W3CDTF">2026-07-09T12:49:00.0000000Z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Aanpak ordeverstorende passagiers </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Akin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