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C2CF7" w:rsidR="00D74AB9" w:rsidRDefault="00274420" w14:paraId="3314192E" w14:textId="6A203177">
      <w:pPr>
        <w:rPr>
          <w:b/>
          <w:bCs/>
          <w:lang w:val="nl-NL"/>
        </w:rPr>
      </w:pPr>
      <w:r w:rsidRPr="003C2CF7">
        <w:rPr>
          <w:b/>
          <w:bCs/>
          <w:lang w:val="nl-NL"/>
        </w:rPr>
        <w:t>Bijlage 1</w:t>
      </w:r>
      <w:r w:rsidRPr="003C2CF7">
        <w:rPr>
          <w:b/>
          <w:bCs/>
          <w:lang w:val="nl-NL"/>
        </w:rPr>
        <w:tab/>
        <w:t xml:space="preserve">Fichebundel Verkenning </w:t>
      </w:r>
      <w:r w:rsidRPr="003C2CF7" w:rsidR="008208AC">
        <w:rPr>
          <w:b/>
          <w:bCs/>
          <w:lang w:val="nl-NL"/>
        </w:rPr>
        <w:t>vereenvoudiging</w:t>
      </w:r>
      <w:r w:rsidRPr="003C2CF7">
        <w:rPr>
          <w:b/>
          <w:bCs/>
          <w:lang w:val="nl-NL"/>
        </w:rPr>
        <w:t xml:space="preserve"> Toeslagenwet </w:t>
      </w:r>
    </w:p>
    <w:p w:rsidRPr="008208AC" w:rsidR="00274420" w:rsidRDefault="008208AC" w14:paraId="3A4892EE" w14:textId="536710D4">
      <w:pPr>
        <w:rPr>
          <w:lang w:val="nl-NL"/>
        </w:rPr>
      </w:pPr>
      <w:r>
        <w:rPr>
          <w:lang w:val="nl-NL"/>
        </w:rPr>
        <w:t>I</w:t>
      </w:r>
      <w:r w:rsidRPr="00D74AB9">
        <w:rPr>
          <w:lang w:val="nl-NL"/>
        </w:rPr>
        <w:t>n de</w:t>
      </w:r>
      <w:r>
        <w:rPr>
          <w:lang w:val="nl-NL"/>
        </w:rPr>
        <w:t>ze</w:t>
      </w:r>
      <w:r w:rsidRPr="00D74AB9">
        <w:rPr>
          <w:lang w:val="nl-NL"/>
        </w:rPr>
        <w:t xml:space="preserve"> fichebundel zijn uiteenlopende maatregelen uitgewerkt</w:t>
      </w:r>
      <w:r>
        <w:rPr>
          <w:lang w:val="nl-NL"/>
        </w:rPr>
        <w:t xml:space="preserve"> om de Toeslagenwet te vereenvoudigen. </w:t>
      </w:r>
      <w:r w:rsidRPr="00D74AB9">
        <w:rPr>
          <w:lang w:val="nl-NL"/>
        </w:rPr>
        <w:t xml:space="preserve">Uit de verkenning </w:t>
      </w:r>
      <w:r w:rsidR="003C2CF7">
        <w:rPr>
          <w:lang w:val="nl-NL"/>
        </w:rPr>
        <w:t>volgen drie</w:t>
      </w:r>
      <w:r w:rsidRPr="00D74AB9">
        <w:rPr>
          <w:lang w:val="nl-NL"/>
        </w:rPr>
        <w:t xml:space="preserve"> lijnen om de Toeslagenwet te vereenvoudigen en </w:t>
      </w:r>
      <w:r>
        <w:rPr>
          <w:lang w:val="nl-NL"/>
        </w:rPr>
        <w:t xml:space="preserve">potentieel </w:t>
      </w:r>
      <w:r w:rsidRPr="00D74AB9">
        <w:rPr>
          <w:lang w:val="nl-NL"/>
        </w:rPr>
        <w:t>niet-gebruik tegen te gaan: 1) het gebruik van de TW vergroten</w:t>
      </w:r>
      <w:r>
        <w:rPr>
          <w:lang w:val="nl-NL"/>
        </w:rPr>
        <w:t xml:space="preserve"> (A-fiches)</w:t>
      </w:r>
      <w:r w:rsidRPr="00D74AB9">
        <w:rPr>
          <w:lang w:val="nl-NL"/>
        </w:rPr>
        <w:t xml:space="preserve"> 2) voorwaarden en wettelijke bepalingen binnen de TW vereenvoudigen</w:t>
      </w:r>
      <w:r>
        <w:rPr>
          <w:lang w:val="nl-NL"/>
        </w:rPr>
        <w:t xml:space="preserve"> (B-fiches)</w:t>
      </w:r>
      <w:r w:rsidRPr="00D74AB9">
        <w:rPr>
          <w:lang w:val="nl-NL"/>
        </w:rPr>
        <w:t xml:space="preserve"> en 3) een fundamentele herziening waarbij de TW geen aparte regeling meer is</w:t>
      </w:r>
      <w:r>
        <w:rPr>
          <w:lang w:val="nl-NL"/>
        </w:rPr>
        <w:t xml:space="preserve"> (C-fiches)</w:t>
      </w:r>
      <w:r w:rsidRPr="00D74AB9">
        <w:rPr>
          <w:lang w:val="nl-NL"/>
        </w:rPr>
        <w:t>.</w:t>
      </w:r>
      <w:r>
        <w:rPr>
          <w:lang w:val="nl-NL"/>
        </w:rPr>
        <w:t xml:space="preserve"> De ramingen die zijn opgenomen in deze bundel zijn gebaseerd op de meest recente data. Wanneer maatregelen daadwerkelijk genomen zouden worden, worden de financiële effecten van de maatregelen opnieuw bezien op basis van de meest recente data en inzichten.</w:t>
      </w:r>
    </w:p>
    <w:p w:rsidRPr="00FD1605" w:rsidR="008208AC" w:rsidRDefault="008208AC" w14:paraId="66D01379" w14:textId="77777777">
      <w:pPr>
        <w:rPr>
          <w:lang w:val="nl-NL"/>
        </w:rPr>
      </w:pPr>
    </w:p>
    <w:p w:rsidRPr="00FD1605" w:rsidR="00E2272F" w:rsidRDefault="00E2272F" w14:paraId="3AB0ED5E" w14:textId="66CF945E">
      <w:pPr>
        <w:rPr>
          <w:b/>
          <w:bCs/>
          <w:sz w:val="20"/>
          <w:szCs w:val="20"/>
          <w:lang w:val="nl-NL"/>
        </w:rPr>
      </w:pPr>
      <w:r w:rsidRPr="00FD1605">
        <w:rPr>
          <w:b/>
          <w:bCs/>
          <w:sz w:val="20"/>
          <w:szCs w:val="20"/>
          <w:lang w:val="nl-NL"/>
        </w:rPr>
        <w:t>Inhoud</w:t>
      </w:r>
    </w:p>
    <w:p w:rsidRPr="00900263" w:rsidR="00900263" w:rsidRDefault="009A520D" w14:paraId="1478817D" w14:textId="376D2750">
      <w:pPr>
        <w:pStyle w:val="Inhopg1"/>
        <w:rPr>
          <w:rFonts w:asciiTheme="minorHAnsi" w:hAnsiTheme="minorHAnsi" w:eastAsiaTheme="minorEastAsia" w:cstheme="minorBidi"/>
          <w:caps w:val="0"/>
          <w:kern w:val="2"/>
          <w:sz w:val="24"/>
          <w:szCs w:val="24"/>
          <w:lang w:val="nl-NL"/>
          <w14:ligatures w14:val="standardContextual"/>
        </w:rPr>
      </w:pPr>
      <w:r w:rsidRPr="00900263">
        <w:rPr>
          <w:lang w:val="nl-NL"/>
        </w:rPr>
        <w:fldChar w:fldCharType="begin"/>
      </w:r>
      <w:r w:rsidRPr="00900263">
        <w:rPr>
          <w:lang w:val="nl-NL"/>
        </w:rPr>
        <w:instrText xml:space="preserve"> TOC \o "1-3" \h \z \u </w:instrText>
      </w:r>
      <w:r w:rsidRPr="00900263">
        <w:rPr>
          <w:lang w:val="nl-NL"/>
        </w:rPr>
        <w:fldChar w:fldCharType="separate"/>
      </w:r>
      <w:hyperlink w:history="1" w:anchor="_Toc223522223">
        <w:r w:rsidRPr="00900263" w:rsidR="00900263">
          <w:rPr>
            <w:rStyle w:val="Hyperlink"/>
            <w:lang w:val="nl-NL"/>
          </w:rPr>
          <w:t>A.1 Naamswijziging</w:t>
        </w:r>
        <w:r w:rsidRPr="00900263" w:rsidR="00900263">
          <w:rPr>
            <w:webHidden/>
          </w:rPr>
          <w:tab/>
        </w:r>
        <w:r w:rsidRPr="00900263" w:rsidR="00900263">
          <w:rPr>
            <w:webHidden/>
          </w:rPr>
          <w:fldChar w:fldCharType="begin"/>
        </w:r>
        <w:r w:rsidRPr="00900263" w:rsidR="00900263">
          <w:rPr>
            <w:webHidden/>
          </w:rPr>
          <w:instrText xml:space="preserve"> PAGEREF _Toc223522223 \h </w:instrText>
        </w:r>
        <w:r w:rsidRPr="00900263" w:rsidR="00900263">
          <w:rPr>
            <w:webHidden/>
          </w:rPr>
        </w:r>
        <w:r w:rsidRPr="00900263" w:rsidR="00900263">
          <w:rPr>
            <w:webHidden/>
          </w:rPr>
          <w:fldChar w:fldCharType="separate"/>
        </w:r>
        <w:r w:rsidRPr="00900263" w:rsidR="00900263">
          <w:rPr>
            <w:webHidden/>
          </w:rPr>
          <w:t>2</w:t>
        </w:r>
        <w:r w:rsidRPr="00900263" w:rsidR="00900263">
          <w:rPr>
            <w:webHidden/>
          </w:rPr>
          <w:fldChar w:fldCharType="end"/>
        </w:r>
      </w:hyperlink>
    </w:p>
    <w:p w:rsidRPr="00900263" w:rsidR="00900263" w:rsidRDefault="00900263" w14:paraId="6E0C668F" w14:textId="2FECC503">
      <w:pPr>
        <w:pStyle w:val="Inhopg1"/>
        <w:rPr>
          <w:rFonts w:asciiTheme="minorHAnsi" w:hAnsiTheme="minorHAnsi" w:eastAsiaTheme="minorEastAsia" w:cstheme="minorBidi"/>
          <w:caps w:val="0"/>
          <w:kern w:val="2"/>
          <w:sz w:val="24"/>
          <w:szCs w:val="24"/>
          <w:lang w:val="nl-NL"/>
          <w14:ligatures w14:val="standardContextual"/>
        </w:rPr>
      </w:pPr>
      <w:hyperlink w:history="1" w:anchor="_Toc223522224">
        <w:r w:rsidRPr="00900263">
          <w:rPr>
            <w:rStyle w:val="Hyperlink"/>
            <w:lang w:val="nl-NL"/>
          </w:rPr>
          <w:t>A.2 Afschaffen maximering hoogte TW</w:t>
        </w:r>
        <w:r w:rsidRPr="00900263">
          <w:rPr>
            <w:webHidden/>
          </w:rPr>
          <w:tab/>
        </w:r>
        <w:r w:rsidRPr="00900263">
          <w:rPr>
            <w:webHidden/>
          </w:rPr>
          <w:fldChar w:fldCharType="begin"/>
        </w:r>
        <w:r w:rsidRPr="00900263">
          <w:rPr>
            <w:webHidden/>
          </w:rPr>
          <w:instrText xml:space="preserve"> PAGEREF _Toc223522224 \h </w:instrText>
        </w:r>
        <w:r w:rsidRPr="00900263">
          <w:rPr>
            <w:webHidden/>
          </w:rPr>
        </w:r>
        <w:r w:rsidRPr="00900263">
          <w:rPr>
            <w:webHidden/>
          </w:rPr>
          <w:fldChar w:fldCharType="separate"/>
        </w:r>
        <w:r w:rsidRPr="00900263">
          <w:rPr>
            <w:webHidden/>
          </w:rPr>
          <w:t>3</w:t>
        </w:r>
        <w:r w:rsidRPr="00900263">
          <w:rPr>
            <w:webHidden/>
          </w:rPr>
          <w:fldChar w:fldCharType="end"/>
        </w:r>
      </w:hyperlink>
    </w:p>
    <w:p w:rsidRPr="00900263" w:rsidR="00900263" w:rsidRDefault="00900263" w14:paraId="6CC76718" w14:textId="1C46CE77">
      <w:pPr>
        <w:pStyle w:val="Inhopg1"/>
        <w:rPr>
          <w:rFonts w:asciiTheme="minorHAnsi" w:hAnsiTheme="minorHAnsi" w:eastAsiaTheme="minorEastAsia" w:cstheme="minorBidi"/>
          <w:caps w:val="0"/>
          <w:kern w:val="2"/>
          <w:sz w:val="24"/>
          <w:szCs w:val="24"/>
          <w:lang w:val="nl-NL"/>
          <w14:ligatures w14:val="standardContextual"/>
        </w:rPr>
      </w:pPr>
      <w:hyperlink w:history="1" w:anchor="_Toc223522225">
        <w:r w:rsidRPr="00900263">
          <w:rPr>
            <w:rStyle w:val="Hyperlink"/>
            <w:lang w:val="nl-NL"/>
          </w:rPr>
          <w:t>A.3 Ambtshalve toekennen TW-aanvulling door UWV</w:t>
        </w:r>
        <w:r w:rsidRPr="00900263">
          <w:rPr>
            <w:webHidden/>
          </w:rPr>
          <w:tab/>
        </w:r>
        <w:r w:rsidRPr="00900263">
          <w:rPr>
            <w:webHidden/>
          </w:rPr>
          <w:fldChar w:fldCharType="begin"/>
        </w:r>
        <w:r w:rsidRPr="00900263">
          <w:rPr>
            <w:webHidden/>
          </w:rPr>
          <w:instrText xml:space="preserve"> PAGEREF _Toc223522225 \h </w:instrText>
        </w:r>
        <w:r w:rsidRPr="00900263">
          <w:rPr>
            <w:webHidden/>
          </w:rPr>
        </w:r>
        <w:r w:rsidRPr="00900263">
          <w:rPr>
            <w:webHidden/>
          </w:rPr>
          <w:fldChar w:fldCharType="separate"/>
        </w:r>
        <w:r w:rsidRPr="00900263">
          <w:rPr>
            <w:webHidden/>
          </w:rPr>
          <w:t>6</w:t>
        </w:r>
        <w:r w:rsidRPr="00900263">
          <w:rPr>
            <w:webHidden/>
          </w:rPr>
          <w:fldChar w:fldCharType="end"/>
        </w:r>
      </w:hyperlink>
    </w:p>
    <w:p w:rsidRPr="00900263" w:rsidR="00900263" w:rsidRDefault="00900263" w14:paraId="38CAFA55" w14:textId="3A4E079F">
      <w:pPr>
        <w:pStyle w:val="Inhopg1"/>
        <w:rPr>
          <w:rFonts w:asciiTheme="minorHAnsi" w:hAnsiTheme="minorHAnsi" w:eastAsiaTheme="minorEastAsia" w:cstheme="minorBidi"/>
          <w:caps w:val="0"/>
          <w:kern w:val="2"/>
          <w:sz w:val="24"/>
          <w:szCs w:val="24"/>
          <w:lang w:val="nl-NL"/>
          <w14:ligatures w14:val="standardContextual"/>
        </w:rPr>
      </w:pPr>
      <w:hyperlink w:history="1" w:anchor="_Toc223522226">
        <w:r w:rsidRPr="00900263">
          <w:rPr>
            <w:rStyle w:val="Hyperlink"/>
            <w:lang w:val="nl-NL"/>
          </w:rPr>
          <w:t>B.1 Afschaffen kostendelersnorm</w:t>
        </w:r>
        <w:r w:rsidRPr="00900263">
          <w:rPr>
            <w:webHidden/>
          </w:rPr>
          <w:tab/>
        </w:r>
        <w:r w:rsidRPr="00900263">
          <w:rPr>
            <w:webHidden/>
          </w:rPr>
          <w:fldChar w:fldCharType="begin"/>
        </w:r>
        <w:r w:rsidRPr="00900263">
          <w:rPr>
            <w:webHidden/>
          </w:rPr>
          <w:instrText xml:space="preserve"> PAGEREF _Toc223522226 \h </w:instrText>
        </w:r>
        <w:r w:rsidRPr="00900263">
          <w:rPr>
            <w:webHidden/>
          </w:rPr>
        </w:r>
        <w:r w:rsidRPr="00900263">
          <w:rPr>
            <w:webHidden/>
          </w:rPr>
          <w:fldChar w:fldCharType="separate"/>
        </w:r>
        <w:r w:rsidRPr="00900263">
          <w:rPr>
            <w:webHidden/>
          </w:rPr>
          <w:t>8</w:t>
        </w:r>
        <w:r w:rsidRPr="00900263">
          <w:rPr>
            <w:webHidden/>
          </w:rPr>
          <w:fldChar w:fldCharType="end"/>
        </w:r>
      </w:hyperlink>
    </w:p>
    <w:p w:rsidRPr="00900263" w:rsidR="00900263" w:rsidRDefault="00900263" w14:paraId="5DF25709" w14:textId="187176DB">
      <w:pPr>
        <w:pStyle w:val="Inhopg1"/>
        <w:rPr>
          <w:rFonts w:asciiTheme="minorHAnsi" w:hAnsiTheme="minorHAnsi" w:eastAsiaTheme="minorEastAsia" w:cstheme="minorBidi"/>
          <w:caps w:val="0"/>
          <w:kern w:val="2"/>
          <w:sz w:val="24"/>
          <w:szCs w:val="24"/>
          <w:lang w:val="nl-NL"/>
          <w14:ligatures w14:val="standardContextual"/>
        </w:rPr>
      </w:pPr>
      <w:hyperlink w:history="1" w:anchor="_Toc223522227">
        <w:r w:rsidRPr="00900263">
          <w:rPr>
            <w:rStyle w:val="Hyperlink"/>
            <w:lang w:val="nl-NL"/>
          </w:rPr>
          <w:t>B.2 Individualiseren aanvullende toeslag</w:t>
        </w:r>
        <w:r w:rsidRPr="00900263">
          <w:rPr>
            <w:webHidden/>
          </w:rPr>
          <w:tab/>
        </w:r>
        <w:r w:rsidRPr="00900263">
          <w:rPr>
            <w:webHidden/>
          </w:rPr>
          <w:fldChar w:fldCharType="begin"/>
        </w:r>
        <w:r w:rsidRPr="00900263">
          <w:rPr>
            <w:webHidden/>
          </w:rPr>
          <w:instrText xml:space="preserve"> PAGEREF _Toc223522227 \h </w:instrText>
        </w:r>
        <w:r w:rsidRPr="00900263">
          <w:rPr>
            <w:webHidden/>
          </w:rPr>
        </w:r>
        <w:r w:rsidRPr="00900263">
          <w:rPr>
            <w:webHidden/>
          </w:rPr>
          <w:fldChar w:fldCharType="separate"/>
        </w:r>
        <w:r w:rsidRPr="00900263">
          <w:rPr>
            <w:webHidden/>
          </w:rPr>
          <w:t>11</w:t>
        </w:r>
        <w:r w:rsidRPr="00900263">
          <w:rPr>
            <w:webHidden/>
          </w:rPr>
          <w:fldChar w:fldCharType="end"/>
        </w:r>
      </w:hyperlink>
    </w:p>
    <w:p w:rsidRPr="00900263" w:rsidR="00900263" w:rsidRDefault="00900263" w14:paraId="3501CB0A" w14:textId="63171667">
      <w:pPr>
        <w:pStyle w:val="Inhopg1"/>
        <w:rPr>
          <w:rFonts w:asciiTheme="minorHAnsi" w:hAnsiTheme="minorHAnsi" w:eastAsiaTheme="minorEastAsia" w:cstheme="minorBidi"/>
          <w:caps w:val="0"/>
          <w:kern w:val="2"/>
          <w:sz w:val="24"/>
          <w:szCs w:val="24"/>
          <w:lang w:val="nl-NL"/>
          <w14:ligatures w14:val="standardContextual"/>
        </w:rPr>
      </w:pPr>
      <w:hyperlink w:history="1" w:anchor="_Toc223522228">
        <w:r w:rsidRPr="00900263">
          <w:rPr>
            <w:rStyle w:val="Hyperlink"/>
            <w:lang w:val="nl-NL"/>
          </w:rPr>
          <w:t>B.3 Inkomensbegrip zelfde als de basiswet</w:t>
        </w:r>
        <w:r w:rsidRPr="00900263">
          <w:rPr>
            <w:webHidden/>
          </w:rPr>
          <w:tab/>
        </w:r>
        <w:r w:rsidRPr="00900263">
          <w:rPr>
            <w:webHidden/>
          </w:rPr>
          <w:fldChar w:fldCharType="begin"/>
        </w:r>
        <w:r w:rsidRPr="00900263">
          <w:rPr>
            <w:webHidden/>
          </w:rPr>
          <w:instrText xml:space="preserve"> PAGEREF _Toc223522228 \h </w:instrText>
        </w:r>
        <w:r w:rsidRPr="00900263">
          <w:rPr>
            <w:webHidden/>
          </w:rPr>
        </w:r>
        <w:r w:rsidRPr="00900263">
          <w:rPr>
            <w:webHidden/>
          </w:rPr>
          <w:fldChar w:fldCharType="separate"/>
        </w:r>
        <w:r w:rsidRPr="00900263">
          <w:rPr>
            <w:webHidden/>
          </w:rPr>
          <w:t>14</w:t>
        </w:r>
        <w:r w:rsidRPr="00900263">
          <w:rPr>
            <w:webHidden/>
          </w:rPr>
          <w:fldChar w:fldCharType="end"/>
        </w:r>
      </w:hyperlink>
    </w:p>
    <w:p w:rsidRPr="00900263" w:rsidR="00900263" w:rsidRDefault="00900263" w14:paraId="20D6FF26" w14:textId="4127FADA">
      <w:pPr>
        <w:pStyle w:val="Inhopg1"/>
        <w:rPr>
          <w:rFonts w:asciiTheme="minorHAnsi" w:hAnsiTheme="minorHAnsi" w:eastAsiaTheme="minorEastAsia" w:cstheme="minorBidi"/>
          <w:caps w:val="0"/>
          <w:kern w:val="2"/>
          <w:sz w:val="24"/>
          <w:szCs w:val="24"/>
          <w:lang w:val="nl-NL"/>
          <w14:ligatures w14:val="standardContextual"/>
        </w:rPr>
      </w:pPr>
      <w:hyperlink w:history="1" w:anchor="_Toc223522229">
        <w:r w:rsidRPr="00900263">
          <w:rPr>
            <w:rStyle w:val="Hyperlink"/>
            <w:lang w:val="nl-NL"/>
          </w:rPr>
          <w:t>B.4 Vrijlatingsregeling afschaffen</w:t>
        </w:r>
        <w:r w:rsidRPr="00900263">
          <w:rPr>
            <w:webHidden/>
          </w:rPr>
          <w:tab/>
        </w:r>
        <w:r w:rsidRPr="00900263">
          <w:rPr>
            <w:webHidden/>
          </w:rPr>
          <w:fldChar w:fldCharType="begin"/>
        </w:r>
        <w:r w:rsidRPr="00900263">
          <w:rPr>
            <w:webHidden/>
          </w:rPr>
          <w:instrText xml:space="preserve"> PAGEREF _Toc223522229 \h </w:instrText>
        </w:r>
        <w:r w:rsidRPr="00900263">
          <w:rPr>
            <w:webHidden/>
          </w:rPr>
        </w:r>
        <w:r w:rsidRPr="00900263">
          <w:rPr>
            <w:webHidden/>
          </w:rPr>
          <w:fldChar w:fldCharType="separate"/>
        </w:r>
        <w:r w:rsidRPr="00900263">
          <w:rPr>
            <w:webHidden/>
          </w:rPr>
          <w:t>16</w:t>
        </w:r>
        <w:r w:rsidRPr="00900263">
          <w:rPr>
            <w:webHidden/>
          </w:rPr>
          <w:fldChar w:fldCharType="end"/>
        </w:r>
      </w:hyperlink>
    </w:p>
    <w:p w:rsidRPr="00900263" w:rsidR="00900263" w:rsidRDefault="00900263" w14:paraId="73071757" w14:textId="00B830AE">
      <w:pPr>
        <w:pStyle w:val="Inhopg1"/>
        <w:rPr>
          <w:rFonts w:asciiTheme="minorHAnsi" w:hAnsiTheme="minorHAnsi" w:eastAsiaTheme="minorEastAsia" w:cstheme="minorBidi"/>
          <w:caps w:val="0"/>
          <w:kern w:val="2"/>
          <w:sz w:val="24"/>
          <w:szCs w:val="24"/>
          <w:lang w:val="nl-NL"/>
          <w14:ligatures w14:val="standardContextual"/>
        </w:rPr>
      </w:pPr>
      <w:hyperlink w:history="1" w:anchor="_Toc223522230">
        <w:r w:rsidRPr="00900263">
          <w:rPr>
            <w:rStyle w:val="Hyperlink"/>
            <w:lang w:val="nl-NL"/>
          </w:rPr>
          <w:t>B.5 Vrijlatingsregeling vereenvoudigen</w:t>
        </w:r>
        <w:r w:rsidRPr="00900263">
          <w:rPr>
            <w:webHidden/>
          </w:rPr>
          <w:tab/>
        </w:r>
        <w:r w:rsidRPr="00900263">
          <w:rPr>
            <w:webHidden/>
          </w:rPr>
          <w:fldChar w:fldCharType="begin"/>
        </w:r>
        <w:r w:rsidRPr="00900263">
          <w:rPr>
            <w:webHidden/>
          </w:rPr>
          <w:instrText xml:space="preserve"> PAGEREF _Toc223522230 \h </w:instrText>
        </w:r>
        <w:r w:rsidRPr="00900263">
          <w:rPr>
            <w:webHidden/>
          </w:rPr>
        </w:r>
        <w:r w:rsidRPr="00900263">
          <w:rPr>
            <w:webHidden/>
          </w:rPr>
          <w:fldChar w:fldCharType="separate"/>
        </w:r>
        <w:r w:rsidRPr="00900263">
          <w:rPr>
            <w:webHidden/>
          </w:rPr>
          <w:t>18</w:t>
        </w:r>
        <w:r w:rsidRPr="00900263">
          <w:rPr>
            <w:webHidden/>
          </w:rPr>
          <w:fldChar w:fldCharType="end"/>
        </w:r>
      </w:hyperlink>
    </w:p>
    <w:p w:rsidRPr="00900263" w:rsidR="00900263" w:rsidRDefault="00900263" w14:paraId="721749D5" w14:textId="515BA72D">
      <w:pPr>
        <w:pStyle w:val="Inhopg1"/>
        <w:rPr>
          <w:rFonts w:asciiTheme="minorHAnsi" w:hAnsiTheme="minorHAnsi" w:eastAsiaTheme="minorEastAsia" w:cstheme="minorBidi"/>
          <w:caps w:val="0"/>
          <w:kern w:val="2"/>
          <w:sz w:val="24"/>
          <w:szCs w:val="24"/>
          <w:lang w:val="nl-NL"/>
          <w14:ligatures w14:val="standardContextual"/>
        </w:rPr>
      </w:pPr>
      <w:hyperlink w:history="1" w:anchor="_Toc223522231">
        <w:r w:rsidRPr="00900263">
          <w:rPr>
            <w:rStyle w:val="Hyperlink"/>
            <w:rFonts w:cs="Calibri"/>
            <w:lang w:val="nl-NL"/>
          </w:rPr>
          <w:t xml:space="preserve">B.6 </w:t>
        </w:r>
        <w:r w:rsidRPr="00900263">
          <w:rPr>
            <w:rStyle w:val="Hyperlink"/>
            <w:lang w:val="nl-NL"/>
          </w:rPr>
          <w:t>Harmoniseren TW-berekening met basiswetuitkeringen</w:t>
        </w:r>
        <w:r w:rsidRPr="00900263">
          <w:rPr>
            <w:webHidden/>
          </w:rPr>
          <w:tab/>
        </w:r>
        <w:r w:rsidRPr="00900263">
          <w:rPr>
            <w:webHidden/>
          </w:rPr>
          <w:fldChar w:fldCharType="begin"/>
        </w:r>
        <w:r w:rsidRPr="00900263">
          <w:rPr>
            <w:webHidden/>
          </w:rPr>
          <w:instrText xml:space="preserve"> PAGEREF _Toc223522231 \h </w:instrText>
        </w:r>
        <w:r w:rsidRPr="00900263">
          <w:rPr>
            <w:webHidden/>
          </w:rPr>
        </w:r>
        <w:r w:rsidRPr="00900263">
          <w:rPr>
            <w:webHidden/>
          </w:rPr>
          <w:fldChar w:fldCharType="separate"/>
        </w:r>
        <w:r w:rsidRPr="00900263">
          <w:rPr>
            <w:webHidden/>
          </w:rPr>
          <w:t>21</w:t>
        </w:r>
        <w:r w:rsidRPr="00900263">
          <w:rPr>
            <w:webHidden/>
          </w:rPr>
          <w:fldChar w:fldCharType="end"/>
        </w:r>
      </w:hyperlink>
    </w:p>
    <w:p w:rsidRPr="00900263" w:rsidR="00900263" w:rsidRDefault="00900263" w14:paraId="02785982" w14:textId="692F4F53">
      <w:pPr>
        <w:pStyle w:val="Inhopg1"/>
        <w:rPr>
          <w:rFonts w:asciiTheme="minorHAnsi" w:hAnsiTheme="minorHAnsi" w:eastAsiaTheme="minorEastAsia" w:cstheme="minorBidi"/>
          <w:caps w:val="0"/>
          <w:kern w:val="2"/>
          <w:sz w:val="24"/>
          <w:szCs w:val="24"/>
          <w:lang w:val="nl-NL"/>
          <w14:ligatures w14:val="standardContextual"/>
        </w:rPr>
      </w:pPr>
      <w:hyperlink w:history="1" w:anchor="_Toc223522232">
        <w:r w:rsidRPr="00900263">
          <w:rPr>
            <w:rStyle w:val="Hyperlink"/>
            <w:rFonts w:cs="Calibri"/>
            <w:lang w:val="nl-NL"/>
          </w:rPr>
          <w:t>B.7 Harmoniseren hoogte sociaalminimumnorm Toeslagenwet en Participatiewet</w:t>
        </w:r>
        <w:r w:rsidRPr="00900263">
          <w:rPr>
            <w:webHidden/>
          </w:rPr>
          <w:tab/>
        </w:r>
        <w:r w:rsidRPr="00900263">
          <w:rPr>
            <w:webHidden/>
          </w:rPr>
          <w:fldChar w:fldCharType="begin"/>
        </w:r>
        <w:r w:rsidRPr="00900263">
          <w:rPr>
            <w:webHidden/>
          </w:rPr>
          <w:instrText xml:space="preserve"> PAGEREF _Toc223522232 \h </w:instrText>
        </w:r>
        <w:r w:rsidRPr="00900263">
          <w:rPr>
            <w:webHidden/>
          </w:rPr>
        </w:r>
        <w:r w:rsidRPr="00900263">
          <w:rPr>
            <w:webHidden/>
          </w:rPr>
          <w:fldChar w:fldCharType="separate"/>
        </w:r>
        <w:r w:rsidRPr="00900263">
          <w:rPr>
            <w:webHidden/>
          </w:rPr>
          <w:t>22</w:t>
        </w:r>
        <w:r w:rsidRPr="00900263">
          <w:rPr>
            <w:webHidden/>
          </w:rPr>
          <w:fldChar w:fldCharType="end"/>
        </w:r>
      </w:hyperlink>
    </w:p>
    <w:p w:rsidRPr="00900263" w:rsidR="00900263" w:rsidRDefault="00900263" w14:paraId="5E0E7DB5" w14:textId="74FD87A2">
      <w:pPr>
        <w:pStyle w:val="Inhopg1"/>
        <w:rPr>
          <w:rFonts w:asciiTheme="minorHAnsi" w:hAnsiTheme="minorHAnsi" w:eastAsiaTheme="minorEastAsia" w:cstheme="minorBidi"/>
          <w:caps w:val="0"/>
          <w:kern w:val="2"/>
          <w:sz w:val="24"/>
          <w:szCs w:val="24"/>
          <w:lang w:val="nl-NL"/>
          <w14:ligatures w14:val="standardContextual"/>
        </w:rPr>
      </w:pPr>
      <w:hyperlink w:history="1" w:anchor="_Toc223522233">
        <w:r w:rsidRPr="00900263">
          <w:rPr>
            <w:rStyle w:val="Hyperlink"/>
            <w:lang w:val="nl-NL"/>
          </w:rPr>
          <w:t>B.8 Kindregel afschaffen (de 1990-maatregel blijft bestaan)</w:t>
        </w:r>
        <w:r w:rsidRPr="00900263">
          <w:rPr>
            <w:webHidden/>
          </w:rPr>
          <w:tab/>
        </w:r>
        <w:r w:rsidRPr="00900263">
          <w:rPr>
            <w:webHidden/>
          </w:rPr>
          <w:fldChar w:fldCharType="begin"/>
        </w:r>
        <w:r w:rsidRPr="00900263">
          <w:rPr>
            <w:webHidden/>
          </w:rPr>
          <w:instrText xml:space="preserve"> PAGEREF _Toc223522233 \h </w:instrText>
        </w:r>
        <w:r w:rsidRPr="00900263">
          <w:rPr>
            <w:webHidden/>
          </w:rPr>
        </w:r>
        <w:r w:rsidRPr="00900263">
          <w:rPr>
            <w:webHidden/>
          </w:rPr>
          <w:fldChar w:fldCharType="separate"/>
        </w:r>
        <w:r w:rsidRPr="00900263">
          <w:rPr>
            <w:webHidden/>
          </w:rPr>
          <w:t>24</w:t>
        </w:r>
        <w:r w:rsidRPr="00900263">
          <w:rPr>
            <w:webHidden/>
          </w:rPr>
          <w:fldChar w:fldCharType="end"/>
        </w:r>
      </w:hyperlink>
    </w:p>
    <w:p w:rsidRPr="00900263" w:rsidR="00900263" w:rsidRDefault="00900263" w14:paraId="6CF96C69" w14:textId="7749615F">
      <w:pPr>
        <w:pStyle w:val="Inhopg1"/>
        <w:rPr>
          <w:rFonts w:asciiTheme="minorHAnsi" w:hAnsiTheme="minorHAnsi" w:eastAsiaTheme="minorEastAsia" w:cstheme="minorBidi"/>
          <w:caps w:val="0"/>
          <w:kern w:val="2"/>
          <w:sz w:val="24"/>
          <w:szCs w:val="24"/>
          <w:lang w:val="nl-NL"/>
          <w14:ligatures w14:val="standardContextual"/>
        </w:rPr>
      </w:pPr>
      <w:hyperlink w:history="1" w:anchor="_Toc223522234">
        <w:r w:rsidRPr="00900263">
          <w:rPr>
            <w:rStyle w:val="Hyperlink"/>
            <w:lang w:val="nl-NL"/>
          </w:rPr>
          <w:t>B.9 Afschaffen 1990-regeling</w:t>
        </w:r>
        <w:r w:rsidRPr="00900263">
          <w:rPr>
            <w:webHidden/>
          </w:rPr>
          <w:tab/>
        </w:r>
        <w:r w:rsidRPr="00900263">
          <w:rPr>
            <w:webHidden/>
          </w:rPr>
          <w:fldChar w:fldCharType="begin"/>
        </w:r>
        <w:r w:rsidRPr="00900263">
          <w:rPr>
            <w:webHidden/>
          </w:rPr>
          <w:instrText xml:space="preserve"> PAGEREF _Toc223522234 \h </w:instrText>
        </w:r>
        <w:r w:rsidRPr="00900263">
          <w:rPr>
            <w:webHidden/>
          </w:rPr>
        </w:r>
        <w:r w:rsidRPr="00900263">
          <w:rPr>
            <w:webHidden/>
          </w:rPr>
          <w:fldChar w:fldCharType="separate"/>
        </w:r>
        <w:r w:rsidRPr="00900263">
          <w:rPr>
            <w:webHidden/>
          </w:rPr>
          <w:t>26</w:t>
        </w:r>
        <w:r w:rsidRPr="00900263">
          <w:rPr>
            <w:webHidden/>
          </w:rPr>
          <w:fldChar w:fldCharType="end"/>
        </w:r>
      </w:hyperlink>
    </w:p>
    <w:p w:rsidRPr="00900263" w:rsidR="00900263" w:rsidRDefault="00900263" w14:paraId="37C0D8F4" w14:textId="7823E2F3">
      <w:pPr>
        <w:pStyle w:val="Inhopg1"/>
        <w:rPr>
          <w:rFonts w:asciiTheme="minorHAnsi" w:hAnsiTheme="minorHAnsi" w:eastAsiaTheme="minorEastAsia" w:cstheme="minorBidi"/>
          <w:caps w:val="0"/>
          <w:kern w:val="2"/>
          <w:sz w:val="24"/>
          <w:szCs w:val="24"/>
          <w:lang w:val="nl-NL"/>
          <w14:ligatures w14:val="standardContextual"/>
        </w:rPr>
      </w:pPr>
      <w:hyperlink w:history="1" w:anchor="_Toc223522235">
        <w:r w:rsidRPr="00900263">
          <w:rPr>
            <w:rStyle w:val="Hyperlink"/>
            <w:lang w:val="nl-NL"/>
          </w:rPr>
          <w:t>C.1 Ophogen basiswetten tot het sociaal minimum</w:t>
        </w:r>
        <w:r w:rsidRPr="00900263">
          <w:rPr>
            <w:webHidden/>
          </w:rPr>
          <w:tab/>
        </w:r>
        <w:r w:rsidRPr="00900263">
          <w:rPr>
            <w:webHidden/>
          </w:rPr>
          <w:fldChar w:fldCharType="begin"/>
        </w:r>
        <w:r w:rsidRPr="00900263">
          <w:rPr>
            <w:webHidden/>
          </w:rPr>
          <w:instrText xml:space="preserve"> PAGEREF _Toc223522235 \h </w:instrText>
        </w:r>
        <w:r w:rsidRPr="00900263">
          <w:rPr>
            <w:webHidden/>
          </w:rPr>
        </w:r>
        <w:r w:rsidRPr="00900263">
          <w:rPr>
            <w:webHidden/>
          </w:rPr>
          <w:fldChar w:fldCharType="separate"/>
        </w:r>
        <w:r w:rsidRPr="00900263">
          <w:rPr>
            <w:webHidden/>
          </w:rPr>
          <w:t>28</w:t>
        </w:r>
        <w:r w:rsidRPr="00900263">
          <w:rPr>
            <w:webHidden/>
          </w:rPr>
          <w:fldChar w:fldCharType="end"/>
        </w:r>
      </w:hyperlink>
    </w:p>
    <w:p w:rsidRPr="00900263" w:rsidR="00900263" w:rsidRDefault="00900263" w14:paraId="7C4FD630" w14:textId="1FDFE7F0">
      <w:pPr>
        <w:pStyle w:val="Inhopg1"/>
        <w:rPr>
          <w:rFonts w:asciiTheme="minorHAnsi" w:hAnsiTheme="minorHAnsi" w:eastAsiaTheme="minorEastAsia" w:cstheme="minorBidi"/>
          <w:caps w:val="0"/>
          <w:kern w:val="2"/>
          <w:sz w:val="24"/>
          <w:szCs w:val="24"/>
          <w:lang w:val="nl-NL"/>
          <w14:ligatures w14:val="standardContextual"/>
        </w:rPr>
      </w:pPr>
      <w:hyperlink w:history="1" w:anchor="_Toc223522236">
        <w:r w:rsidRPr="00900263">
          <w:rPr>
            <w:rStyle w:val="Hyperlink"/>
            <w:lang w:val="nl-NL"/>
          </w:rPr>
          <w:t>C.2 TW overhevelen naar een andere uitvoerder</w:t>
        </w:r>
        <w:r w:rsidRPr="00900263">
          <w:rPr>
            <w:webHidden/>
          </w:rPr>
          <w:tab/>
        </w:r>
        <w:r w:rsidRPr="00900263">
          <w:rPr>
            <w:webHidden/>
          </w:rPr>
          <w:fldChar w:fldCharType="begin"/>
        </w:r>
        <w:r w:rsidRPr="00900263">
          <w:rPr>
            <w:webHidden/>
          </w:rPr>
          <w:instrText xml:space="preserve"> PAGEREF _Toc223522236 \h </w:instrText>
        </w:r>
        <w:r w:rsidRPr="00900263">
          <w:rPr>
            <w:webHidden/>
          </w:rPr>
        </w:r>
        <w:r w:rsidRPr="00900263">
          <w:rPr>
            <w:webHidden/>
          </w:rPr>
          <w:fldChar w:fldCharType="separate"/>
        </w:r>
        <w:r w:rsidRPr="00900263">
          <w:rPr>
            <w:webHidden/>
          </w:rPr>
          <w:t>31</w:t>
        </w:r>
        <w:r w:rsidRPr="00900263">
          <w:rPr>
            <w:webHidden/>
          </w:rPr>
          <w:fldChar w:fldCharType="end"/>
        </w:r>
      </w:hyperlink>
    </w:p>
    <w:p w:rsidRPr="00900263" w:rsidR="00900263" w:rsidRDefault="00900263" w14:paraId="1DD8EF91" w14:textId="2C615274">
      <w:pPr>
        <w:pStyle w:val="Inhopg1"/>
        <w:rPr>
          <w:rFonts w:asciiTheme="minorHAnsi" w:hAnsiTheme="minorHAnsi" w:eastAsiaTheme="minorEastAsia" w:cstheme="minorBidi"/>
          <w:caps w:val="0"/>
          <w:kern w:val="2"/>
          <w:sz w:val="24"/>
          <w:szCs w:val="24"/>
          <w:lang w:val="nl-NL"/>
          <w14:ligatures w14:val="standardContextual"/>
        </w:rPr>
      </w:pPr>
      <w:hyperlink w:history="1" w:anchor="_Toc223522237">
        <w:r w:rsidRPr="00900263">
          <w:rPr>
            <w:rStyle w:val="Hyperlink"/>
            <w:lang w:val="nl-NL"/>
          </w:rPr>
          <w:t>C.3 Toeslagenwet afschaffen</w:t>
        </w:r>
        <w:r w:rsidRPr="00900263">
          <w:rPr>
            <w:webHidden/>
          </w:rPr>
          <w:tab/>
        </w:r>
        <w:r w:rsidRPr="00900263">
          <w:rPr>
            <w:webHidden/>
          </w:rPr>
          <w:fldChar w:fldCharType="begin"/>
        </w:r>
        <w:r w:rsidRPr="00900263">
          <w:rPr>
            <w:webHidden/>
          </w:rPr>
          <w:instrText xml:space="preserve"> PAGEREF _Toc223522237 \h </w:instrText>
        </w:r>
        <w:r w:rsidRPr="00900263">
          <w:rPr>
            <w:webHidden/>
          </w:rPr>
        </w:r>
        <w:r w:rsidRPr="00900263">
          <w:rPr>
            <w:webHidden/>
          </w:rPr>
          <w:fldChar w:fldCharType="separate"/>
        </w:r>
        <w:r w:rsidRPr="00900263">
          <w:rPr>
            <w:webHidden/>
          </w:rPr>
          <w:t>34</w:t>
        </w:r>
        <w:r w:rsidRPr="00900263">
          <w:rPr>
            <w:webHidden/>
          </w:rPr>
          <w:fldChar w:fldCharType="end"/>
        </w:r>
      </w:hyperlink>
    </w:p>
    <w:p w:rsidRPr="00900263" w:rsidR="00900263" w:rsidRDefault="00900263" w14:paraId="266B5888" w14:textId="0E1CA660">
      <w:pPr>
        <w:pStyle w:val="Inhopg1"/>
        <w:rPr>
          <w:rFonts w:asciiTheme="minorHAnsi" w:hAnsiTheme="minorHAnsi" w:eastAsiaTheme="minorEastAsia" w:cstheme="minorBidi"/>
          <w:caps w:val="0"/>
          <w:kern w:val="2"/>
          <w:sz w:val="24"/>
          <w:szCs w:val="24"/>
          <w:lang w:val="nl-NL"/>
          <w14:ligatures w14:val="standardContextual"/>
        </w:rPr>
      </w:pPr>
      <w:hyperlink w:history="1" w:anchor="_Toc223522238">
        <w:r w:rsidRPr="00900263">
          <w:rPr>
            <w:rStyle w:val="Hyperlink"/>
            <w:lang w:val="nl-NL"/>
          </w:rPr>
          <w:t>C.4 TW afschaffen voor Wajonggerechtigden en/of verhogen van de Wajonguitkering</w:t>
        </w:r>
        <w:r w:rsidRPr="00900263">
          <w:rPr>
            <w:webHidden/>
          </w:rPr>
          <w:tab/>
        </w:r>
        <w:r w:rsidRPr="00900263">
          <w:rPr>
            <w:webHidden/>
          </w:rPr>
          <w:fldChar w:fldCharType="begin"/>
        </w:r>
        <w:r w:rsidRPr="00900263">
          <w:rPr>
            <w:webHidden/>
          </w:rPr>
          <w:instrText xml:space="preserve"> PAGEREF _Toc223522238 \h </w:instrText>
        </w:r>
        <w:r w:rsidRPr="00900263">
          <w:rPr>
            <w:webHidden/>
          </w:rPr>
        </w:r>
        <w:r w:rsidRPr="00900263">
          <w:rPr>
            <w:webHidden/>
          </w:rPr>
          <w:fldChar w:fldCharType="separate"/>
        </w:r>
        <w:r w:rsidRPr="00900263">
          <w:rPr>
            <w:webHidden/>
          </w:rPr>
          <w:t>36</w:t>
        </w:r>
        <w:r w:rsidRPr="00900263">
          <w:rPr>
            <w:webHidden/>
          </w:rPr>
          <w:fldChar w:fldCharType="end"/>
        </w:r>
      </w:hyperlink>
    </w:p>
    <w:p w:rsidRPr="00FD1605" w:rsidR="00274420" w:rsidRDefault="009A520D" w14:paraId="728E033B" w14:textId="7F301E7D">
      <w:pPr>
        <w:rPr>
          <w:lang w:val="nl-NL"/>
        </w:rPr>
      </w:pPr>
      <w:r w:rsidRPr="00900263">
        <w:rPr>
          <w:lang w:val="nl-NL"/>
        </w:rPr>
        <w:fldChar w:fldCharType="end"/>
      </w:r>
    </w:p>
    <w:p w:rsidRPr="00FD1605" w:rsidR="00274420" w:rsidRDefault="00274420" w14:paraId="3F9CBF51" w14:textId="77777777">
      <w:pPr>
        <w:rPr>
          <w:lang w:val="nl-NL"/>
        </w:rPr>
      </w:pPr>
    </w:p>
    <w:p w:rsidRPr="00FD1605" w:rsidR="00274420" w:rsidRDefault="00274420" w14:paraId="52D6D902" w14:textId="174FF37A">
      <w:pPr>
        <w:rPr>
          <w:lang w:val="nl-NL"/>
        </w:rPr>
      </w:pPr>
      <w:r w:rsidRPr="00FD1605">
        <w:rPr>
          <w:lang w:val="nl-NL"/>
        </w:rPr>
        <w:br w:type="page"/>
      </w:r>
    </w:p>
    <w:tbl>
      <w:tblPr>
        <w:tblW w:w="10085" w:type="dxa"/>
        <w:tblInd w:w="-436" w:type="dxa"/>
        <w:tblCellMar>
          <w:left w:w="70" w:type="dxa"/>
          <w:right w:w="70" w:type="dxa"/>
        </w:tblCellMar>
        <w:tblLook w:val="04A0" w:firstRow="1" w:lastRow="0" w:firstColumn="1" w:lastColumn="0" w:noHBand="0" w:noVBand="1"/>
      </w:tblPr>
      <w:tblGrid>
        <w:gridCol w:w="2005"/>
        <w:gridCol w:w="8080"/>
      </w:tblGrid>
      <w:tr w:rsidRPr="00FD1605" w:rsidR="00756F6B" w:rsidTr="00061051" w14:paraId="60D49733" w14:textId="77777777">
        <w:trPr>
          <w:trHeight w:val="300"/>
        </w:trPr>
        <w:tc>
          <w:tcPr>
            <w:tcW w:w="2005" w:type="dxa"/>
            <w:tcBorders>
              <w:top w:val="single" w:color="auto" w:sz="8" w:space="0"/>
              <w:left w:val="single" w:color="auto" w:sz="8" w:space="0"/>
              <w:bottom w:val="single" w:color="auto" w:sz="4" w:space="0"/>
              <w:right w:val="nil"/>
            </w:tcBorders>
            <w:shd w:val="clear" w:color="auto" w:fill="auto"/>
            <w:noWrap/>
          </w:tcPr>
          <w:p w:rsidRPr="00FD1605" w:rsidR="00756F6B" w:rsidP="00061051" w:rsidRDefault="00756F6B" w14:paraId="2BBDD61A" w14:textId="77777777">
            <w:pPr>
              <w:spacing w:after="0" w:line="240" w:lineRule="auto"/>
              <w:rPr>
                <w:rFonts w:eastAsia="Times New Roman" w:cs="Calibri"/>
                <w:b/>
                <w:bCs/>
                <w:color w:val="000000"/>
                <w:szCs w:val="18"/>
                <w:lang w:val="nl-NL" w:eastAsia="nl-NL"/>
              </w:rPr>
            </w:pPr>
          </w:p>
          <w:p w:rsidRPr="00704454" w:rsidR="00756F6B" w:rsidP="00061051" w:rsidRDefault="00756F6B" w14:paraId="2CCB745F"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Maatregel</w:t>
            </w:r>
          </w:p>
        </w:tc>
        <w:tc>
          <w:tcPr>
            <w:tcW w:w="8080" w:type="dxa"/>
            <w:tcBorders>
              <w:top w:val="single" w:color="auto" w:sz="8" w:space="0"/>
              <w:left w:val="single" w:color="auto" w:sz="4" w:space="0"/>
              <w:bottom w:val="single" w:color="auto" w:sz="4" w:space="0"/>
              <w:right w:val="single" w:color="auto" w:sz="4" w:space="0"/>
            </w:tcBorders>
            <w:shd w:val="clear" w:color="auto" w:fill="auto"/>
            <w:noWrap/>
          </w:tcPr>
          <w:p w:rsidRPr="00704454" w:rsidR="00756F6B" w:rsidP="00061051" w:rsidRDefault="00756F6B" w14:paraId="143C1A96" w14:textId="41452C3B">
            <w:pPr>
              <w:pStyle w:val="Kop1"/>
              <w:rPr>
                <w:rFonts w:ascii="Verdana" w:hAnsi="Verdana" w:eastAsia="Times New Roman"/>
                <w:b/>
                <w:bCs/>
                <w:sz w:val="18"/>
                <w:szCs w:val="18"/>
                <w:lang w:val="nl-NL" w:eastAsia="nl-NL"/>
              </w:rPr>
            </w:pPr>
            <w:bookmarkStart w:name="_Toc223522223" w:id="0"/>
            <w:r>
              <w:rPr>
                <w:rFonts w:ascii="Verdana" w:hAnsi="Verdana" w:eastAsia="Times New Roman"/>
                <w:b/>
                <w:bCs/>
                <w:color w:val="auto"/>
                <w:sz w:val="18"/>
                <w:szCs w:val="18"/>
                <w:lang w:val="nl-NL" w:eastAsia="nl-NL"/>
              </w:rPr>
              <w:t>A</w:t>
            </w:r>
            <w:r w:rsidRPr="00913061">
              <w:rPr>
                <w:rFonts w:ascii="Verdana" w:hAnsi="Verdana" w:eastAsia="Times New Roman"/>
                <w:b/>
                <w:bCs/>
                <w:color w:val="auto"/>
                <w:sz w:val="18"/>
                <w:szCs w:val="18"/>
                <w:lang w:val="nl-NL" w:eastAsia="nl-NL"/>
              </w:rPr>
              <w:t>.</w:t>
            </w:r>
            <w:r>
              <w:rPr>
                <w:rFonts w:ascii="Verdana" w:hAnsi="Verdana" w:eastAsia="Times New Roman"/>
                <w:b/>
                <w:bCs/>
                <w:color w:val="auto"/>
                <w:sz w:val="18"/>
                <w:szCs w:val="18"/>
                <w:lang w:val="nl-NL" w:eastAsia="nl-NL"/>
              </w:rPr>
              <w:t>1</w:t>
            </w:r>
            <w:r w:rsidRPr="00913061">
              <w:rPr>
                <w:rFonts w:ascii="Verdana" w:hAnsi="Verdana" w:eastAsia="Times New Roman"/>
                <w:b/>
                <w:bCs/>
                <w:color w:val="auto"/>
                <w:sz w:val="18"/>
                <w:szCs w:val="18"/>
                <w:lang w:val="nl-NL" w:eastAsia="nl-NL"/>
              </w:rPr>
              <w:t xml:space="preserve"> Naamswijziging</w:t>
            </w:r>
            <w:bookmarkEnd w:id="0"/>
          </w:p>
        </w:tc>
      </w:tr>
      <w:tr w:rsidRPr="00F51BCF" w:rsidR="00756F6B" w:rsidTr="00061051" w14:paraId="4ED573B8" w14:textId="77777777">
        <w:trPr>
          <w:trHeight w:val="315"/>
        </w:trPr>
        <w:tc>
          <w:tcPr>
            <w:tcW w:w="2005" w:type="dxa"/>
            <w:tcBorders>
              <w:top w:val="nil"/>
              <w:left w:val="single" w:color="auto" w:sz="8" w:space="0"/>
              <w:bottom w:val="single" w:color="auto" w:sz="8" w:space="0"/>
              <w:right w:val="nil"/>
            </w:tcBorders>
            <w:shd w:val="clear" w:color="auto" w:fill="auto"/>
            <w:noWrap/>
          </w:tcPr>
          <w:p w:rsidRPr="00704454" w:rsidR="00756F6B" w:rsidP="00061051" w:rsidRDefault="00756F6B" w14:paraId="56B96DE5"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Korte uitleg maatregel</w:t>
            </w:r>
          </w:p>
        </w:tc>
        <w:tc>
          <w:tcPr>
            <w:tcW w:w="8080" w:type="dxa"/>
            <w:tcBorders>
              <w:top w:val="single" w:color="auto" w:sz="4" w:space="0"/>
              <w:left w:val="single" w:color="auto" w:sz="4" w:space="0"/>
              <w:bottom w:val="single" w:color="auto" w:sz="8" w:space="0"/>
              <w:right w:val="single" w:color="auto" w:sz="4" w:space="0"/>
            </w:tcBorders>
            <w:shd w:val="clear" w:color="auto" w:fill="auto"/>
            <w:noWrap/>
          </w:tcPr>
          <w:p w:rsidRPr="00FD1605" w:rsidR="00756F6B" w:rsidP="00061051" w:rsidRDefault="00756F6B" w14:paraId="22B9D963" w14:textId="1B11D7AB">
            <w:pPr>
              <w:spacing w:after="0" w:line="240" w:lineRule="auto"/>
              <w:contextualSpacing/>
              <w:rPr>
                <w:lang w:val="nl-NL"/>
              </w:rPr>
            </w:pPr>
            <w:r w:rsidRPr="00FD1605">
              <w:rPr>
                <w:lang w:val="nl-NL"/>
              </w:rPr>
              <w:t xml:space="preserve">De Toeslagenwet moet voorkomen dat mensen die voorafgaand aan een loondervingsuitkering een inkomen boven het sociaal minimum hadden, tijdens de uitkering een beroep op de bijstand moeten doen. De naam leidt gemakkelijk tot misverstand. De Toeslagenwet heeft niets met zorgtoeslag, huurtoeslag of </w:t>
            </w:r>
            <w:r w:rsidR="0047478C">
              <w:rPr>
                <w:lang w:val="nl-NL"/>
              </w:rPr>
              <w:t>kinder</w:t>
            </w:r>
            <w:r w:rsidRPr="00FD1605">
              <w:rPr>
                <w:lang w:val="nl-NL"/>
              </w:rPr>
              <w:t>opvangtoeslag te maken die worden verstrekt door de Belastingdienst. Door de Toeslagenaffaire is de angst op terugvorderingen en boetes op toeslagen groter geworden.</w:t>
            </w:r>
            <w:r w:rsidR="000853B8">
              <w:rPr>
                <w:lang w:val="nl-NL"/>
              </w:rPr>
              <w:t xml:space="preserve"> Deze maatregel wijzigt de naam van de Toeslagenwet om verwarring met de andere toeslagen te voorkomen.</w:t>
            </w:r>
          </w:p>
        </w:tc>
      </w:tr>
      <w:tr w:rsidRPr="00F51BCF" w:rsidR="00756F6B" w:rsidTr="00061051" w14:paraId="4E97AC9E" w14:textId="77777777">
        <w:trPr>
          <w:trHeight w:val="315"/>
        </w:trPr>
        <w:tc>
          <w:tcPr>
            <w:tcW w:w="2005" w:type="dxa"/>
            <w:tcBorders>
              <w:top w:val="nil"/>
              <w:left w:val="single" w:color="auto" w:sz="8" w:space="0"/>
              <w:bottom w:val="single" w:color="auto" w:sz="8" w:space="0"/>
              <w:right w:val="nil"/>
            </w:tcBorders>
            <w:shd w:val="clear" w:color="auto" w:fill="auto"/>
            <w:noWrap/>
          </w:tcPr>
          <w:p w:rsidRPr="00704454" w:rsidR="00756F6B" w:rsidP="00061051" w:rsidRDefault="00756F6B" w14:paraId="6DC541FE"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Doel maatregel</w:t>
            </w:r>
          </w:p>
        </w:tc>
        <w:tc>
          <w:tcPr>
            <w:tcW w:w="8080" w:type="dxa"/>
            <w:tcBorders>
              <w:top w:val="single" w:color="auto" w:sz="4" w:space="0"/>
              <w:left w:val="single" w:color="auto" w:sz="4" w:space="0"/>
              <w:bottom w:val="single" w:color="auto" w:sz="8" w:space="0"/>
              <w:right w:val="single" w:color="auto" w:sz="4" w:space="0"/>
            </w:tcBorders>
            <w:shd w:val="clear" w:color="auto" w:fill="auto"/>
            <w:noWrap/>
          </w:tcPr>
          <w:p w:rsidRPr="00FD1605" w:rsidR="00756F6B" w:rsidP="00061051" w:rsidRDefault="00756F6B" w14:paraId="4381998C" w14:textId="77777777">
            <w:pPr>
              <w:spacing w:after="0" w:line="240" w:lineRule="auto"/>
              <w:contextualSpacing/>
              <w:rPr>
                <w:szCs w:val="18"/>
                <w:lang w:val="nl-NL"/>
              </w:rPr>
            </w:pPr>
            <w:r w:rsidRPr="00FD1605">
              <w:rPr>
                <w:szCs w:val="18"/>
                <w:lang w:val="nl-NL"/>
              </w:rPr>
              <w:t xml:space="preserve">Geen verwarring meer met de toeslagen van de Belastingdienst en daardoor minder terughoudendheid om een TW-aanvraag in te dienen. </w:t>
            </w:r>
          </w:p>
          <w:p w:rsidRPr="00FD1605" w:rsidR="00756F6B" w:rsidP="00061051" w:rsidRDefault="00756F6B" w14:paraId="5DEC5577" w14:textId="77777777">
            <w:pPr>
              <w:spacing w:after="0" w:line="240" w:lineRule="auto"/>
              <w:contextualSpacing/>
              <w:rPr>
                <w:rFonts w:eastAsia="Times New Roman" w:cs="Calibri"/>
                <w:i/>
                <w:iCs/>
                <w:color w:val="000000"/>
                <w:szCs w:val="18"/>
                <w:lang w:val="nl-NL" w:eastAsia="nl-NL"/>
              </w:rPr>
            </w:pPr>
            <w:r w:rsidRPr="00FD1605">
              <w:rPr>
                <w:szCs w:val="18"/>
                <w:lang w:val="nl-NL"/>
              </w:rPr>
              <w:t>Betere bekendheid met de naam en het doel van de wet kan leiden tot het terugdringen van niet gebruik van de Toeslagenwet.</w:t>
            </w:r>
          </w:p>
        </w:tc>
      </w:tr>
      <w:tr w:rsidRPr="00F51BCF" w:rsidR="00756F6B" w:rsidTr="00061051" w14:paraId="471A7935" w14:textId="77777777">
        <w:trPr>
          <w:trHeight w:val="315"/>
        </w:trPr>
        <w:tc>
          <w:tcPr>
            <w:tcW w:w="2005" w:type="dxa"/>
            <w:tcBorders>
              <w:top w:val="nil"/>
              <w:left w:val="single" w:color="auto" w:sz="8" w:space="0"/>
              <w:bottom w:val="single" w:color="auto" w:sz="8" w:space="0"/>
              <w:right w:val="nil"/>
            </w:tcBorders>
            <w:shd w:val="clear" w:color="auto" w:fill="auto"/>
            <w:noWrap/>
          </w:tcPr>
          <w:p w:rsidRPr="00FD1605" w:rsidR="00756F6B" w:rsidP="00061051" w:rsidRDefault="00756F6B" w14:paraId="2BC602F0" w14:textId="77777777">
            <w:pPr>
              <w:spacing w:after="0" w:line="240" w:lineRule="auto"/>
              <w:rPr>
                <w:rFonts w:eastAsia="Times New Roman" w:cs="Calibri"/>
                <w:b/>
                <w:bCs/>
                <w:color w:val="000000"/>
                <w:szCs w:val="18"/>
                <w:lang w:val="nl-NL" w:eastAsia="nl-NL"/>
              </w:rPr>
            </w:pPr>
            <w:r w:rsidRPr="00FD1605">
              <w:rPr>
                <w:rFonts w:eastAsia="Times New Roman" w:cs="Calibri"/>
                <w:b/>
                <w:bCs/>
                <w:color w:val="000000"/>
                <w:szCs w:val="18"/>
                <w:lang w:val="nl-NL" w:eastAsia="nl-NL"/>
              </w:rPr>
              <w:t xml:space="preserve">Vereenvoudiging vanuit burgerperspectief (begrijpelijkheid, zekerheid en </w:t>
            </w:r>
            <w:proofErr w:type="spellStart"/>
            <w:r w:rsidRPr="00FD1605">
              <w:rPr>
                <w:rFonts w:eastAsia="Times New Roman" w:cs="Calibri"/>
                <w:b/>
                <w:bCs/>
                <w:color w:val="000000"/>
                <w:szCs w:val="18"/>
                <w:lang w:val="nl-NL" w:eastAsia="nl-NL"/>
              </w:rPr>
              <w:t>doenlijkheid</w:t>
            </w:r>
            <w:proofErr w:type="spellEnd"/>
            <w:r w:rsidRPr="00FD1605">
              <w:rPr>
                <w:rFonts w:eastAsia="Times New Roman" w:cs="Calibri"/>
                <w:b/>
                <w:bCs/>
                <w:color w:val="000000"/>
                <w:szCs w:val="18"/>
                <w:lang w:val="nl-NL" w:eastAsia="nl-NL"/>
              </w:rPr>
              <w:t>)</w:t>
            </w:r>
          </w:p>
        </w:tc>
        <w:tc>
          <w:tcPr>
            <w:tcW w:w="8080" w:type="dxa"/>
            <w:tcBorders>
              <w:top w:val="single" w:color="auto" w:sz="4" w:space="0"/>
              <w:left w:val="single" w:color="auto" w:sz="4" w:space="0"/>
              <w:bottom w:val="single" w:color="auto" w:sz="8" w:space="0"/>
              <w:right w:val="single" w:color="auto" w:sz="4" w:space="0"/>
            </w:tcBorders>
            <w:shd w:val="clear" w:color="auto" w:fill="auto"/>
            <w:noWrap/>
          </w:tcPr>
          <w:p w:rsidRPr="00FD1605" w:rsidR="00756F6B" w:rsidP="00061051" w:rsidRDefault="00756F6B" w14:paraId="666B8D59" w14:textId="77777777">
            <w:pPr>
              <w:spacing w:after="0" w:line="240" w:lineRule="auto"/>
              <w:contextualSpacing/>
              <w:rPr>
                <w:rFonts w:eastAsia="Times New Roman" w:cs="Calibri"/>
                <w:i/>
                <w:iCs/>
                <w:color w:val="000000"/>
                <w:szCs w:val="18"/>
                <w:lang w:val="nl-NL" w:eastAsia="nl-NL"/>
              </w:rPr>
            </w:pPr>
            <w:r w:rsidRPr="00FD1605">
              <w:rPr>
                <w:szCs w:val="18"/>
                <w:lang w:val="nl-NL"/>
              </w:rPr>
              <w:t xml:space="preserve">Door de wijziging van de naam kan verwarring met de toeslagen worden weggenomen, kan er meer bekendheid met de aanvullende uitkering ontstaan en vragen mogelijk meer mensen de aanvulling aan bij UWV, waardoor hun inkomenssituatie kan verbeteren. </w:t>
            </w:r>
          </w:p>
        </w:tc>
      </w:tr>
      <w:tr w:rsidRPr="00F51BCF" w:rsidR="00756F6B" w:rsidTr="00061051" w14:paraId="6771AB37" w14:textId="77777777">
        <w:trPr>
          <w:trHeight w:val="315"/>
        </w:trPr>
        <w:tc>
          <w:tcPr>
            <w:tcW w:w="2005" w:type="dxa"/>
            <w:tcBorders>
              <w:top w:val="nil"/>
              <w:left w:val="single" w:color="auto" w:sz="8" w:space="0"/>
              <w:bottom w:val="single" w:color="auto" w:sz="8" w:space="0"/>
              <w:right w:val="nil"/>
            </w:tcBorders>
            <w:shd w:val="clear" w:color="auto" w:fill="auto"/>
            <w:noWrap/>
          </w:tcPr>
          <w:p w:rsidRPr="00704454" w:rsidR="00756F6B" w:rsidP="00061051" w:rsidRDefault="00756F6B" w14:paraId="5DA8B2FB"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 xml:space="preserve">Keuzes binnen maatregel </w:t>
            </w:r>
          </w:p>
        </w:tc>
        <w:tc>
          <w:tcPr>
            <w:tcW w:w="8080" w:type="dxa"/>
            <w:tcBorders>
              <w:top w:val="single" w:color="auto" w:sz="4" w:space="0"/>
              <w:left w:val="single" w:color="auto" w:sz="4" w:space="0"/>
              <w:bottom w:val="single" w:color="auto" w:sz="8" w:space="0"/>
              <w:right w:val="single" w:color="auto" w:sz="4" w:space="0"/>
            </w:tcBorders>
            <w:shd w:val="clear" w:color="auto" w:fill="auto"/>
            <w:noWrap/>
          </w:tcPr>
          <w:p w:rsidRPr="00FD1605" w:rsidR="00756F6B" w:rsidP="00061051" w:rsidRDefault="00756F6B" w14:paraId="2BE72106" w14:textId="46B7B021">
            <w:pPr>
              <w:spacing w:after="0" w:line="240" w:lineRule="auto"/>
              <w:contextualSpacing/>
              <w:rPr>
                <w:rFonts w:eastAsia="Times New Roman" w:cs="Calibri"/>
                <w:color w:val="000000"/>
                <w:szCs w:val="18"/>
                <w:lang w:val="nl-NL" w:eastAsia="nl-NL"/>
              </w:rPr>
            </w:pPr>
            <w:r w:rsidRPr="00FD1605">
              <w:rPr>
                <w:rFonts w:eastAsia="Times New Roman" w:cs="Calibri"/>
                <w:color w:val="000000"/>
                <w:szCs w:val="18"/>
                <w:lang w:val="nl-NL" w:eastAsia="nl-NL"/>
              </w:rPr>
              <w:t>Mogelijke opties voor een andere citeertitel zijn</w:t>
            </w:r>
            <w:r w:rsidR="00A330CC">
              <w:rPr>
                <w:rFonts w:eastAsia="Times New Roman" w:cs="Calibri"/>
                <w:color w:val="000000"/>
                <w:szCs w:val="18"/>
                <w:lang w:val="nl-NL" w:eastAsia="nl-NL"/>
              </w:rPr>
              <w:t xml:space="preserve"> bijvoorbeeld</w:t>
            </w:r>
            <w:r w:rsidRPr="00FD1605">
              <w:rPr>
                <w:rFonts w:eastAsia="Times New Roman" w:cs="Calibri"/>
                <w:color w:val="000000"/>
                <w:szCs w:val="18"/>
                <w:lang w:val="nl-NL" w:eastAsia="nl-NL"/>
              </w:rPr>
              <w:t>:</w:t>
            </w:r>
          </w:p>
          <w:p w:rsidRPr="00704454" w:rsidR="00756F6B" w:rsidP="00061051" w:rsidRDefault="00756F6B" w14:paraId="5CEAB4DA" w14:textId="77777777">
            <w:pPr>
              <w:pStyle w:val="Lijstalinea"/>
              <w:numPr>
                <w:ilvl w:val="0"/>
                <w:numId w:val="6"/>
              </w:numPr>
              <w:spacing w:after="0" w:line="240" w:lineRule="auto"/>
              <w:rPr>
                <w:rFonts w:cs="Calibri"/>
                <w:color w:val="000000"/>
                <w:szCs w:val="18"/>
                <w:lang w:val="nl-NL"/>
              </w:rPr>
            </w:pPr>
            <w:proofErr w:type="spellStart"/>
            <w:r w:rsidRPr="00704454">
              <w:rPr>
                <w:rFonts w:cs="Calibri"/>
                <w:color w:val="000000"/>
                <w:szCs w:val="18"/>
                <w:lang w:val="nl-NL"/>
              </w:rPr>
              <w:t>Basisaanvullingswet</w:t>
            </w:r>
            <w:proofErr w:type="spellEnd"/>
            <w:r w:rsidRPr="00704454">
              <w:rPr>
                <w:rFonts w:cs="Calibri"/>
                <w:color w:val="000000"/>
                <w:szCs w:val="18"/>
                <w:lang w:val="nl-NL"/>
              </w:rPr>
              <w:t xml:space="preserve"> (</w:t>
            </w:r>
            <w:proofErr w:type="spellStart"/>
            <w:r w:rsidRPr="00704454">
              <w:rPr>
                <w:rFonts w:cs="Calibri"/>
                <w:color w:val="000000"/>
                <w:szCs w:val="18"/>
                <w:lang w:val="nl-NL"/>
              </w:rPr>
              <w:t>Baw</w:t>
            </w:r>
            <w:proofErr w:type="spellEnd"/>
            <w:r w:rsidRPr="00704454">
              <w:rPr>
                <w:rFonts w:cs="Calibri"/>
                <w:color w:val="000000"/>
                <w:szCs w:val="18"/>
                <w:lang w:val="nl-NL"/>
              </w:rPr>
              <w:t xml:space="preserve"> of </w:t>
            </w:r>
            <w:proofErr w:type="spellStart"/>
            <w:r w:rsidRPr="00704454">
              <w:rPr>
                <w:rFonts w:cs="Calibri"/>
                <w:color w:val="000000"/>
                <w:szCs w:val="18"/>
                <w:lang w:val="nl-NL"/>
              </w:rPr>
              <w:t>Bav</w:t>
            </w:r>
            <w:proofErr w:type="spellEnd"/>
            <w:r w:rsidRPr="00704454">
              <w:rPr>
                <w:rFonts w:cs="Calibri"/>
                <w:color w:val="000000"/>
                <w:szCs w:val="18"/>
                <w:lang w:val="nl-NL"/>
              </w:rPr>
              <w:t>)</w:t>
            </w:r>
          </w:p>
          <w:p w:rsidRPr="00704454" w:rsidR="00756F6B" w:rsidP="00061051" w:rsidRDefault="00756F6B" w14:paraId="3328E896" w14:textId="77777777">
            <w:pPr>
              <w:pStyle w:val="Lijstalinea"/>
              <w:numPr>
                <w:ilvl w:val="0"/>
                <w:numId w:val="6"/>
              </w:numPr>
              <w:spacing w:after="0" w:line="240" w:lineRule="auto"/>
              <w:rPr>
                <w:rFonts w:cs="Calibri"/>
                <w:color w:val="000000"/>
                <w:szCs w:val="18"/>
                <w:lang w:val="nl-NL"/>
              </w:rPr>
            </w:pPr>
            <w:r w:rsidRPr="00704454">
              <w:rPr>
                <w:rFonts w:cs="Calibri"/>
                <w:color w:val="000000"/>
                <w:szCs w:val="18"/>
                <w:lang w:val="nl-NL"/>
              </w:rPr>
              <w:t>Basisaanvulling (Ba)</w:t>
            </w:r>
          </w:p>
          <w:p w:rsidRPr="00704454" w:rsidR="00756F6B" w:rsidP="00061051" w:rsidRDefault="00756F6B" w14:paraId="436F90B8" w14:textId="77777777">
            <w:pPr>
              <w:pStyle w:val="Lijstalinea"/>
              <w:numPr>
                <w:ilvl w:val="0"/>
                <w:numId w:val="6"/>
              </w:numPr>
              <w:spacing w:after="0" w:line="240" w:lineRule="auto"/>
              <w:rPr>
                <w:rFonts w:cs="Calibri"/>
                <w:color w:val="000000"/>
                <w:szCs w:val="18"/>
                <w:lang w:val="nl-NL"/>
              </w:rPr>
            </w:pPr>
            <w:r w:rsidRPr="00704454">
              <w:rPr>
                <w:rFonts w:cs="Calibri"/>
                <w:color w:val="000000"/>
                <w:szCs w:val="18"/>
                <w:lang w:val="nl-NL"/>
              </w:rPr>
              <w:t>Aanvullingswet uitkeringen (</w:t>
            </w:r>
            <w:proofErr w:type="spellStart"/>
            <w:r w:rsidRPr="00704454">
              <w:rPr>
                <w:rFonts w:cs="Calibri"/>
                <w:color w:val="000000"/>
                <w:szCs w:val="18"/>
                <w:lang w:val="nl-NL"/>
              </w:rPr>
              <w:t>Awu</w:t>
            </w:r>
            <w:proofErr w:type="spellEnd"/>
            <w:r w:rsidRPr="00704454">
              <w:rPr>
                <w:rFonts w:cs="Calibri"/>
                <w:color w:val="000000"/>
                <w:szCs w:val="18"/>
                <w:lang w:val="nl-NL"/>
              </w:rPr>
              <w:t>)</w:t>
            </w:r>
          </w:p>
          <w:p w:rsidRPr="00FD1605" w:rsidR="00756F6B" w:rsidP="00061051" w:rsidRDefault="00756F6B" w14:paraId="2A0FAE99" w14:textId="77777777">
            <w:pPr>
              <w:pStyle w:val="Lijstalinea"/>
              <w:numPr>
                <w:ilvl w:val="0"/>
                <w:numId w:val="6"/>
              </w:numPr>
              <w:spacing w:after="0" w:line="240" w:lineRule="auto"/>
              <w:rPr>
                <w:rFonts w:cs="Calibri"/>
                <w:color w:val="000000"/>
                <w:szCs w:val="18"/>
                <w:lang w:val="nl-NL"/>
              </w:rPr>
            </w:pPr>
            <w:r w:rsidRPr="00FD1605">
              <w:rPr>
                <w:rFonts w:cs="Calibri"/>
                <w:color w:val="000000"/>
                <w:szCs w:val="18"/>
                <w:lang w:val="nl-NL"/>
              </w:rPr>
              <w:t>Ophoging uitkering tot aan dagloon (Oud)</w:t>
            </w:r>
          </w:p>
          <w:p w:rsidRPr="00704454" w:rsidR="00756F6B" w:rsidP="00061051" w:rsidRDefault="00756F6B" w14:paraId="36A9EF8F" w14:textId="77777777">
            <w:pPr>
              <w:pStyle w:val="Lijstalinea"/>
              <w:numPr>
                <w:ilvl w:val="0"/>
                <w:numId w:val="6"/>
              </w:numPr>
              <w:spacing w:after="0" w:line="240" w:lineRule="auto"/>
              <w:rPr>
                <w:rFonts w:cs="Calibri"/>
                <w:color w:val="000000"/>
                <w:szCs w:val="18"/>
                <w:lang w:val="nl-NL"/>
              </w:rPr>
            </w:pPr>
            <w:r w:rsidRPr="00704454">
              <w:rPr>
                <w:rFonts w:cs="Calibri"/>
                <w:color w:val="000000"/>
                <w:szCs w:val="18"/>
                <w:lang w:val="nl-NL"/>
              </w:rPr>
              <w:t>Inkomensvoorziening uitkeringen UWV (</w:t>
            </w:r>
            <w:proofErr w:type="spellStart"/>
            <w:r w:rsidRPr="00704454">
              <w:rPr>
                <w:rFonts w:cs="Calibri"/>
                <w:color w:val="000000"/>
                <w:szCs w:val="18"/>
                <w:lang w:val="nl-NL"/>
              </w:rPr>
              <w:t>Ivu</w:t>
            </w:r>
            <w:proofErr w:type="spellEnd"/>
            <w:r w:rsidRPr="00704454">
              <w:rPr>
                <w:rFonts w:cs="Calibri"/>
                <w:color w:val="000000"/>
                <w:szCs w:val="18"/>
                <w:lang w:val="nl-NL"/>
              </w:rPr>
              <w:t>)</w:t>
            </w:r>
          </w:p>
          <w:p w:rsidRPr="00704454" w:rsidR="00756F6B" w:rsidP="00061051" w:rsidRDefault="00756F6B" w14:paraId="305821D5" w14:textId="77777777">
            <w:pPr>
              <w:pStyle w:val="Lijstalinea"/>
              <w:numPr>
                <w:ilvl w:val="0"/>
                <w:numId w:val="6"/>
              </w:numPr>
              <w:spacing w:after="0" w:line="240" w:lineRule="auto"/>
              <w:rPr>
                <w:rFonts w:cs="Calibri"/>
                <w:color w:val="000000"/>
                <w:szCs w:val="18"/>
                <w:lang w:val="nl-NL"/>
              </w:rPr>
            </w:pPr>
            <w:r w:rsidRPr="00704454">
              <w:rPr>
                <w:rFonts w:cs="Calibri"/>
                <w:color w:val="000000"/>
                <w:szCs w:val="18"/>
                <w:lang w:val="nl-NL"/>
              </w:rPr>
              <w:t>Inkomensvoorziening basisuitkeringen UWV (</w:t>
            </w:r>
            <w:proofErr w:type="spellStart"/>
            <w:r w:rsidRPr="00704454">
              <w:rPr>
                <w:rFonts w:cs="Calibri"/>
                <w:color w:val="000000"/>
                <w:szCs w:val="18"/>
                <w:lang w:val="nl-NL"/>
              </w:rPr>
              <w:t>Ibu</w:t>
            </w:r>
            <w:proofErr w:type="spellEnd"/>
            <w:r w:rsidRPr="00704454">
              <w:rPr>
                <w:rFonts w:cs="Calibri"/>
                <w:color w:val="000000"/>
                <w:szCs w:val="18"/>
                <w:lang w:val="nl-NL"/>
              </w:rPr>
              <w:t>)</w:t>
            </w:r>
          </w:p>
          <w:p w:rsidRPr="00FD1605" w:rsidR="00756F6B" w:rsidP="00061051" w:rsidRDefault="00756F6B" w14:paraId="4016BCE6" w14:textId="77777777">
            <w:pPr>
              <w:pStyle w:val="Lijstalinea"/>
              <w:numPr>
                <w:ilvl w:val="0"/>
                <w:numId w:val="6"/>
              </w:numPr>
              <w:spacing w:after="0" w:line="240" w:lineRule="auto"/>
              <w:rPr>
                <w:rFonts w:cs="Calibri"/>
                <w:color w:val="000000"/>
                <w:szCs w:val="18"/>
                <w:lang w:val="nl-NL"/>
              </w:rPr>
            </w:pPr>
            <w:r w:rsidRPr="00FD1605">
              <w:rPr>
                <w:rFonts w:cs="Calibri"/>
                <w:color w:val="000000"/>
                <w:szCs w:val="18"/>
                <w:lang w:val="nl-NL"/>
              </w:rPr>
              <w:t>Aanvullende inkomensvoorzieningen basiswetten UWV (</w:t>
            </w:r>
            <w:proofErr w:type="spellStart"/>
            <w:r w:rsidRPr="00FD1605">
              <w:rPr>
                <w:rFonts w:cs="Calibri"/>
                <w:color w:val="000000"/>
                <w:szCs w:val="18"/>
                <w:lang w:val="nl-NL"/>
              </w:rPr>
              <w:t>Aibw</w:t>
            </w:r>
            <w:proofErr w:type="spellEnd"/>
            <w:r w:rsidRPr="00FD1605">
              <w:rPr>
                <w:rFonts w:cs="Calibri"/>
                <w:color w:val="000000"/>
                <w:szCs w:val="18"/>
                <w:lang w:val="nl-NL"/>
              </w:rPr>
              <w:t>)</w:t>
            </w:r>
          </w:p>
          <w:p w:rsidRPr="00FD1605" w:rsidR="00756F6B" w:rsidP="00061051" w:rsidRDefault="00756F6B" w14:paraId="2858884D" w14:textId="77777777">
            <w:pPr>
              <w:pStyle w:val="Lijstalinea"/>
              <w:numPr>
                <w:ilvl w:val="0"/>
                <w:numId w:val="6"/>
              </w:numPr>
              <w:spacing w:after="0" w:line="240" w:lineRule="auto"/>
              <w:rPr>
                <w:rFonts w:cs="Calibri"/>
                <w:color w:val="000000"/>
                <w:szCs w:val="18"/>
                <w:lang w:val="nl-NL"/>
              </w:rPr>
            </w:pPr>
            <w:r w:rsidRPr="00FD1605">
              <w:rPr>
                <w:rFonts w:cs="Calibri"/>
                <w:color w:val="000000"/>
                <w:szCs w:val="18"/>
                <w:lang w:val="nl-NL"/>
              </w:rPr>
              <w:t>Aanvullingswet werknemersverzekeringen (</w:t>
            </w:r>
            <w:proofErr w:type="spellStart"/>
            <w:r w:rsidRPr="00FD1605">
              <w:rPr>
                <w:rFonts w:cs="Calibri"/>
                <w:color w:val="000000"/>
                <w:szCs w:val="18"/>
                <w:lang w:val="nl-NL"/>
              </w:rPr>
              <w:t>Awv</w:t>
            </w:r>
            <w:proofErr w:type="spellEnd"/>
            <w:r w:rsidRPr="00FD1605">
              <w:rPr>
                <w:rFonts w:cs="Calibri"/>
                <w:color w:val="000000"/>
                <w:szCs w:val="18"/>
                <w:lang w:val="nl-NL"/>
              </w:rPr>
              <w:t xml:space="preserve"> of </w:t>
            </w:r>
            <w:proofErr w:type="spellStart"/>
            <w:r w:rsidRPr="00FD1605">
              <w:rPr>
                <w:rFonts w:cs="Calibri"/>
                <w:color w:val="000000"/>
                <w:szCs w:val="18"/>
                <w:lang w:val="nl-NL"/>
              </w:rPr>
              <w:t>Awn</w:t>
            </w:r>
            <w:proofErr w:type="spellEnd"/>
            <w:r w:rsidRPr="00FD1605">
              <w:rPr>
                <w:rFonts w:cs="Calibri"/>
                <w:color w:val="000000"/>
                <w:szCs w:val="18"/>
                <w:lang w:val="nl-NL"/>
              </w:rPr>
              <w:t>)</w:t>
            </w:r>
          </w:p>
        </w:tc>
      </w:tr>
      <w:tr w:rsidRPr="00F51BCF" w:rsidR="00756F6B" w:rsidTr="00061051" w14:paraId="64646E75" w14:textId="77777777">
        <w:trPr>
          <w:trHeight w:val="315"/>
        </w:trPr>
        <w:tc>
          <w:tcPr>
            <w:tcW w:w="2005" w:type="dxa"/>
            <w:tcBorders>
              <w:top w:val="nil"/>
              <w:left w:val="single" w:color="auto" w:sz="8" w:space="0"/>
              <w:bottom w:val="single" w:color="auto" w:sz="8" w:space="0"/>
              <w:right w:val="nil"/>
            </w:tcBorders>
            <w:shd w:val="clear" w:color="auto" w:fill="auto"/>
            <w:noWrap/>
          </w:tcPr>
          <w:p w:rsidRPr="00704454" w:rsidR="00756F6B" w:rsidP="00061051" w:rsidRDefault="00756F6B" w14:paraId="0EC2547F"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Tijdpad inwerkingtreding</w:t>
            </w:r>
          </w:p>
        </w:tc>
        <w:tc>
          <w:tcPr>
            <w:tcW w:w="8080" w:type="dxa"/>
            <w:tcBorders>
              <w:top w:val="single" w:color="auto" w:sz="4" w:space="0"/>
              <w:left w:val="single" w:color="auto" w:sz="4" w:space="0"/>
              <w:bottom w:val="single" w:color="auto" w:sz="8" w:space="0"/>
              <w:right w:val="single" w:color="auto" w:sz="4" w:space="0"/>
            </w:tcBorders>
            <w:shd w:val="clear" w:color="auto" w:fill="auto"/>
            <w:noWrap/>
          </w:tcPr>
          <w:p w:rsidRPr="00FD1605" w:rsidR="00756F6B" w:rsidP="00061051" w:rsidRDefault="00756F6B" w14:paraId="503034BF" w14:textId="60DE36D8">
            <w:pPr>
              <w:spacing w:after="0" w:line="240" w:lineRule="auto"/>
              <w:contextualSpacing/>
              <w:rPr>
                <w:rFonts w:eastAsia="Times New Roman" w:cs="Calibri"/>
                <w:color w:val="000000"/>
                <w:szCs w:val="18"/>
                <w:lang w:val="nl-NL" w:eastAsia="nl-NL"/>
              </w:rPr>
            </w:pPr>
            <w:r w:rsidRPr="00FD1605">
              <w:rPr>
                <w:rFonts w:eastAsia="Times New Roman" w:cs="Calibri"/>
                <w:color w:val="000000"/>
                <w:szCs w:val="18"/>
                <w:lang w:val="nl-NL" w:eastAsia="nl-NL"/>
              </w:rPr>
              <w:t xml:space="preserve">De Toeslagenwet moet worden aangepast. Alle verwijzingen in andere wet- en regelgeving naar de Toeslagenwet moeten ook worden aangepast. Een wetswijziging duurt gemiddeld twee jaar, voor lagere regelgeving gemiddeld </w:t>
            </w:r>
            <w:r w:rsidR="009804DE">
              <w:rPr>
                <w:rFonts w:eastAsia="Times New Roman" w:cs="Calibri"/>
                <w:color w:val="000000"/>
                <w:szCs w:val="18"/>
                <w:lang w:val="nl-NL" w:eastAsia="nl-NL"/>
              </w:rPr>
              <w:t>8</w:t>
            </w:r>
            <w:r w:rsidR="00F51880">
              <w:rPr>
                <w:rFonts w:eastAsia="Times New Roman" w:cs="Calibri"/>
                <w:color w:val="000000"/>
                <w:szCs w:val="18"/>
                <w:lang w:val="nl-NL" w:eastAsia="nl-NL"/>
              </w:rPr>
              <w:t xml:space="preserve"> </w:t>
            </w:r>
            <w:r w:rsidRPr="00FD1605">
              <w:rPr>
                <w:rFonts w:eastAsia="Times New Roman" w:cs="Calibri"/>
                <w:color w:val="000000"/>
                <w:szCs w:val="18"/>
                <w:lang w:val="nl-NL" w:eastAsia="nl-NL"/>
              </w:rPr>
              <w:t>maanden. Ook dient rekening te worden gehouden met eventuele extra tijd voor de implementatie door de uitvoerder. Hierbij kan worden gedacht aan aanpassingen van systemen en communicatie aan uitkeringsgerechtigden.</w:t>
            </w:r>
          </w:p>
        </w:tc>
      </w:tr>
      <w:tr w:rsidRPr="00F51BCF" w:rsidR="00756F6B" w:rsidTr="00061051" w14:paraId="208B1FCB" w14:textId="77777777">
        <w:trPr>
          <w:trHeight w:val="315"/>
        </w:trPr>
        <w:tc>
          <w:tcPr>
            <w:tcW w:w="2005" w:type="dxa"/>
            <w:tcBorders>
              <w:top w:val="nil"/>
              <w:left w:val="single" w:color="auto" w:sz="8" w:space="0"/>
              <w:bottom w:val="single" w:color="auto" w:sz="8" w:space="0"/>
              <w:right w:val="nil"/>
            </w:tcBorders>
            <w:shd w:val="clear" w:color="auto" w:fill="auto"/>
            <w:noWrap/>
          </w:tcPr>
          <w:p w:rsidRPr="00704454" w:rsidR="00756F6B" w:rsidP="00061051" w:rsidRDefault="00756F6B" w14:paraId="7BEE6DFE"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Juridische haalbaarheid</w:t>
            </w:r>
          </w:p>
        </w:tc>
        <w:tc>
          <w:tcPr>
            <w:tcW w:w="8080" w:type="dxa"/>
            <w:tcBorders>
              <w:top w:val="single" w:color="auto" w:sz="4" w:space="0"/>
              <w:left w:val="single" w:color="auto" w:sz="4" w:space="0"/>
              <w:bottom w:val="single" w:color="auto" w:sz="8" w:space="0"/>
              <w:right w:val="single" w:color="auto" w:sz="4" w:space="0"/>
            </w:tcBorders>
            <w:shd w:val="clear" w:color="auto" w:fill="auto"/>
            <w:noWrap/>
          </w:tcPr>
          <w:p w:rsidRPr="00FD1605" w:rsidR="00756F6B" w:rsidP="00061051" w:rsidRDefault="00756F6B" w14:paraId="04FEB445" w14:textId="77777777">
            <w:pPr>
              <w:spacing w:after="0" w:line="240" w:lineRule="auto"/>
              <w:contextualSpacing/>
              <w:rPr>
                <w:rFonts w:eastAsia="Times New Roman" w:cs="Calibri"/>
                <w:color w:val="000000"/>
                <w:szCs w:val="18"/>
                <w:lang w:val="nl-NL" w:eastAsia="nl-NL"/>
              </w:rPr>
            </w:pPr>
            <w:r w:rsidRPr="00FD1605">
              <w:rPr>
                <w:rFonts w:eastAsia="Times New Roman" w:cs="Calibri"/>
                <w:color w:val="000000"/>
                <w:szCs w:val="18"/>
                <w:lang w:val="nl-NL" w:eastAsia="nl-NL"/>
              </w:rPr>
              <w:t xml:space="preserve">Juridisch zijn er geen inhoudelijke bezwaren. </w:t>
            </w:r>
          </w:p>
          <w:p w:rsidRPr="00FD1605" w:rsidR="00756F6B" w:rsidP="00061051" w:rsidRDefault="00756F6B" w14:paraId="3A566C72" w14:textId="77777777">
            <w:pPr>
              <w:spacing w:after="0" w:line="240" w:lineRule="auto"/>
              <w:contextualSpacing/>
              <w:rPr>
                <w:rFonts w:eastAsia="Times New Roman" w:cs="Calibri"/>
                <w:color w:val="000000"/>
                <w:szCs w:val="18"/>
                <w:lang w:val="nl-NL" w:eastAsia="nl-NL"/>
              </w:rPr>
            </w:pPr>
            <w:r w:rsidRPr="00FD1605">
              <w:rPr>
                <w:rFonts w:eastAsia="Times New Roman" w:cs="Calibri"/>
                <w:color w:val="000000"/>
                <w:szCs w:val="18"/>
                <w:lang w:val="nl-NL" w:eastAsia="nl-NL"/>
              </w:rPr>
              <w:t>De Toeslagenwet moeten worden aangepast. Alle verwijzingen in andere wet- en regelgeving naar de Toeslagenwet moeten ook worden aangepast.</w:t>
            </w:r>
          </w:p>
        </w:tc>
      </w:tr>
      <w:tr w:rsidRPr="00F51BCF" w:rsidR="00756F6B" w:rsidTr="00061051" w14:paraId="6CA6ECD8" w14:textId="77777777">
        <w:trPr>
          <w:trHeight w:val="315"/>
        </w:trPr>
        <w:tc>
          <w:tcPr>
            <w:tcW w:w="2005" w:type="dxa"/>
            <w:tcBorders>
              <w:top w:val="nil"/>
              <w:left w:val="single" w:color="auto" w:sz="8" w:space="0"/>
              <w:bottom w:val="single" w:color="auto" w:sz="8" w:space="0"/>
              <w:right w:val="nil"/>
            </w:tcBorders>
            <w:shd w:val="clear" w:color="auto" w:fill="auto"/>
            <w:noWrap/>
          </w:tcPr>
          <w:p w:rsidRPr="00704454" w:rsidR="00756F6B" w:rsidP="00061051" w:rsidRDefault="00756F6B" w14:paraId="144F6213"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Uitvoerbaarheid</w:t>
            </w:r>
          </w:p>
        </w:tc>
        <w:tc>
          <w:tcPr>
            <w:tcW w:w="8080" w:type="dxa"/>
            <w:tcBorders>
              <w:top w:val="single" w:color="auto" w:sz="4" w:space="0"/>
              <w:left w:val="single" w:color="auto" w:sz="4" w:space="0"/>
              <w:bottom w:val="single" w:color="auto" w:sz="8" w:space="0"/>
              <w:right w:val="single" w:color="auto" w:sz="4" w:space="0"/>
            </w:tcBorders>
            <w:shd w:val="clear" w:color="auto" w:fill="auto"/>
            <w:noWrap/>
          </w:tcPr>
          <w:p w:rsidRPr="00FD1605" w:rsidR="00756F6B" w:rsidP="00061051" w:rsidRDefault="00756F6B" w14:paraId="447236A3" w14:textId="77777777">
            <w:pPr>
              <w:spacing w:after="0" w:line="240" w:lineRule="auto"/>
              <w:contextualSpacing/>
              <w:rPr>
                <w:rFonts w:eastAsia="Times New Roman" w:cs="Calibri"/>
                <w:color w:val="000000"/>
                <w:szCs w:val="18"/>
                <w:lang w:val="nl-NL" w:eastAsia="nl-NL"/>
              </w:rPr>
            </w:pPr>
            <w:r w:rsidRPr="00FD1605">
              <w:rPr>
                <w:rFonts w:eastAsia="Times New Roman" w:cs="Calibri"/>
                <w:color w:val="000000"/>
                <w:szCs w:val="18"/>
                <w:lang w:val="nl-NL" w:eastAsia="nl-NL"/>
              </w:rPr>
              <w:t>Het Rijk en UWV moeten hun informatievoorziening en internetcontent aanpassen. Communicatiemiddelen dienen ingezet te worden voor bekendheid met de nieuwe naam.</w:t>
            </w:r>
          </w:p>
        </w:tc>
      </w:tr>
      <w:tr w:rsidRPr="00F51BCF" w:rsidR="00756F6B" w:rsidTr="00061051" w14:paraId="21F2F9B4" w14:textId="77777777">
        <w:trPr>
          <w:trHeight w:val="315"/>
        </w:trPr>
        <w:tc>
          <w:tcPr>
            <w:tcW w:w="2005" w:type="dxa"/>
            <w:tcBorders>
              <w:top w:val="nil"/>
              <w:left w:val="single" w:color="auto" w:sz="8" w:space="0"/>
              <w:bottom w:val="single" w:color="auto" w:sz="8" w:space="0"/>
              <w:right w:val="nil"/>
            </w:tcBorders>
            <w:shd w:val="clear" w:color="auto" w:fill="auto"/>
            <w:noWrap/>
          </w:tcPr>
          <w:p w:rsidRPr="00704454" w:rsidR="00756F6B" w:rsidP="00061051" w:rsidRDefault="00756F6B" w14:paraId="5AD90E4E"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Financiële effecten</w:t>
            </w:r>
          </w:p>
        </w:tc>
        <w:tc>
          <w:tcPr>
            <w:tcW w:w="8080" w:type="dxa"/>
            <w:tcBorders>
              <w:top w:val="single" w:color="auto" w:sz="4" w:space="0"/>
              <w:left w:val="single" w:color="auto" w:sz="4" w:space="0"/>
              <w:bottom w:val="single" w:color="auto" w:sz="8" w:space="0"/>
              <w:right w:val="single" w:color="auto" w:sz="4" w:space="0"/>
            </w:tcBorders>
            <w:shd w:val="clear" w:color="auto" w:fill="auto"/>
            <w:noWrap/>
          </w:tcPr>
          <w:p w:rsidRPr="00FD1605" w:rsidR="00756F6B" w:rsidP="00061051" w:rsidRDefault="000031E0" w14:paraId="5406BFA5" w14:textId="4687CE33">
            <w:pPr>
              <w:spacing w:after="0" w:line="240" w:lineRule="auto"/>
              <w:contextualSpacing/>
              <w:rPr>
                <w:rFonts w:eastAsia="Times New Roman" w:cs="Calibri"/>
                <w:i/>
                <w:iCs/>
                <w:color w:val="000000"/>
                <w:szCs w:val="18"/>
                <w:lang w:val="nl-NL" w:eastAsia="nl-NL"/>
              </w:rPr>
            </w:pPr>
            <w:r>
              <w:rPr>
                <w:rFonts w:cs="Calibri"/>
                <w:color w:val="000000"/>
                <w:szCs w:val="18"/>
                <w:lang w:val="nl-NL"/>
              </w:rPr>
              <w:t xml:space="preserve">Het is onzeker of deze maatregel financiële gevolgen zal hebben. </w:t>
            </w:r>
            <w:r w:rsidRPr="00FD1605" w:rsidR="00756F6B">
              <w:rPr>
                <w:rFonts w:eastAsia="Times New Roman" w:cs="Calibri"/>
                <w:color w:val="000000"/>
                <w:szCs w:val="18"/>
                <w:lang w:val="nl-NL" w:eastAsia="nl-NL"/>
              </w:rPr>
              <w:t>Eenmalige uitvoeringskosten voor het doorvoeren van de wijziging zouden in een uitvoeringstoets uitgezocht moeten worden.</w:t>
            </w:r>
          </w:p>
        </w:tc>
      </w:tr>
      <w:tr w:rsidRPr="00F51BCF" w:rsidR="00756F6B" w:rsidTr="00061051" w14:paraId="1830856B" w14:textId="77777777">
        <w:trPr>
          <w:trHeight w:val="315"/>
        </w:trPr>
        <w:tc>
          <w:tcPr>
            <w:tcW w:w="2005" w:type="dxa"/>
            <w:tcBorders>
              <w:top w:val="nil"/>
              <w:left w:val="single" w:color="auto" w:sz="8" w:space="0"/>
              <w:bottom w:val="single" w:color="auto" w:sz="8" w:space="0"/>
              <w:right w:val="nil"/>
            </w:tcBorders>
            <w:shd w:val="clear" w:color="auto" w:fill="auto"/>
            <w:noWrap/>
          </w:tcPr>
          <w:p w:rsidRPr="00704454" w:rsidR="00756F6B" w:rsidP="00061051" w:rsidRDefault="00756F6B" w14:paraId="0162434A"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Toelichting raming</w:t>
            </w:r>
          </w:p>
        </w:tc>
        <w:tc>
          <w:tcPr>
            <w:tcW w:w="8080" w:type="dxa"/>
            <w:tcBorders>
              <w:top w:val="single" w:color="auto" w:sz="4" w:space="0"/>
              <w:left w:val="single" w:color="auto" w:sz="4" w:space="0"/>
              <w:bottom w:val="single" w:color="auto" w:sz="8" w:space="0"/>
              <w:right w:val="single" w:color="auto" w:sz="4" w:space="0"/>
            </w:tcBorders>
            <w:shd w:val="clear" w:color="auto" w:fill="auto"/>
            <w:noWrap/>
          </w:tcPr>
          <w:p w:rsidRPr="00FD1605" w:rsidR="00756F6B" w:rsidP="00061051" w:rsidRDefault="00756F6B" w14:paraId="31BC19A4" w14:textId="77777777">
            <w:pPr>
              <w:spacing w:after="0" w:line="240" w:lineRule="auto"/>
              <w:contextualSpacing/>
              <w:rPr>
                <w:rFonts w:eastAsia="Times New Roman" w:cs="Calibri"/>
                <w:color w:val="000000"/>
                <w:szCs w:val="18"/>
                <w:lang w:val="nl-NL" w:eastAsia="nl-NL"/>
              </w:rPr>
            </w:pPr>
            <w:r w:rsidRPr="00FD1605">
              <w:rPr>
                <w:rFonts w:eastAsia="Times New Roman" w:cs="Calibri"/>
                <w:color w:val="000000"/>
                <w:szCs w:val="18"/>
                <w:lang w:val="nl-NL" w:eastAsia="nl-NL"/>
              </w:rPr>
              <w:t>Met deze maatregel is er geen wijziging in de vormgeving van de TW. In principe is er geen wijziging van de uitkeringslasten. Mogelijk is er een toename of afname van de uitkeringslasten, afhankelijk van de bekendheid van de nieuwe regeling.</w:t>
            </w:r>
          </w:p>
        </w:tc>
      </w:tr>
      <w:tr w:rsidRPr="00F51BCF" w:rsidR="00756F6B" w:rsidTr="00061051" w14:paraId="32AB92E7" w14:textId="77777777">
        <w:trPr>
          <w:trHeight w:val="315"/>
        </w:trPr>
        <w:tc>
          <w:tcPr>
            <w:tcW w:w="2005" w:type="dxa"/>
            <w:tcBorders>
              <w:top w:val="nil"/>
              <w:left w:val="single" w:color="auto" w:sz="8" w:space="0"/>
              <w:bottom w:val="single" w:color="auto" w:sz="8" w:space="0"/>
              <w:right w:val="nil"/>
            </w:tcBorders>
            <w:shd w:val="clear" w:color="auto" w:fill="auto"/>
            <w:noWrap/>
          </w:tcPr>
          <w:p w:rsidRPr="00704454" w:rsidR="00756F6B" w:rsidP="00061051" w:rsidRDefault="00756F6B" w14:paraId="187B1AE0"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Inkomens-</w:t>
            </w:r>
          </w:p>
          <w:p w:rsidRPr="00704454" w:rsidR="00756F6B" w:rsidP="00061051" w:rsidRDefault="00756F6B" w14:paraId="45C2B9A9"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effecten</w:t>
            </w:r>
          </w:p>
        </w:tc>
        <w:tc>
          <w:tcPr>
            <w:tcW w:w="8080" w:type="dxa"/>
            <w:tcBorders>
              <w:top w:val="single" w:color="auto" w:sz="4" w:space="0"/>
              <w:left w:val="single" w:color="auto" w:sz="4" w:space="0"/>
              <w:bottom w:val="single" w:color="auto" w:sz="8" w:space="0"/>
              <w:right w:val="single" w:color="auto" w:sz="4" w:space="0"/>
            </w:tcBorders>
            <w:shd w:val="clear" w:color="auto" w:fill="auto"/>
            <w:noWrap/>
          </w:tcPr>
          <w:p w:rsidRPr="00FD1605" w:rsidR="00756F6B" w:rsidP="00061051" w:rsidRDefault="00AA7816" w14:paraId="5A596604" w14:textId="47DEA7FB">
            <w:pPr>
              <w:contextualSpacing/>
              <w:rPr>
                <w:rFonts w:cs="Calibri"/>
                <w:color w:val="000000"/>
                <w:szCs w:val="18"/>
                <w:lang w:val="nl-NL"/>
              </w:rPr>
            </w:pPr>
            <w:r>
              <w:rPr>
                <w:rFonts w:cs="Calibri"/>
                <w:color w:val="000000"/>
                <w:szCs w:val="18"/>
                <w:lang w:val="nl-NL"/>
              </w:rPr>
              <w:t xml:space="preserve">Het effect van deze maatregel is onzeker. Een naamswijziging zou kunnen leiden tot het terugdringen van niet gebruik van de Toeslagenwet als </w:t>
            </w:r>
            <w:r w:rsidRPr="00FD1605" w:rsidR="00756F6B">
              <w:rPr>
                <w:rFonts w:cs="Calibri"/>
                <w:color w:val="000000"/>
                <w:szCs w:val="18"/>
                <w:lang w:val="nl-NL"/>
              </w:rPr>
              <w:t>meer mensen een aanvullende toeslag gaan aanvragen en het inkomen van deze mensen daardoor stijgt (tenzij er al andere inkomensvoorzieningen zijn die aanvullen tot het sociaal minimum).</w:t>
            </w:r>
          </w:p>
        </w:tc>
      </w:tr>
      <w:tr w:rsidRPr="00F51BCF" w:rsidR="00756F6B" w:rsidTr="00061051" w14:paraId="6BE3BDA4" w14:textId="77777777">
        <w:trPr>
          <w:trHeight w:val="315"/>
        </w:trPr>
        <w:tc>
          <w:tcPr>
            <w:tcW w:w="2005" w:type="dxa"/>
            <w:tcBorders>
              <w:top w:val="nil"/>
              <w:left w:val="single" w:color="auto" w:sz="8" w:space="0"/>
              <w:bottom w:val="single" w:color="auto" w:sz="8" w:space="0"/>
              <w:right w:val="nil"/>
            </w:tcBorders>
            <w:shd w:val="clear" w:color="auto" w:fill="auto"/>
            <w:noWrap/>
          </w:tcPr>
          <w:p w:rsidRPr="00704454" w:rsidR="00756F6B" w:rsidP="00061051" w:rsidRDefault="00756F6B" w14:paraId="7B2F6D86"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Arbeidsmarkt-effecten</w:t>
            </w:r>
          </w:p>
        </w:tc>
        <w:tc>
          <w:tcPr>
            <w:tcW w:w="8080" w:type="dxa"/>
            <w:tcBorders>
              <w:top w:val="single" w:color="auto" w:sz="4" w:space="0"/>
              <w:left w:val="single" w:color="auto" w:sz="4" w:space="0"/>
              <w:bottom w:val="single" w:color="auto" w:sz="8" w:space="0"/>
              <w:right w:val="single" w:color="auto" w:sz="4" w:space="0"/>
            </w:tcBorders>
            <w:shd w:val="clear" w:color="auto" w:fill="auto"/>
            <w:noWrap/>
          </w:tcPr>
          <w:p w:rsidRPr="00FD1605" w:rsidR="00756F6B" w:rsidP="00061051" w:rsidRDefault="00756F6B" w14:paraId="6589A410" w14:textId="77777777">
            <w:pPr>
              <w:contextualSpacing/>
              <w:rPr>
                <w:szCs w:val="18"/>
                <w:lang w:val="nl-NL"/>
              </w:rPr>
            </w:pPr>
            <w:r w:rsidRPr="00FD1605">
              <w:rPr>
                <w:szCs w:val="18"/>
                <w:lang w:val="nl-NL"/>
              </w:rPr>
              <w:t xml:space="preserve">Het werkgelegenheidseffect is vrijwel nihil. </w:t>
            </w:r>
          </w:p>
          <w:p w:rsidRPr="00FD1605" w:rsidR="00756F6B" w:rsidP="00061051" w:rsidRDefault="00756F6B" w14:paraId="6C67F9B6" w14:textId="77777777">
            <w:pPr>
              <w:contextualSpacing/>
              <w:rPr>
                <w:rFonts w:eastAsia="Times New Roman" w:cs="Calibri"/>
                <w:color w:val="000000"/>
                <w:szCs w:val="18"/>
                <w:lang w:val="nl-NL" w:eastAsia="nl-NL"/>
              </w:rPr>
            </w:pPr>
            <w:r w:rsidRPr="00FD1605">
              <w:rPr>
                <w:rFonts w:eastAsia="Times New Roman" w:cs="Calibri"/>
                <w:color w:val="000000"/>
                <w:szCs w:val="18"/>
                <w:lang w:val="nl-NL" w:eastAsia="nl-NL"/>
              </w:rPr>
              <w:t xml:space="preserve">Als wordt uitgegaan dat wijzigingen van de naam van de wet leidt tot minder niet-gebruik van de aanvullende toeslag, zou gesteld kunnen worden dat het wegvallen van financiële onrust kan leiden tot meer rust voor mensen om in werk te gaan hervatten. </w:t>
            </w:r>
          </w:p>
        </w:tc>
      </w:tr>
      <w:tr w:rsidRPr="00FD1605" w:rsidR="00756F6B" w:rsidTr="00061051" w14:paraId="5B5B5E23" w14:textId="77777777">
        <w:trPr>
          <w:trHeight w:val="315"/>
        </w:trPr>
        <w:tc>
          <w:tcPr>
            <w:tcW w:w="2005" w:type="dxa"/>
            <w:tcBorders>
              <w:top w:val="nil"/>
              <w:left w:val="single" w:color="auto" w:sz="8" w:space="0"/>
              <w:bottom w:val="single" w:color="auto" w:sz="8" w:space="0"/>
              <w:right w:val="nil"/>
            </w:tcBorders>
            <w:shd w:val="clear" w:color="auto" w:fill="auto"/>
            <w:noWrap/>
          </w:tcPr>
          <w:p w:rsidRPr="00704454" w:rsidR="00756F6B" w:rsidP="00061051" w:rsidRDefault="00756F6B" w14:paraId="1AEF269B"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Overige relevante aspecten</w:t>
            </w:r>
          </w:p>
        </w:tc>
        <w:tc>
          <w:tcPr>
            <w:tcW w:w="8080" w:type="dxa"/>
            <w:tcBorders>
              <w:top w:val="single" w:color="auto" w:sz="4" w:space="0"/>
              <w:left w:val="single" w:color="auto" w:sz="4" w:space="0"/>
              <w:bottom w:val="single" w:color="auto" w:sz="8" w:space="0"/>
              <w:right w:val="single" w:color="auto" w:sz="4" w:space="0"/>
            </w:tcBorders>
            <w:shd w:val="clear" w:color="auto" w:fill="auto"/>
            <w:noWrap/>
          </w:tcPr>
          <w:p w:rsidRPr="00704454" w:rsidR="00756F6B" w:rsidP="00061051" w:rsidRDefault="00756F6B" w14:paraId="63A8BCAE" w14:textId="77777777">
            <w:pPr>
              <w:spacing w:after="0" w:line="240" w:lineRule="auto"/>
              <w:contextualSpacing/>
              <w:rPr>
                <w:rFonts w:eastAsia="Times New Roman" w:cs="Calibri"/>
                <w:i/>
                <w:iCs/>
                <w:color w:val="000000"/>
                <w:szCs w:val="18"/>
                <w:lang w:val="nl-NL" w:eastAsia="nl-NL"/>
              </w:rPr>
            </w:pPr>
            <w:r w:rsidRPr="00704454">
              <w:rPr>
                <w:rFonts w:eastAsia="Times New Roman" w:cs="Calibri"/>
                <w:i/>
                <w:iCs/>
                <w:color w:val="000000"/>
                <w:szCs w:val="18"/>
                <w:lang w:val="nl-NL" w:eastAsia="nl-NL"/>
              </w:rPr>
              <w:t>-</w:t>
            </w:r>
          </w:p>
        </w:tc>
      </w:tr>
    </w:tbl>
    <w:p w:rsidRPr="00FD1605" w:rsidR="00756F6B" w:rsidP="00756F6B" w:rsidRDefault="00756F6B" w14:paraId="5B375960" w14:textId="77777777">
      <w:pPr>
        <w:rPr>
          <w:lang w:val="nl-NL"/>
        </w:rPr>
      </w:pPr>
    </w:p>
    <w:tbl>
      <w:tblPr>
        <w:tblW w:w="10409" w:type="dxa"/>
        <w:tblInd w:w="-446" w:type="dxa"/>
        <w:tblLayout w:type="fixed"/>
        <w:tblCellMar>
          <w:left w:w="70" w:type="dxa"/>
          <w:right w:w="70" w:type="dxa"/>
        </w:tblCellMar>
        <w:tblLook w:val="04A0" w:firstRow="1" w:lastRow="0" w:firstColumn="1" w:lastColumn="0" w:noHBand="0" w:noVBand="1"/>
      </w:tblPr>
      <w:tblGrid>
        <w:gridCol w:w="1996"/>
        <w:gridCol w:w="8413"/>
      </w:tblGrid>
      <w:tr w:rsidRPr="00F51BCF" w:rsidR="00756F6B" w:rsidTr="00EA2DE8" w14:paraId="0AC8E0AF" w14:textId="77777777">
        <w:trPr>
          <w:trHeight w:val="305"/>
        </w:trPr>
        <w:tc>
          <w:tcPr>
            <w:tcW w:w="1996" w:type="dxa"/>
            <w:tcBorders>
              <w:top w:val="single" w:color="auto" w:sz="8" w:space="0"/>
              <w:left w:val="single" w:color="auto" w:sz="8" w:space="0"/>
              <w:bottom w:val="single" w:color="auto" w:sz="4" w:space="0"/>
              <w:right w:val="nil"/>
            </w:tcBorders>
            <w:shd w:val="clear" w:color="auto" w:fill="auto"/>
            <w:noWrap/>
          </w:tcPr>
          <w:p w:rsidRPr="00913061" w:rsidR="00756F6B" w:rsidP="00061051" w:rsidRDefault="00756F6B" w14:paraId="41429DB6" w14:textId="77777777">
            <w:pPr>
              <w:spacing w:before="60"/>
              <w:contextualSpacing/>
              <w:rPr>
                <w:rFonts w:eastAsia="Times New Roman" w:cs="Calibri"/>
                <w:b/>
                <w:bCs/>
                <w:color w:val="000000"/>
                <w:szCs w:val="18"/>
                <w:lang w:val="nl-NL" w:eastAsia="nl-NL"/>
              </w:rPr>
            </w:pPr>
          </w:p>
          <w:p w:rsidRPr="00913061" w:rsidR="00756F6B" w:rsidP="00061051" w:rsidRDefault="00756F6B" w14:paraId="33A93240" w14:textId="77777777">
            <w:pPr>
              <w:spacing w:before="60"/>
              <w:contextualSpacing/>
              <w:rPr>
                <w:rFonts w:eastAsia="Times New Roman" w:cs="Calibri"/>
                <w:b/>
                <w:bCs/>
                <w:color w:val="000000"/>
                <w:szCs w:val="18"/>
                <w:lang w:val="nl-NL" w:eastAsia="nl-NL"/>
              </w:rPr>
            </w:pPr>
            <w:r w:rsidRPr="00913061">
              <w:rPr>
                <w:rFonts w:eastAsia="Times New Roman" w:cs="Calibri"/>
                <w:b/>
                <w:bCs/>
                <w:color w:val="000000"/>
                <w:szCs w:val="18"/>
                <w:lang w:val="nl-NL" w:eastAsia="nl-NL"/>
              </w:rPr>
              <w:t>Maatregel</w:t>
            </w:r>
          </w:p>
        </w:tc>
        <w:tc>
          <w:tcPr>
            <w:tcW w:w="8413" w:type="dxa"/>
            <w:tcBorders>
              <w:top w:val="single" w:color="auto" w:sz="8" w:space="0"/>
              <w:left w:val="single" w:color="auto" w:sz="4" w:space="0"/>
              <w:bottom w:val="single" w:color="auto" w:sz="4" w:space="0"/>
              <w:right w:val="single" w:color="auto" w:sz="4" w:space="0"/>
            </w:tcBorders>
            <w:shd w:val="clear" w:color="auto" w:fill="auto"/>
            <w:noWrap/>
          </w:tcPr>
          <w:p w:rsidRPr="00913061" w:rsidR="00756F6B" w:rsidP="00061051" w:rsidRDefault="00756F6B" w14:paraId="7CF980A3" w14:textId="12A96168">
            <w:pPr>
              <w:pStyle w:val="Kop1"/>
              <w:rPr>
                <w:rFonts w:ascii="Verdana" w:hAnsi="Verdana"/>
                <w:b/>
                <w:bCs/>
                <w:color w:val="auto"/>
                <w:sz w:val="18"/>
                <w:szCs w:val="18"/>
                <w:lang w:val="nl-NL"/>
              </w:rPr>
            </w:pPr>
            <w:bookmarkStart w:name="_Toc223522224" w:id="1"/>
            <w:r w:rsidRPr="00913061">
              <w:rPr>
                <w:rFonts w:ascii="Verdana" w:hAnsi="Verdana"/>
                <w:b/>
                <w:bCs/>
                <w:color w:val="auto"/>
                <w:sz w:val="18"/>
                <w:szCs w:val="18"/>
                <w:lang w:val="nl-NL"/>
              </w:rPr>
              <w:t>A.</w:t>
            </w:r>
            <w:r>
              <w:rPr>
                <w:rFonts w:ascii="Verdana" w:hAnsi="Verdana"/>
                <w:b/>
                <w:bCs/>
                <w:color w:val="auto"/>
                <w:sz w:val="18"/>
                <w:szCs w:val="18"/>
                <w:lang w:val="nl-NL"/>
              </w:rPr>
              <w:t>2</w:t>
            </w:r>
            <w:r w:rsidRPr="00913061">
              <w:rPr>
                <w:rFonts w:ascii="Verdana" w:hAnsi="Verdana"/>
                <w:b/>
                <w:bCs/>
                <w:color w:val="auto"/>
                <w:sz w:val="18"/>
                <w:szCs w:val="18"/>
                <w:lang w:val="nl-NL"/>
              </w:rPr>
              <w:t xml:space="preserve"> Afschaffen maximering hoogte TW</w:t>
            </w:r>
            <w:bookmarkEnd w:id="1"/>
          </w:p>
        </w:tc>
      </w:tr>
      <w:tr w:rsidRPr="00F51BCF" w:rsidR="00756F6B" w:rsidTr="00EA2DE8" w14:paraId="4D417B87" w14:textId="77777777">
        <w:trPr>
          <w:trHeight w:val="320"/>
        </w:trPr>
        <w:tc>
          <w:tcPr>
            <w:tcW w:w="1996" w:type="dxa"/>
            <w:tcBorders>
              <w:top w:val="nil"/>
              <w:left w:val="single" w:color="auto" w:sz="8" w:space="0"/>
              <w:bottom w:val="single" w:color="auto" w:sz="8" w:space="0"/>
              <w:right w:val="nil"/>
            </w:tcBorders>
            <w:shd w:val="clear" w:color="auto" w:fill="auto"/>
            <w:noWrap/>
          </w:tcPr>
          <w:p w:rsidRPr="00704454" w:rsidR="00756F6B" w:rsidP="00061051" w:rsidRDefault="00756F6B" w14:paraId="5760499A" w14:textId="77777777">
            <w:pPr>
              <w:spacing w:before="60"/>
              <w:contextualSpacing/>
              <w:rPr>
                <w:rFonts w:eastAsia="Times New Roman" w:cs="Calibri"/>
                <w:b/>
                <w:bCs/>
                <w:color w:val="000000"/>
                <w:szCs w:val="18"/>
                <w:lang w:val="nl-NL" w:eastAsia="nl-NL"/>
              </w:rPr>
            </w:pPr>
            <w:r w:rsidRPr="00704454">
              <w:rPr>
                <w:rFonts w:eastAsia="Times New Roman" w:cs="Calibri"/>
                <w:b/>
                <w:bCs/>
                <w:color w:val="000000"/>
                <w:szCs w:val="18"/>
                <w:lang w:val="nl-NL" w:eastAsia="nl-NL"/>
              </w:rPr>
              <w:t>Korte uitleg maatregel</w:t>
            </w:r>
          </w:p>
        </w:tc>
        <w:tc>
          <w:tcPr>
            <w:tcW w:w="8413" w:type="dxa"/>
            <w:tcBorders>
              <w:top w:val="single" w:color="auto" w:sz="4" w:space="0"/>
              <w:left w:val="single" w:color="auto" w:sz="4" w:space="0"/>
              <w:bottom w:val="single" w:color="auto" w:sz="8" w:space="0"/>
              <w:right w:val="single" w:color="auto" w:sz="4" w:space="0"/>
            </w:tcBorders>
            <w:shd w:val="clear" w:color="auto" w:fill="auto"/>
            <w:noWrap/>
          </w:tcPr>
          <w:p w:rsidRPr="00FD1605" w:rsidR="00756F6B" w:rsidP="00061051" w:rsidRDefault="00756F6B" w14:paraId="23F48358" w14:textId="77777777">
            <w:pPr>
              <w:contextualSpacing/>
              <w:rPr>
                <w:rFonts w:cstheme="minorHAnsi"/>
                <w:lang w:val="nl-NL"/>
              </w:rPr>
            </w:pPr>
            <w:r w:rsidRPr="00FD1605">
              <w:rPr>
                <w:rFonts w:cstheme="minorHAnsi"/>
                <w:lang w:val="nl-NL"/>
              </w:rPr>
              <w:t xml:space="preserve">De Toeslagenwet vult een basisuitkering (WW, ZW, WIA, WAO, Wajong, WAZ en IOW) aan tot het sociaal minimum, maar kent een maximum omdat de basisuitkering en de aanvullende toeslag samen nooit meer mogen bedragen dan wat iemand verdiende voorafgaande aan de verzekerde gebeurtenis (het dagloon). Dit wordt ook wel de verzekeringsgedachte van de werknemersverzekeringen genoemd.   </w:t>
            </w:r>
          </w:p>
          <w:p w:rsidRPr="00FD1605" w:rsidR="00756F6B" w:rsidP="00061051" w:rsidRDefault="00756F6B" w14:paraId="765F9E1B" w14:textId="77777777">
            <w:pPr>
              <w:contextualSpacing/>
              <w:rPr>
                <w:rFonts w:cstheme="minorHAnsi"/>
                <w:lang w:val="nl-NL"/>
              </w:rPr>
            </w:pPr>
            <w:r w:rsidRPr="00FD1605">
              <w:rPr>
                <w:rFonts w:cstheme="minorHAnsi"/>
                <w:lang w:val="nl-NL"/>
              </w:rPr>
              <w:t>Deze maatregel stelt voor het maximum van de aanvullende toeslag niet langer te beperken tot het laatstverdiende loon (dagloon). Met andere woorden: de Toeslagenwet vult aan tot het sociaal minimum zonder te kijken naar het verschil tussen het laatstverdiende loon en de hoogte van de basisuitkering. Het uitgangspunt dat een loondervingsuitkering nooit hoger mag zijn dan het (verzekerde) dagloon wordt losgelaten.</w:t>
            </w:r>
          </w:p>
        </w:tc>
      </w:tr>
      <w:tr w:rsidRPr="00F51BCF" w:rsidR="00756F6B" w:rsidTr="00EA2DE8" w14:paraId="2BB395A4" w14:textId="77777777">
        <w:trPr>
          <w:trHeight w:val="320"/>
        </w:trPr>
        <w:tc>
          <w:tcPr>
            <w:tcW w:w="1996" w:type="dxa"/>
            <w:tcBorders>
              <w:top w:val="nil"/>
              <w:left w:val="single" w:color="auto" w:sz="8" w:space="0"/>
              <w:bottom w:val="single" w:color="auto" w:sz="8" w:space="0"/>
              <w:right w:val="nil"/>
            </w:tcBorders>
            <w:shd w:val="clear" w:color="auto" w:fill="auto"/>
            <w:noWrap/>
          </w:tcPr>
          <w:p w:rsidRPr="00704454" w:rsidR="00756F6B" w:rsidP="00061051" w:rsidRDefault="00756F6B" w14:paraId="642CBE7C" w14:textId="77777777">
            <w:pPr>
              <w:spacing w:before="60"/>
              <w:contextualSpacing/>
              <w:rPr>
                <w:rFonts w:eastAsia="Times New Roman" w:cs="Calibri"/>
                <w:b/>
                <w:bCs/>
                <w:color w:val="000000"/>
                <w:szCs w:val="18"/>
                <w:lang w:val="nl-NL" w:eastAsia="nl-NL"/>
              </w:rPr>
            </w:pPr>
            <w:r w:rsidRPr="00704454">
              <w:rPr>
                <w:rFonts w:eastAsia="Times New Roman" w:cs="Calibri"/>
                <w:b/>
                <w:bCs/>
                <w:color w:val="000000"/>
                <w:szCs w:val="18"/>
                <w:lang w:val="nl-NL" w:eastAsia="nl-NL"/>
              </w:rPr>
              <w:t>Doel maatregel</w:t>
            </w:r>
          </w:p>
        </w:tc>
        <w:tc>
          <w:tcPr>
            <w:tcW w:w="8413" w:type="dxa"/>
            <w:tcBorders>
              <w:top w:val="single" w:color="auto" w:sz="4" w:space="0"/>
              <w:left w:val="single" w:color="auto" w:sz="4" w:space="0"/>
              <w:bottom w:val="single" w:color="auto" w:sz="8" w:space="0"/>
              <w:right w:val="single" w:color="auto" w:sz="4" w:space="0"/>
            </w:tcBorders>
            <w:shd w:val="clear" w:color="auto" w:fill="auto"/>
            <w:noWrap/>
          </w:tcPr>
          <w:p w:rsidRPr="00FD1605" w:rsidR="00756F6B" w:rsidP="00061051" w:rsidRDefault="00756F6B" w14:paraId="23949016" w14:textId="77777777">
            <w:pPr>
              <w:contextualSpacing/>
              <w:rPr>
                <w:rFonts w:cstheme="minorHAnsi"/>
                <w:lang w:val="nl-NL"/>
              </w:rPr>
            </w:pPr>
            <w:r w:rsidRPr="00FD1605">
              <w:rPr>
                <w:rFonts w:cstheme="minorHAnsi"/>
                <w:lang w:val="nl-NL"/>
              </w:rPr>
              <w:t xml:space="preserve">Doel is om een TW-aanvulling te verstrekken die altijd ten minste gelijk is aan het bruto sociaal minimum. Mensen hebben dan meestal alleen een aanvulling van UWV nodig. Doel is om te voorkomen dat zij een aanvulling vanuit de bijstand (Participatiewet) nodig hebben en zo te maken krijgen met 3 verschillende uitkeringen, inclusief 3 verschillende regimes en 2 verschillende “loketten”. Deze situatie geldt nu voor ongeveer </w:t>
            </w:r>
            <w:r w:rsidRPr="002A165B">
              <w:rPr>
                <w:rFonts w:cstheme="minorHAnsi"/>
                <w:lang w:val="nl-NL"/>
              </w:rPr>
              <w:t xml:space="preserve">15% van alle mensen met TW (ongeveer 17 duizend mensen). </w:t>
            </w:r>
          </w:p>
          <w:p w:rsidRPr="00FD1605" w:rsidR="00756F6B" w:rsidP="00061051" w:rsidRDefault="00756F6B" w14:paraId="15686B32" w14:textId="77777777">
            <w:pPr>
              <w:contextualSpacing/>
              <w:rPr>
                <w:rFonts w:cstheme="minorHAnsi"/>
                <w:lang w:val="nl-NL"/>
              </w:rPr>
            </w:pPr>
          </w:p>
          <w:p w:rsidRPr="00FD1605" w:rsidR="00756F6B" w:rsidP="00061051" w:rsidRDefault="00756F6B" w14:paraId="61E5106A" w14:textId="0781EFF3">
            <w:pPr>
              <w:contextualSpacing/>
              <w:rPr>
                <w:rFonts w:cstheme="minorHAnsi"/>
                <w:lang w:val="nl-NL"/>
              </w:rPr>
            </w:pPr>
            <w:r w:rsidRPr="00FD1605">
              <w:rPr>
                <w:rFonts w:eastAsia="Times New Roman" w:cs="Calibri"/>
                <w:color w:val="000000"/>
                <w:szCs w:val="18"/>
                <w:lang w:val="nl-NL" w:eastAsia="nl-NL"/>
              </w:rPr>
              <w:t xml:space="preserve">Aandachtspunt bij deze maatregel is dat deze maatregel voor een groot deel bovenstaand doel bereikt. Voor een klein deel </w:t>
            </w:r>
            <w:r>
              <w:rPr>
                <w:rFonts w:eastAsia="Times New Roman" w:cs="Calibri"/>
                <w:color w:val="000000"/>
                <w:szCs w:val="18"/>
                <w:lang w:val="nl-NL" w:eastAsia="nl-NL"/>
              </w:rPr>
              <w:t xml:space="preserve">blijft een aanvulling vanuit de bijstand nodig doordat </w:t>
            </w:r>
            <w:r w:rsidRPr="00FD1605">
              <w:rPr>
                <w:rFonts w:eastAsia="Times New Roman" w:cs="Calibri"/>
                <w:color w:val="000000"/>
                <w:szCs w:val="18"/>
                <w:lang w:val="nl-NL" w:eastAsia="nl-NL"/>
              </w:rPr>
              <w:t xml:space="preserve">het sociaal minimum (bijstandsnorm) een netto inkomensnorm is. In de TW wordt een </w:t>
            </w:r>
            <w:proofErr w:type="spellStart"/>
            <w:r w:rsidRPr="00FD1605">
              <w:rPr>
                <w:rFonts w:eastAsia="Times New Roman" w:cs="Calibri"/>
                <w:color w:val="000000"/>
                <w:szCs w:val="18"/>
                <w:lang w:val="nl-NL" w:eastAsia="nl-NL"/>
              </w:rPr>
              <w:t>brutonorm</w:t>
            </w:r>
            <w:proofErr w:type="spellEnd"/>
            <w:r w:rsidRPr="00FD1605">
              <w:rPr>
                <w:rFonts w:eastAsia="Times New Roman" w:cs="Calibri"/>
                <w:color w:val="000000"/>
                <w:szCs w:val="18"/>
                <w:lang w:val="nl-NL" w:eastAsia="nl-NL"/>
              </w:rPr>
              <w:t xml:space="preserve"> gehanteerd, waardoor de TW niet altijd aanvult tot het netto sociaal minimum. In sommige gevallen valt de bruto-TW-norm lager uit dan de netto-bijstandsnorm (zie ook fiche </w:t>
            </w:r>
            <w:r w:rsidR="00ED633E">
              <w:rPr>
                <w:rFonts w:eastAsia="Times New Roman" w:cs="Calibri"/>
                <w:color w:val="000000"/>
                <w:szCs w:val="18"/>
                <w:lang w:val="nl-NL" w:eastAsia="nl-NL"/>
              </w:rPr>
              <w:t>B.7</w:t>
            </w:r>
            <w:r w:rsidRPr="00FD1605">
              <w:rPr>
                <w:rFonts w:eastAsia="Times New Roman" w:cs="Calibri"/>
                <w:color w:val="000000"/>
                <w:szCs w:val="18"/>
                <w:lang w:val="nl-NL" w:eastAsia="nl-NL"/>
              </w:rPr>
              <w:t>). In dergelijke situaties moeten mensen die een volledige TW-uitkering ontvangen alsnog een bijstandsaanvulling van de gemeente aanvragen om op het sociaal minimum te komen.</w:t>
            </w:r>
          </w:p>
        </w:tc>
      </w:tr>
      <w:tr w:rsidRPr="00F51BCF" w:rsidR="00756F6B" w:rsidTr="00EA2DE8" w14:paraId="2111EA2C" w14:textId="77777777">
        <w:trPr>
          <w:trHeight w:val="320"/>
        </w:trPr>
        <w:tc>
          <w:tcPr>
            <w:tcW w:w="1996" w:type="dxa"/>
            <w:tcBorders>
              <w:top w:val="nil"/>
              <w:left w:val="single" w:color="auto" w:sz="8" w:space="0"/>
              <w:bottom w:val="single" w:color="auto" w:sz="8" w:space="0"/>
              <w:right w:val="nil"/>
            </w:tcBorders>
            <w:shd w:val="clear" w:color="auto" w:fill="auto"/>
            <w:noWrap/>
          </w:tcPr>
          <w:p w:rsidRPr="00FD1605" w:rsidR="00756F6B" w:rsidP="00061051" w:rsidRDefault="00756F6B" w14:paraId="238073F8" w14:textId="77777777">
            <w:pPr>
              <w:spacing w:before="60"/>
              <w:contextualSpacing/>
              <w:rPr>
                <w:rFonts w:eastAsia="Times New Roman" w:cs="Calibri"/>
                <w:b/>
                <w:bCs/>
                <w:color w:val="000000"/>
                <w:szCs w:val="18"/>
                <w:lang w:val="nl-NL" w:eastAsia="nl-NL"/>
              </w:rPr>
            </w:pPr>
            <w:r w:rsidRPr="00FD1605">
              <w:rPr>
                <w:rFonts w:eastAsia="Times New Roman" w:cs="Calibri"/>
                <w:b/>
                <w:bCs/>
                <w:color w:val="000000"/>
                <w:szCs w:val="18"/>
                <w:lang w:val="nl-NL" w:eastAsia="nl-NL"/>
              </w:rPr>
              <w:t xml:space="preserve">Vereenvoudiging vanuit burgerperspectief (begrijpelijkheid, zekerheid en </w:t>
            </w:r>
            <w:proofErr w:type="spellStart"/>
            <w:r w:rsidRPr="00FD1605">
              <w:rPr>
                <w:rFonts w:eastAsia="Times New Roman" w:cs="Calibri"/>
                <w:b/>
                <w:bCs/>
                <w:color w:val="000000"/>
                <w:szCs w:val="18"/>
                <w:lang w:val="nl-NL" w:eastAsia="nl-NL"/>
              </w:rPr>
              <w:t>doenlijkheid</w:t>
            </w:r>
            <w:proofErr w:type="spellEnd"/>
            <w:r w:rsidRPr="00FD1605">
              <w:rPr>
                <w:rFonts w:eastAsia="Times New Roman" w:cs="Calibri"/>
                <w:b/>
                <w:bCs/>
                <w:color w:val="000000"/>
                <w:szCs w:val="18"/>
                <w:lang w:val="nl-NL" w:eastAsia="nl-NL"/>
              </w:rPr>
              <w:t>)</w:t>
            </w:r>
          </w:p>
        </w:tc>
        <w:tc>
          <w:tcPr>
            <w:tcW w:w="8413" w:type="dxa"/>
            <w:tcBorders>
              <w:top w:val="single" w:color="auto" w:sz="4" w:space="0"/>
              <w:left w:val="single" w:color="auto" w:sz="4" w:space="0"/>
              <w:bottom w:val="single" w:color="auto" w:sz="8" w:space="0"/>
              <w:right w:val="single" w:color="auto" w:sz="4" w:space="0"/>
            </w:tcBorders>
            <w:shd w:val="clear" w:color="auto" w:fill="auto"/>
            <w:noWrap/>
          </w:tcPr>
          <w:p w:rsidRPr="00FD1605" w:rsidR="00756F6B" w:rsidP="00061051" w:rsidRDefault="00756F6B" w14:paraId="11EDBE33" w14:textId="77777777">
            <w:pPr>
              <w:contextualSpacing/>
              <w:rPr>
                <w:rFonts w:cstheme="minorHAnsi"/>
                <w:lang w:val="nl-NL"/>
              </w:rPr>
            </w:pPr>
            <w:r w:rsidRPr="00FD1605">
              <w:rPr>
                <w:rFonts w:cstheme="minorHAnsi"/>
                <w:lang w:val="nl-NL"/>
              </w:rPr>
              <w:t xml:space="preserve">Minder mensen hoeven naast de Toeslagenwet aanvullende bijstand aan te vragen. Deze groep heeft ten tijde van de uitkering bij UWV alleen met UWV te maken. Ook kan het eenvoudiger worden om in te schatten welke gevolgen (meer) werken heeft op de hoogte van het inkomen. </w:t>
            </w:r>
          </w:p>
          <w:p w:rsidRPr="00FD1605" w:rsidR="00756F6B" w:rsidP="00061051" w:rsidRDefault="00756F6B" w14:paraId="68A65A7B" w14:textId="77777777">
            <w:pPr>
              <w:contextualSpacing/>
              <w:rPr>
                <w:rFonts w:cstheme="minorHAnsi"/>
                <w:lang w:val="nl-NL"/>
              </w:rPr>
            </w:pPr>
          </w:p>
          <w:p w:rsidRPr="00FD1605" w:rsidR="00756F6B" w:rsidP="00061051" w:rsidRDefault="00756F6B" w14:paraId="50EA041D" w14:textId="67FF221A">
            <w:pPr>
              <w:contextualSpacing/>
              <w:rPr>
                <w:rFonts w:cstheme="minorHAnsi"/>
                <w:lang w:val="nl-NL"/>
              </w:rPr>
            </w:pPr>
            <w:r w:rsidRPr="00FD1605">
              <w:rPr>
                <w:rFonts w:cstheme="minorHAnsi"/>
                <w:lang w:val="nl-NL"/>
              </w:rPr>
              <w:t xml:space="preserve">Deze maatregel kan ook tot complexiteit leiden voor specifieke groepen. Voor mensen met een laag inkomen die naast hun </w:t>
            </w:r>
            <w:r w:rsidR="000853B8">
              <w:rPr>
                <w:rFonts w:cstheme="minorHAnsi"/>
                <w:lang w:val="nl-NL"/>
              </w:rPr>
              <w:t xml:space="preserve">inkomen uit werk </w:t>
            </w:r>
            <w:r w:rsidRPr="00FD1605">
              <w:rPr>
                <w:rFonts w:cstheme="minorHAnsi"/>
                <w:lang w:val="nl-NL"/>
              </w:rPr>
              <w:t>aanvullende bijstand ontvangen, geldt dat als zij ziek worden ze toeslag op loon kunnen aanvragen bij UWV (als voorliggende voorziening). In 2024 ontvingen bijna 1</w:t>
            </w:r>
            <w:r>
              <w:rPr>
                <w:rFonts w:cstheme="minorHAnsi"/>
                <w:lang w:val="nl-NL"/>
              </w:rPr>
              <w:t>.</w:t>
            </w:r>
            <w:r w:rsidRPr="00FD1605">
              <w:rPr>
                <w:rFonts w:cstheme="minorHAnsi"/>
                <w:lang w:val="nl-NL"/>
              </w:rPr>
              <w:t>100 mensen deze toeslag. Zodra deze mensen zich beter melden, vervalt de toeslag van UWV en zouden zij weer aanvullende bijstand bij de gemeente moeten aanvragen. Dit kan tot complexiteit leiden voor mensen en betrokken uitvoerders (UWV en gemeenten).</w:t>
            </w:r>
          </w:p>
          <w:p w:rsidRPr="00FD1605" w:rsidR="00756F6B" w:rsidP="00061051" w:rsidRDefault="00756F6B" w14:paraId="3CACA7CC" w14:textId="77777777">
            <w:pPr>
              <w:contextualSpacing/>
              <w:rPr>
                <w:rFonts w:cstheme="minorHAnsi"/>
                <w:lang w:val="nl-NL"/>
              </w:rPr>
            </w:pPr>
          </w:p>
          <w:p w:rsidRPr="002E44B5" w:rsidR="00756F6B" w:rsidP="00061051" w:rsidRDefault="00756F6B" w14:paraId="46AE2017" w14:textId="77777777">
            <w:pPr>
              <w:contextualSpacing/>
              <w:rPr>
                <w:rFonts w:cstheme="minorHAnsi"/>
                <w:lang w:val="nl-NL"/>
              </w:rPr>
            </w:pPr>
            <w:r w:rsidRPr="00FD1605">
              <w:rPr>
                <w:rFonts w:cstheme="minorHAnsi"/>
                <w:lang w:val="nl-NL"/>
              </w:rPr>
              <w:t>Daarnaast kunnen mensen een grotere inkomensval ervaren na einde recht op een basisuitkering. Dit komt doordat er een groter verschil kan ontstaan tussen een basisuitkering met Toeslagenwet en de bijstand, omdat in de Participatiewet strengere voorwaarden gelden.</w:t>
            </w:r>
          </w:p>
        </w:tc>
      </w:tr>
      <w:tr w:rsidRPr="00F51BCF" w:rsidR="00756F6B" w:rsidTr="00EA2DE8" w14:paraId="2837731B" w14:textId="77777777">
        <w:trPr>
          <w:trHeight w:val="320"/>
        </w:trPr>
        <w:tc>
          <w:tcPr>
            <w:tcW w:w="1996" w:type="dxa"/>
            <w:tcBorders>
              <w:top w:val="nil"/>
              <w:left w:val="single" w:color="auto" w:sz="8" w:space="0"/>
              <w:bottom w:val="single" w:color="auto" w:sz="8" w:space="0"/>
              <w:right w:val="nil"/>
            </w:tcBorders>
            <w:shd w:val="clear" w:color="auto" w:fill="auto"/>
            <w:noWrap/>
          </w:tcPr>
          <w:p w:rsidRPr="00704454" w:rsidR="00756F6B" w:rsidP="00061051" w:rsidRDefault="00756F6B" w14:paraId="47516F54" w14:textId="77777777">
            <w:pPr>
              <w:spacing w:before="60"/>
              <w:contextualSpacing/>
              <w:rPr>
                <w:rFonts w:eastAsia="Times New Roman" w:cs="Calibri"/>
                <w:b/>
                <w:bCs/>
                <w:color w:val="000000"/>
                <w:szCs w:val="18"/>
                <w:lang w:val="nl-NL" w:eastAsia="nl-NL"/>
              </w:rPr>
            </w:pPr>
            <w:r w:rsidRPr="00704454">
              <w:rPr>
                <w:rFonts w:eastAsia="Times New Roman" w:cs="Calibri"/>
                <w:b/>
                <w:bCs/>
                <w:color w:val="000000"/>
                <w:szCs w:val="18"/>
                <w:lang w:val="nl-NL" w:eastAsia="nl-NL"/>
              </w:rPr>
              <w:t xml:space="preserve">Keuzes binnen maatregel </w:t>
            </w:r>
          </w:p>
        </w:tc>
        <w:tc>
          <w:tcPr>
            <w:tcW w:w="8413" w:type="dxa"/>
            <w:tcBorders>
              <w:top w:val="single" w:color="auto" w:sz="4" w:space="0"/>
              <w:left w:val="single" w:color="auto" w:sz="4" w:space="0"/>
              <w:bottom w:val="single" w:color="auto" w:sz="8" w:space="0"/>
              <w:right w:val="single" w:color="auto" w:sz="4" w:space="0"/>
            </w:tcBorders>
            <w:shd w:val="clear" w:color="auto" w:fill="auto"/>
            <w:noWrap/>
          </w:tcPr>
          <w:p w:rsidRPr="00FD1605" w:rsidR="00756F6B" w:rsidP="00061051" w:rsidRDefault="00756F6B" w14:paraId="1A28BF16" w14:textId="7FDBE222">
            <w:pPr>
              <w:contextualSpacing/>
              <w:rPr>
                <w:rFonts w:cstheme="minorHAnsi"/>
                <w:lang w:val="nl-NL"/>
              </w:rPr>
            </w:pPr>
            <w:r w:rsidRPr="00FD1605">
              <w:rPr>
                <w:rFonts w:cstheme="minorHAnsi"/>
                <w:lang w:val="nl-NL"/>
              </w:rPr>
              <w:t>Om de toename van complexiteit bij toeslag op loon te voorkomen wanneer de maximering van de hoogte van de TW-aanvulling wordt afgeschaft, kan worden overwogen om de mogelijkheid van toeslag op loon af te schaffen in de Toeslagenwet. De Toeslagenwet vult dan alleen nog aan op een andere UWV-uitkering.</w:t>
            </w:r>
          </w:p>
        </w:tc>
      </w:tr>
      <w:tr w:rsidRPr="00F51BCF" w:rsidR="00756F6B" w:rsidTr="00EA2DE8" w14:paraId="09457509" w14:textId="77777777">
        <w:trPr>
          <w:trHeight w:val="320"/>
        </w:trPr>
        <w:tc>
          <w:tcPr>
            <w:tcW w:w="1996" w:type="dxa"/>
            <w:tcBorders>
              <w:top w:val="nil"/>
              <w:left w:val="single" w:color="auto" w:sz="8" w:space="0"/>
              <w:bottom w:val="single" w:color="auto" w:sz="8" w:space="0"/>
              <w:right w:val="nil"/>
            </w:tcBorders>
            <w:shd w:val="clear" w:color="auto" w:fill="auto"/>
            <w:noWrap/>
          </w:tcPr>
          <w:p w:rsidRPr="00704454" w:rsidR="00756F6B" w:rsidP="00061051" w:rsidRDefault="00756F6B" w14:paraId="72478A8D" w14:textId="77777777">
            <w:pPr>
              <w:spacing w:before="60"/>
              <w:contextualSpacing/>
              <w:rPr>
                <w:rFonts w:eastAsia="Times New Roman" w:cs="Calibri"/>
                <w:b/>
                <w:bCs/>
                <w:color w:val="000000"/>
                <w:szCs w:val="18"/>
                <w:lang w:val="nl-NL" w:eastAsia="nl-NL"/>
              </w:rPr>
            </w:pPr>
            <w:r w:rsidRPr="00704454">
              <w:rPr>
                <w:rFonts w:eastAsia="Times New Roman" w:cs="Calibri"/>
                <w:b/>
                <w:bCs/>
                <w:color w:val="000000"/>
                <w:szCs w:val="18"/>
                <w:lang w:val="nl-NL" w:eastAsia="nl-NL"/>
              </w:rPr>
              <w:t>Tijdpad inwerkingtreding</w:t>
            </w:r>
          </w:p>
        </w:tc>
        <w:tc>
          <w:tcPr>
            <w:tcW w:w="8413" w:type="dxa"/>
            <w:tcBorders>
              <w:top w:val="single" w:color="auto" w:sz="4" w:space="0"/>
              <w:left w:val="single" w:color="auto" w:sz="4" w:space="0"/>
              <w:right w:val="single" w:color="auto" w:sz="4" w:space="0"/>
            </w:tcBorders>
            <w:shd w:val="clear" w:color="auto" w:fill="auto"/>
            <w:noWrap/>
          </w:tcPr>
          <w:p w:rsidRPr="00FD1605" w:rsidR="00756F6B" w:rsidP="00061051" w:rsidRDefault="00756F6B" w14:paraId="3D9B48D2" w14:textId="7C4A9AE7">
            <w:pPr>
              <w:contextualSpacing/>
              <w:rPr>
                <w:rFonts w:cstheme="minorHAnsi"/>
                <w:lang w:val="nl-NL"/>
              </w:rPr>
            </w:pPr>
            <w:r w:rsidRPr="00FD1605">
              <w:rPr>
                <w:rFonts w:cstheme="minorHAnsi"/>
                <w:lang w:val="nl-NL"/>
              </w:rPr>
              <w:t xml:space="preserve">De Toeslagenwet moet worden gewijzigd. </w:t>
            </w:r>
            <w:r w:rsidR="009804DE">
              <w:rPr>
                <w:rFonts w:cstheme="minorHAnsi"/>
                <w:lang w:val="nl-NL"/>
              </w:rPr>
              <w:t>Een wetswijziging</w:t>
            </w:r>
            <w:r w:rsidRPr="00FD1605">
              <w:rPr>
                <w:rFonts w:cstheme="minorHAnsi"/>
                <w:lang w:val="nl-NL"/>
              </w:rPr>
              <w:t xml:space="preserve"> duurt gemiddeld twee jaar. Ook dient rekening te worden gehouden met eventuele extra tijd voor de implementatie door de uitvoerder. Hierbij kan worden gedacht aan aanpassingen van systemen en communicatie aan uitkeringsgerechtigden.</w:t>
            </w:r>
          </w:p>
        </w:tc>
      </w:tr>
      <w:tr w:rsidRPr="000853B8" w:rsidR="00756F6B" w:rsidTr="00EA2DE8" w14:paraId="5017158C" w14:textId="77777777">
        <w:trPr>
          <w:trHeight w:val="320"/>
        </w:trPr>
        <w:tc>
          <w:tcPr>
            <w:tcW w:w="1996" w:type="dxa"/>
            <w:tcBorders>
              <w:top w:val="nil"/>
              <w:left w:val="single" w:color="auto" w:sz="8" w:space="0"/>
              <w:bottom w:val="single" w:color="auto" w:sz="8" w:space="0"/>
              <w:right w:val="nil"/>
            </w:tcBorders>
            <w:shd w:val="clear" w:color="auto" w:fill="auto"/>
            <w:noWrap/>
          </w:tcPr>
          <w:p w:rsidRPr="00704454" w:rsidR="00756F6B" w:rsidP="00061051" w:rsidRDefault="00756F6B" w14:paraId="48A79E74" w14:textId="77777777">
            <w:pPr>
              <w:spacing w:before="60"/>
              <w:contextualSpacing/>
              <w:rPr>
                <w:rFonts w:eastAsia="Times New Roman" w:cs="Calibri"/>
                <w:b/>
                <w:bCs/>
                <w:color w:val="000000"/>
                <w:szCs w:val="18"/>
                <w:lang w:val="nl-NL" w:eastAsia="nl-NL"/>
              </w:rPr>
            </w:pPr>
            <w:r w:rsidRPr="00704454">
              <w:rPr>
                <w:rFonts w:eastAsia="Times New Roman" w:cs="Calibri"/>
                <w:b/>
                <w:bCs/>
                <w:color w:val="000000"/>
                <w:szCs w:val="18"/>
                <w:lang w:val="nl-NL" w:eastAsia="nl-NL"/>
              </w:rPr>
              <w:t>Juridische haalbaarheid</w:t>
            </w:r>
          </w:p>
        </w:tc>
        <w:tc>
          <w:tcPr>
            <w:tcW w:w="8413" w:type="dxa"/>
            <w:tcBorders>
              <w:top w:val="single" w:color="auto" w:sz="4" w:space="0"/>
              <w:left w:val="single" w:color="auto" w:sz="4" w:space="0"/>
              <w:right w:val="single" w:color="auto" w:sz="4" w:space="0"/>
            </w:tcBorders>
            <w:shd w:val="clear" w:color="auto" w:fill="auto"/>
            <w:noWrap/>
          </w:tcPr>
          <w:p w:rsidRPr="00FD1605" w:rsidR="00756F6B" w:rsidP="00061051" w:rsidRDefault="00756F6B" w14:paraId="6176AD38" w14:textId="77777777">
            <w:pPr>
              <w:contextualSpacing/>
              <w:rPr>
                <w:rFonts w:cstheme="minorHAnsi"/>
                <w:lang w:val="nl-NL"/>
              </w:rPr>
            </w:pPr>
            <w:r w:rsidRPr="00FD1605">
              <w:rPr>
                <w:rFonts w:cstheme="minorHAnsi"/>
                <w:lang w:val="nl-NL"/>
              </w:rPr>
              <w:t xml:space="preserve">Er is een wetswijziging nodig in de Toeslagenwet om af te kunnen wijken van de bestaande maximeringsbepaling. De samenloop met andere wetten dient daarbij goed in kaart te worden gebracht. </w:t>
            </w:r>
          </w:p>
          <w:p w:rsidRPr="00FD1605" w:rsidR="00756F6B" w:rsidP="00061051" w:rsidRDefault="00756F6B" w14:paraId="20E01875" w14:textId="01AFF35C">
            <w:pPr>
              <w:contextualSpacing/>
              <w:rPr>
                <w:rFonts w:cstheme="minorHAnsi"/>
                <w:lang w:val="nl-NL" w:eastAsia="nl-NL"/>
              </w:rPr>
            </w:pPr>
            <w:r w:rsidRPr="00FD1605">
              <w:rPr>
                <w:rFonts w:cstheme="minorHAnsi"/>
                <w:lang w:val="nl-NL" w:eastAsia="nl-NL"/>
              </w:rPr>
              <w:lastRenderedPageBreak/>
              <w:t xml:space="preserve">Het zou een fundamentele wijziging met zich meebrengen om de verzekeringsgedachte los te laten. Een deel van de verzekerden kan immers een hoger inkomen krijgen in de uitkering dan toen zij nog werkten. Door de maximering los te laten wordt een tweede ‘bijstandsvangnet’ gecreëerd met een afwijkende </w:t>
            </w:r>
            <w:proofErr w:type="spellStart"/>
            <w:r w:rsidRPr="00FD1605">
              <w:rPr>
                <w:rFonts w:cstheme="minorHAnsi"/>
                <w:lang w:val="nl-NL" w:eastAsia="nl-NL"/>
              </w:rPr>
              <w:t>brutonorm</w:t>
            </w:r>
            <w:proofErr w:type="spellEnd"/>
            <w:r w:rsidRPr="00FD1605">
              <w:rPr>
                <w:rFonts w:cstheme="minorHAnsi"/>
                <w:lang w:val="nl-NL" w:eastAsia="nl-NL"/>
              </w:rPr>
              <w:t xml:space="preserve"> en afwijkende voorwaarden. Als de P</w:t>
            </w:r>
            <w:r w:rsidR="000853B8">
              <w:rPr>
                <w:rFonts w:cstheme="minorHAnsi"/>
                <w:lang w:val="nl-NL" w:eastAsia="nl-NL"/>
              </w:rPr>
              <w:t>articipatie</w:t>
            </w:r>
            <w:r w:rsidRPr="00FD1605">
              <w:rPr>
                <w:rFonts w:cstheme="minorHAnsi"/>
                <w:lang w:val="nl-NL" w:eastAsia="nl-NL"/>
              </w:rPr>
              <w:t xml:space="preserve">wet en TW hetzelfde ‘doen’ (namelijk vangnet tot sociaal minimum onafhankelijk van verzekerd inkomen) maar andere toegangseisen hebben, wordt er een sterker onderscheid gemaakt tussen voormalig werknemers en anderen. Er dient een rechtvaardiging voor dit onderscheid te zijn. </w:t>
            </w:r>
          </w:p>
        </w:tc>
      </w:tr>
      <w:tr w:rsidRPr="00F51BCF" w:rsidR="00756F6B" w:rsidTr="00EA2DE8" w14:paraId="4E06F0D3" w14:textId="77777777">
        <w:trPr>
          <w:trHeight w:val="320"/>
        </w:trPr>
        <w:tc>
          <w:tcPr>
            <w:tcW w:w="1996" w:type="dxa"/>
            <w:tcBorders>
              <w:top w:val="nil"/>
              <w:left w:val="single" w:color="auto" w:sz="8" w:space="0"/>
              <w:bottom w:val="single" w:color="auto" w:sz="8" w:space="0"/>
              <w:right w:val="nil"/>
            </w:tcBorders>
            <w:shd w:val="clear" w:color="auto" w:fill="auto"/>
            <w:noWrap/>
          </w:tcPr>
          <w:p w:rsidRPr="00704454" w:rsidR="00756F6B" w:rsidP="00061051" w:rsidRDefault="00756F6B" w14:paraId="20A27BEB" w14:textId="77777777">
            <w:pPr>
              <w:spacing w:before="60"/>
              <w:contextualSpacing/>
              <w:rPr>
                <w:rFonts w:eastAsia="Times New Roman" w:cs="Calibri"/>
                <w:b/>
                <w:bCs/>
                <w:color w:val="000000"/>
                <w:szCs w:val="18"/>
                <w:lang w:val="nl-NL" w:eastAsia="nl-NL"/>
              </w:rPr>
            </w:pPr>
            <w:r w:rsidRPr="00704454">
              <w:rPr>
                <w:rFonts w:eastAsia="Times New Roman" w:cs="Calibri"/>
                <w:b/>
                <w:bCs/>
                <w:color w:val="000000"/>
                <w:szCs w:val="18"/>
                <w:lang w:val="nl-NL" w:eastAsia="nl-NL"/>
              </w:rPr>
              <w:lastRenderedPageBreak/>
              <w:t>Uitvoerbaarheid</w:t>
            </w:r>
          </w:p>
        </w:tc>
        <w:tc>
          <w:tcPr>
            <w:tcW w:w="8413" w:type="dxa"/>
            <w:tcBorders>
              <w:top w:val="single" w:color="auto" w:sz="4" w:space="0"/>
              <w:left w:val="single" w:color="auto" w:sz="4" w:space="0"/>
              <w:bottom w:val="single" w:color="auto" w:sz="8" w:space="0"/>
              <w:right w:val="single" w:color="auto" w:sz="4" w:space="0"/>
            </w:tcBorders>
            <w:shd w:val="clear" w:color="auto" w:fill="auto"/>
            <w:noWrap/>
          </w:tcPr>
          <w:p w:rsidRPr="00FD1605" w:rsidR="00756F6B" w:rsidP="00061051" w:rsidRDefault="00756F6B" w14:paraId="1478BAF8" w14:textId="77777777">
            <w:pPr>
              <w:spacing w:line="256" w:lineRule="auto"/>
              <w:contextualSpacing/>
              <w:rPr>
                <w:rFonts w:cstheme="minorHAnsi"/>
                <w:lang w:val="nl-NL"/>
              </w:rPr>
            </w:pPr>
            <w:r w:rsidRPr="00FD1605">
              <w:rPr>
                <w:rFonts w:cstheme="minorHAnsi"/>
                <w:lang w:val="nl-NL"/>
              </w:rPr>
              <w:t>Wanneer alleen de maximering wordt afgeschaft lijkt de maatregel vooralsnog voor nieuwe gevallen technisch uitvoerbaar voor UWV. Voor bestaande gevallen is een uitvoeringstoets nodig om de impact van deze maatregel in te schatten.</w:t>
            </w:r>
          </w:p>
          <w:p w:rsidRPr="00FD1605" w:rsidR="00756F6B" w:rsidP="00061051" w:rsidRDefault="00756F6B" w14:paraId="76A97257" w14:textId="77777777">
            <w:pPr>
              <w:spacing w:line="256" w:lineRule="auto"/>
              <w:contextualSpacing/>
              <w:rPr>
                <w:rFonts w:cstheme="minorHAnsi"/>
                <w:lang w:val="nl-NL"/>
              </w:rPr>
            </w:pPr>
          </w:p>
          <w:p w:rsidRPr="00FD1605" w:rsidR="00756F6B" w:rsidP="00061051" w:rsidRDefault="00756F6B" w14:paraId="5D9460ED" w14:textId="77777777">
            <w:pPr>
              <w:spacing w:line="256" w:lineRule="auto"/>
              <w:contextualSpacing/>
              <w:rPr>
                <w:rFonts w:cstheme="minorHAnsi"/>
                <w:lang w:val="nl-NL"/>
              </w:rPr>
            </w:pPr>
            <w:r w:rsidRPr="00FD1605">
              <w:rPr>
                <w:rFonts w:cstheme="minorHAnsi"/>
                <w:lang w:val="nl-NL"/>
              </w:rPr>
              <w:t>Voor nieuwe aanvragen kunnen mensen worden geïnformeerd bij de aanvraag. . UWV en gemeenten moeten mensen goed informeren over de gevolgen die dit kan hebben voor eventuele toegekende aanvullende bijstandsuitkeringen en andere inkomensvoorzieningen.</w:t>
            </w:r>
          </w:p>
          <w:p w:rsidRPr="00FD1605" w:rsidR="00756F6B" w:rsidP="00061051" w:rsidRDefault="00756F6B" w14:paraId="20573E8A" w14:textId="77777777">
            <w:pPr>
              <w:spacing w:line="256" w:lineRule="auto"/>
              <w:contextualSpacing/>
              <w:rPr>
                <w:rFonts w:cstheme="minorHAnsi"/>
                <w:lang w:val="nl-NL"/>
              </w:rPr>
            </w:pPr>
            <w:r w:rsidRPr="00FD1605">
              <w:rPr>
                <w:rFonts w:cstheme="minorHAnsi"/>
                <w:lang w:val="nl-NL"/>
              </w:rPr>
              <w:t>Onderzocht dient te worden of er geen gevolgen zijn voor andere wet- en regelgeving.</w:t>
            </w:r>
          </w:p>
        </w:tc>
      </w:tr>
      <w:tr w:rsidRPr="00F51BCF" w:rsidR="00756F6B" w:rsidTr="00EA2DE8" w14:paraId="49374AF2" w14:textId="77777777">
        <w:trPr>
          <w:trHeight w:val="320"/>
        </w:trPr>
        <w:tc>
          <w:tcPr>
            <w:tcW w:w="1996" w:type="dxa"/>
            <w:tcBorders>
              <w:top w:val="nil"/>
              <w:left w:val="single" w:color="auto" w:sz="8" w:space="0"/>
              <w:bottom w:val="single" w:color="auto" w:sz="8" w:space="0"/>
              <w:right w:val="nil"/>
            </w:tcBorders>
            <w:shd w:val="clear" w:color="auto" w:fill="auto"/>
            <w:noWrap/>
          </w:tcPr>
          <w:p w:rsidRPr="00704454" w:rsidR="00756F6B" w:rsidP="00061051" w:rsidRDefault="00756F6B" w14:paraId="7B51AD6F" w14:textId="77777777">
            <w:pPr>
              <w:spacing w:before="60"/>
              <w:contextualSpacing/>
              <w:rPr>
                <w:rFonts w:eastAsia="Times New Roman" w:cs="Calibri"/>
                <w:b/>
                <w:bCs/>
                <w:color w:val="000000"/>
                <w:szCs w:val="18"/>
                <w:lang w:val="nl-NL" w:eastAsia="nl-NL"/>
              </w:rPr>
            </w:pPr>
            <w:r w:rsidRPr="00704454">
              <w:rPr>
                <w:rFonts w:eastAsia="Times New Roman" w:cs="Calibri"/>
                <w:b/>
                <w:bCs/>
                <w:color w:val="000000"/>
                <w:szCs w:val="18"/>
                <w:lang w:val="nl-NL" w:eastAsia="nl-NL"/>
              </w:rPr>
              <w:t>Financiële effecten</w:t>
            </w:r>
          </w:p>
        </w:tc>
        <w:tc>
          <w:tcPr>
            <w:tcW w:w="8413" w:type="dxa"/>
            <w:tcBorders>
              <w:top w:val="single" w:color="auto" w:sz="4" w:space="0"/>
              <w:left w:val="single" w:color="auto" w:sz="4" w:space="0"/>
              <w:bottom w:val="single" w:color="auto" w:sz="8" w:space="0"/>
              <w:right w:val="single" w:color="auto" w:sz="4" w:space="0"/>
            </w:tcBorders>
            <w:shd w:val="clear" w:color="auto" w:fill="auto"/>
            <w:noWrap/>
          </w:tcPr>
          <w:p w:rsidRPr="00FD1605" w:rsidR="00756F6B" w:rsidP="00061051" w:rsidRDefault="00756F6B" w14:paraId="077772EA" w14:textId="77777777">
            <w:pPr>
              <w:spacing w:before="60"/>
              <w:contextualSpacing/>
              <w:rPr>
                <w:rFonts w:eastAsia="Times New Roman" w:cstheme="minorHAnsi"/>
                <w:i/>
                <w:iCs/>
                <w:color w:val="000000"/>
                <w:lang w:val="nl-NL" w:eastAsia="nl-NL"/>
              </w:rPr>
            </w:pPr>
          </w:p>
          <w:p w:rsidRPr="00FD1605" w:rsidR="00756F6B" w:rsidP="00061051" w:rsidRDefault="00756F6B" w14:paraId="0C802A97" w14:textId="77777777">
            <w:pPr>
              <w:spacing w:before="60"/>
              <w:contextualSpacing/>
              <w:rPr>
                <w:rFonts w:eastAsia="Times New Roman" w:cstheme="minorHAnsi"/>
                <w:i/>
                <w:iCs/>
                <w:color w:val="000000"/>
                <w:lang w:val="nl-NL" w:eastAsia="nl-NL"/>
              </w:rPr>
            </w:pPr>
          </w:p>
          <w:p w:rsidRPr="00FD1605" w:rsidR="00756F6B" w:rsidP="00061051" w:rsidRDefault="00756F6B" w14:paraId="2BEEA372" w14:textId="77777777">
            <w:pPr>
              <w:spacing w:before="60"/>
              <w:contextualSpacing/>
              <w:rPr>
                <w:rFonts w:eastAsia="Times New Roman" w:cstheme="minorHAnsi"/>
                <w:i/>
                <w:iCs/>
                <w:color w:val="000000"/>
                <w:lang w:val="nl-NL" w:eastAsia="nl-NL"/>
              </w:rPr>
            </w:pPr>
          </w:p>
          <w:p w:rsidRPr="00FD1605" w:rsidR="00756F6B" w:rsidP="00061051" w:rsidRDefault="00756F6B" w14:paraId="7D0115EA" w14:textId="77777777">
            <w:pPr>
              <w:spacing w:before="60"/>
              <w:contextualSpacing/>
              <w:rPr>
                <w:rFonts w:eastAsia="Times New Roman" w:cstheme="minorHAnsi"/>
                <w:i/>
                <w:iCs/>
                <w:color w:val="000000"/>
                <w:lang w:val="nl-NL" w:eastAsia="nl-NL"/>
              </w:rPr>
            </w:pPr>
          </w:p>
          <w:p w:rsidRPr="00FD1605" w:rsidR="00756F6B" w:rsidP="00061051" w:rsidRDefault="00756F6B" w14:paraId="2DB2B97B" w14:textId="77777777">
            <w:pPr>
              <w:spacing w:before="60"/>
              <w:contextualSpacing/>
              <w:rPr>
                <w:rFonts w:eastAsia="Times New Roman" w:cstheme="minorHAnsi"/>
                <w:i/>
                <w:iCs/>
                <w:color w:val="000000"/>
                <w:lang w:val="nl-NL" w:eastAsia="nl-NL"/>
              </w:rPr>
            </w:pPr>
          </w:p>
          <w:p w:rsidRPr="00FD1605" w:rsidR="00756F6B" w:rsidP="00061051" w:rsidRDefault="00756F6B" w14:paraId="3C8266BF" w14:textId="77777777">
            <w:pPr>
              <w:spacing w:before="60"/>
              <w:contextualSpacing/>
              <w:rPr>
                <w:rFonts w:eastAsia="Times New Roman" w:cstheme="minorHAnsi"/>
                <w:i/>
                <w:iCs/>
                <w:color w:val="000000"/>
                <w:lang w:val="nl-NL" w:eastAsia="nl-NL"/>
              </w:rPr>
            </w:pPr>
          </w:p>
          <w:p w:rsidRPr="00FD1605" w:rsidR="00756F6B" w:rsidP="00061051" w:rsidRDefault="00756F6B" w14:paraId="71AC76AA" w14:textId="77777777">
            <w:pPr>
              <w:spacing w:before="60"/>
              <w:contextualSpacing/>
              <w:rPr>
                <w:rFonts w:eastAsia="Times New Roman" w:cstheme="minorHAnsi"/>
                <w:i/>
                <w:iCs/>
                <w:color w:val="000000"/>
                <w:lang w:val="nl-NL" w:eastAsia="nl-NL"/>
              </w:rPr>
            </w:pPr>
          </w:p>
          <w:p w:rsidRPr="00FD1605" w:rsidR="00756F6B" w:rsidP="00061051" w:rsidRDefault="00756F6B" w14:paraId="00514A54" w14:textId="77777777">
            <w:pPr>
              <w:spacing w:before="60"/>
              <w:contextualSpacing/>
              <w:rPr>
                <w:rFonts w:eastAsia="Times New Roman" w:cstheme="minorHAnsi"/>
                <w:i/>
                <w:iCs/>
                <w:color w:val="000000"/>
                <w:lang w:val="nl-NL" w:eastAsia="nl-NL"/>
              </w:rPr>
            </w:pPr>
          </w:p>
          <w:p w:rsidRPr="00FD1605" w:rsidR="00756F6B" w:rsidP="00061051" w:rsidRDefault="00756F6B" w14:paraId="499D21A7" w14:textId="77777777">
            <w:pPr>
              <w:spacing w:before="60"/>
              <w:contextualSpacing/>
              <w:rPr>
                <w:rFonts w:eastAsia="Times New Roman" w:cstheme="minorHAnsi"/>
                <w:i/>
                <w:iCs/>
                <w:color w:val="000000"/>
                <w:lang w:val="nl-NL" w:eastAsia="nl-NL"/>
              </w:rPr>
            </w:pPr>
          </w:p>
          <w:p w:rsidRPr="00FD1605" w:rsidR="00756F6B" w:rsidP="00061051" w:rsidRDefault="00756F6B" w14:paraId="2C20D2CC" w14:textId="77777777">
            <w:pPr>
              <w:spacing w:before="60"/>
              <w:contextualSpacing/>
              <w:rPr>
                <w:rFonts w:eastAsia="Times New Roman" w:cstheme="minorHAnsi"/>
                <w:i/>
                <w:iCs/>
                <w:color w:val="000000"/>
                <w:lang w:val="nl-NL" w:eastAsia="nl-NL"/>
              </w:rPr>
            </w:pPr>
          </w:p>
          <w:p w:rsidRPr="00FD1605" w:rsidR="00756F6B" w:rsidP="00061051" w:rsidRDefault="00756F6B" w14:paraId="024396C8" w14:textId="77777777">
            <w:pPr>
              <w:spacing w:before="60"/>
              <w:contextualSpacing/>
              <w:rPr>
                <w:rFonts w:eastAsia="Times New Roman" w:cstheme="minorHAnsi"/>
                <w:i/>
                <w:iCs/>
                <w:color w:val="000000"/>
                <w:lang w:val="nl-NL" w:eastAsia="nl-NL"/>
              </w:rPr>
            </w:pPr>
          </w:p>
          <w:p w:rsidRPr="00FD1605" w:rsidR="00756F6B" w:rsidP="00061051" w:rsidRDefault="00756F6B" w14:paraId="75FC32BF" w14:textId="77777777">
            <w:pPr>
              <w:spacing w:before="60"/>
              <w:contextualSpacing/>
              <w:rPr>
                <w:rFonts w:eastAsia="Times New Roman" w:cstheme="minorHAnsi"/>
                <w:i/>
                <w:iCs/>
                <w:color w:val="000000"/>
                <w:lang w:val="nl-NL" w:eastAsia="nl-NL"/>
              </w:rPr>
            </w:pPr>
          </w:p>
          <w:tbl>
            <w:tblPr>
              <w:tblStyle w:val="Tabelraster"/>
              <w:tblpPr w:leftFromText="141" w:rightFromText="141" w:vertAnchor="page" w:horzAnchor="margin" w:tblpY="541"/>
              <w:tblOverlap w:val="never"/>
              <w:tblW w:w="4526"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val="01E0" w:firstRow="1" w:lastRow="1" w:firstColumn="1" w:lastColumn="1" w:noHBand="0" w:noVBand="0"/>
            </w:tblPr>
            <w:tblGrid>
              <w:gridCol w:w="1841"/>
              <w:gridCol w:w="806"/>
              <w:gridCol w:w="807"/>
              <w:gridCol w:w="806"/>
              <w:gridCol w:w="806"/>
              <w:gridCol w:w="806"/>
              <w:gridCol w:w="806"/>
              <w:gridCol w:w="803"/>
            </w:tblGrid>
            <w:tr w:rsidRPr="00F51BCF" w:rsidR="00F56224" w:rsidTr="00EA2DE8" w14:paraId="246328B7" w14:textId="77777777">
              <w:trPr>
                <w:trHeight w:val="283"/>
              </w:trPr>
              <w:tc>
                <w:tcPr>
                  <w:tcW w:w="1230" w:type="pct"/>
                  <w:tcBorders>
                    <w:top w:val="single" w:color="auto" w:sz="4" w:space="0"/>
                    <w:left w:val="single" w:color="auto" w:sz="4" w:space="0"/>
                  </w:tcBorders>
                </w:tcPr>
                <w:p w:rsidRPr="00FD1605" w:rsidR="00C2440F" w:rsidP="00061051" w:rsidRDefault="00C2440F" w14:paraId="6733BD27" w14:textId="77777777">
                  <w:pPr>
                    <w:spacing w:before="60"/>
                    <w:contextualSpacing/>
                    <w:rPr>
                      <w:rFonts w:asciiTheme="minorHAnsi" w:hAnsiTheme="minorHAnsi" w:cstheme="minorHAnsi"/>
                      <w:b/>
                      <w:sz w:val="22"/>
                      <w:szCs w:val="22"/>
                    </w:rPr>
                  </w:pPr>
                  <w:r w:rsidRPr="00FD1605">
                    <w:rPr>
                      <w:rFonts w:ascii="Verdana" w:hAnsi="Verdana"/>
                      <w:bCs/>
                      <w:i/>
                      <w:iCs/>
                      <w:sz w:val="18"/>
                      <w:szCs w:val="18"/>
                    </w:rPr>
                    <w:t>In miljoenen euro’s</w:t>
                  </w:r>
                </w:p>
              </w:tc>
              <w:tc>
                <w:tcPr>
                  <w:tcW w:w="538" w:type="pct"/>
                  <w:tcBorders>
                    <w:top w:val="single" w:color="auto" w:sz="4" w:space="0"/>
                  </w:tcBorders>
                </w:tcPr>
                <w:p w:rsidRPr="00FD1605" w:rsidR="00C2440F" w:rsidP="00061051" w:rsidRDefault="00C2440F" w14:paraId="75C51DE0" w14:textId="77777777">
                  <w:pPr>
                    <w:spacing w:before="60"/>
                    <w:contextualSpacing/>
                    <w:jc w:val="right"/>
                    <w:rPr>
                      <w:rFonts w:asciiTheme="minorHAnsi" w:hAnsiTheme="minorHAnsi" w:cstheme="minorHAnsi"/>
                      <w:b/>
                      <w:bCs/>
                      <w:sz w:val="22"/>
                      <w:szCs w:val="22"/>
                    </w:rPr>
                  </w:pPr>
                  <w:r w:rsidRPr="00FD1605">
                    <w:rPr>
                      <w:rFonts w:asciiTheme="minorHAnsi" w:hAnsiTheme="minorHAnsi" w:cstheme="minorHAnsi"/>
                      <w:b/>
                      <w:bCs/>
                      <w:sz w:val="22"/>
                      <w:szCs w:val="22"/>
                    </w:rPr>
                    <w:t>2026</w:t>
                  </w:r>
                </w:p>
              </w:tc>
              <w:tc>
                <w:tcPr>
                  <w:tcW w:w="539" w:type="pct"/>
                  <w:tcBorders>
                    <w:top w:val="single" w:color="auto" w:sz="4" w:space="0"/>
                  </w:tcBorders>
                </w:tcPr>
                <w:p w:rsidRPr="00FD1605" w:rsidR="00C2440F" w:rsidP="00061051" w:rsidRDefault="00C2440F" w14:paraId="26181E53" w14:textId="77777777">
                  <w:pPr>
                    <w:spacing w:before="60"/>
                    <w:contextualSpacing/>
                    <w:jc w:val="right"/>
                    <w:rPr>
                      <w:rFonts w:asciiTheme="minorHAnsi" w:hAnsiTheme="minorHAnsi" w:cstheme="minorHAnsi"/>
                      <w:b/>
                      <w:bCs/>
                      <w:sz w:val="22"/>
                      <w:szCs w:val="22"/>
                    </w:rPr>
                  </w:pPr>
                  <w:r w:rsidRPr="00FD1605">
                    <w:rPr>
                      <w:rFonts w:asciiTheme="minorHAnsi" w:hAnsiTheme="minorHAnsi" w:cstheme="minorHAnsi"/>
                      <w:b/>
                      <w:bCs/>
                      <w:sz w:val="22"/>
                      <w:szCs w:val="22"/>
                    </w:rPr>
                    <w:t>2027</w:t>
                  </w:r>
                </w:p>
              </w:tc>
              <w:tc>
                <w:tcPr>
                  <w:tcW w:w="539" w:type="pct"/>
                  <w:tcBorders>
                    <w:top w:val="single" w:color="auto" w:sz="4" w:space="0"/>
                  </w:tcBorders>
                </w:tcPr>
                <w:p w:rsidRPr="00FD1605" w:rsidR="00C2440F" w:rsidP="00061051" w:rsidRDefault="00C2440F" w14:paraId="06502B0D" w14:textId="77777777">
                  <w:pPr>
                    <w:spacing w:before="60"/>
                    <w:contextualSpacing/>
                    <w:jc w:val="right"/>
                    <w:rPr>
                      <w:rFonts w:asciiTheme="minorHAnsi" w:hAnsiTheme="minorHAnsi" w:cstheme="minorHAnsi"/>
                      <w:b/>
                      <w:bCs/>
                      <w:sz w:val="22"/>
                      <w:szCs w:val="22"/>
                    </w:rPr>
                  </w:pPr>
                  <w:r w:rsidRPr="00FD1605">
                    <w:rPr>
                      <w:rFonts w:asciiTheme="minorHAnsi" w:hAnsiTheme="minorHAnsi" w:cstheme="minorHAnsi"/>
                      <w:b/>
                      <w:bCs/>
                      <w:sz w:val="22"/>
                      <w:szCs w:val="22"/>
                    </w:rPr>
                    <w:t>2028</w:t>
                  </w:r>
                </w:p>
              </w:tc>
              <w:tc>
                <w:tcPr>
                  <w:tcW w:w="539" w:type="pct"/>
                  <w:tcBorders>
                    <w:top w:val="single" w:color="auto" w:sz="4" w:space="0"/>
                  </w:tcBorders>
                </w:tcPr>
                <w:p w:rsidRPr="00FD1605" w:rsidR="00C2440F" w:rsidP="00061051" w:rsidRDefault="00C2440F" w14:paraId="4C903D7B" w14:textId="77777777">
                  <w:pPr>
                    <w:spacing w:before="60"/>
                    <w:contextualSpacing/>
                    <w:jc w:val="right"/>
                    <w:rPr>
                      <w:rFonts w:asciiTheme="minorHAnsi" w:hAnsiTheme="minorHAnsi" w:cstheme="minorHAnsi"/>
                      <w:b/>
                      <w:bCs/>
                      <w:sz w:val="22"/>
                      <w:szCs w:val="22"/>
                    </w:rPr>
                  </w:pPr>
                  <w:r w:rsidRPr="00FD1605">
                    <w:rPr>
                      <w:rFonts w:asciiTheme="minorHAnsi" w:hAnsiTheme="minorHAnsi" w:cstheme="minorHAnsi"/>
                      <w:b/>
                      <w:bCs/>
                      <w:sz w:val="22"/>
                      <w:szCs w:val="22"/>
                    </w:rPr>
                    <w:t>2029</w:t>
                  </w:r>
                </w:p>
              </w:tc>
              <w:tc>
                <w:tcPr>
                  <w:tcW w:w="539" w:type="pct"/>
                  <w:tcBorders>
                    <w:top w:val="single" w:color="auto" w:sz="4" w:space="0"/>
                  </w:tcBorders>
                </w:tcPr>
                <w:p w:rsidRPr="00FD1605" w:rsidR="00C2440F" w:rsidP="00061051" w:rsidRDefault="00C2440F" w14:paraId="54937485" w14:textId="77777777">
                  <w:pPr>
                    <w:spacing w:before="60"/>
                    <w:contextualSpacing/>
                    <w:jc w:val="right"/>
                    <w:rPr>
                      <w:rFonts w:asciiTheme="minorHAnsi" w:hAnsiTheme="minorHAnsi" w:cstheme="minorHAnsi"/>
                      <w:b/>
                      <w:bCs/>
                      <w:sz w:val="22"/>
                      <w:szCs w:val="22"/>
                    </w:rPr>
                  </w:pPr>
                  <w:r w:rsidRPr="00FD1605">
                    <w:rPr>
                      <w:rFonts w:asciiTheme="minorHAnsi" w:hAnsiTheme="minorHAnsi" w:cstheme="minorHAnsi"/>
                      <w:b/>
                      <w:bCs/>
                      <w:sz w:val="22"/>
                      <w:szCs w:val="22"/>
                    </w:rPr>
                    <w:t>2030</w:t>
                  </w:r>
                </w:p>
              </w:tc>
              <w:tc>
                <w:tcPr>
                  <w:tcW w:w="539" w:type="pct"/>
                  <w:tcBorders>
                    <w:top w:val="single" w:color="auto" w:sz="4" w:space="0"/>
                  </w:tcBorders>
                </w:tcPr>
                <w:p w:rsidRPr="00FD1605" w:rsidR="00C2440F" w:rsidP="00061051" w:rsidRDefault="00C2440F" w14:paraId="34482C3A" w14:textId="4C9E48D3">
                  <w:pPr>
                    <w:spacing w:before="60"/>
                    <w:contextualSpacing/>
                    <w:jc w:val="right"/>
                    <w:rPr>
                      <w:rFonts w:asciiTheme="minorHAnsi" w:hAnsiTheme="minorHAnsi" w:cstheme="minorHAnsi"/>
                      <w:b/>
                      <w:bCs/>
                      <w:sz w:val="22"/>
                    </w:rPr>
                  </w:pPr>
                  <w:r>
                    <w:rPr>
                      <w:rFonts w:asciiTheme="minorHAnsi" w:hAnsiTheme="minorHAnsi" w:cstheme="minorHAnsi"/>
                      <w:b/>
                      <w:bCs/>
                      <w:sz w:val="22"/>
                    </w:rPr>
                    <w:t>2031</w:t>
                  </w:r>
                </w:p>
              </w:tc>
              <w:tc>
                <w:tcPr>
                  <w:tcW w:w="539" w:type="pct"/>
                  <w:tcBorders>
                    <w:top w:val="single" w:color="auto" w:sz="4" w:space="0"/>
                  </w:tcBorders>
                </w:tcPr>
                <w:p w:rsidRPr="00FD1605" w:rsidR="00C2440F" w:rsidP="00061051" w:rsidRDefault="00C2440F" w14:paraId="37E9EE2E" w14:textId="64DE03E4">
                  <w:pPr>
                    <w:spacing w:before="60"/>
                    <w:contextualSpacing/>
                    <w:jc w:val="right"/>
                    <w:rPr>
                      <w:rFonts w:asciiTheme="minorHAnsi" w:hAnsiTheme="minorHAnsi" w:cstheme="minorHAnsi"/>
                      <w:b/>
                      <w:bCs/>
                      <w:sz w:val="22"/>
                      <w:szCs w:val="22"/>
                    </w:rPr>
                  </w:pPr>
                  <w:proofErr w:type="spellStart"/>
                  <w:r w:rsidRPr="00FD1605">
                    <w:rPr>
                      <w:rFonts w:asciiTheme="minorHAnsi" w:hAnsiTheme="minorHAnsi" w:cstheme="minorHAnsi"/>
                      <w:b/>
                      <w:bCs/>
                      <w:sz w:val="22"/>
                      <w:szCs w:val="22"/>
                    </w:rPr>
                    <w:t>Struc</w:t>
                  </w:r>
                  <w:proofErr w:type="spellEnd"/>
                  <w:r w:rsidRPr="00FD1605">
                    <w:rPr>
                      <w:rFonts w:asciiTheme="minorHAnsi" w:hAnsiTheme="minorHAnsi" w:cstheme="minorHAnsi"/>
                      <w:b/>
                      <w:bCs/>
                      <w:sz w:val="22"/>
                      <w:szCs w:val="22"/>
                    </w:rPr>
                    <w:t>.</w:t>
                  </w:r>
                </w:p>
              </w:tc>
            </w:tr>
            <w:tr w:rsidRPr="00F51BCF" w:rsidR="00F56224" w:rsidTr="00EA2DE8" w14:paraId="4F8A59C7" w14:textId="77777777">
              <w:trPr>
                <w:trHeight w:val="513"/>
              </w:trPr>
              <w:tc>
                <w:tcPr>
                  <w:tcW w:w="1230" w:type="pct"/>
                </w:tcPr>
                <w:p w:rsidRPr="00FD1605" w:rsidR="00C2440F" w:rsidP="00061051" w:rsidRDefault="00C2440F" w14:paraId="0B1DAB55" w14:textId="77777777">
                  <w:pPr>
                    <w:spacing w:before="60"/>
                    <w:contextualSpacing/>
                    <w:rPr>
                      <w:rFonts w:asciiTheme="minorHAnsi" w:hAnsiTheme="minorHAnsi" w:cstheme="minorHAnsi"/>
                      <w:sz w:val="22"/>
                      <w:szCs w:val="22"/>
                    </w:rPr>
                  </w:pPr>
                  <w:r w:rsidRPr="00FD1605">
                    <w:rPr>
                      <w:rFonts w:asciiTheme="minorHAnsi" w:hAnsiTheme="minorHAnsi" w:cstheme="minorHAnsi"/>
                      <w:sz w:val="22"/>
                      <w:szCs w:val="22"/>
                    </w:rPr>
                    <w:t>Algemene effecten</w:t>
                  </w:r>
                </w:p>
              </w:tc>
              <w:tc>
                <w:tcPr>
                  <w:tcW w:w="538" w:type="pct"/>
                </w:tcPr>
                <w:p w:rsidRPr="00FD1605" w:rsidR="00C2440F" w:rsidP="00061051" w:rsidRDefault="00C2440F" w14:paraId="7048EA50" w14:textId="77777777">
                  <w:pPr>
                    <w:spacing w:before="60"/>
                    <w:contextualSpacing/>
                    <w:jc w:val="right"/>
                    <w:rPr>
                      <w:rFonts w:asciiTheme="minorHAnsi" w:hAnsiTheme="minorHAnsi" w:cstheme="minorHAnsi"/>
                      <w:sz w:val="22"/>
                      <w:szCs w:val="22"/>
                    </w:rPr>
                  </w:pPr>
                </w:p>
              </w:tc>
              <w:tc>
                <w:tcPr>
                  <w:tcW w:w="539" w:type="pct"/>
                </w:tcPr>
                <w:p w:rsidRPr="00FD1605" w:rsidR="00C2440F" w:rsidP="00061051" w:rsidRDefault="00C2440F" w14:paraId="38520483" w14:textId="4A448565">
                  <w:pPr>
                    <w:spacing w:before="60"/>
                    <w:contextualSpacing/>
                    <w:jc w:val="right"/>
                    <w:rPr>
                      <w:rFonts w:asciiTheme="minorHAnsi" w:hAnsiTheme="minorHAnsi" w:cstheme="minorHAnsi"/>
                      <w:sz w:val="22"/>
                      <w:szCs w:val="22"/>
                    </w:rPr>
                  </w:pPr>
                </w:p>
              </w:tc>
              <w:tc>
                <w:tcPr>
                  <w:tcW w:w="539" w:type="pct"/>
                </w:tcPr>
                <w:p w:rsidRPr="00FD1605" w:rsidR="00C2440F" w:rsidP="00061051" w:rsidRDefault="00C2440F" w14:paraId="3D83DC66" w14:textId="41BE4E6E">
                  <w:pPr>
                    <w:spacing w:before="60"/>
                    <w:contextualSpacing/>
                    <w:jc w:val="right"/>
                    <w:rPr>
                      <w:rFonts w:asciiTheme="minorHAnsi" w:hAnsiTheme="minorHAnsi" w:cstheme="minorHAnsi"/>
                      <w:sz w:val="22"/>
                      <w:szCs w:val="22"/>
                    </w:rPr>
                  </w:pPr>
                </w:p>
              </w:tc>
              <w:tc>
                <w:tcPr>
                  <w:tcW w:w="539" w:type="pct"/>
                </w:tcPr>
                <w:p w:rsidRPr="00FD1605" w:rsidR="00C2440F" w:rsidP="00061051" w:rsidRDefault="00C2440F" w14:paraId="06AB017C" w14:textId="3CD3AA87">
                  <w:pPr>
                    <w:spacing w:before="60"/>
                    <w:contextualSpacing/>
                    <w:jc w:val="right"/>
                    <w:rPr>
                      <w:rFonts w:asciiTheme="minorHAnsi" w:hAnsiTheme="minorHAnsi" w:cstheme="minorHAnsi"/>
                      <w:sz w:val="22"/>
                      <w:szCs w:val="22"/>
                    </w:rPr>
                  </w:pPr>
                  <w:r>
                    <w:rPr>
                      <w:rFonts w:asciiTheme="minorHAnsi" w:hAnsiTheme="minorHAnsi" w:cstheme="minorHAnsi"/>
                      <w:sz w:val="22"/>
                      <w:szCs w:val="22"/>
                    </w:rPr>
                    <w:t>11,7</w:t>
                  </w:r>
                </w:p>
              </w:tc>
              <w:tc>
                <w:tcPr>
                  <w:tcW w:w="539" w:type="pct"/>
                </w:tcPr>
                <w:p w:rsidRPr="00FD1605" w:rsidR="00C2440F" w:rsidP="00061051" w:rsidRDefault="00C2440F" w14:paraId="6964B003" w14:textId="1F41CB58">
                  <w:pPr>
                    <w:spacing w:before="60"/>
                    <w:contextualSpacing/>
                    <w:jc w:val="right"/>
                    <w:rPr>
                      <w:rFonts w:asciiTheme="minorHAnsi" w:hAnsiTheme="minorHAnsi" w:cstheme="minorHAnsi"/>
                      <w:sz w:val="22"/>
                      <w:szCs w:val="22"/>
                    </w:rPr>
                  </w:pPr>
                  <w:r>
                    <w:rPr>
                      <w:rFonts w:asciiTheme="minorHAnsi" w:hAnsiTheme="minorHAnsi" w:cstheme="minorHAnsi"/>
                      <w:sz w:val="22"/>
                      <w:szCs w:val="22"/>
                    </w:rPr>
                    <w:t>11,8</w:t>
                  </w:r>
                </w:p>
              </w:tc>
              <w:tc>
                <w:tcPr>
                  <w:tcW w:w="539" w:type="pct"/>
                </w:tcPr>
                <w:p w:rsidRPr="00FD1605" w:rsidR="00C2440F" w:rsidP="00061051" w:rsidRDefault="00C2440F" w14:paraId="4D3DEEF9" w14:textId="3CE295AD">
                  <w:pPr>
                    <w:spacing w:before="60"/>
                    <w:contextualSpacing/>
                    <w:jc w:val="right"/>
                    <w:rPr>
                      <w:rFonts w:asciiTheme="minorHAnsi" w:hAnsiTheme="minorHAnsi" w:cstheme="minorHAnsi"/>
                      <w:sz w:val="22"/>
                    </w:rPr>
                  </w:pPr>
                  <w:r>
                    <w:rPr>
                      <w:rFonts w:asciiTheme="minorHAnsi" w:hAnsiTheme="minorHAnsi" w:cstheme="minorHAnsi"/>
                      <w:sz w:val="22"/>
                    </w:rPr>
                    <w:t>12,0</w:t>
                  </w:r>
                </w:p>
              </w:tc>
              <w:tc>
                <w:tcPr>
                  <w:tcW w:w="539" w:type="pct"/>
                </w:tcPr>
                <w:p w:rsidRPr="00FD1605" w:rsidR="00C2440F" w:rsidP="00061051" w:rsidRDefault="00C2440F" w14:paraId="56C1453F" w14:textId="3A22C1B1">
                  <w:pPr>
                    <w:spacing w:before="60"/>
                    <w:contextualSpacing/>
                    <w:jc w:val="right"/>
                    <w:rPr>
                      <w:rFonts w:asciiTheme="minorHAnsi" w:hAnsiTheme="minorHAnsi" w:cstheme="minorHAnsi"/>
                      <w:sz w:val="22"/>
                      <w:szCs w:val="22"/>
                    </w:rPr>
                  </w:pPr>
                  <w:r>
                    <w:rPr>
                      <w:rFonts w:asciiTheme="minorHAnsi" w:hAnsiTheme="minorHAnsi" w:cstheme="minorHAnsi"/>
                      <w:sz w:val="22"/>
                      <w:szCs w:val="22"/>
                    </w:rPr>
                    <w:t>12,0</w:t>
                  </w:r>
                </w:p>
              </w:tc>
            </w:tr>
            <w:tr w:rsidRPr="00F51BCF" w:rsidR="00F56224" w:rsidTr="00EA2DE8" w14:paraId="33EFA181" w14:textId="77777777">
              <w:trPr>
                <w:trHeight w:val="283"/>
              </w:trPr>
              <w:tc>
                <w:tcPr>
                  <w:tcW w:w="1230" w:type="pct"/>
                </w:tcPr>
                <w:p w:rsidRPr="00FD1605" w:rsidR="00C2440F" w:rsidP="00061051" w:rsidRDefault="00C2440F" w14:paraId="09A3039C" w14:textId="77777777">
                  <w:pPr>
                    <w:spacing w:before="60"/>
                    <w:contextualSpacing/>
                    <w:rPr>
                      <w:rFonts w:asciiTheme="minorHAnsi" w:hAnsiTheme="minorHAnsi" w:cstheme="minorHAnsi"/>
                      <w:sz w:val="22"/>
                      <w:szCs w:val="22"/>
                    </w:rPr>
                  </w:pPr>
                  <w:r w:rsidRPr="00FD1605">
                    <w:rPr>
                      <w:rFonts w:asciiTheme="minorHAnsi" w:hAnsiTheme="minorHAnsi" w:cstheme="minorHAnsi"/>
                      <w:sz w:val="22"/>
                      <w:szCs w:val="22"/>
                    </w:rPr>
                    <w:t>Weglekeffecten</w:t>
                  </w:r>
                </w:p>
              </w:tc>
              <w:tc>
                <w:tcPr>
                  <w:tcW w:w="538" w:type="pct"/>
                </w:tcPr>
                <w:p w:rsidRPr="00FD1605" w:rsidR="00C2440F" w:rsidP="00061051" w:rsidRDefault="00C2440F" w14:paraId="781830F5" w14:textId="77777777">
                  <w:pPr>
                    <w:spacing w:before="60"/>
                    <w:contextualSpacing/>
                    <w:jc w:val="right"/>
                    <w:rPr>
                      <w:rFonts w:asciiTheme="minorHAnsi" w:hAnsiTheme="minorHAnsi" w:cstheme="minorHAnsi"/>
                      <w:sz w:val="22"/>
                      <w:szCs w:val="22"/>
                    </w:rPr>
                  </w:pPr>
                </w:p>
              </w:tc>
              <w:tc>
                <w:tcPr>
                  <w:tcW w:w="539" w:type="pct"/>
                </w:tcPr>
                <w:p w:rsidRPr="00FD1605" w:rsidR="00C2440F" w:rsidP="00061051" w:rsidRDefault="00C2440F" w14:paraId="531B27F4" w14:textId="77777777">
                  <w:pPr>
                    <w:spacing w:before="60"/>
                    <w:contextualSpacing/>
                    <w:jc w:val="right"/>
                    <w:rPr>
                      <w:rFonts w:asciiTheme="minorHAnsi" w:hAnsiTheme="minorHAnsi" w:cstheme="minorHAnsi"/>
                      <w:sz w:val="22"/>
                      <w:szCs w:val="22"/>
                    </w:rPr>
                  </w:pPr>
                </w:p>
              </w:tc>
              <w:tc>
                <w:tcPr>
                  <w:tcW w:w="539" w:type="pct"/>
                </w:tcPr>
                <w:p w:rsidRPr="00FD1605" w:rsidR="00C2440F" w:rsidP="00061051" w:rsidRDefault="00C2440F" w14:paraId="53D8ACB5" w14:textId="77777777">
                  <w:pPr>
                    <w:spacing w:before="60"/>
                    <w:contextualSpacing/>
                    <w:jc w:val="right"/>
                    <w:rPr>
                      <w:rFonts w:asciiTheme="minorHAnsi" w:hAnsiTheme="minorHAnsi" w:cstheme="minorHAnsi"/>
                      <w:sz w:val="22"/>
                      <w:szCs w:val="22"/>
                    </w:rPr>
                  </w:pPr>
                </w:p>
              </w:tc>
              <w:tc>
                <w:tcPr>
                  <w:tcW w:w="539" w:type="pct"/>
                </w:tcPr>
                <w:p w:rsidRPr="00FD1605" w:rsidR="00C2440F" w:rsidP="00061051" w:rsidRDefault="00C2440F" w14:paraId="3A667944" w14:textId="77777777">
                  <w:pPr>
                    <w:spacing w:before="60"/>
                    <w:contextualSpacing/>
                    <w:jc w:val="right"/>
                    <w:rPr>
                      <w:rFonts w:asciiTheme="minorHAnsi" w:hAnsiTheme="minorHAnsi" w:cstheme="minorHAnsi"/>
                      <w:sz w:val="22"/>
                      <w:szCs w:val="22"/>
                    </w:rPr>
                  </w:pPr>
                </w:p>
              </w:tc>
              <w:tc>
                <w:tcPr>
                  <w:tcW w:w="539" w:type="pct"/>
                </w:tcPr>
                <w:p w:rsidRPr="00FD1605" w:rsidR="00C2440F" w:rsidP="00061051" w:rsidRDefault="00C2440F" w14:paraId="0846F38F" w14:textId="77777777">
                  <w:pPr>
                    <w:spacing w:before="60"/>
                    <w:contextualSpacing/>
                    <w:jc w:val="right"/>
                    <w:rPr>
                      <w:rFonts w:asciiTheme="minorHAnsi" w:hAnsiTheme="minorHAnsi" w:cstheme="minorHAnsi"/>
                      <w:sz w:val="22"/>
                      <w:szCs w:val="22"/>
                    </w:rPr>
                  </w:pPr>
                </w:p>
              </w:tc>
              <w:tc>
                <w:tcPr>
                  <w:tcW w:w="539" w:type="pct"/>
                </w:tcPr>
                <w:p w:rsidRPr="00FD1605" w:rsidR="00C2440F" w:rsidP="00061051" w:rsidRDefault="00C2440F" w14:paraId="5E0E9EDA" w14:textId="77777777">
                  <w:pPr>
                    <w:spacing w:before="60"/>
                    <w:contextualSpacing/>
                    <w:jc w:val="right"/>
                    <w:rPr>
                      <w:rFonts w:asciiTheme="minorHAnsi" w:hAnsiTheme="minorHAnsi" w:cstheme="minorHAnsi"/>
                      <w:sz w:val="22"/>
                    </w:rPr>
                  </w:pPr>
                </w:p>
              </w:tc>
              <w:tc>
                <w:tcPr>
                  <w:tcW w:w="539" w:type="pct"/>
                </w:tcPr>
                <w:p w:rsidRPr="00FD1605" w:rsidR="00C2440F" w:rsidP="00061051" w:rsidRDefault="00C2440F" w14:paraId="24FA5DDD" w14:textId="5C059AC0">
                  <w:pPr>
                    <w:spacing w:before="60"/>
                    <w:contextualSpacing/>
                    <w:jc w:val="right"/>
                    <w:rPr>
                      <w:rFonts w:asciiTheme="minorHAnsi" w:hAnsiTheme="minorHAnsi" w:cstheme="minorHAnsi"/>
                      <w:sz w:val="22"/>
                      <w:szCs w:val="22"/>
                    </w:rPr>
                  </w:pPr>
                </w:p>
              </w:tc>
            </w:tr>
            <w:tr w:rsidRPr="00F51BCF" w:rsidR="00F56224" w:rsidTr="00EA2DE8" w14:paraId="0CED506C" w14:textId="77777777">
              <w:trPr>
                <w:trHeight w:val="283"/>
              </w:trPr>
              <w:tc>
                <w:tcPr>
                  <w:tcW w:w="1230" w:type="pct"/>
                </w:tcPr>
                <w:p w:rsidRPr="00FD1605" w:rsidR="00C2440F" w:rsidP="00061051" w:rsidRDefault="00C2440F" w14:paraId="0B13B0E0" w14:textId="77777777">
                  <w:pPr>
                    <w:spacing w:before="60"/>
                    <w:contextualSpacing/>
                    <w:rPr>
                      <w:rFonts w:asciiTheme="minorHAnsi" w:hAnsiTheme="minorHAnsi" w:cstheme="minorHAnsi"/>
                      <w:sz w:val="22"/>
                      <w:szCs w:val="22"/>
                    </w:rPr>
                  </w:pPr>
                  <w:r w:rsidRPr="00FD1605">
                    <w:rPr>
                      <w:rFonts w:asciiTheme="minorHAnsi" w:hAnsiTheme="minorHAnsi" w:cstheme="minorHAnsi"/>
                      <w:sz w:val="22"/>
                      <w:szCs w:val="22"/>
                    </w:rPr>
                    <w:t>Uitvoeringskosten</w:t>
                  </w:r>
                </w:p>
              </w:tc>
              <w:tc>
                <w:tcPr>
                  <w:tcW w:w="538" w:type="pct"/>
                </w:tcPr>
                <w:p w:rsidRPr="00FD1605" w:rsidR="00C2440F" w:rsidP="00061051" w:rsidRDefault="00C2440F" w14:paraId="6650CBA8" w14:textId="77777777">
                  <w:pPr>
                    <w:spacing w:before="60"/>
                    <w:contextualSpacing/>
                    <w:jc w:val="right"/>
                    <w:rPr>
                      <w:rFonts w:asciiTheme="minorHAnsi" w:hAnsiTheme="minorHAnsi" w:cstheme="minorHAnsi"/>
                      <w:sz w:val="22"/>
                      <w:szCs w:val="22"/>
                    </w:rPr>
                  </w:pPr>
                </w:p>
              </w:tc>
              <w:tc>
                <w:tcPr>
                  <w:tcW w:w="539" w:type="pct"/>
                </w:tcPr>
                <w:p w:rsidRPr="00FD1605" w:rsidR="00C2440F" w:rsidP="00061051" w:rsidRDefault="00C2440F" w14:paraId="44A1D41B" w14:textId="77777777">
                  <w:pPr>
                    <w:spacing w:before="60"/>
                    <w:contextualSpacing/>
                    <w:jc w:val="right"/>
                    <w:rPr>
                      <w:rFonts w:asciiTheme="minorHAnsi" w:hAnsiTheme="minorHAnsi" w:cstheme="minorHAnsi"/>
                      <w:sz w:val="22"/>
                      <w:szCs w:val="22"/>
                    </w:rPr>
                  </w:pPr>
                </w:p>
              </w:tc>
              <w:tc>
                <w:tcPr>
                  <w:tcW w:w="539" w:type="pct"/>
                </w:tcPr>
                <w:p w:rsidRPr="00FD1605" w:rsidR="00C2440F" w:rsidP="00061051" w:rsidRDefault="00C2440F" w14:paraId="0F52F51D" w14:textId="77777777">
                  <w:pPr>
                    <w:spacing w:before="60"/>
                    <w:contextualSpacing/>
                    <w:jc w:val="right"/>
                    <w:rPr>
                      <w:rFonts w:asciiTheme="minorHAnsi" w:hAnsiTheme="minorHAnsi" w:cstheme="minorHAnsi"/>
                      <w:sz w:val="22"/>
                      <w:szCs w:val="22"/>
                    </w:rPr>
                  </w:pPr>
                </w:p>
              </w:tc>
              <w:tc>
                <w:tcPr>
                  <w:tcW w:w="539" w:type="pct"/>
                </w:tcPr>
                <w:p w:rsidRPr="00FD1605" w:rsidR="00C2440F" w:rsidP="00061051" w:rsidRDefault="00C2440F" w14:paraId="7C922330" w14:textId="77777777">
                  <w:pPr>
                    <w:spacing w:before="60"/>
                    <w:contextualSpacing/>
                    <w:jc w:val="right"/>
                    <w:rPr>
                      <w:rFonts w:asciiTheme="minorHAnsi" w:hAnsiTheme="minorHAnsi" w:cstheme="minorHAnsi"/>
                      <w:sz w:val="22"/>
                      <w:szCs w:val="22"/>
                    </w:rPr>
                  </w:pPr>
                </w:p>
              </w:tc>
              <w:tc>
                <w:tcPr>
                  <w:tcW w:w="539" w:type="pct"/>
                </w:tcPr>
                <w:p w:rsidRPr="00FD1605" w:rsidR="00C2440F" w:rsidP="00061051" w:rsidRDefault="00C2440F" w14:paraId="0D5CD77C" w14:textId="77777777">
                  <w:pPr>
                    <w:spacing w:before="60"/>
                    <w:contextualSpacing/>
                    <w:jc w:val="right"/>
                    <w:rPr>
                      <w:rFonts w:asciiTheme="minorHAnsi" w:hAnsiTheme="minorHAnsi" w:cstheme="minorHAnsi"/>
                      <w:sz w:val="22"/>
                      <w:szCs w:val="22"/>
                    </w:rPr>
                  </w:pPr>
                </w:p>
              </w:tc>
              <w:tc>
                <w:tcPr>
                  <w:tcW w:w="539" w:type="pct"/>
                </w:tcPr>
                <w:p w:rsidRPr="00FD1605" w:rsidR="00C2440F" w:rsidP="00061051" w:rsidRDefault="00C2440F" w14:paraId="42198E14" w14:textId="77777777">
                  <w:pPr>
                    <w:spacing w:before="60"/>
                    <w:contextualSpacing/>
                    <w:jc w:val="right"/>
                    <w:rPr>
                      <w:rFonts w:asciiTheme="minorHAnsi" w:hAnsiTheme="minorHAnsi" w:cstheme="minorHAnsi"/>
                      <w:sz w:val="22"/>
                    </w:rPr>
                  </w:pPr>
                </w:p>
              </w:tc>
              <w:tc>
                <w:tcPr>
                  <w:tcW w:w="539" w:type="pct"/>
                </w:tcPr>
                <w:p w:rsidRPr="00FD1605" w:rsidR="00C2440F" w:rsidP="00061051" w:rsidRDefault="00C2440F" w14:paraId="3DC36B04" w14:textId="71F0E8A2">
                  <w:pPr>
                    <w:spacing w:before="60"/>
                    <w:contextualSpacing/>
                    <w:jc w:val="right"/>
                    <w:rPr>
                      <w:rFonts w:asciiTheme="minorHAnsi" w:hAnsiTheme="minorHAnsi" w:cstheme="minorHAnsi"/>
                      <w:sz w:val="22"/>
                      <w:szCs w:val="22"/>
                    </w:rPr>
                  </w:pPr>
                </w:p>
              </w:tc>
            </w:tr>
            <w:tr w:rsidRPr="00F51BCF" w:rsidR="00F56224" w:rsidTr="00EA2DE8" w14:paraId="5E2A63B0" w14:textId="77777777">
              <w:trPr>
                <w:trHeight w:val="295"/>
              </w:trPr>
              <w:tc>
                <w:tcPr>
                  <w:tcW w:w="1230" w:type="pct"/>
                </w:tcPr>
                <w:p w:rsidRPr="00FD1605" w:rsidR="00C2440F" w:rsidP="00061051" w:rsidRDefault="00C2440F" w14:paraId="0732FC28" w14:textId="77777777">
                  <w:pPr>
                    <w:spacing w:before="60"/>
                    <w:contextualSpacing/>
                    <w:rPr>
                      <w:rFonts w:asciiTheme="minorHAnsi" w:hAnsiTheme="minorHAnsi" w:cstheme="minorHAnsi"/>
                      <w:sz w:val="22"/>
                      <w:szCs w:val="22"/>
                    </w:rPr>
                  </w:pPr>
                </w:p>
              </w:tc>
              <w:tc>
                <w:tcPr>
                  <w:tcW w:w="538" w:type="pct"/>
                </w:tcPr>
                <w:p w:rsidRPr="00FD1605" w:rsidR="00C2440F" w:rsidP="00061051" w:rsidRDefault="00C2440F" w14:paraId="04779A00" w14:textId="77777777">
                  <w:pPr>
                    <w:spacing w:before="60"/>
                    <w:contextualSpacing/>
                    <w:jc w:val="right"/>
                    <w:rPr>
                      <w:rFonts w:asciiTheme="minorHAnsi" w:hAnsiTheme="minorHAnsi" w:cstheme="minorHAnsi"/>
                      <w:sz w:val="22"/>
                      <w:szCs w:val="22"/>
                    </w:rPr>
                  </w:pPr>
                </w:p>
              </w:tc>
              <w:tc>
                <w:tcPr>
                  <w:tcW w:w="539" w:type="pct"/>
                </w:tcPr>
                <w:p w:rsidRPr="00FD1605" w:rsidR="00C2440F" w:rsidP="00061051" w:rsidRDefault="00C2440F" w14:paraId="7B5BA2B3" w14:textId="77777777">
                  <w:pPr>
                    <w:spacing w:before="60"/>
                    <w:contextualSpacing/>
                    <w:jc w:val="right"/>
                    <w:rPr>
                      <w:rFonts w:asciiTheme="minorHAnsi" w:hAnsiTheme="minorHAnsi" w:cstheme="minorHAnsi"/>
                      <w:sz w:val="22"/>
                      <w:szCs w:val="22"/>
                    </w:rPr>
                  </w:pPr>
                </w:p>
              </w:tc>
              <w:tc>
                <w:tcPr>
                  <w:tcW w:w="539" w:type="pct"/>
                </w:tcPr>
                <w:p w:rsidRPr="00FD1605" w:rsidR="00C2440F" w:rsidP="00061051" w:rsidRDefault="00C2440F" w14:paraId="057DAFC8" w14:textId="77777777">
                  <w:pPr>
                    <w:spacing w:before="60"/>
                    <w:contextualSpacing/>
                    <w:jc w:val="right"/>
                    <w:rPr>
                      <w:rFonts w:asciiTheme="minorHAnsi" w:hAnsiTheme="minorHAnsi" w:cstheme="minorHAnsi"/>
                      <w:sz w:val="22"/>
                      <w:szCs w:val="22"/>
                    </w:rPr>
                  </w:pPr>
                </w:p>
              </w:tc>
              <w:tc>
                <w:tcPr>
                  <w:tcW w:w="539" w:type="pct"/>
                </w:tcPr>
                <w:p w:rsidRPr="00FD1605" w:rsidR="00C2440F" w:rsidP="00061051" w:rsidRDefault="00C2440F" w14:paraId="41CD3DC9" w14:textId="77777777">
                  <w:pPr>
                    <w:spacing w:before="60"/>
                    <w:contextualSpacing/>
                    <w:jc w:val="right"/>
                    <w:rPr>
                      <w:rFonts w:asciiTheme="minorHAnsi" w:hAnsiTheme="minorHAnsi" w:cstheme="minorHAnsi"/>
                      <w:sz w:val="22"/>
                      <w:szCs w:val="22"/>
                    </w:rPr>
                  </w:pPr>
                </w:p>
              </w:tc>
              <w:tc>
                <w:tcPr>
                  <w:tcW w:w="539" w:type="pct"/>
                </w:tcPr>
                <w:p w:rsidRPr="00FD1605" w:rsidR="00C2440F" w:rsidP="00061051" w:rsidRDefault="00C2440F" w14:paraId="79C80F59" w14:textId="77777777">
                  <w:pPr>
                    <w:spacing w:before="60"/>
                    <w:contextualSpacing/>
                    <w:jc w:val="right"/>
                    <w:rPr>
                      <w:rFonts w:asciiTheme="minorHAnsi" w:hAnsiTheme="minorHAnsi" w:cstheme="minorHAnsi"/>
                      <w:sz w:val="22"/>
                      <w:szCs w:val="22"/>
                    </w:rPr>
                  </w:pPr>
                </w:p>
              </w:tc>
              <w:tc>
                <w:tcPr>
                  <w:tcW w:w="539" w:type="pct"/>
                </w:tcPr>
                <w:p w:rsidRPr="00FD1605" w:rsidR="00C2440F" w:rsidP="00061051" w:rsidRDefault="00C2440F" w14:paraId="02679408" w14:textId="77777777">
                  <w:pPr>
                    <w:spacing w:before="60"/>
                    <w:contextualSpacing/>
                    <w:jc w:val="right"/>
                    <w:rPr>
                      <w:rFonts w:asciiTheme="minorHAnsi" w:hAnsiTheme="minorHAnsi" w:cstheme="minorHAnsi"/>
                      <w:sz w:val="22"/>
                    </w:rPr>
                  </w:pPr>
                </w:p>
              </w:tc>
              <w:tc>
                <w:tcPr>
                  <w:tcW w:w="539" w:type="pct"/>
                </w:tcPr>
                <w:p w:rsidRPr="00FD1605" w:rsidR="00C2440F" w:rsidP="00061051" w:rsidRDefault="00C2440F" w14:paraId="0B01C68A" w14:textId="696C7F96">
                  <w:pPr>
                    <w:spacing w:before="60"/>
                    <w:contextualSpacing/>
                    <w:jc w:val="right"/>
                    <w:rPr>
                      <w:rFonts w:asciiTheme="minorHAnsi" w:hAnsiTheme="minorHAnsi" w:cstheme="minorHAnsi"/>
                      <w:sz w:val="22"/>
                      <w:szCs w:val="22"/>
                    </w:rPr>
                  </w:pPr>
                </w:p>
              </w:tc>
            </w:tr>
            <w:tr w:rsidRPr="00F51BCF" w:rsidR="00F56224" w:rsidTr="00EA2DE8" w14:paraId="2ED9E343" w14:textId="77777777">
              <w:trPr>
                <w:trHeight w:val="295"/>
              </w:trPr>
              <w:tc>
                <w:tcPr>
                  <w:tcW w:w="1230" w:type="pct"/>
                </w:tcPr>
                <w:p w:rsidRPr="00FD1605" w:rsidR="00C2440F" w:rsidP="00061051" w:rsidRDefault="00C2440F" w14:paraId="1B3F42B0" w14:textId="77777777">
                  <w:pPr>
                    <w:spacing w:before="60"/>
                    <w:contextualSpacing/>
                    <w:rPr>
                      <w:rFonts w:asciiTheme="minorHAnsi" w:hAnsiTheme="minorHAnsi" w:cstheme="minorHAnsi"/>
                      <w:b/>
                      <w:bCs/>
                      <w:sz w:val="22"/>
                      <w:szCs w:val="22"/>
                    </w:rPr>
                  </w:pPr>
                  <w:r w:rsidRPr="00FD1605">
                    <w:rPr>
                      <w:rFonts w:asciiTheme="minorHAnsi" w:hAnsiTheme="minorHAnsi" w:cstheme="minorHAnsi"/>
                      <w:b/>
                      <w:bCs/>
                      <w:sz w:val="22"/>
                      <w:szCs w:val="22"/>
                    </w:rPr>
                    <w:t>Totaal</w:t>
                  </w:r>
                </w:p>
              </w:tc>
              <w:tc>
                <w:tcPr>
                  <w:tcW w:w="538" w:type="pct"/>
                </w:tcPr>
                <w:p w:rsidRPr="00FD1605" w:rsidR="00C2440F" w:rsidP="00061051" w:rsidRDefault="00C2440F" w14:paraId="1CAA9FFE" w14:textId="77777777">
                  <w:pPr>
                    <w:spacing w:before="60"/>
                    <w:contextualSpacing/>
                    <w:jc w:val="right"/>
                    <w:rPr>
                      <w:rFonts w:asciiTheme="minorHAnsi" w:hAnsiTheme="minorHAnsi" w:cstheme="minorHAnsi"/>
                      <w:b/>
                      <w:bCs/>
                      <w:sz w:val="22"/>
                      <w:szCs w:val="22"/>
                    </w:rPr>
                  </w:pPr>
                </w:p>
              </w:tc>
              <w:tc>
                <w:tcPr>
                  <w:tcW w:w="539" w:type="pct"/>
                </w:tcPr>
                <w:p w:rsidRPr="00FD1605" w:rsidR="00C2440F" w:rsidP="00061051" w:rsidRDefault="00C2440F" w14:paraId="58C887F2" w14:textId="626D6B28">
                  <w:pPr>
                    <w:spacing w:before="60"/>
                    <w:contextualSpacing/>
                    <w:jc w:val="right"/>
                    <w:rPr>
                      <w:rFonts w:asciiTheme="minorHAnsi" w:hAnsiTheme="minorHAnsi" w:cstheme="minorHAnsi"/>
                      <w:b/>
                      <w:bCs/>
                      <w:sz w:val="22"/>
                      <w:szCs w:val="22"/>
                    </w:rPr>
                  </w:pPr>
                </w:p>
              </w:tc>
              <w:tc>
                <w:tcPr>
                  <w:tcW w:w="539" w:type="pct"/>
                </w:tcPr>
                <w:p w:rsidRPr="00FD1605" w:rsidR="00C2440F" w:rsidP="00061051" w:rsidRDefault="00C2440F" w14:paraId="2014435B" w14:textId="1AB4BECA">
                  <w:pPr>
                    <w:spacing w:before="60"/>
                    <w:contextualSpacing/>
                    <w:jc w:val="right"/>
                    <w:rPr>
                      <w:rFonts w:asciiTheme="minorHAnsi" w:hAnsiTheme="minorHAnsi" w:cstheme="minorHAnsi"/>
                      <w:b/>
                      <w:bCs/>
                      <w:sz w:val="22"/>
                      <w:szCs w:val="22"/>
                    </w:rPr>
                  </w:pPr>
                </w:p>
              </w:tc>
              <w:tc>
                <w:tcPr>
                  <w:tcW w:w="539" w:type="pct"/>
                </w:tcPr>
                <w:p w:rsidRPr="00FD1605" w:rsidR="00C2440F" w:rsidP="00061051" w:rsidRDefault="00C2440F" w14:paraId="4468B7E0" w14:textId="23081C62">
                  <w:pPr>
                    <w:spacing w:before="60"/>
                    <w:contextualSpacing/>
                    <w:jc w:val="right"/>
                    <w:rPr>
                      <w:rFonts w:asciiTheme="minorHAnsi" w:hAnsiTheme="minorHAnsi" w:cstheme="minorHAnsi"/>
                      <w:b/>
                      <w:bCs/>
                      <w:sz w:val="22"/>
                      <w:szCs w:val="22"/>
                    </w:rPr>
                  </w:pPr>
                  <w:r w:rsidRPr="00FD1605">
                    <w:rPr>
                      <w:rFonts w:asciiTheme="minorHAnsi" w:hAnsiTheme="minorHAnsi" w:cstheme="minorHAnsi"/>
                      <w:b/>
                      <w:bCs/>
                      <w:sz w:val="22"/>
                      <w:szCs w:val="22"/>
                    </w:rPr>
                    <w:t>1</w:t>
                  </w:r>
                  <w:r>
                    <w:rPr>
                      <w:rFonts w:asciiTheme="minorHAnsi" w:hAnsiTheme="minorHAnsi" w:cstheme="minorHAnsi"/>
                      <w:b/>
                      <w:bCs/>
                      <w:sz w:val="22"/>
                      <w:szCs w:val="22"/>
                    </w:rPr>
                    <w:t>1,7</w:t>
                  </w:r>
                </w:p>
              </w:tc>
              <w:tc>
                <w:tcPr>
                  <w:tcW w:w="539" w:type="pct"/>
                </w:tcPr>
                <w:p w:rsidRPr="00FD1605" w:rsidR="00C2440F" w:rsidP="00061051" w:rsidRDefault="00C2440F" w14:paraId="0062E099" w14:textId="09359CA5">
                  <w:pPr>
                    <w:spacing w:before="60"/>
                    <w:contextualSpacing/>
                    <w:jc w:val="right"/>
                    <w:rPr>
                      <w:rFonts w:asciiTheme="minorHAnsi" w:hAnsiTheme="minorHAnsi" w:cstheme="minorHAnsi"/>
                      <w:b/>
                      <w:bCs/>
                      <w:sz w:val="22"/>
                      <w:szCs w:val="22"/>
                    </w:rPr>
                  </w:pPr>
                  <w:r w:rsidRPr="00FD1605">
                    <w:rPr>
                      <w:rFonts w:asciiTheme="minorHAnsi" w:hAnsiTheme="minorHAnsi" w:cstheme="minorHAnsi"/>
                      <w:b/>
                      <w:bCs/>
                      <w:sz w:val="22"/>
                      <w:szCs w:val="22"/>
                    </w:rPr>
                    <w:t>1</w:t>
                  </w:r>
                  <w:r>
                    <w:rPr>
                      <w:rFonts w:asciiTheme="minorHAnsi" w:hAnsiTheme="minorHAnsi" w:cstheme="minorHAnsi"/>
                      <w:b/>
                      <w:bCs/>
                      <w:sz w:val="22"/>
                      <w:szCs w:val="22"/>
                    </w:rPr>
                    <w:t>1</w:t>
                  </w:r>
                  <w:r w:rsidRPr="00FD1605">
                    <w:rPr>
                      <w:rFonts w:asciiTheme="minorHAnsi" w:hAnsiTheme="minorHAnsi" w:cstheme="minorHAnsi"/>
                      <w:b/>
                      <w:bCs/>
                      <w:sz w:val="22"/>
                      <w:szCs w:val="22"/>
                    </w:rPr>
                    <w:t>,8</w:t>
                  </w:r>
                </w:p>
              </w:tc>
              <w:tc>
                <w:tcPr>
                  <w:tcW w:w="539" w:type="pct"/>
                </w:tcPr>
                <w:p w:rsidRPr="00FD1605" w:rsidR="00C2440F" w:rsidP="00061051" w:rsidRDefault="00C2440F" w14:paraId="48EE6BBD" w14:textId="7BBEDD44">
                  <w:pPr>
                    <w:spacing w:before="60"/>
                    <w:contextualSpacing/>
                    <w:jc w:val="right"/>
                    <w:rPr>
                      <w:rFonts w:asciiTheme="minorHAnsi" w:hAnsiTheme="minorHAnsi" w:cstheme="minorHAnsi"/>
                      <w:b/>
                      <w:bCs/>
                      <w:sz w:val="22"/>
                    </w:rPr>
                  </w:pPr>
                  <w:r>
                    <w:rPr>
                      <w:rFonts w:asciiTheme="minorHAnsi" w:hAnsiTheme="minorHAnsi" w:cstheme="minorHAnsi"/>
                      <w:b/>
                      <w:bCs/>
                      <w:sz w:val="22"/>
                    </w:rPr>
                    <w:t>12,0</w:t>
                  </w:r>
                </w:p>
              </w:tc>
              <w:tc>
                <w:tcPr>
                  <w:tcW w:w="539" w:type="pct"/>
                </w:tcPr>
                <w:p w:rsidRPr="00FD1605" w:rsidR="00C2440F" w:rsidP="00061051" w:rsidRDefault="00C2440F" w14:paraId="6C4F0759" w14:textId="68C70C87">
                  <w:pPr>
                    <w:spacing w:before="60"/>
                    <w:contextualSpacing/>
                    <w:jc w:val="right"/>
                    <w:rPr>
                      <w:rFonts w:asciiTheme="minorHAnsi" w:hAnsiTheme="minorHAnsi" w:cstheme="minorHAnsi"/>
                      <w:b/>
                      <w:bCs/>
                      <w:sz w:val="22"/>
                      <w:szCs w:val="22"/>
                    </w:rPr>
                  </w:pPr>
                  <w:r>
                    <w:rPr>
                      <w:rFonts w:asciiTheme="minorHAnsi" w:hAnsiTheme="minorHAnsi" w:cstheme="minorHAnsi"/>
                      <w:b/>
                      <w:bCs/>
                      <w:sz w:val="22"/>
                      <w:szCs w:val="22"/>
                    </w:rPr>
                    <w:t>12,0</w:t>
                  </w:r>
                </w:p>
              </w:tc>
            </w:tr>
          </w:tbl>
          <w:p w:rsidR="00756F6B" w:rsidP="00061051" w:rsidRDefault="00756F6B" w14:paraId="77F041DA" w14:textId="77777777">
            <w:pPr>
              <w:spacing w:after="0" w:line="240" w:lineRule="auto"/>
              <w:contextualSpacing/>
              <w:rPr>
                <w:rFonts w:eastAsia="Times New Roman" w:cs="Calibri"/>
                <w:color w:val="000000"/>
                <w:szCs w:val="18"/>
                <w:lang w:val="nl-NL" w:eastAsia="nl-NL"/>
              </w:rPr>
            </w:pPr>
          </w:p>
          <w:p w:rsidRPr="00FD1605" w:rsidR="00756F6B" w:rsidP="00061051" w:rsidRDefault="00756F6B" w14:paraId="571B3118" w14:textId="77777777">
            <w:pPr>
              <w:spacing w:after="0" w:line="240" w:lineRule="auto"/>
              <w:contextualSpacing/>
              <w:rPr>
                <w:rFonts w:eastAsia="Times New Roman" w:cs="Calibri"/>
                <w:color w:val="000000"/>
                <w:szCs w:val="18"/>
                <w:lang w:val="nl-NL" w:eastAsia="nl-NL"/>
              </w:rPr>
            </w:pPr>
            <w:r w:rsidRPr="00FD1605">
              <w:rPr>
                <w:rFonts w:eastAsia="Times New Roman" w:cs="Calibri"/>
                <w:color w:val="000000"/>
                <w:szCs w:val="18"/>
                <w:lang w:val="nl-NL" w:eastAsia="nl-NL"/>
              </w:rPr>
              <w:t>Het budgettaire effect is exclusief uitvoeringskosten. Die zouden in een uitvoeringstoets uitgezocht moeten worden.</w:t>
            </w:r>
          </w:p>
        </w:tc>
      </w:tr>
      <w:tr w:rsidRPr="00F51BCF" w:rsidR="00756F6B" w:rsidTr="00EA2DE8" w14:paraId="7A15D036" w14:textId="77777777">
        <w:trPr>
          <w:trHeight w:val="320"/>
        </w:trPr>
        <w:tc>
          <w:tcPr>
            <w:tcW w:w="1996" w:type="dxa"/>
            <w:tcBorders>
              <w:top w:val="nil"/>
              <w:left w:val="single" w:color="auto" w:sz="8" w:space="0"/>
              <w:bottom w:val="single" w:color="auto" w:sz="8" w:space="0"/>
              <w:right w:val="nil"/>
            </w:tcBorders>
            <w:shd w:val="clear" w:color="auto" w:fill="auto"/>
            <w:noWrap/>
          </w:tcPr>
          <w:p w:rsidRPr="00704454" w:rsidR="00756F6B" w:rsidP="00061051" w:rsidRDefault="00756F6B" w14:paraId="69430EF6" w14:textId="77777777">
            <w:pPr>
              <w:spacing w:before="60"/>
              <w:contextualSpacing/>
              <w:rPr>
                <w:rFonts w:eastAsia="Times New Roman" w:cs="Calibri"/>
                <w:b/>
                <w:bCs/>
                <w:color w:val="000000"/>
                <w:szCs w:val="18"/>
                <w:lang w:val="nl-NL" w:eastAsia="nl-NL"/>
              </w:rPr>
            </w:pPr>
            <w:r w:rsidRPr="00704454">
              <w:rPr>
                <w:rFonts w:eastAsia="Times New Roman" w:cs="Calibri"/>
                <w:b/>
                <w:bCs/>
                <w:color w:val="000000"/>
                <w:szCs w:val="18"/>
                <w:lang w:val="nl-NL" w:eastAsia="nl-NL"/>
              </w:rPr>
              <w:t>Toelichting raming</w:t>
            </w:r>
          </w:p>
        </w:tc>
        <w:tc>
          <w:tcPr>
            <w:tcW w:w="8413" w:type="dxa"/>
            <w:tcBorders>
              <w:top w:val="single" w:color="auto" w:sz="4" w:space="0"/>
              <w:left w:val="single" w:color="auto" w:sz="4" w:space="0"/>
              <w:bottom w:val="single" w:color="auto" w:sz="8" w:space="0"/>
              <w:right w:val="single" w:color="auto" w:sz="4" w:space="0"/>
            </w:tcBorders>
            <w:shd w:val="clear" w:color="auto" w:fill="auto"/>
            <w:noWrap/>
          </w:tcPr>
          <w:p w:rsidRPr="002B1977" w:rsidR="002B1977" w:rsidP="00061051" w:rsidRDefault="00756F6B" w14:paraId="4CA1E688" w14:textId="5617AF5E">
            <w:pPr>
              <w:spacing w:before="60"/>
              <w:contextualSpacing/>
              <w:rPr>
                <w:rFonts w:cstheme="minorHAnsi"/>
                <w:lang w:val="nl-NL"/>
              </w:rPr>
            </w:pPr>
            <w:r w:rsidRPr="00FD1605">
              <w:rPr>
                <w:rFonts w:eastAsia="Times New Roman" w:cstheme="minorHAnsi"/>
                <w:color w:val="000000"/>
                <w:lang w:val="nl-NL" w:eastAsia="nl-NL"/>
              </w:rPr>
              <w:t>Met deze maatregel worden TW-</w:t>
            </w:r>
            <w:r w:rsidR="000853B8">
              <w:rPr>
                <w:rFonts w:eastAsia="Times New Roman" w:cstheme="minorHAnsi"/>
                <w:color w:val="000000"/>
                <w:lang w:val="nl-NL" w:eastAsia="nl-NL"/>
              </w:rPr>
              <w:t>uitkeringen</w:t>
            </w:r>
            <w:r w:rsidRPr="00FD1605" w:rsidR="000853B8">
              <w:rPr>
                <w:rFonts w:eastAsia="Times New Roman" w:cstheme="minorHAnsi"/>
                <w:color w:val="000000"/>
                <w:lang w:val="nl-NL" w:eastAsia="nl-NL"/>
              </w:rPr>
              <w:t xml:space="preserve"> </w:t>
            </w:r>
            <w:r w:rsidRPr="00FD1605">
              <w:rPr>
                <w:rFonts w:eastAsia="Times New Roman" w:cstheme="minorHAnsi"/>
                <w:color w:val="000000"/>
                <w:lang w:val="nl-NL" w:eastAsia="nl-NL"/>
              </w:rPr>
              <w:t xml:space="preserve">niet meer gemaximeerd op het laatstverdiende loon. De TW vult voor meer mensen aan tot het (bruto) sociaal minimum en een aanvulling vanuit de bijstand is in minder gevallen nodig. Hierdoor vindt er een verschuiving plaats van de bijstand naar de TW. Daarnaast zijn er extra uitgaven omdat de mensen die geen recht hadden op een bijstandsuitkering vanwege een te hoog vermogen of andere voorwaarden die gelden voor een </w:t>
            </w:r>
            <w:proofErr w:type="spellStart"/>
            <w:r w:rsidRPr="00FD1605">
              <w:rPr>
                <w:rFonts w:eastAsia="Times New Roman" w:cstheme="minorHAnsi"/>
                <w:color w:val="000000"/>
                <w:lang w:val="nl-NL" w:eastAsia="nl-NL"/>
              </w:rPr>
              <w:t>Participatiewetuitkering</w:t>
            </w:r>
            <w:proofErr w:type="spellEnd"/>
            <w:r w:rsidRPr="00FD1605">
              <w:rPr>
                <w:rFonts w:eastAsia="Times New Roman" w:cstheme="minorHAnsi"/>
                <w:color w:val="000000"/>
                <w:lang w:val="nl-NL" w:eastAsia="nl-NL"/>
              </w:rPr>
              <w:t>, nu wel een hogere aanvulling via de TW ontvangen.</w:t>
            </w:r>
            <w:r w:rsidR="002B1977">
              <w:rPr>
                <w:rFonts w:eastAsia="Times New Roman" w:cstheme="minorHAnsi"/>
                <w:color w:val="000000"/>
                <w:lang w:val="nl-NL" w:eastAsia="nl-NL"/>
              </w:rPr>
              <w:t xml:space="preserve"> Van de potentiële prikkel </w:t>
            </w:r>
            <w:r w:rsidRPr="00FD1605" w:rsidR="002B1977">
              <w:rPr>
                <w:rFonts w:cstheme="minorHAnsi"/>
                <w:lang w:val="nl-NL"/>
              </w:rPr>
              <w:t>om in kleine banen aan de slag te gaan</w:t>
            </w:r>
            <w:r w:rsidR="002B1977">
              <w:rPr>
                <w:rFonts w:cstheme="minorHAnsi"/>
                <w:lang w:val="nl-NL"/>
              </w:rPr>
              <w:t xml:space="preserve"> (zie arbeidsmarkteffecten en overige relevante aspecten) is het niet mogelijk om een inschatting te maken van het budgettaire effect.</w:t>
            </w:r>
          </w:p>
        </w:tc>
      </w:tr>
      <w:tr w:rsidRPr="00F51BCF" w:rsidR="00756F6B" w:rsidTr="00EA2DE8" w14:paraId="162A9B57" w14:textId="77777777">
        <w:trPr>
          <w:trHeight w:val="320"/>
        </w:trPr>
        <w:tc>
          <w:tcPr>
            <w:tcW w:w="1996" w:type="dxa"/>
            <w:tcBorders>
              <w:top w:val="single" w:color="auto" w:sz="8" w:space="0"/>
              <w:left w:val="single" w:color="auto" w:sz="8" w:space="0"/>
              <w:bottom w:val="single" w:color="auto" w:sz="8" w:space="0"/>
              <w:right w:val="single" w:color="auto" w:sz="4" w:space="0"/>
            </w:tcBorders>
            <w:shd w:val="clear" w:color="auto" w:fill="auto"/>
            <w:noWrap/>
          </w:tcPr>
          <w:p w:rsidRPr="00704454" w:rsidR="00756F6B" w:rsidP="00061051" w:rsidRDefault="00756F6B" w14:paraId="31E19B88" w14:textId="77777777">
            <w:pPr>
              <w:spacing w:before="60"/>
              <w:contextualSpacing/>
              <w:rPr>
                <w:rFonts w:eastAsia="Times New Roman" w:cs="Calibri"/>
                <w:b/>
                <w:bCs/>
                <w:color w:val="000000"/>
                <w:szCs w:val="18"/>
                <w:lang w:val="nl-NL" w:eastAsia="nl-NL"/>
              </w:rPr>
            </w:pPr>
            <w:r w:rsidRPr="00704454">
              <w:rPr>
                <w:rFonts w:eastAsia="Times New Roman" w:cs="Calibri"/>
                <w:b/>
                <w:bCs/>
                <w:color w:val="000000"/>
                <w:szCs w:val="18"/>
                <w:lang w:val="nl-NL" w:eastAsia="nl-NL"/>
              </w:rPr>
              <w:t>Inkomens-</w:t>
            </w:r>
          </w:p>
          <w:p w:rsidRPr="00704454" w:rsidR="00756F6B" w:rsidP="00061051" w:rsidRDefault="00756F6B" w14:paraId="37188A3F" w14:textId="77777777">
            <w:pPr>
              <w:spacing w:before="60"/>
              <w:contextualSpacing/>
              <w:rPr>
                <w:rFonts w:eastAsia="Times New Roman" w:cs="Calibri"/>
                <w:b/>
                <w:bCs/>
                <w:color w:val="000000"/>
                <w:szCs w:val="18"/>
                <w:lang w:val="nl-NL" w:eastAsia="nl-NL"/>
              </w:rPr>
            </w:pPr>
            <w:r w:rsidRPr="00704454">
              <w:rPr>
                <w:rFonts w:eastAsia="Times New Roman" w:cs="Calibri"/>
                <w:b/>
                <w:bCs/>
                <w:color w:val="000000"/>
                <w:szCs w:val="18"/>
                <w:lang w:val="nl-NL" w:eastAsia="nl-NL"/>
              </w:rPr>
              <w:t>effecten</w:t>
            </w:r>
          </w:p>
        </w:tc>
        <w:tc>
          <w:tcPr>
            <w:tcW w:w="8413" w:type="dxa"/>
            <w:tcBorders>
              <w:top w:val="single" w:color="auto" w:sz="4" w:space="0"/>
              <w:left w:val="single" w:color="auto" w:sz="4" w:space="0"/>
              <w:bottom w:val="single" w:color="auto" w:sz="4" w:space="0"/>
              <w:right w:val="single" w:color="auto" w:sz="4" w:space="0"/>
            </w:tcBorders>
          </w:tcPr>
          <w:p w:rsidRPr="00FD1605" w:rsidR="00756F6B" w:rsidP="00061051" w:rsidRDefault="00756F6B" w14:paraId="437C648F" w14:textId="77777777">
            <w:pPr>
              <w:contextualSpacing/>
              <w:rPr>
                <w:rFonts w:cstheme="minorHAnsi"/>
                <w:lang w:val="nl-NL"/>
              </w:rPr>
            </w:pPr>
            <w:r w:rsidRPr="00FD1605">
              <w:rPr>
                <w:rFonts w:cstheme="minorHAnsi"/>
                <w:lang w:val="nl-NL"/>
              </w:rPr>
              <w:t>De aanvullende toeslag van mensen die voor intreden van het verzekerd risico (werkloosheid, ziekte, arbeidsongeschiktheid) een inkomen onder het sociaal minimum hadden, wordt hoger. Mensen die door de hogere TW-uitkering geen bijstand meer nodig hebben, blijven op hetzelfde inkomensniveau. Mensen die wegens vermogen of andere voorwaarden niet in aanmerking kwamen voor de bijstand, maar door deze maatregel wel een aanvullende toeslag kunnen ontvangen, zullen erop vooruitgaan. Dit inkomenseffect kan gedempt worden doordat een hoger (</w:t>
            </w:r>
            <w:proofErr w:type="spellStart"/>
            <w:r w:rsidRPr="00FD1605">
              <w:rPr>
                <w:rFonts w:cstheme="minorHAnsi"/>
                <w:lang w:val="nl-NL"/>
              </w:rPr>
              <w:t>toetsings</w:t>
            </w:r>
            <w:proofErr w:type="spellEnd"/>
            <w:r w:rsidRPr="00FD1605">
              <w:rPr>
                <w:rFonts w:cstheme="minorHAnsi"/>
                <w:lang w:val="nl-NL"/>
              </w:rPr>
              <w:t xml:space="preserve">)inkomen gevolgen heeft voor andere inkomensvoorzieningen, zoals toeslagen Belastingdienst. </w:t>
            </w:r>
          </w:p>
        </w:tc>
      </w:tr>
      <w:tr w:rsidRPr="00F51BCF" w:rsidR="00756F6B" w:rsidTr="00EA2DE8" w14:paraId="7D522E3F" w14:textId="77777777">
        <w:trPr>
          <w:trHeight w:val="315"/>
        </w:trPr>
        <w:tc>
          <w:tcPr>
            <w:tcW w:w="1996" w:type="dxa"/>
            <w:tcBorders>
              <w:top w:val="single" w:color="auto" w:sz="4" w:space="0"/>
              <w:left w:val="single" w:color="auto" w:sz="4" w:space="0"/>
              <w:bottom w:val="single" w:color="auto" w:sz="4" w:space="0"/>
              <w:right w:val="nil"/>
            </w:tcBorders>
            <w:shd w:val="clear" w:color="auto" w:fill="auto"/>
            <w:noWrap/>
          </w:tcPr>
          <w:p w:rsidRPr="00704454" w:rsidR="00756F6B" w:rsidP="00061051" w:rsidRDefault="00756F6B" w14:paraId="7B9626D4" w14:textId="77777777">
            <w:pPr>
              <w:spacing w:before="60"/>
              <w:contextualSpacing/>
              <w:rPr>
                <w:rFonts w:eastAsia="Times New Roman" w:cs="Calibri"/>
                <w:b/>
                <w:bCs/>
                <w:color w:val="000000"/>
                <w:szCs w:val="18"/>
                <w:lang w:val="nl-NL" w:eastAsia="nl-NL"/>
              </w:rPr>
            </w:pPr>
            <w:r w:rsidRPr="00704454">
              <w:rPr>
                <w:rFonts w:eastAsia="Times New Roman" w:cs="Calibri"/>
                <w:b/>
                <w:bCs/>
                <w:color w:val="000000"/>
                <w:szCs w:val="18"/>
                <w:lang w:val="nl-NL" w:eastAsia="nl-NL"/>
              </w:rPr>
              <w:t>Arbeidsmarkt-effecten</w:t>
            </w:r>
          </w:p>
        </w:tc>
        <w:tc>
          <w:tcPr>
            <w:tcW w:w="8413" w:type="dxa"/>
            <w:tcBorders>
              <w:top w:val="single" w:color="auto" w:sz="4" w:space="0"/>
              <w:left w:val="single" w:color="auto" w:sz="4" w:space="0"/>
              <w:bottom w:val="single" w:color="auto" w:sz="8" w:space="0"/>
              <w:right w:val="single" w:color="auto" w:sz="4" w:space="0"/>
            </w:tcBorders>
            <w:shd w:val="clear" w:color="auto" w:fill="auto"/>
            <w:noWrap/>
          </w:tcPr>
          <w:p w:rsidR="00AA64D2" w:rsidP="00061051" w:rsidRDefault="00756F6B" w14:paraId="779889F5" w14:textId="50065FD5">
            <w:pPr>
              <w:contextualSpacing/>
              <w:rPr>
                <w:rFonts w:cstheme="minorHAnsi"/>
                <w:lang w:val="nl-NL"/>
              </w:rPr>
            </w:pPr>
            <w:r>
              <w:rPr>
                <w:rFonts w:cstheme="minorHAnsi"/>
                <w:lang w:val="nl-NL"/>
              </w:rPr>
              <w:t>Deze maatregel leidt tot een vereenvoudiging en in sommige gevallen tot een hogere uitkering en biedt daarmee extra zekerheid die mensen kan helpen om de stap naar</w:t>
            </w:r>
            <w:r w:rsidR="00AA64D2">
              <w:rPr>
                <w:rFonts w:cstheme="minorHAnsi"/>
                <w:lang w:val="nl-NL"/>
              </w:rPr>
              <w:t xml:space="preserve"> (meer)</w:t>
            </w:r>
            <w:r>
              <w:rPr>
                <w:rFonts w:cstheme="minorHAnsi"/>
                <w:lang w:val="nl-NL"/>
              </w:rPr>
              <w:t xml:space="preserve"> werk te zetten. Tegelijkertijd zal de TW uitkering voor een aantal mensen hoger worden. Ook zullen er mensen die eerder vanwege </w:t>
            </w:r>
            <w:r w:rsidR="00B55F9E">
              <w:rPr>
                <w:rFonts w:cstheme="minorHAnsi"/>
                <w:lang w:val="nl-NL"/>
              </w:rPr>
              <w:t>de strengere voorwaarden</w:t>
            </w:r>
            <w:r>
              <w:rPr>
                <w:rFonts w:cstheme="minorHAnsi"/>
                <w:lang w:val="nl-NL"/>
              </w:rPr>
              <w:t xml:space="preserve"> geen aanspraak maakten op een aanvulling vanuit de bijstand nu wel de TW aanvragen. Voor deze groepen </w:t>
            </w:r>
            <w:r w:rsidR="005A53FE">
              <w:rPr>
                <w:rFonts w:cstheme="minorHAnsi"/>
                <w:lang w:val="nl-NL"/>
              </w:rPr>
              <w:t xml:space="preserve">kan de hogere toeslag </w:t>
            </w:r>
            <w:r>
              <w:rPr>
                <w:rFonts w:cstheme="minorHAnsi"/>
                <w:lang w:val="nl-NL"/>
              </w:rPr>
              <w:t xml:space="preserve"> de financiële prikkel tot werken </w:t>
            </w:r>
            <w:r w:rsidR="005A53FE">
              <w:rPr>
                <w:rFonts w:cstheme="minorHAnsi"/>
                <w:lang w:val="nl-NL"/>
              </w:rPr>
              <w:t>verkleinen</w:t>
            </w:r>
            <w:r>
              <w:rPr>
                <w:rFonts w:cstheme="minorHAnsi"/>
                <w:lang w:val="nl-NL"/>
              </w:rPr>
              <w:t>.</w:t>
            </w:r>
          </w:p>
          <w:p w:rsidR="005A53FE" w:rsidP="00061051" w:rsidRDefault="005A53FE" w14:paraId="36F48B3B" w14:textId="41CDBC25">
            <w:pPr>
              <w:contextualSpacing/>
              <w:rPr>
                <w:rFonts w:cstheme="minorHAnsi"/>
                <w:lang w:val="nl-NL"/>
              </w:rPr>
            </w:pPr>
          </w:p>
          <w:p w:rsidRPr="00FD1605" w:rsidR="00756F6B" w:rsidP="00061051" w:rsidRDefault="00756F6B" w14:paraId="16635F78" w14:textId="089DCAD3">
            <w:pPr>
              <w:contextualSpacing/>
              <w:rPr>
                <w:rFonts w:cstheme="minorHAnsi"/>
                <w:lang w:val="nl-NL"/>
              </w:rPr>
            </w:pPr>
            <w:r>
              <w:rPr>
                <w:rFonts w:cstheme="minorHAnsi"/>
                <w:lang w:val="nl-NL"/>
              </w:rPr>
              <w:t xml:space="preserve">Daarnaast ontstaat er een hoger moreel risico/ een prikkel bij mensen met een kleine baan waarmee zij minder dan het sociaal minimum verdienen. Zij gaan er immers met </w:t>
            </w:r>
            <w:r>
              <w:rPr>
                <w:rFonts w:cstheme="minorHAnsi"/>
                <w:lang w:val="nl-NL"/>
              </w:rPr>
              <w:lastRenderedPageBreak/>
              <w:t xml:space="preserve">deze maatregel op vooruit in inkomen wanneer zij </w:t>
            </w:r>
            <w:r w:rsidR="00B55F9E">
              <w:rPr>
                <w:rFonts w:cstheme="minorHAnsi"/>
                <w:lang w:val="nl-NL"/>
              </w:rPr>
              <w:t xml:space="preserve">zich ziek melden of </w:t>
            </w:r>
            <w:r>
              <w:rPr>
                <w:rFonts w:cstheme="minorHAnsi"/>
                <w:lang w:val="nl-NL"/>
              </w:rPr>
              <w:t xml:space="preserve">hun werk verliezen. </w:t>
            </w:r>
            <w:r w:rsidR="000518CD">
              <w:rPr>
                <w:rFonts w:cstheme="minorHAnsi"/>
                <w:lang w:val="nl-NL"/>
              </w:rPr>
              <w:t>De basiswetten zoals d</w:t>
            </w:r>
            <w:r>
              <w:rPr>
                <w:rFonts w:cstheme="minorHAnsi"/>
                <w:lang w:val="nl-NL"/>
              </w:rPr>
              <w:t>e WW ken</w:t>
            </w:r>
            <w:r w:rsidR="000518CD">
              <w:rPr>
                <w:rFonts w:cstheme="minorHAnsi"/>
                <w:lang w:val="nl-NL"/>
              </w:rPr>
              <w:t>nen</w:t>
            </w:r>
            <w:r>
              <w:rPr>
                <w:rFonts w:cstheme="minorHAnsi"/>
                <w:lang w:val="nl-NL"/>
              </w:rPr>
              <w:t xml:space="preserve"> uiteraard wel de voorwaarde dat het verliezen van werk niet verwijtbaar mag zijn. Maar de prikkel om werk te behouden zal mogelijk afnemen.   </w:t>
            </w:r>
          </w:p>
        </w:tc>
      </w:tr>
      <w:tr w:rsidRPr="00F51BCF" w:rsidR="00756F6B" w:rsidTr="00EA2DE8" w14:paraId="748B2B7A" w14:textId="77777777">
        <w:trPr>
          <w:trHeight w:val="315"/>
        </w:trPr>
        <w:tc>
          <w:tcPr>
            <w:tcW w:w="1996" w:type="dxa"/>
            <w:tcBorders>
              <w:top w:val="nil"/>
              <w:left w:val="single" w:color="auto" w:sz="8" w:space="0"/>
              <w:bottom w:val="single" w:color="auto" w:sz="8" w:space="0"/>
              <w:right w:val="nil"/>
            </w:tcBorders>
            <w:shd w:val="clear" w:color="auto" w:fill="auto"/>
            <w:noWrap/>
          </w:tcPr>
          <w:p w:rsidRPr="00704454" w:rsidR="00756F6B" w:rsidP="00061051" w:rsidRDefault="00756F6B" w14:paraId="54C514CE" w14:textId="77777777">
            <w:pPr>
              <w:spacing w:before="60"/>
              <w:contextualSpacing/>
              <w:rPr>
                <w:rFonts w:eastAsia="Times New Roman" w:cs="Calibri"/>
                <w:b/>
                <w:bCs/>
                <w:color w:val="000000"/>
                <w:szCs w:val="18"/>
                <w:lang w:val="nl-NL" w:eastAsia="nl-NL"/>
              </w:rPr>
            </w:pPr>
            <w:r w:rsidRPr="00704454">
              <w:rPr>
                <w:rFonts w:eastAsia="Times New Roman" w:cs="Calibri"/>
                <w:b/>
                <w:bCs/>
                <w:color w:val="000000"/>
                <w:szCs w:val="18"/>
                <w:lang w:val="nl-NL" w:eastAsia="nl-NL"/>
              </w:rPr>
              <w:lastRenderedPageBreak/>
              <w:t>Overige relevante aspecten</w:t>
            </w:r>
          </w:p>
        </w:tc>
        <w:tc>
          <w:tcPr>
            <w:tcW w:w="8413" w:type="dxa"/>
            <w:tcBorders>
              <w:top w:val="single" w:color="auto" w:sz="4" w:space="0"/>
              <w:left w:val="single" w:color="auto" w:sz="4" w:space="0"/>
              <w:bottom w:val="single" w:color="auto" w:sz="8" w:space="0"/>
              <w:right w:val="single" w:color="auto" w:sz="4" w:space="0"/>
            </w:tcBorders>
            <w:shd w:val="clear" w:color="auto" w:fill="auto"/>
            <w:noWrap/>
          </w:tcPr>
          <w:p w:rsidRPr="00FD1605" w:rsidR="00756F6B" w:rsidP="00061051" w:rsidRDefault="00756F6B" w14:paraId="27BC0EA9" w14:textId="77777777">
            <w:pPr>
              <w:contextualSpacing/>
              <w:rPr>
                <w:rFonts w:cstheme="minorHAnsi"/>
                <w:lang w:val="nl-NL"/>
              </w:rPr>
            </w:pPr>
            <w:r w:rsidRPr="00FD1605">
              <w:rPr>
                <w:rFonts w:cstheme="minorHAnsi"/>
                <w:lang w:val="nl-NL"/>
              </w:rPr>
              <w:t xml:space="preserve">Er kan een prikkel ontstaan om in kleine banen aan de slag te gaan, omdat je daarmee direct ‘verzekerd’ bent tot sociaal minimum. In het uiterste geval kan iemand met een uur werk die ziek uitvalt direct uit de bijstand geraken. Dit </w:t>
            </w:r>
            <w:r>
              <w:rPr>
                <w:rFonts w:cstheme="minorHAnsi"/>
                <w:lang w:val="nl-NL"/>
              </w:rPr>
              <w:t>kan</w:t>
            </w:r>
            <w:r w:rsidRPr="00FD1605">
              <w:rPr>
                <w:rFonts w:cstheme="minorHAnsi"/>
                <w:lang w:val="nl-NL"/>
              </w:rPr>
              <w:t xml:space="preserve"> een sterke prikkel</w:t>
            </w:r>
            <w:r>
              <w:rPr>
                <w:rFonts w:cstheme="minorHAnsi"/>
                <w:lang w:val="nl-NL"/>
              </w:rPr>
              <w:t xml:space="preserve"> geven</w:t>
            </w:r>
            <w:r w:rsidRPr="00FD1605">
              <w:rPr>
                <w:rFonts w:cstheme="minorHAnsi"/>
                <w:lang w:val="nl-NL"/>
              </w:rPr>
              <w:t xml:space="preserve"> om mensen in de bijstand ten minste aan een klein baantje te helpen.</w:t>
            </w:r>
          </w:p>
        </w:tc>
      </w:tr>
    </w:tbl>
    <w:p w:rsidRPr="00FD1605" w:rsidR="00756F6B" w:rsidP="00756F6B" w:rsidRDefault="00756F6B" w14:paraId="1A0FEF78" w14:textId="77777777">
      <w:pPr>
        <w:rPr>
          <w:lang w:val="nl-NL"/>
        </w:rPr>
      </w:pPr>
    </w:p>
    <w:p w:rsidRPr="00756F6B" w:rsidR="00756F6B" w:rsidP="00756F6B" w:rsidRDefault="00756F6B" w14:paraId="563062FE" w14:textId="77777777">
      <w:pPr>
        <w:rPr>
          <w:lang w:val="nl-NL"/>
        </w:rPr>
      </w:pPr>
      <w:r w:rsidRPr="00FD1605">
        <w:rPr>
          <w:lang w:val="nl-NL"/>
        </w:rPr>
        <w:br w:type="page"/>
      </w:r>
    </w:p>
    <w:tbl>
      <w:tblPr>
        <w:tblW w:w="10135" w:type="dxa"/>
        <w:tblInd w:w="-436" w:type="dxa"/>
        <w:tblLayout w:type="fixed"/>
        <w:tblCellMar>
          <w:left w:w="70" w:type="dxa"/>
          <w:right w:w="70" w:type="dxa"/>
        </w:tblCellMar>
        <w:tblLook w:val="04A0" w:firstRow="1" w:lastRow="0" w:firstColumn="1" w:lastColumn="0" w:noHBand="0" w:noVBand="1"/>
      </w:tblPr>
      <w:tblGrid>
        <w:gridCol w:w="2055"/>
        <w:gridCol w:w="8080"/>
      </w:tblGrid>
      <w:tr w:rsidRPr="00F51BCF" w:rsidR="00756F6B" w:rsidTr="00F56224" w14:paraId="66FFCE07" w14:textId="77777777">
        <w:trPr>
          <w:trHeight w:val="300"/>
        </w:trPr>
        <w:tc>
          <w:tcPr>
            <w:tcW w:w="2055" w:type="dxa"/>
            <w:tcBorders>
              <w:top w:val="single" w:color="auto" w:sz="8" w:space="0"/>
              <w:left w:val="single" w:color="auto" w:sz="8" w:space="0"/>
              <w:bottom w:val="single" w:color="auto" w:sz="4" w:space="0"/>
              <w:right w:val="nil"/>
            </w:tcBorders>
            <w:shd w:val="clear" w:color="auto" w:fill="auto"/>
            <w:noWrap/>
          </w:tcPr>
          <w:p w:rsidRPr="00FD1605" w:rsidR="00756F6B" w:rsidP="00061051" w:rsidRDefault="00756F6B" w14:paraId="1952805E" w14:textId="77777777">
            <w:pPr>
              <w:spacing w:after="0" w:line="240" w:lineRule="auto"/>
              <w:rPr>
                <w:rFonts w:eastAsia="Times New Roman" w:cs="Calibri"/>
                <w:b/>
                <w:bCs/>
                <w:color w:val="000000"/>
                <w:szCs w:val="18"/>
                <w:lang w:val="nl-NL" w:eastAsia="nl-NL"/>
              </w:rPr>
            </w:pPr>
          </w:p>
          <w:p w:rsidRPr="00704454" w:rsidR="00756F6B" w:rsidP="00061051" w:rsidRDefault="00756F6B" w14:paraId="0D1364AD"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Maatregel</w:t>
            </w:r>
          </w:p>
        </w:tc>
        <w:tc>
          <w:tcPr>
            <w:tcW w:w="8080" w:type="dxa"/>
            <w:tcBorders>
              <w:top w:val="single" w:color="auto" w:sz="8" w:space="0"/>
              <w:left w:val="single" w:color="auto" w:sz="4" w:space="0"/>
              <w:bottom w:val="single" w:color="auto" w:sz="4" w:space="0"/>
              <w:right w:val="single" w:color="auto" w:sz="4" w:space="0"/>
            </w:tcBorders>
            <w:shd w:val="clear" w:color="auto" w:fill="auto"/>
            <w:noWrap/>
          </w:tcPr>
          <w:p w:rsidRPr="00FD1605" w:rsidR="00756F6B" w:rsidP="00061051" w:rsidRDefault="00756F6B" w14:paraId="3C0A021C" w14:textId="3E84FA55">
            <w:pPr>
              <w:pStyle w:val="Kop1"/>
              <w:rPr>
                <w:rFonts w:ascii="Verdana" w:hAnsi="Verdana" w:eastAsia="Times New Roman"/>
                <w:b/>
                <w:bCs/>
                <w:color w:val="auto"/>
                <w:sz w:val="18"/>
                <w:szCs w:val="18"/>
                <w:lang w:val="nl-NL" w:eastAsia="nl-NL"/>
              </w:rPr>
            </w:pPr>
            <w:bookmarkStart w:name="_Toc223522225" w:id="2"/>
            <w:r>
              <w:rPr>
                <w:rFonts w:ascii="Verdana" w:hAnsi="Verdana" w:eastAsia="Times New Roman"/>
                <w:b/>
                <w:bCs/>
                <w:color w:val="auto"/>
                <w:sz w:val="18"/>
                <w:szCs w:val="18"/>
                <w:lang w:val="nl-NL" w:eastAsia="nl-NL"/>
              </w:rPr>
              <w:t>A</w:t>
            </w:r>
            <w:r w:rsidRPr="00913061">
              <w:rPr>
                <w:rFonts w:ascii="Verdana" w:hAnsi="Verdana" w:eastAsia="Times New Roman"/>
                <w:b/>
                <w:bCs/>
                <w:color w:val="auto"/>
                <w:sz w:val="18"/>
                <w:szCs w:val="18"/>
                <w:lang w:val="nl-NL" w:eastAsia="nl-NL"/>
              </w:rPr>
              <w:t>.3 Ambtshalve toekennen TW-aanvulling door UWV</w:t>
            </w:r>
            <w:bookmarkEnd w:id="2"/>
          </w:p>
        </w:tc>
      </w:tr>
      <w:tr w:rsidRPr="00F51BCF" w:rsidR="00756F6B" w:rsidTr="00F56224" w14:paraId="295B50A5" w14:textId="77777777">
        <w:trPr>
          <w:trHeight w:val="315"/>
        </w:trPr>
        <w:tc>
          <w:tcPr>
            <w:tcW w:w="2055" w:type="dxa"/>
            <w:tcBorders>
              <w:top w:val="nil"/>
              <w:left w:val="single" w:color="auto" w:sz="8" w:space="0"/>
              <w:bottom w:val="single" w:color="auto" w:sz="8" w:space="0"/>
              <w:right w:val="nil"/>
            </w:tcBorders>
            <w:shd w:val="clear" w:color="auto" w:fill="auto"/>
            <w:noWrap/>
          </w:tcPr>
          <w:p w:rsidRPr="00704454" w:rsidR="00756F6B" w:rsidP="00061051" w:rsidRDefault="00756F6B" w14:paraId="7E8FC4EC"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Korte uitleg maatregel</w:t>
            </w:r>
          </w:p>
        </w:tc>
        <w:tc>
          <w:tcPr>
            <w:tcW w:w="8080" w:type="dxa"/>
            <w:tcBorders>
              <w:top w:val="single" w:color="auto" w:sz="4" w:space="0"/>
              <w:left w:val="single" w:color="auto" w:sz="4" w:space="0"/>
              <w:bottom w:val="single" w:color="auto" w:sz="8" w:space="0"/>
              <w:right w:val="single" w:color="auto" w:sz="4" w:space="0"/>
            </w:tcBorders>
            <w:shd w:val="clear" w:color="auto" w:fill="auto"/>
            <w:noWrap/>
          </w:tcPr>
          <w:p w:rsidRPr="00FD1605" w:rsidR="00756F6B" w:rsidP="00061051" w:rsidRDefault="00756F6B" w14:paraId="6C827E87" w14:textId="405ED807">
            <w:pPr>
              <w:spacing w:after="0" w:line="240" w:lineRule="auto"/>
              <w:contextualSpacing/>
              <w:rPr>
                <w:rFonts w:eastAsia="Times New Roman" w:cs="Calibri"/>
                <w:color w:val="000000"/>
                <w:szCs w:val="18"/>
                <w:lang w:val="nl-NL" w:eastAsia="nl-NL"/>
              </w:rPr>
            </w:pPr>
            <w:r w:rsidRPr="00FD1605">
              <w:rPr>
                <w:rFonts w:eastAsia="Times New Roman" w:cs="Calibri"/>
                <w:color w:val="000000"/>
                <w:szCs w:val="18"/>
                <w:lang w:val="nl-NL" w:eastAsia="nl-NL"/>
              </w:rPr>
              <w:t>Het UWV stelt</w:t>
            </w:r>
            <w:r w:rsidR="00F13D5D">
              <w:rPr>
                <w:rFonts w:eastAsia="Times New Roman" w:cs="Calibri"/>
                <w:color w:val="000000"/>
                <w:szCs w:val="18"/>
                <w:lang w:val="nl-NL" w:eastAsia="nl-NL"/>
              </w:rPr>
              <w:t xml:space="preserve"> momenteel</w:t>
            </w:r>
            <w:r w:rsidRPr="00FD1605">
              <w:rPr>
                <w:rFonts w:eastAsia="Times New Roman" w:cs="Calibri"/>
                <w:color w:val="000000"/>
                <w:szCs w:val="18"/>
                <w:lang w:val="nl-NL" w:eastAsia="nl-NL"/>
              </w:rPr>
              <w:t xml:space="preserve"> vast of een recht op een TW-aanvulling bestaat nadat daartoe een schriftelijke aanvraag is ingediend. Op het aanvraagformulier moeten de voor het beoordelen van de aanvraag noodzakelijke gegevens zijn vermeld om de beoordeling te kunnen uitvoeren, zoals informatie over de leefvorm en inkomsten van de partner. </w:t>
            </w:r>
          </w:p>
          <w:p w:rsidRPr="00FD1605" w:rsidR="00756F6B" w:rsidP="00061051" w:rsidRDefault="00756F6B" w14:paraId="653CF75A" w14:textId="77777777">
            <w:pPr>
              <w:spacing w:after="0" w:line="240" w:lineRule="auto"/>
              <w:contextualSpacing/>
              <w:rPr>
                <w:rFonts w:eastAsia="Times New Roman" w:cs="Calibri"/>
                <w:i/>
                <w:iCs/>
                <w:color w:val="000000"/>
                <w:szCs w:val="18"/>
                <w:lang w:val="nl-NL" w:eastAsia="nl-NL"/>
              </w:rPr>
            </w:pPr>
          </w:p>
          <w:p w:rsidRPr="00FD1605" w:rsidR="00756F6B" w:rsidP="00061051" w:rsidRDefault="00756F6B" w14:paraId="6EEA30B4" w14:textId="043260A0">
            <w:pPr>
              <w:spacing w:after="0" w:line="240" w:lineRule="auto"/>
              <w:contextualSpacing/>
              <w:rPr>
                <w:szCs w:val="18"/>
                <w:lang w:val="nl-NL"/>
              </w:rPr>
            </w:pPr>
            <w:r w:rsidRPr="00FD1605">
              <w:rPr>
                <w:szCs w:val="18"/>
                <w:lang w:val="nl-NL"/>
              </w:rPr>
              <w:t xml:space="preserve">Als eenmaal een toekenning van een basisuitkering (zoals WW, WIA, ZW) heeft plaatsgevonden, dan </w:t>
            </w:r>
            <w:r w:rsidR="00F13D5D">
              <w:rPr>
                <w:szCs w:val="18"/>
                <w:lang w:val="nl-NL"/>
              </w:rPr>
              <w:t>betekent deze maatregel</w:t>
            </w:r>
            <w:r w:rsidRPr="00FD1605">
              <w:rPr>
                <w:szCs w:val="18"/>
                <w:lang w:val="nl-NL"/>
              </w:rPr>
              <w:t xml:space="preserve"> dat UWV ambtshalve beoordeelt of ook recht bestaat op een aanvulling op grond van de Toeslagenwet</w:t>
            </w:r>
            <w:r w:rsidR="00F13D5D">
              <w:rPr>
                <w:szCs w:val="18"/>
                <w:lang w:val="nl-NL"/>
              </w:rPr>
              <w:t xml:space="preserve"> zonder aanvraag van de uitkeringsgerechtigde</w:t>
            </w:r>
            <w:r w:rsidRPr="00FD1605">
              <w:rPr>
                <w:szCs w:val="18"/>
                <w:lang w:val="nl-NL"/>
              </w:rPr>
              <w:t xml:space="preserve">. </w:t>
            </w:r>
          </w:p>
        </w:tc>
      </w:tr>
      <w:tr w:rsidRPr="00F51BCF" w:rsidR="00756F6B" w:rsidTr="00F56224" w14:paraId="4A058BD4" w14:textId="77777777">
        <w:trPr>
          <w:trHeight w:val="315"/>
        </w:trPr>
        <w:tc>
          <w:tcPr>
            <w:tcW w:w="2055" w:type="dxa"/>
            <w:tcBorders>
              <w:top w:val="nil"/>
              <w:left w:val="single" w:color="auto" w:sz="8" w:space="0"/>
              <w:bottom w:val="single" w:color="auto" w:sz="8" w:space="0"/>
              <w:right w:val="nil"/>
            </w:tcBorders>
            <w:shd w:val="clear" w:color="auto" w:fill="auto"/>
            <w:noWrap/>
          </w:tcPr>
          <w:p w:rsidRPr="00704454" w:rsidR="00756F6B" w:rsidP="00061051" w:rsidRDefault="00756F6B" w14:paraId="2F31891B"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Doel maatregel</w:t>
            </w:r>
          </w:p>
        </w:tc>
        <w:tc>
          <w:tcPr>
            <w:tcW w:w="8080" w:type="dxa"/>
            <w:tcBorders>
              <w:top w:val="single" w:color="auto" w:sz="4" w:space="0"/>
              <w:left w:val="single" w:color="auto" w:sz="4" w:space="0"/>
              <w:bottom w:val="single" w:color="auto" w:sz="8" w:space="0"/>
              <w:right w:val="single" w:color="auto" w:sz="4" w:space="0"/>
            </w:tcBorders>
            <w:shd w:val="clear" w:color="auto" w:fill="auto"/>
            <w:noWrap/>
          </w:tcPr>
          <w:p w:rsidRPr="00FD1605" w:rsidR="00756F6B" w:rsidP="00061051" w:rsidRDefault="00756F6B" w14:paraId="1A65AF5F" w14:textId="77777777">
            <w:pPr>
              <w:spacing w:after="0" w:line="240" w:lineRule="auto"/>
              <w:contextualSpacing/>
              <w:rPr>
                <w:rFonts w:eastAsia="Times New Roman" w:cs="Calibri"/>
                <w:i/>
                <w:iCs/>
                <w:color w:val="000000"/>
                <w:szCs w:val="18"/>
                <w:lang w:val="nl-NL" w:eastAsia="nl-NL"/>
              </w:rPr>
            </w:pPr>
            <w:r w:rsidRPr="00FD1605">
              <w:rPr>
                <w:szCs w:val="18"/>
                <w:lang w:val="nl-NL"/>
              </w:rPr>
              <w:t>Het aantal TW-aanvullingen zal toenemen en het niet-gebruik afnemen.</w:t>
            </w:r>
          </w:p>
        </w:tc>
      </w:tr>
      <w:tr w:rsidRPr="00F51BCF" w:rsidR="00756F6B" w:rsidTr="00F56224" w14:paraId="6ACB4FCA" w14:textId="77777777">
        <w:trPr>
          <w:trHeight w:val="315"/>
        </w:trPr>
        <w:tc>
          <w:tcPr>
            <w:tcW w:w="2055" w:type="dxa"/>
            <w:tcBorders>
              <w:top w:val="nil"/>
              <w:left w:val="single" w:color="auto" w:sz="8" w:space="0"/>
              <w:bottom w:val="single" w:color="auto" w:sz="8" w:space="0"/>
              <w:right w:val="nil"/>
            </w:tcBorders>
            <w:shd w:val="clear" w:color="auto" w:fill="auto"/>
            <w:noWrap/>
          </w:tcPr>
          <w:p w:rsidRPr="00FD1605" w:rsidR="00756F6B" w:rsidP="00061051" w:rsidRDefault="00756F6B" w14:paraId="51D22652" w14:textId="77777777">
            <w:pPr>
              <w:spacing w:after="0" w:line="240" w:lineRule="auto"/>
              <w:rPr>
                <w:rFonts w:eastAsia="Times New Roman" w:cs="Calibri"/>
                <w:b/>
                <w:bCs/>
                <w:color w:val="000000"/>
                <w:szCs w:val="18"/>
                <w:lang w:val="nl-NL" w:eastAsia="nl-NL"/>
              </w:rPr>
            </w:pPr>
            <w:r w:rsidRPr="00FD1605">
              <w:rPr>
                <w:rFonts w:eastAsia="Times New Roman" w:cs="Calibri"/>
                <w:b/>
                <w:bCs/>
                <w:color w:val="000000"/>
                <w:szCs w:val="18"/>
                <w:lang w:val="nl-NL" w:eastAsia="nl-NL"/>
              </w:rPr>
              <w:t xml:space="preserve">Vereenvoudiging vanuit burgerperspectief (begrijpelijkheid, zekerheid en </w:t>
            </w:r>
            <w:proofErr w:type="spellStart"/>
            <w:r w:rsidRPr="00FD1605">
              <w:rPr>
                <w:rFonts w:eastAsia="Times New Roman" w:cs="Calibri"/>
                <w:b/>
                <w:bCs/>
                <w:color w:val="000000"/>
                <w:szCs w:val="18"/>
                <w:lang w:val="nl-NL" w:eastAsia="nl-NL"/>
              </w:rPr>
              <w:t>doenlijkheid</w:t>
            </w:r>
            <w:proofErr w:type="spellEnd"/>
            <w:r w:rsidRPr="00FD1605">
              <w:rPr>
                <w:rFonts w:eastAsia="Times New Roman" w:cs="Calibri"/>
                <w:b/>
                <w:bCs/>
                <w:color w:val="000000"/>
                <w:szCs w:val="18"/>
                <w:lang w:val="nl-NL" w:eastAsia="nl-NL"/>
              </w:rPr>
              <w:t>)</w:t>
            </w:r>
          </w:p>
        </w:tc>
        <w:tc>
          <w:tcPr>
            <w:tcW w:w="8080" w:type="dxa"/>
            <w:tcBorders>
              <w:top w:val="single" w:color="auto" w:sz="4" w:space="0"/>
              <w:left w:val="single" w:color="auto" w:sz="4" w:space="0"/>
              <w:bottom w:val="single" w:color="auto" w:sz="8" w:space="0"/>
              <w:right w:val="single" w:color="auto" w:sz="4" w:space="0"/>
            </w:tcBorders>
            <w:shd w:val="clear" w:color="auto" w:fill="auto"/>
            <w:noWrap/>
          </w:tcPr>
          <w:p w:rsidR="00756F6B" w:rsidP="00061051" w:rsidRDefault="00756F6B" w14:paraId="0614FD9F" w14:textId="77777777">
            <w:pPr>
              <w:spacing w:after="0" w:line="240" w:lineRule="auto"/>
              <w:contextualSpacing/>
              <w:rPr>
                <w:szCs w:val="18"/>
                <w:lang w:val="nl-NL"/>
              </w:rPr>
            </w:pPr>
            <w:r w:rsidRPr="00FD1605">
              <w:rPr>
                <w:szCs w:val="18"/>
                <w:lang w:val="nl-NL"/>
              </w:rPr>
              <w:t xml:space="preserve">Ambtshalve toekenning zorgt ervoor dat het </w:t>
            </w:r>
            <w:proofErr w:type="spellStart"/>
            <w:r w:rsidRPr="00FD1605">
              <w:rPr>
                <w:szCs w:val="18"/>
                <w:lang w:val="nl-NL"/>
              </w:rPr>
              <w:t>doenvermogen</w:t>
            </w:r>
            <w:proofErr w:type="spellEnd"/>
            <w:r w:rsidRPr="00FD1605">
              <w:rPr>
                <w:szCs w:val="18"/>
                <w:lang w:val="nl-NL"/>
              </w:rPr>
              <w:t xml:space="preserve"> van de uitkeringsgerechtigde zo min mogelijk wordt aangesproken doordat UWV zelf het initiatief neemt. Verzekerden maken daardoor eerder gebruik van de Toeslagenwet. Wat niet verandert, is dat mensen bepaalde gegevens zelf moeten aanleveren wat een beroep doet op het </w:t>
            </w:r>
            <w:proofErr w:type="spellStart"/>
            <w:r w:rsidRPr="00FD1605">
              <w:rPr>
                <w:szCs w:val="18"/>
                <w:lang w:val="nl-NL"/>
              </w:rPr>
              <w:t>doenvermogen</w:t>
            </w:r>
            <w:proofErr w:type="spellEnd"/>
            <w:r w:rsidRPr="00FD1605">
              <w:rPr>
                <w:szCs w:val="18"/>
                <w:lang w:val="nl-NL"/>
              </w:rPr>
              <w:t>.</w:t>
            </w:r>
          </w:p>
          <w:p w:rsidRPr="00FD1605" w:rsidR="00123064" w:rsidP="00061051" w:rsidRDefault="00123064" w14:paraId="340EC14E" w14:textId="77777777">
            <w:pPr>
              <w:spacing w:after="0" w:line="240" w:lineRule="auto"/>
              <w:contextualSpacing/>
              <w:rPr>
                <w:szCs w:val="18"/>
                <w:lang w:val="nl-NL"/>
              </w:rPr>
            </w:pPr>
          </w:p>
          <w:p w:rsidRPr="00FD1605" w:rsidR="00756F6B" w:rsidP="00061051" w:rsidRDefault="00756F6B" w14:paraId="6E526A77" w14:textId="77777777">
            <w:pPr>
              <w:spacing w:after="0" w:line="240" w:lineRule="auto"/>
              <w:contextualSpacing/>
              <w:rPr>
                <w:szCs w:val="18"/>
                <w:lang w:val="nl-NL"/>
              </w:rPr>
            </w:pPr>
            <w:r w:rsidRPr="00FD1605">
              <w:rPr>
                <w:szCs w:val="18"/>
                <w:lang w:val="nl-NL"/>
              </w:rPr>
              <w:t xml:space="preserve">Er hoeft geen aparte aanvraag meer te worden ingediend. De aanvraag kan niet worden vergeten, waardoor beoordelingen achteraf niet meer plaatsvinden en men niet meer te maken krijgt met verrekeningen van andere inkomensvoorzieningen (zoals toeslagen van de Belastingdienst en vrijstellingen van gemeentelijke belastingen). De beoordeling vindt voor een deel van de verzekerden eerder plaats, waardoor zij eerder duidelijkheid krijgen over hun inkomenssituatie. Hiermee wordt ook voorkomen dat mensen door niet-gebruik van de Toeslagenwet onder het sociaal minimum leven. Dat kan bijdragen in het voorkomen van financiële problemen onder deze groep mensen. Kanttekening hierbij is dat er voor mensen redenen kunnen zijn om de TW-aanvulling bewust niet aan te vragen, omdat zij deze </w:t>
            </w:r>
            <w:r>
              <w:rPr>
                <w:szCs w:val="18"/>
                <w:lang w:val="nl-NL"/>
              </w:rPr>
              <w:t xml:space="preserve">niet </w:t>
            </w:r>
            <w:r w:rsidRPr="00FD1605">
              <w:rPr>
                <w:szCs w:val="18"/>
                <w:lang w:val="nl-NL"/>
              </w:rPr>
              <w:t xml:space="preserve">willen ontvangen. Deze groep zal met deze maatregel actief de aanvulling moeten beëindigen. </w:t>
            </w:r>
          </w:p>
        </w:tc>
      </w:tr>
      <w:tr w:rsidRPr="00F51BCF" w:rsidR="00756F6B" w:rsidTr="00F56224" w14:paraId="2AD2FDD9" w14:textId="77777777">
        <w:trPr>
          <w:trHeight w:val="315"/>
        </w:trPr>
        <w:tc>
          <w:tcPr>
            <w:tcW w:w="2055" w:type="dxa"/>
            <w:tcBorders>
              <w:top w:val="nil"/>
              <w:left w:val="single" w:color="auto" w:sz="8" w:space="0"/>
              <w:bottom w:val="single" w:color="auto" w:sz="8" w:space="0"/>
              <w:right w:val="nil"/>
            </w:tcBorders>
            <w:shd w:val="clear" w:color="auto" w:fill="auto"/>
            <w:noWrap/>
          </w:tcPr>
          <w:p w:rsidRPr="00704454" w:rsidR="00756F6B" w:rsidP="00061051" w:rsidRDefault="00756F6B" w14:paraId="14C0DC44"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 xml:space="preserve">Keuzes binnen maatregel </w:t>
            </w:r>
          </w:p>
        </w:tc>
        <w:tc>
          <w:tcPr>
            <w:tcW w:w="8080" w:type="dxa"/>
            <w:tcBorders>
              <w:top w:val="single" w:color="auto" w:sz="4" w:space="0"/>
              <w:left w:val="single" w:color="auto" w:sz="4" w:space="0"/>
              <w:bottom w:val="single" w:color="auto" w:sz="8" w:space="0"/>
              <w:right w:val="single" w:color="auto" w:sz="4" w:space="0"/>
            </w:tcBorders>
            <w:shd w:val="clear" w:color="auto" w:fill="auto"/>
            <w:noWrap/>
          </w:tcPr>
          <w:p w:rsidRPr="00704454" w:rsidR="00756F6B" w:rsidP="00061051" w:rsidRDefault="00756F6B" w14:paraId="45CED520" w14:textId="2E1B7920">
            <w:pPr>
              <w:spacing w:after="0" w:line="240" w:lineRule="auto"/>
              <w:contextualSpacing/>
              <w:rPr>
                <w:szCs w:val="18"/>
                <w:lang w:val="nl-NL"/>
              </w:rPr>
            </w:pPr>
            <w:r w:rsidRPr="00FD1605">
              <w:rPr>
                <w:szCs w:val="18"/>
                <w:lang w:val="nl-NL"/>
              </w:rPr>
              <w:t xml:space="preserve">Aandachtspunt is het overgangsrecht, specifiek bij verzekerden die al een basisuitkering ontvangen. Besloten dient te worden of deze groep alsnog ambtshalve wordt beoordeeld. Daarnaast dient besloten te worden of met deze maatregel ook de kostendelersnorm wordt afgeschaft (fiche </w:t>
            </w:r>
            <w:r w:rsidR="00ED633E">
              <w:rPr>
                <w:szCs w:val="18"/>
                <w:lang w:val="nl-NL"/>
              </w:rPr>
              <w:t>B.</w:t>
            </w:r>
            <w:r w:rsidRPr="00FD1605">
              <w:rPr>
                <w:szCs w:val="18"/>
                <w:lang w:val="nl-NL"/>
              </w:rPr>
              <w:t xml:space="preserve">1) of de Toeslagenwet wordt geïndividualiseerd (fiche </w:t>
            </w:r>
            <w:r w:rsidR="00ED633E">
              <w:rPr>
                <w:szCs w:val="18"/>
                <w:lang w:val="nl-NL"/>
              </w:rPr>
              <w:t>B.</w:t>
            </w:r>
            <w:r w:rsidRPr="00FD1605">
              <w:rPr>
                <w:szCs w:val="18"/>
                <w:lang w:val="nl-NL"/>
              </w:rPr>
              <w:t xml:space="preserve">2), omdat UWV geen gegevens over de partner of medebewoners heeft en deze moet uitvragen bij de uitkeringsgerechtigde. </w:t>
            </w:r>
            <w:r w:rsidRPr="00704454">
              <w:rPr>
                <w:szCs w:val="18"/>
                <w:lang w:val="nl-NL"/>
              </w:rPr>
              <w:t xml:space="preserve">Dit zal uitvoeringstechnische gevolgen hebben. </w:t>
            </w:r>
            <w:r w:rsidRPr="00FD1605">
              <w:rPr>
                <w:szCs w:val="18"/>
                <w:lang w:val="nl-NL"/>
              </w:rPr>
              <w:t>Indien de toeslag niet wordt geïndividualiseerd en/of de kostendelersnorm niet wordt afgeschaft, dan zullen het partnerbegrip en de kostendelersnorm aangepast moeten worden tot objectiveerbare begrippen zodat UWV uit kan gaan van informatie uit basisadministraties of daaraan gelijkgestelde administraties.</w:t>
            </w:r>
            <w:r w:rsidR="009804DE">
              <w:rPr>
                <w:szCs w:val="18"/>
                <w:lang w:val="nl-NL"/>
              </w:rPr>
              <w:t xml:space="preserve"> Dit betekent wel dat UWV vaker gegevens van uitkeringsgerechtigden zal verwerken, ook indien geen aanspraak op een</w:t>
            </w:r>
            <w:r w:rsidR="00B575DB">
              <w:rPr>
                <w:szCs w:val="18"/>
                <w:lang w:val="nl-NL"/>
              </w:rPr>
              <w:t xml:space="preserve"> aanvullende</w:t>
            </w:r>
            <w:r w:rsidR="009804DE">
              <w:rPr>
                <w:szCs w:val="18"/>
                <w:lang w:val="nl-NL"/>
              </w:rPr>
              <w:t xml:space="preserve"> toeslag bestaat. </w:t>
            </w:r>
          </w:p>
        </w:tc>
      </w:tr>
      <w:tr w:rsidRPr="00F51BCF" w:rsidR="00756F6B" w:rsidTr="00F56224" w14:paraId="76264CC1" w14:textId="77777777">
        <w:trPr>
          <w:trHeight w:val="315"/>
        </w:trPr>
        <w:tc>
          <w:tcPr>
            <w:tcW w:w="2055" w:type="dxa"/>
            <w:tcBorders>
              <w:top w:val="nil"/>
              <w:left w:val="single" w:color="auto" w:sz="8" w:space="0"/>
              <w:bottom w:val="single" w:color="auto" w:sz="8" w:space="0"/>
              <w:right w:val="nil"/>
            </w:tcBorders>
            <w:shd w:val="clear" w:color="auto" w:fill="auto"/>
            <w:noWrap/>
          </w:tcPr>
          <w:p w:rsidRPr="00704454" w:rsidR="00756F6B" w:rsidP="00061051" w:rsidRDefault="00756F6B" w14:paraId="7B6143C5"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Tijdpad inwerkingtreding</w:t>
            </w:r>
          </w:p>
        </w:tc>
        <w:tc>
          <w:tcPr>
            <w:tcW w:w="8080" w:type="dxa"/>
            <w:tcBorders>
              <w:top w:val="single" w:color="auto" w:sz="4" w:space="0"/>
              <w:left w:val="single" w:color="auto" w:sz="4" w:space="0"/>
              <w:bottom w:val="single" w:color="auto" w:sz="8" w:space="0"/>
              <w:right w:val="single" w:color="auto" w:sz="4" w:space="0"/>
            </w:tcBorders>
            <w:shd w:val="clear" w:color="auto" w:fill="auto"/>
            <w:noWrap/>
          </w:tcPr>
          <w:p w:rsidRPr="00FD1605" w:rsidR="00756F6B" w:rsidP="00061051" w:rsidRDefault="00756F6B" w14:paraId="5D71E9E1" w14:textId="5486C597">
            <w:pPr>
              <w:spacing w:after="0" w:line="240" w:lineRule="auto"/>
              <w:contextualSpacing/>
              <w:rPr>
                <w:rFonts w:eastAsia="Times New Roman" w:cs="Calibri"/>
                <w:color w:val="000000"/>
                <w:szCs w:val="18"/>
                <w:lang w:val="nl-NL" w:eastAsia="nl-NL"/>
              </w:rPr>
            </w:pPr>
            <w:r w:rsidRPr="00FD1605">
              <w:rPr>
                <w:rFonts w:eastAsia="Times New Roman" w:cs="Calibri"/>
                <w:color w:val="000000"/>
                <w:szCs w:val="18"/>
                <w:lang w:val="nl-NL" w:eastAsia="nl-NL"/>
              </w:rPr>
              <w:t>De TW moeten worden aangepast. De gemiddelde duur van een wetstraject bedraagt twee jaar. Ook dient rekening te worden gehouden met eventuele extra tijd voor de implementatie door de uitvoerder. Hierbij kan worden gedacht aan aanpassingen van systemen en communicatie aan uitkeringsgerechtigden.</w:t>
            </w:r>
          </w:p>
        </w:tc>
      </w:tr>
      <w:tr w:rsidRPr="00F51BCF" w:rsidR="00756F6B" w:rsidTr="00F56224" w14:paraId="788242AD" w14:textId="77777777">
        <w:trPr>
          <w:trHeight w:val="315"/>
        </w:trPr>
        <w:tc>
          <w:tcPr>
            <w:tcW w:w="2055" w:type="dxa"/>
            <w:tcBorders>
              <w:top w:val="nil"/>
              <w:left w:val="single" w:color="auto" w:sz="8" w:space="0"/>
              <w:bottom w:val="single" w:color="auto" w:sz="8" w:space="0"/>
              <w:right w:val="nil"/>
            </w:tcBorders>
            <w:shd w:val="clear" w:color="auto" w:fill="auto"/>
            <w:noWrap/>
          </w:tcPr>
          <w:p w:rsidRPr="00704454" w:rsidR="00756F6B" w:rsidP="00061051" w:rsidRDefault="00756F6B" w14:paraId="365B7728"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Juridische haalbaarheid</w:t>
            </w:r>
          </w:p>
        </w:tc>
        <w:tc>
          <w:tcPr>
            <w:tcW w:w="8080" w:type="dxa"/>
            <w:tcBorders>
              <w:top w:val="single" w:color="auto" w:sz="4" w:space="0"/>
              <w:left w:val="single" w:color="auto" w:sz="4" w:space="0"/>
              <w:bottom w:val="single" w:color="auto" w:sz="8" w:space="0"/>
              <w:right w:val="single" w:color="auto" w:sz="4" w:space="0"/>
            </w:tcBorders>
            <w:shd w:val="clear" w:color="auto" w:fill="auto"/>
            <w:noWrap/>
          </w:tcPr>
          <w:p w:rsidRPr="00FD1605" w:rsidR="00756F6B" w:rsidP="00061051" w:rsidRDefault="00756F6B" w14:paraId="6DF71ADC" w14:textId="730A090B">
            <w:pPr>
              <w:contextualSpacing/>
              <w:rPr>
                <w:szCs w:val="18"/>
                <w:lang w:val="nl-NL"/>
              </w:rPr>
            </w:pPr>
            <w:r w:rsidRPr="00FD1605">
              <w:rPr>
                <w:szCs w:val="18"/>
                <w:lang w:val="nl-NL"/>
              </w:rPr>
              <w:t xml:space="preserve">Aanpassing van </w:t>
            </w:r>
            <w:r w:rsidRPr="00FD1605">
              <w:rPr>
                <w:rFonts w:eastAsia="Times New Roman" w:cs="Calibri"/>
                <w:color w:val="000000"/>
                <w:szCs w:val="18"/>
                <w:lang w:val="nl-NL" w:eastAsia="nl-NL"/>
              </w:rPr>
              <w:t xml:space="preserve">art. 11, lid 1 van </w:t>
            </w:r>
            <w:r w:rsidRPr="00FD1605">
              <w:rPr>
                <w:szCs w:val="18"/>
                <w:lang w:val="nl-NL"/>
              </w:rPr>
              <w:t xml:space="preserve">de TW en mogelijk artikelen omtrent partnerbegrip en kostendelersnorm </w:t>
            </w:r>
            <w:r w:rsidRPr="00756F6B">
              <w:rPr>
                <w:szCs w:val="18"/>
                <w:lang w:val="nl-NL"/>
              </w:rPr>
              <w:t>(zie fiche B.1).</w:t>
            </w:r>
          </w:p>
          <w:p w:rsidRPr="00FD1605" w:rsidR="00756F6B" w:rsidP="00061051" w:rsidRDefault="00756F6B" w14:paraId="3BCE6840" w14:textId="77777777">
            <w:pPr>
              <w:contextualSpacing/>
              <w:rPr>
                <w:szCs w:val="18"/>
                <w:lang w:val="nl-NL"/>
              </w:rPr>
            </w:pPr>
            <w:r w:rsidRPr="00FD1605">
              <w:rPr>
                <w:rFonts w:eastAsia="Times New Roman" w:cs="Calibri"/>
                <w:color w:val="000000"/>
                <w:szCs w:val="18"/>
                <w:lang w:val="nl-NL" w:eastAsia="nl-NL"/>
              </w:rPr>
              <w:t xml:space="preserve">Nader onderzocht moet worden of een aanvullende grondslag voor de gegevensuitwisseling benodigd is. Hiervoor kan worden gekeken naar het Wetsvoorstel ‘Proactieve dienstverlening’ of aanpassing van de Wet SUWI. </w:t>
            </w:r>
          </w:p>
        </w:tc>
      </w:tr>
      <w:tr w:rsidRPr="00F51BCF" w:rsidR="00756F6B" w:rsidTr="00F56224" w14:paraId="53820E00" w14:textId="77777777">
        <w:trPr>
          <w:trHeight w:val="315"/>
        </w:trPr>
        <w:tc>
          <w:tcPr>
            <w:tcW w:w="2055" w:type="dxa"/>
            <w:tcBorders>
              <w:top w:val="nil"/>
              <w:left w:val="single" w:color="auto" w:sz="8" w:space="0"/>
              <w:bottom w:val="single" w:color="auto" w:sz="8" w:space="0"/>
              <w:right w:val="nil"/>
            </w:tcBorders>
            <w:shd w:val="clear" w:color="auto" w:fill="auto"/>
            <w:noWrap/>
          </w:tcPr>
          <w:p w:rsidRPr="00704454" w:rsidR="00756F6B" w:rsidP="00061051" w:rsidRDefault="00756F6B" w14:paraId="3844E879"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Uitvoerbaarheid</w:t>
            </w:r>
          </w:p>
        </w:tc>
        <w:tc>
          <w:tcPr>
            <w:tcW w:w="8080" w:type="dxa"/>
            <w:tcBorders>
              <w:top w:val="single" w:color="auto" w:sz="4" w:space="0"/>
              <w:left w:val="single" w:color="auto" w:sz="4" w:space="0"/>
              <w:bottom w:val="single" w:color="auto" w:sz="8" w:space="0"/>
              <w:right w:val="single" w:color="auto" w:sz="4" w:space="0"/>
            </w:tcBorders>
            <w:shd w:val="clear" w:color="auto" w:fill="auto"/>
            <w:noWrap/>
          </w:tcPr>
          <w:p w:rsidRPr="00FD1605" w:rsidR="00756F6B" w:rsidP="00061051" w:rsidRDefault="00756F6B" w14:paraId="46974D16" w14:textId="77777777">
            <w:pPr>
              <w:contextualSpacing/>
              <w:rPr>
                <w:szCs w:val="18"/>
                <w:lang w:val="nl-NL"/>
              </w:rPr>
            </w:pPr>
            <w:r w:rsidRPr="00FD1605">
              <w:rPr>
                <w:szCs w:val="18"/>
                <w:lang w:val="nl-NL"/>
              </w:rPr>
              <w:t xml:space="preserve">De maatregel heeft een forse impact op de uitvoering van UWV doordat op grote schaal aanvullend onderzoek moet worden gedaan en gegevens moeten worden uitgevraagd. De gegevens met betrekking tot de leefsituatie en het eventueel inkomen uit of in verband met arbeid van de uitkeringsgerechtigde en, indien van toepassing, zijn partner zijn momenteel niet anders te achterhalen dan door een uitvraag bij de uitkeringsgerechtigde zelf. Dit zou voorkomen kunnen worden door ook de kostendelersnorm af te schaffen en/of de Toeslagenwet te individualiseren. Andere optie is het partnerbegrip en de kostendelersnorm op basis van objectiveerbare criteria </w:t>
            </w:r>
            <w:r w:rsidRPr="00FD1605">
              <w:rPr>
                <w:szCs w:val="18"/>
                <w:lang w:val="nl-NL"/>
              </w:rPr>
              <w:lastRenderedPageBreak/>
              <w:t xml:space="preserve">op te stellen zodat deze informatie uit de basisadministraties of daaraan gelijkgestelde administraties kunnen worden gehaald. </w:t>
            </w:r>
          </w:p>
          <w:p w:rsidRPr="00FD1605" w:rsidR="00756F6B" w:rsidP="00061051" w:rsidRDefault="00756F6B" w14:paraId="35752ABF" w14:textId="77777777">
            <w:pPr>
              <w:contextualSpacing/>
              <w:rPr>
                <w:szCs w:val="18"/>
                <w:lang w:val="nl-NL"/>
              </w:rPr>
            </w:pPr>
          </w:p>
          <w:p w:rsidRPr="00FD1605" w:rsidR="00756F6B" w:rsidP="00061051" w:rsidRDefault="00756F6B" w14:paraId="6AF5AE7C" w14:textId="77777777">
            <w:pPr>
              <w:contextualSpacing/>
              <w:rPr>
                <w:szCs w:val="18"/>
                <w:lang w:val="nl-NL"/>
              </w:rPr>
            </w:pPr>
            <w:r w:rsidRPr="00FD1605">
              <w:rPr>
                <w:szCs w:val="18"/>
                <w:lang w:val="nl-NL"/>
              </w:rPr>
              <w:t>Voor inwerkingtreding is noodzakelijk dat UWV de systemen geschikt maakt. Iedere basiswet heeft een eigen systeem. Dit vergt veel voorbereiding en ICT-capaciteit.</w:t>
            </w:r>
          </w:p>
          <w:p w:rsidRPr="00FD1605" w:rsidR="00756F6B" w:rsidP="00061051" w:rsidRDefault="00756F6B" w14:paraId="6E33C7BA" w14:textId="77777777">
            <w:pPr>
              <w:spacing w:after="0" w:line="240" w:lineRule="auto"/>
              <w:contextualSpacing/>
              <w:rPr>
                <w:szCs w:val="18"/>
                <w:lang w:val="nl-NL"/>
              </w:rPr>
            </w:pPr>
            <w:bookmarkStart w:name="_Hlk174348776" w:id="3"/>
            <w:r w:rsidRPr="00FD1605">
              <w:rPr>
                <w:szCs w:val="18"/>
                <w:lang w:val="nl-NL"/>
              </w:rPr>
              <w:t>Als wordt besloten de groep die momenteel geen aanvullende toeslag ontvangt ook ambtshalve te gaan beoordelen, geldt dat het moeilijk is om deze groep te detecteren en om te bepalen of zij beter af zijn met een TW-aanvulling i.v.m. samenloop van andere voorzieningen.</w:t>
            </w:r>
            <w:bookmarkEnd w:id="3"/>
            <w:r w:rsidRPr="00FD1605">
              <w:rPr>
                <w:szCs w:val="18"/>
                <w:lang w:val="nl-NL"/>
              </w:rPr>
              <w:t xml:space="preserve"> </w:t>
            </w:r>
          </w:p>
        </w:tc>
      </w:tr>
      <w:tr w:rsidRPr="00F51BCF" w:rsidR="00756F6B" w:rsidTr="00F56224" w14:paraId="147B19EE" w14:textId="77777777">
        <w:trPr>
          <w:trHeight w:val="315"/>
        </w:trPr>
        <w:tc>
          <w:tcPr>
            <w:tcW w:w="2055" w:type="dxa"/>
            <w:tcBorders>
              <w:top w:val="nil"/>
              <w:left w:val="single" w:color="auto" w:sz="8" w:space="0"/>
              <w:bottom w:val="single" w:color="auto" w:sz="8" w:space="0"/>
              <w:right w:val="nil"/>
            </w:tcBorders>
            <w:shd w:val="clear" w:color="auto" w:fill="auto"/>
            <w:noWrap/>
          </w:tcPr>
          <w:p w:rsidRPr="00704454" w:rsidR="00756F6B" w:rsidP="00061051" w:rsidRDefault="00756F6B" w14:paraId="3F5FF157"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lastRenderedPageBreak/>
              <w:t>Financiële effecten</w:t>
            </w:r>
          </w:p>
        </w:tc>
        <w:tc>
          <w:tcPr>
            <w:tcW w:w="8080" w:type="dxa"/>
            <w:tcBorders>
              <w:top w:val="single" w:color="auto" w:sz="4" w:space="0"/>
              <w:left w:val="single" w:color="auto" w:sz="4" w:space="0"/>
              <w:bottom w:val="single" w:color="auto" w:sz="8" w:space="0"/>
              <w:right w:val="single" w:color="auto" w:sz="4" w:space="0"/>
            </w:tcBorders>
            <w:shd w:val="clear" w:color="auto" w:fill="auto"/>
            <w:noWrap/>
          </w:tcPr>
          <w:p w:rsidRPr="00FD1605" w:rsidR="00756F6B" w:rsidP="00061051" w:rsidRDefault="00756F6B" w14:paraId="5EBA5A30" w14:textId="77777777">
            <w:pPr>
              <w:spacing w:after="0" w:line="240" w:lineRule="auto"/>
              <w:contextualSpacing/>
              <w:rPr>
                <w:rFonts w:eastAsia="Times New Roman" w:cs="Calibri"/>
                <w:i/>
                <w:iCs/>
                <w:color w:val="000000"/>
                <w:szCs w:val="18"/>
                <w:lang w:val="nl-NL" w:eastAsia="nl-NL"/>
              </w:rPr>
            </w:pPr>
          </w:p>
          <w:tbl>
            <w:tblPr>
              <w:tblStyle w:val="Tabelraster"/>
              <w:tblpPr w:leftFromText="141" w:rightFromText="141" w:vertAnchor="page" w:horzAnchor="margin" w:tblpY="541"/>
              <w:tblOverlap w:val="never"/>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val="01E0" w:firstRow="1" w:lastRow="1" w:firstColumn="1" w:lastColumn="1" w:noHBand="0" w:noVBand="0"/>
            </w:tblPr>
            <w:tblGrid>
              <w:gridCol w:w="1723"/>
              <w:gridCol w:w="887"/>
              <w:gridCol w:w="887"/>
              <w:gridCol w:w="887"/>
              <w:gridCol w:w="887"/>
              <w:gridCol w:w="887"/>
              <w:gridCol w:w="887"/>
              <w:gridCol w:w="887"/>
            </w:tblGrid>
            <w:tr w:rsidRPr="00F51BCF" w:rsidR="00F56224" w:rsidTr="00F56224" w14:paraId="1450B325" w14:textId="77777777">
              <w:trPr>
                <w:trHeight w:val="463"/>
              </w:trPr>
              <w:tc>
                <w:tcPr>
                  <w:tcW w:w="1087" w:type="pct"/>
                  <w:tcBorders>
                    <w:top w:val="single" w:color="auto" w:sz="4" w:space="0"/>
                    <w:left w:val="single" w:color="auto" w:sz="4" w:space="0"/>
                  </w:tcBorders>
                </w:tcPr>
                <w:p w:rsidRPr="00F56224" w:rsidR="00F56224" w:rsidP="00061051" w:rsidRDefault="00F56224" w14:paraId="2E22DD7F" w14:textId="77777777">
                  <w:pPr>
                    <w:contextualSpacing/>
                    <w:rPr>
                      <w:rFonts w:ascii="Verdana" w:hAnsi="Verdana"/>
                      <w:b/>
                      <w:sz w:val="18"/>
                      <w:szCs w:val="18"/>
                    </w:rPr>
                  </w:pPr>
                  <w:r w:rsidRPr="00F56224">
                    <w:rPr>
                      <w:rFonts w:ascii="Verdana" w:hAnsi="Verdana"/>
                      <w:bCs/>
                      <w:i/>
                      <w:iCs/>
                      <w:sz w:val="18"/>
                      <w:szCs w:val="18"/>
                    </w:rPr>
                    <w:t>In miljoenen euro’s</w:t>
                  </w:r>
                </w:p>
              </w:tc>
              <w:tc>
                <w:tcPr>
                  <w:tcW w:w="559" w:type="pct"/>
                  <w:tcBorders>
                    <w:top w:val="single" w:color="auto" w:sz="4" w:space="0"/>
                  </w:tcBorders>
                </w:tcPr>
                <w:p w:rsidRPr="00F56224" w:rsidR="00F56224" w:rsidP="00061051" w:rsidRDefault="00F56224" w14:paraId="0A17719C" w14:textId="77777777">
                  <w:pPr>
                    <w:contextualSpacing/>
                    <w:jc w:val="right"/>
                    <w:rPr>
                      <w:rFonts w:ascii="Verdana" w:hAnsi="Verdana"/>
                      <w:b/>
                      <w:bCs/>
                      <w:sz w:val="18"/>
                      <w:szCs w:val="18"/>
                    </w:rPr>
                  </w:pPr>
                  <w:r w:rsidRPr="00F56224">
                    <w:rPr>
                      <w:rFonts w:ascii="Verdana" w:hAnsi="Verdana"/>
                      <w:b/>
                      <w:bCs/>
                      <w:sz w:val="18"/>
                      <w:szCs w:val="18"/>
                    </w:rPr>
                    <w:t>2026</w:t>
                  </w:r>
                </w:p>
              </w:tc>
              <w:tc>
                <w:tcPr>
                  <w:tcW w:w="559" w:type="pct"/>
                  <w:tcBorders>
                    <w:top w:val="single" w:color="auto" w:sz="4" w:space="0"/>
                  </w:tcBorders>
                </w:tcPr>
                <w:p w:rsidRPr="00F56224" w:rsidR="00F56224" w:rsidP="00061051" w:rsidRDefault="00F56224" w14:paraId="406E1D2D" w14:textId="77777777">
                  <w:pPr>
                    <w:contextualSpacing/>
                    <w:jc w:val="right"/>
                    <w:rPr>
                      <w:rFonts w:ascii="Verdana" w:hAnsi="Verdana"/>
                      <w:b/>
                      <w:bCs/>
                      <w:sz w:val="18"/>
                      <w:szCs w:val="18"/>
                    </w:rPr>
                  </w:pPr>
                  <w:r w:rsidRPr="00F56224">
                    <w:rPr>
                      <w:rFonts w:ascii="Verdana" w:hAnsi="Verdana"/>
                      <w:b/>
                      <w:bCs/>
                      <w:sz w:val="18"/>
                      <w:szCs w:val="18"/>
                    </w:rPr>
                    <w:t>2027</w:t>
                  </w:r>
                </w:p>
              </w:tc>
              <w:tc>
                <w:tcPr>
                  <w:tcW w:w="559" w:type="pct"/>
                  <w:tcBorders>
                    <w:top w:val="single" w:color="auto" w:sz="4" w:space="0"/>
                  </w:tcBorders>
                </w:tcPr>
                <w:p w:rsidRPr="00F56224" w:rsidR="00F56224" w:rsidP="00061051" w:rsidRDefault="00F56224" w14:paraId="5B622754" w14:textId="77777777">
                  <w:pPr>
                    <w:contextualSpacing/>
                    <w:jc w:val="right"/>
                    <w:rPr>
                      <w:rFonts w:ascii="Verdana" w:hAnsi="Verdana"/>
                      <w:b/>
                      <w:bCs/>
                      <w:sz w:val="18"/>
                      <w:szCs w:val="18"/>
                    </w:rPr>
                  </w:pPr>
                  <w:r w:rsidRPr="00F56224">
                    <w:rPr>
                      <w:rFonts w:ascii="Verdana" w:hAnsi="Verdana"/>
                      <w:b/>
                      <w:bCs/>
                      <w:sz w:val="18"/>
                      <w:szCs w:val="18"/>
                    </w:rPr>
                    <w:t>2028</w:t>
                  </w:r>
                </w:p>
              </w:tc>
              <w:tc>
                <w:tcPr>
                  <w:tcW w:w="559" w:type="pct"/>
                  <w:tcBorders>
                    <w:top w:val="single" w:color="auto" w:sz="4" w:space="0"/>
                  </w:tcBorders>
                </w:tcPr>
                <w:p w:rsidRPr="00F56224" w:rsidR="00F56224" w:rsidP="00061051" w:rsidRDefault="00F56224" w14:paraId="5F8BB581" w14:textId="77777777">
                  <w:pPr>
                    <w:contextualSpacing/>
                    <w:jc w:val="right"/>
                    <w:rPr>
                      <w:rFonts w:ascii="Verdana" w:hAnsi="Verdana"/>
                      <w:b/>
                      <w:bCs/>
                      <w:sz w:val="18"/>
                      <w:szCs w:val="18"/>
                    </w:rPr>
                  </w:pPr>
                  <w:r w:rsidRPr="00F56224">
                    <w:rPr>
                      <w:rFonts w:ascii="Verdana" w:hAnsi="Verdana"/>
                      <w:b/>
                      <w:bCs/>
                      <w:sz w:val="18"/>
                      <w:szCs w:val="18"/>
                    </w:rPr>
                    <w:t>2029</w:t>
                  </w:r>
                </w:p>
              </w:tc>
              <w:tc>
                <w:tcPr>
                  <w:tcW w:w="559" w:type="pct"/>
                  <w:tcBorders>
                    <w:top w:val="single" w:color="auto" w:sz="4" w:space="0"/>
                  </w:tcBorders>
                </w:tcPr>
                <w:p w:rsidRPr="00F56224" w:rsidR="00F56224" w:rsidP="00061051" w:rsidRDefault="00F56224" w14:paraId="0DBEF699" w14:textId="77777777">
                  <w:pPr>
                    <w:contextualSpacing/>
                    <w:jc w:val="right"/>
                    <w:rPr>
                      <w:rFonts w:ascii="Verdana" w:hAnsi="Verdana"/>
                      <w:b/>
                      <w:bCs/>
                      <w:sz w:val="18"/>
                      <w:szCs w:val="18"/>
                    </w:rPr>
                  </w:pPr>
                  <w:r w:rsidRPr="00F56224">
                    <w:rPr>
                      <w:rFonts w:ascii="Verdana" w:hAnsi="Verdana"/>
                      <w:b/>
                      <w:bCs/>
                      <w:sz w:val="18"/>
                      <w:szCs w:val="18"/>
                    </w:rPr>
                    <w:t>2030</w:t>
                  </w:r>
                </w:p>
              </w:tc>
              <w:tc>
                <w:tcPr>
                  <w:tcW w:w="559" w:type="pct"/>
                  <w:tcBorders>
                    <w:top w:val="single" w:color="auto" w:sz="4" w:space="0"/>
                  </w:tcBorders>
                </w:tcPr>
                <w:p w:rsidRPr="00F56224" w:rsidR="00F56224" w:rsidP="00061051" w:rsidRDefault="00F56224" w14:paraId="27BC07A2" w14:textId="1C040EF1">
                  <w:pPr>
                    <w:contextualSpacing/>
                    <w:jc w:val="right"/>
                    <w:rPr>
                      <w:rFonts w:ascii="Verdana" w:hAnsi="Verdana"/>
                      <w:b/>
                      <w:bCs/>
                      <w:sz w:val="18"/>
                      <w:szCs w:val="18"/>
                    </w:rPr>
                  </w:pPr>
                  <w:r w:rsidRPr="00F56224">
                    <w:rPr>
                      <w:rFonts w:ascii="Verdana" w:hAnsi="Verdana"/>
                      <w:b/>
                      <w:bCs/>
                      <w:sz w:val="18"/>
                      <w:szCs w:val="18"/>
                    </w:rPr>
                    <w:t>2031</w:t>
                  </w:r>
                </w:p>
              </w:tc>
              <w:tc>
                <w:tcPr>
                  <w:tcW w:w="559" w:type="pct"/>
                  <w:tcBorders>
                    <w:top w:val="single" w:color="auto" w:sz="4" w:space="0"/>
                  </w:tcBorders>
                </w:tcPr>
                <w:p w:rsidRPr="00F56224" w:rsidR="00F56224" w:rsidP="00061051" w:rsidRDefault="00F56224" w14:paraId="72071229" w14:textId="4E838CC4">
                  <w:pPr>
                    <w:contextualSpacing/>
                    <w:jc w:val="right"/>
                    <w:rPr>
                      <w:rFonts w:ascii="Verdana" w:hAnsi="Verdana"/>
                      <w:b/>
                      <w:bCs/>
                      <w:sz w:val="18"/>
                      <w:szCs w:val="18"/>
                    </w:rPr>
                  </w:pPr>
                  <w:proofErr w:type="spellStart"/>
                  <w:r w:rsidRPr="00F56224">
                    <w:rPr>
                      <w:rFonts w:ascii="Verdana" w:hAnsi="Verdana"/>
                      <w:b/>
                      <w:bCs/>
                      <w:sz w:val="18"/>
                      <w:szCs w:val="18"/>
                    </w:rPr>
                    <w:t>Struc</w:t>
                  </w:r>
                  <w:proofErr w:type="spellEnd"/>
                  <w:r w:rsidRPr="00F56224">
                    <w:rPr>
                      <w:rFonts w:ascii="Verdana" w:hAnsi="Verdana"/>
                      <w:b/>
                      <w:bCs/>
                      <w:sz w:val="18"/>
                      <w:szCs w:val="18"/>
                    </w:rPr>
                    <w:t>.</w:t>
                  </w:r>
                </w:p>
              </w:tc>
            </w:tr>
            <w:tr w:rsidRPr="00F51BCF" w:rsidR="00F56224" w:rsidTr="00F56224" w14:paraId="1407B35B" w14:textId="77777777">
              <w:trPr>
                <w:trHeight w:val="495"/>
              </w:trPr>
              <w:tc>
                <w:tcPr>
                  <w:tcW w:w="1087" w:type="pct"/>
                </w:tcPr>
                <w:p w:rsidRPr="00F56224" w:rsidR="00F56224" w:rsidP="00061051" w:rsidRDefault="00F56224" w14:paraId="76F55CD8" w14:textId="77777777">
                  <w:pPr>
                    <w:contextualSpacing/>
                    <w:rPr>
                      <w:rFonts w:ascii="Verdana" w:hAnsi="Verdana"/>
                      <w:sz w:val="18"/>
                      <w:szCs w:val="18"/>
                    </w:rPr>
                  </w:pPr>
                  <w:r w:rsidRPr="00F56224">
                    <w:rPr>
                      <w:rFonts w:ascii="Verdana" w:hAnsi="Verdana"/>
                      <w:sz w:val="18"/>
                      <w:szCs w:val="18"/>
                    </w:rPr>
                    <w:t>Algemene effecten</w:t>
                  </w:r>
                </w:p>
              </w:tc>
              <w:tc>
                <w:tcPr>
                  <w:tcW w:w="559" w:type="pct"/>
                </w:tcPr>
                <w:p w:rsidRPr="00F56224" w:rsidR="00F56224" w:rsidP="00061051" w:rsidRDefault="00F56224" w14:paraId="628683ED" w14:textId="77777777">
                  <w:pPr>
                    <w:contextualSpacing/>
                    <w:jc w:val="right"/>
                    <w:rPr>
                      <w:rFonts w:ascii="Verdana" w:hAnsi="Verdana"/>
                      <w:sz w:val="18"/>
                      <w:szCs w:val="18"/>
                    </w:rPr>
                  </w:pPr>
                </w:p>
              </w:tc>
              <w:tc>
                <w:tcPr>
                  <w:tcW w:w="559" w:type="pct"/>
                </w:tcPr>
                <w:p w:rsidRPr="00F56224" w:rsidR="00F56224" w:rsidP="00061051" w:rsidRDefault="00F56224" w14:paraId="5D800F3C" w14:textId="3715C96E">
                  <w:pPr>
                    <w:contextualSpacing/>
                    <w:jc w:val="right"/>
                    <w:rPr>
                      <w:rFonts w:ascii="Verdana" w:hAnsi="Verdana"/>
                      <w:sz w:val="18"/>
                      <w:szCs w:val="18"/>
                    </w:rPr>
                  </w:pPr>
                </w:p>
              </w:tc>
              <w:tc>
                <w:tcPr>
                  <w:tcW w:w="559" w:type="pct"/>
                </w:tcPr>
                <w:p w:rsidRPr="00F56224" w:rsidR="00F56224" w:rsidP="00061051" w:rsidRDefault="00F56224" w14:paraId="14D55F78" w14:textId="59DD5DB9">
                  <w:pPr>
                    <w:contextualSpacing/>
                    <w:jc w:val="right"/>
                    <w:rPr>
                      <w:rFonts w:ascii="Verdana" w:hAnsi="Verdana"/>
                      <w:sz w:val="18"/>
                      <w:szCs w:val="18"/>
                    </w:rPr>
                  </w:pPr>
                </w:p>
              </w:tc>
              <w:tc>
                <w:tcPr>
                  <w:tcW w:w="559" w:type="pct"/>
                </w:tcPr>
                <w:p w:rsidRPr="00F56224" w:rsidR="00F56224" w:rsidP="00061051" w:rsidRDefault="00F56224" w14:paraId="58BC3CEF" w14:textId="1C61571A">
                  <w:pPr>
                    <w:contextualSpacing/>
                    <w:jc w:val="right"/>
                    <w:rPr>
                      <w:rFonts w:ascii="Verdana" w:hAnsi="Verdana"/>
                      <w:sz w:val="18"/>
                      <w:szCs w:val="18"/>
                    </w:rPr>
                  </w:pPr>
                  <w:r w:rsidRPr="00F56224">
                    <w:rPr>
                      <w:rFonts w:ascii="Verdana" w:hAnsi="Verdana"/>
                      <w:sz w:val="18"/>
                      <w:szCs w:val="18"/>
                    </w:rPr>
                    <w:t>424,2</w:t>
                  </w:r>
                </w:p>
              </w:tc>
              <w:tc>
                <w:tcPr>
                  <w:tcW w:w="559" w:type="pct"/>
                </w:tcPr>
                <w:p w:rsidRPr="00F56224" w:rsidR="00F56224" w:rsidP="00061051" w:rsidRDefault="00F56224" w14:paraId="487A7B75" w14:textId="5D575291">
                  <w:pPr>
                    <w:contextualSpacing/>
                    <w:jc w:val="right"/>
                    <w:rPr>
                      <w:rFonts w:ascii="Verdana" w:hAnsi="Verdana"/>
                      <w:sz w:val="18"/>
                      <w:szCs w:val="18"/>
                    </w:rPr>
                  </w:pPr>
                  <w:r w:rsidRPr="00F56224">
                    <w:rPr>
                      <w:rFonts w:ascii="Verdana" w:hAnsi="Verdana"/>
                      <w:sz w:val="18"/>
                      <w:szCs w:val="18"/>
                    </w:rPr>
                    <w:t>428,9</w:t>
                  </w:r>
                </w:p>
              </w:tc>
              <w:tc>
                <w:tcPr>
                  <w:tcW w:w="559" w:type="pct"/>
                </w:tcPr>
                <w:p w:rsidRPr="00F56224" w:rsidR="00F56224" w:rsidP="00061051" w:rsidRDefault="00F56224" w14:paraId="33032715" w14:textId="53C6C224">
                  <w:pPr>
                    <w:contextualSpacing/>
                    <w:jc w:val="right"/>
                    <w:rPr>
                      <w:rFonts w:ascii="Verdana" w:hAnsi="Verdana"/>
                      <w:sz w:val="18"/>
                      <w:szCs w:val="18"/>
                    </w:rPr>
                  </w:pPr>
                  <w:r w:rsidRPr="00F56224">
                    <w:rPr>
                      <w:rFonts w:ascii="Verdana" w:hAnsi="Verdana"/>
                      <w:sz w:val="18"/>
                      <w:szCs w:val="18"/>
                    </w:rPr>
                    <w:t>434,0</w:t>
                  </w:r>
                </w:p>
              </w:tc>
              <w:tc>
                <w:tcPr>
                  <w:tcW w:w="559" w:type="pct"/>
                </w:tcPr>
                <w:p w:rsidRPr="00F56224" w:rsidR="00F56224" w:rsidP="00061051" w:rsidRDefault="00F56224" w14:paraId="1DDF2128" w14:textId="7A076182">
                  <w:pPr>
                    <w:contextualSpacing/>
                    <w:jc w:val="right"/>
                    <w:rPr>
                      <w:rFonts w:ascii="Verdana" w:hAnsi="Verdana"/>
                      <w:sz w:val="18"/>
                      <w:szCs w:val="18"/>
                    </w:rPr>
                  </w:pPr>
                  <w:r w:rsidRPr="00F56224">
                    <w:rPr>
                      <w:rFonts w:ascii="Verdana" w:hAnsi="Verdana"/>
                      <w:sz w:val="18"/>
                      <w:szCs w:val="18"/>
                    </w:rPr>
                    <w:t>369,7</w:t>
                  </w:r>
                </w:p>
              </w:tc>
            </w:tr>
            <w:tr w:rsidRPr="00F51BCF" w:rsidR="00F56224" w:rsidTr="00F56224" w14:paraId="5E2A4C3A" w14:textId="77777777">
              <w:trPr>
                <w:trHeight w:val="239"/>
              </w:trPr>
              <w:tc>
                <w:tcPr>
                  <w:tcW w:w="1087" w:type="pct"/>
                </w:tcPr>
                <w:p w:rsidRPr="00F56224" w:rsidR="00F56224" w:rsidP="00061051" w:rsidRDefault="00F56224" w14:paraId="067869E7" w14:textId="77777777">
                  <w:pPr>
                    <w:contextualSpacing/>
                    <w:rPr>
                      <w:rFonts w:ascii="Verdana" w:hAnsi="Verdana"/>
                      <w:sz w:val="18"/>
                      <w:szCs w:val="18"/>
                    </w:rPr>
                  </w:pPr>
                  <w:r w:rsidRPr="00F56224">
                    <w:rPr>
                      <w:rFonts w:ascii="Verdana" w:hAnsi="Verdana"/>
                      <w:sz w:val="18"/>
                      <w:szCs w:val="18"/>
                    </w:rPr>
                    <w:t>Weglekeffecten</w:t>
                  </w:r>
                </w:p>
              </w:tc>
              <w:tc>
                <w:tcPr>
                  <w:tcW w:w="559" w:type="pct"/>
                </w:tcPr>
                <w:p w:rsidRPr="00F56224" w:rsidR="00F56224" w:rsidP="00061051" w:rsidRDefault="00F56224" w14:paraId="50FD6266" w14:textId="77777777">
                  <w:pPr>
                    <w:contextualSpacing/>
                    <w:jc w:val="right"/>
                    <w:rPr>
                      <w:rFonts w:ascii="Verdana" w:hAnsi="Verdana"/>
                      <w:sz w:val="18"/>
                      <w:szCs w:val="18"/>
                    </w:rPr>
                  </w:pPr>
                </w:p>
              </w:tc>
              <w:tc>
                <w:tcPr>
                  <w:tcW w:w="559" w:type="pct"/>
                </w:tcPr>
                <w:p w:rsidRPr="00F56224" w:rsidR="00F56224" w:rsidP="00061051" w:rsidRDefault="00F56224" w14:paraId="23B4C8BC" w14:textId="77777777">
                  <w:pPr>
                    <w:contextualSpacing/>
                    <w:jc w:val="right"/>
                    <w:rPr>
                      <w:rFonts w:ascii="Verdana" w:hAnsi="Verdana"/>
                      <w:sz w:val="18"/>
                      <w:szCs w:val="18"/>
                    </w:rPr>
                  </w:pPr>
                </w:p>
              </w:tc>
              <w:tc>
                <w:tcPr>
                  <w:tcW w:w="559" w:type="pct"/>
                </w:tcPr>
                <w:p w:rsidRPr="00F56224" w:rsidR="00F56224" w:rsidP="00061051" w:rsidRDefault="00F56224" w14:paraId="69859A6D" w14:textId="77777777">
                  <w:pPr>
                    <w:contextualSpacing/>
                    <w:jc w:val="right"/>
                    <w:rPr>
                      <w:rFonts w:ascii="Verdana" w:hAnsi="Verdana"/>
                      <w:sz w:val="18"/>
                      <w:szCs w:val="18"/>
                    </w:rPr>
                  </w:pPr>
                </w:p>
              </w:tc>
              <w:tc>
                <w:tcPr>
                  <w:tcW w:w="559" w:type="pct"/>
                </w:tcPr>
                <w:p w:rsidRPr="00F56224" w:rsidR="00F56224" w:rsidP="00061051" w:rsidRDefault="00F56224" w14:paraId="45824866" w14:textId="77777777">
                  <w:pPr>
                    <w:contextualSpacing/>
                    <w:jc w:val="right"/>
                    <w:rPr>
                      <w:rFonts w:ascii="Verdana" w:hAnsi="Verdana"/>
                      <w:sz w:val="18"/>
                      <w:szCs w:val="18"/>
                    </w:rPr>
                  </w:pPr>
                </w:p>
              </w:tc>
              <w:tc>
                <w:tcPr>
                  <w:tcW w:w="559" w:type="pct"/>
                </w:tcPr>
                <w:p w:rsidRPr="00F56224" w:rsidR="00F56224" w:rsidP="00061051" w:rsidRDefault="00F56224" w14:paraId="3220541C" w14:textId="77777777">
                  <w:pPr>
                    <w:contextualSpacing/>
                    <w:jc w:val="right"/>
                    <w:rPr>
                      <w:rFonts w:ascii="Verdana" w:hAnsi="Verdana"/>
                      <w:sz w:val="18"/>
                      <w:szCs w:val="18"/>
                    </w:rPr>
                  </w:pPr>
                </w:p>
              </w:tc>
              <w:tc>
                <w:tcPr>
                  <w:tcW w:w="559" w:type="pct"/>
                </w:tcPr>
                <w:p w:rsidRPr="00F56224" w:rsidR="00F56224" w:rsidP="00061051" w:rsidRDefault="00F56224" w14:paraId="49C8125E" w14:textId="77777777">
                  <w:pPr>
                    <w:contextualSpacing/>
                    <w:jc w:val="right"/>
                    <w:rPr>
                      <w:rFonts w:ascii="Verdana" w:hAnsi="Verdana"/>
                      <w:sz w:val="18"/>
                      <w:szCs w:val="18"/>
                    </w:rPr>
                  </w:pPr>
                </w:p>
              </w:tc>
              <w:tc>
                <w:tcPr>
                  <w:tcW w:w="559" w:type="pct"/>
                </w:tcPr>
                <w:p w:rsidRPr="00F56224" w:rsidR="00F56224" w:rsidP="00061051" w:rsidRDefault="00F56224" w14:paraId="1D4794F5" w14:textId="1AFF28AC">
                  <w:pPr>
                    <w:contextualSpacing/>
                    <w:jc w:val="right"/>
                    <w:rPr>
                      <w:rFonts w:ascii="Verdana" w:hAnsi="Verdana"/>
                      <w:sz w:val="18"/>
                      <w:szCs w:val="18"/>
                    </w:rPr>
                  </w:pPr>
                </w:p>
              </w:tc>
            </w:tr>
            <w:tr w:rsidRPr="00F51BCF" w:rsidR="00F56224" w:rsidTr="00F56224" w14:paraId="04D5DEEF" w14:textId="77777777">
              <w:trPr>
                <w:trHeight w:val="478"/>
              </w:trPr>
              <w:tc>
                <w:tcPr>
                  <w:tcW w:w="1087" w:type="pct"/>
                </w:tcPr>
                <w:p w:rsidRPr="00F56224" w:rsidR="00F56224" w:rsidP="00061051" w:rsidRDefault="00F56224" w14:paraId="17BB2304" w14:textId="77777777">
                  <w:pPr>
                    <w:contextualSpacing/>
                    <w:rPr>
                      <w:rFonts w:ascii="Verdana" w:hAnsi="Verdana"/>
                      <w:sz w:val="18"/>
                      <w:szCs w:val="18"/>
                    </w:rPr>
                  </w:pPr>
                  <w:r w:rsidRPr="00F56224">
                    <w:rPr>
                      <w:rFonts w:ascii="Verdana" w:hAnsi="Verdana"/>
                      <w:sz w:val="18"/>
                      <w:szCs w:val="18"/>
                    </w:rPr>
                    <w:t>Uitvoeringskosten</w:t>
                  </w:r>
                </w:p>
              </w:tc>
              <w:tc>
                <w:tcPr>
                  <w:tcW w:w="559" w:type="pct"/>
                </w:tcPr>
                <w:p w:rsidRPr="00F56224" w:rsidR="00F56224" w:rsidP="00061051" w:rsidRDefault="00F56224" w14:paraId="52099C80" w14:textId="77777777">
                  <w:pPr>
                    <w:contextualSpacing/>
                    <w:jc w:val="right"/>
                    <w:rPr>
                      <w:rFonts w:ascii="Verdana" w:hAnsi="Verdana"/>
                      <w:sz w:val="18"/>
                      <w:szCs w:val="18"/>
                    </w:rPr>
                  </w:pPr>
                </w:p>
              </w:tc>
              <w:tc>
                <w:tcPr>
                  <w:tcW w:w="559" w:type="pct"/>
                </w:tcPr>
                <w:p w:rsidRPr="00F56224" w:rsidR="00F56224" w:rsidP="00061051" w:rsidRDefault="00F56224" w14:paraId="55C5BB9B" w14:textId="77777777">
                  <w:pPr>
                    <w:contextualSpacing/>
                    <w:jc w:val="right"/>
                    <w:rPr>
                      <w:rFonts w:ascii="Verdana" w:hAnsi="Verdana"/>
                      <w:sz w:val="18"/>
                      <w:szCs w:val="18"/>
                    </w:rPr>
                  </w:pPr>
                </w:p>
              </w:tc>
              <w:tc>
                <w:tcPr>
                  <w:tcW w:w="559" w:type="pct"/>
                </w:tcPr>
                <w:p w:rsidRPr="00F56224" w:rsidR="00F56224" w:rsidP="00061051" w:rsidRDefault="00F56224" w14:paraId="1DBB1E33" w14:textId="77777777">
                  <w:pPr>
                    <w:contextualSpacing/>
                    <w:jc w:val="right"/>
                    <w:rPr>
                      <w:rFonts w:ascii="Verdana" w:hAnsi="Verdana"/>
                      <w:sz w:val="18"/>
                      <w:szCs w:val="18"/>
                    </w:rPr>
                  </w:pPr>
                </w:p>
              </w:tc>
              <w:tc>
                <w:tcPr>
                  <w:tcW w:w="559" w:type="pct"/>
                </w:tcPr>
                <w:p w:rsidRPr="00F56224" w:rsidR="00F56224" w:rsidP="00061051" w:rsidRDefault="00F56224" w14:paraId="2E824BCB" w14:textId="77777777">
                  <w:pPr>
                    <w:contextualSpacing/>
                    <w:jc w:val="right"/>
                    <w:rPr>
                      <w:rFonts w:ascii="Verdana" w:hAnsi="Verdana"/>
                      <w:sz w:val="18"/>
                      <w:szCs w:val="18"/>
                    </w:rPr>
                  </w:pPr>
                </w:p>
              </w:tc>
              <w:tc>
                <w:tcPr>
                  <w:tcW w:w="559" w:type="pct"/>
                </w:tcPr>
                <w:p w:rsidRPr="00F56224" w:rsidR="00F56224" w:rsidP="00061051" w:rsidRDefault="00F56224" w14:paraId="57A2663D" w14:textId="77777777">
                  <w:pPr>
                    <w:contextualSpacing/>
                    <w:jc w:val="right"/>
                    <w:rPr>
                      <w:rFonts w:ascii="Verdana" w:hAnsi="Verdana"/>
                      <w:sz w:val="18"/>
                      <w:szCs w:val="18"/>
                    </w:rPr>
                  </w:pPr>
                </w:p>
              </w:tc>
              <w:tc>
                <w:tcPr>
                  <w:tcW w:w="559" w:type="pct"/>
                </w:tcPr>
                <w:p w:rsidRPr="00F56224" w:rsidR="00F56224" w:rsidP="00061051" w:rsidRDefault="00F56224" w14:paraId="08174B15" w14:textId="77777777">
                  <w:pPr>
                    <w:contextualSpacing/>
                    <w:jc w:val="right"/>
                    <w:rPr>
                      <w:rFonts w:ascii="Verdana" w:hAnsi="Verdana"/>
                      <w:sz w:val="18"/>
                      <w:szCs w:val="18"/>
                    </w:rPr>
                  </w:pPr>
                </w:p>
              </w:tc>
              <w:tc>
                <w:tcPr>
                  <w:tcW w:w="559" w:type="pct"/>
                </w:tcPr>
                <w:p w:rsidRPr="00F56224" w:rsidR="00F56224" w:rsidP="00061051" w:rsidRDefault="00F56224" w14:paraId="0C39148B" w14:textId="1B758FB8">
                  <w:pPr>
                    <w:contextualSpacing/>
                    <w:jc w:val="right"/>
                    <w:rPr>
                      <w:rFonts w:ascii="Verdana" w:hAnsi="Verdana"/>
                      <w:sz w:val="18"/>
                      <w:szCs w:val="18"/>
                    </w:rPr>
                  </w:pPr>
                </w:p>
              </w:tc>
            </w:tr>
            <w:tr w:rsidRPr="00F51BCF" w:rsidR="00F56224" w:rsidTr="00F56224" w14:paraId="61DDF687" w14:textId="77777777">
              <w:trPr>
                <w:trHeight w:val="254"/>
              </w:trPr>
              <w:tc>
                <w:tcPr>
                  <w:tcW w:w="1087" w:type="pct"/>
                </w:tcPr>
                <w:p w:rsidRPr="00F56224" w:rsidR="00F56224" w:rsidP="00061051" w:rsidRDefault="00F56224" w14:paraId="1BD62069" w14:textId="77777777">
                  <w:pPr>
                    <w:contextualSpacing/>
                    <w:rPr>
                      <w:rFonts w:ascii="Verdana" w:hAnsi="Verdana"/>
                      <w:sz w:val="18"/>
                      <w:szCs w:val="18"/>
                    </w:rPr>
                  </w:pPr>
                </w:p>
              </w:tc>
              <w:tc>
                <w:tcPr>
                  <w:tcW w:w="559" w:type="pct"/>
                </w:tcPr>
                <w:p w:rsidRPr="00F56224" w:rsidR="00F56224" w:rsidP="00061051" w:rsidRDefault="00F56224" w14:paraId="025B02C4" w14:textId="77777777">
                  <w:pPr>
                    <w:contextualSpacing/>
                    <w:jc w:val="right"/>
                    <w:rPr>
                      <w:rFonts w:ascii="Verdana" w:hAnsi="Verdana"/>
                      <w:sz w:val="18"/>
                      <w:szCs w:val="18"/>
                    </w:rPr>
                  </w:pPr>
                </w:p>
              </w:tc>
              <w:tc>
                <w:tcPr>
                  <w:tcW w:w="559" w:type="pct"/>
                </w:tcPr>
                <w:p w:rsidRPr="00F56224" w:rsidR="00F56224" w:rsidP="00061051" w:rsidRDefault="00F56224" w14:paraId="7885DC56" w14:textId="77777777">
                  <w:pPr>
                    <w:contextualSpacing/>
                    <w:jc w:val="right"/>
                    <w:rPr>
                      <w:rFonts w:ascii="Verdana" w:hAnsi="Verdana"/>
                      <w:sz w:val="18"/>
                      <w:szCs w:val="18"/>
                    </w:rPr>
                  </w:pPr>
                </w:p>
              </w:tc>
              <w:tc>
                <w:tcPr>
                  <w:tcW w:w="559" w:type="pct"/>
                </w:tcPr>
                <w:p w:rsidRPr="00F56224" w:rsidR="00F56224" w:rsidP="00061051" w:rsidRDefault="00F56224" w14:paraId="4262D15A" w14:textId="77777777">
                  <w:pPr>
                    <w:contextualSpacing/>
                    <w:jc w:val="right"/>
                    <w:rPr>
                      <w:rFonts w:ascii="Verdana" w:hAnsi="Verdana"/>
                      <w:sz w:val="18"/>
                      <w:szCs w:val="18"/>
                    </w:rPr>
                  </w:pPr>
                </w:p>
              </w:tc>
              <w:tc>
                <w:tcPr>
                  <w:tcW w:w="559" w:type="pct"/>
                </w:tcPr>
                <w:p w:rsidRPr="00F56224" w:rsidR="00F56224" w:rsidP="00061051" w:rsidRDefault="00F56224" w14:paraId="64064FD2" w14:textId="77777777">
                  <w:pPr>
                    <w:contextualSpacing/>
                    <w:jc w:val="right"/>
                    <w:rPr>
                      <w:rFonts w:ascii="Verdana" w:hAnsi="Verdana"/>
                      <w:sz w:val="18"/>
                      <w:szCs w:val="18"/>
                    </w:rPr>
                  </w:pPr>
                </w:p>
              </w:tc>
              <w:tc>
                <w:tcPr>
                  <w:tcW w:w="559" w:type="pct"/>
                </w:tcPr>
                <w:p w:rsidRPr="00F56224" w:rsidR="00F56224" w:rsidP="00061051" w:rsidRDefault="00F56224" w14:paraId="61311B3B" w14:textId="77777777">
                  <w:pPr>
                    <w:contextualSpacing/>
                    <w:jc w:val="right"/>
                    <w:rPr>
                      <w:rFonts w:ascii="Verdana" w:hAnsi="Verdana"/>
                      <w:sz w:val="18"/>
                      <w:szCs w:val="18"/>
                    </w:rPr>
                  </w:pPr>
                </w:p>
              </w:tc>
              <w:tc>
                <w:tcPr>
                  <w:tcW w:w="559" w:type="pct"/>
                </w:tcPr>
                <w:p w:rsidRPr="00F56224" w:rsidR="00F56224" w:rsidP="00061051" w:rsidRDefault="00F56224" w14:paraId="4AC02058" w14:textId="77777777">
                  <w:pPr>
                    <w:contextualSpacing/>
                    <w:jc w:val="right"/>
                    <w:rPr>
                      <w:rFonts w:ascii="Verdana" w:hAnsi="Verdana"/>
                      <w:sz w:val="18"/>
                      <w:szCs w:val="18"/>
                    </w:rPr>
                  </w:pPr>
                </w:p>
              </w:tc>
              <w:tc>
                <w:tcPr>
                  <w:tcW w:w="559" w:type="pct"/>
                </w:tcPr>
                <w:p w:rsidRPr="00F56224" w:rsidR="00F56224" w:rsidP="00061051" w:rsidRDefault="00F56224" w14:paraId="33EE8E83" w14:textId="00A811D1">
                  <w:pPr>
                    <w:contextualSpacing/>
                    <w:jc w:val="right"/>
                    <w:rPr>
                      <w:rFonts w:ascii="Verdana" w:hAnsi="Verdana"/>
                      <w:sz w:val="18"/>
                      <w:szCs w:val="18"/>
                    </w:rPr>
                  </w:pPr>
                </w:p>
              </w:tc>
            </w:tr>
            <w:tr w:rsidRPr="00F51BCF" w:rsidR="00F56224" w:rsidTr="00F56224" w14:paraId="58E468B7" w14:textId="77777777">
              <w:trPr>
                <w:trHeight w:val="495"/>
              </w:trPr>
              <w:tc>
                <w:tcPr>
                  <w:tcW w:w="1087" w:type="pct"/>
                </w:tcPr>
                <w:p w:rsidRPr="00F56224" w:rsidR="00F56224" w:rsidP="00061051" w:rsidRDefault="00F56224" w14:paraId="1B478910" w14:textId="77777777">
                  <w:pPr>
                    <w:contextualSpacing/>
                    <w:rPr>
                      <w:rFonts w:ascii="Verdana" w:hAnsi="Verdana"/>
                      <w:b/>
                      <w:bCs/>
                      <w:sz w:val="18"/>
                      <w:szCs w:val="18"/>
                    </w:rPr>
                  </w:pPr>
                  <w:r w:rsidRPr="00F56224">
                    <w:rPr>
                      <w:rFonts w:ascii="Verdana" w:hAnsi="Verdana"/>
                      <w:b/>
                      <w:bCs/>
                      <w:sz w:val="18"/>
                      <w:szCs w:val="18"/>
                    </w:rPr>
                    <w:t>Totaal</w:t>
                  </w:r>
                </w:p>
              </w:tc>
              <w:tc>
                <w:tcPr>
                  <w:tcW w:w="559" w:type="pct"/>
                </w:tcPr>
                <w:p w:rsidRPr="00F56224" w:rsidR="00F56224" w:rsidP="00061051" w:rsidRDefault="00F56224" w14:paraId="22C709F5" w14:textId="77777777">
                  <w:pPr>
                    <w:contextualSpacing/>
                    <w:jc w:val="right"/>
                    <w:rPr>
                      <w:rFonts w:ascii="Verdana" w:hAnsi="Verdana"/>
                      <w:b/>
                      <w:bCs/>
                      <w:sz w:val="18"/>
                      <w:szCs w:val="18"/>
                    </w:rPr>
                  </w:pPr>
                </w:p>
              </w:tc>
              <w:tc>
                <w:tcPr>
                  <w:tcW w:w="559" w:type="pct"/>
                </w:tcPr>
                <w:p w:rsidRPr="00F56224" w:rsidR="00F56224" w:rsidP="00061051" w:rsidRDefault="00F56224" w14:paraId="48D5C608" w14:textId="0834BA75">
                  <w:pPr>
                    <w:contextualSpacing/>
                    <w:jc w:val="right"/>
                    <w:rPr>
                      <w:rFonts w:ascii="Verdana" w:hAnsi="Verdana"/>
                      <w:b/>
                      <w:bCs/>
                      <w:sz w:val="18"/>
                      <w:szCs w:val="18"/>
                    </w:rPr>
                  </w:pPr>
                </w:p>
              </w:tc>
              <w:tc>
                <w:tcPr>
                  <w:tcW w:w="559" w:type="pct"/>
                </w:tcPr>
                <w:p w:rsidRPr="00F56224" w:rsidR="00F56224" w:rsidP="00061051" w:rsidRDefault="00F56224" w14:paraId="4C1B0C6E" w14:textId="69E1C24A">
                  <w:pPr>
                    <w:contextualSpacing/>
                    <w:jc w:val="right"/>
                    <w:rPr>
                      <w:rFonts w:ascii="Verdana" w:hAnsi="Verdana"/>
                      <w:b/>
                      <w:bCs/>
                      <w:sz w:val="18"/>
                      <w:szCs w:val="18"/>
                    </w:rPr>
                  </w:pPr>
                </w:p>
              </w:tc>
              <w:tc>
                <w:tcPr>
                  <w:tcW w:w="559" w:type="pct"/>
                </w:tcPr>
                <w:p w:rsidRPr="00F56224" w:rsidR="00F56224" w:rsidP="00061051" w:rsidRDefault="00F56224" w14:paraId="44B8A48A" w14:textId="14E77C09">
                  <w:pPr>
                    <w:contextualSpacing/>
                    <w:jc w:val="right"/>
                    <w:rPr>
                      <w:rFonts w:ascii="Verdana" w:hAnsi="Verdana"/>
                      <w:b/>
                      <w:bCs/>
                      <w:sz w:val="18"/>
                      <w:szCs w:val="18"/>
                    </w:rPr>
                  </w:pPr>
                  <w:r w:rsidRPr="00F56224">
                    <w:rPr>
                      <w:rFonts w:ascii="Verdana" w:hAnsi="Verdana"/>
                      <w:sz w:val="18"/>
                      <w:szCs w:val="18"/>
                    </w:rPr>
                    <w:t>424,2</w:t>
                  </w:r>
                </w:p>
              </w:tc>
              <w:tc>
                <w:tcPr>
                  <w:tcW w:w="559" w:type="pct"/>
                </w:tcPr>
                <w:p w:rsidRPr="00F56224" w:rsidR="00F56224" w:rsidP="00061051" w:rsidRDefault="00F56224" w14:paraId="7A8D0E08" w14:textId="0F8E0F02">
                  <w:pPr>
                    <w:contextualSpacing/>
                    <w:jc w:val="right"/>
                    <w:rPr>
                      <w:rFonts w:ascii="Verdana" w:hAnsi="Verdana"/>
                      <w:b/>
                      <w:bCs/>
                      <w:sz w:val="18"/>
                      <w:szCs w:val="18"/>
                    </w:rPr>
                  </w:pPr>
                  <w:r w:rsidRPr="00F56224">
                    <w:rPr>
                      <w:rFonts w:ascii="Verdana" w:hAnsi="Verdana"/>
                      <w:sz w:val="18"/>
                      <w:szCs w:val="18"/>
                    </w:rPr>
                    <w:t>428,9</w:t>
                  </w:r>
                </w:p>
              </w:tc>
              <w:tc>
                <w:tcPr>
                  <w:tcW w:w="559" w:type="pct"/>
                </w:tcPr>
                <w:p w:rsidRPr="00F56224" w:rsidR="00F56224" w:rsidP="00061051" w:rsidRDefault="00F56224" w14:paraId="3981868F" w14:textId="0E482582">
                  <w:pPr>
                    <w:contextualSpacing/>
                    <w:jc w:val="right"/>
                    <w:rPr>
                      <w:rFonts w:ascii="Verdana" w:hAnsi="Verdana"/>
                      <w:sz w:val="18"/>
                      <w:szCs w:val="18"/>
                    </w:rPr>
                  </w:pPr>
                  <w:r w:rsidRPr="00F56224">
                    <w:rPr>
                      <w:rFonts w:ascii="Verdana" w:hAnsi="Verdana"/>
                      <w:sz w:val="18"/>
                      <w:szCs w:val="18"/>
                    </w:rPr>
                    <w:t>434,0</w:t>
                  </w:r>
                </w:p>
              </w:tc>
              <w:tc>
                <w:tcPr>
                  <w:tcW w:w="559" w:type="pct"/>
                </w:tcPr>
                <w:p w:rsidRPr="00F56224" w:rsidR="00F56224" w:rsidP="00061051" w:rsidRDefault="00F56224" w14:paraId="10604930" w14:textId="57E279DF">
                  <w:pPr>
                    <w:contextualSpacing/>
                    <w:jc w:val="right"/>
                    <w:rPr>
                      <w:rFonts w:ascii="Verdana" w:hAnsi="Verdana"/>
                      <w:b/>
                      <w:bCs/>
                      <w:sz w:val="18"/>
                      <w:szCs w:val="18"/>
                    </w:rPr>
                  </w:pPr>
                  <w:r w:rsidRPr="00F56224">
                    <w:rPr>
                      <w:rFonts w:ascii="Verdana" w:hAnsi="Verdana"/>
                      <w:sz w:val="18"/>
                      <w:szCs w:val="18"/>
                    </w:rPr>
                    <w:t>369,7</w:t>
                  </w:r>
                </w:p>
              </w:tc>
            </w:tr>
          </w:tbl>
          <w:p w:rsidRPr="00FD1605" w:rsidR="00756F6B" w:rsidP="00061051" w:rsidRDefault="00756F6B" w14:paraId="4D9209C0" w14:textId="77777777">
            <w:pPr>
              <w:spacing w:after="0" w:line="240" w:lineRule="auto"/>
              <w:contextualSpacing/>
              <w:rPr>
                <w:rFonts w:eastAsia="Times New Roman" w:cs="Calibri"/>
                <w:color w:val="000000"/>
                <w:szCs w:val="18"/>
                <w:lang w:val="nl-NL" w:eastAsia="nl-NL"/>
              </w:rPr>
            </w:pPr>
          </w:p>
          <w:p w:rsidRPr="00FD1605" w:rsidR="00756F6B" w:rsidP="00061051" w:rsidRDefault="00756F6B" w14:paraId="768CD959" w14:textId="3C28F2F5">
            <w:pPr>
              <w:spacing w:after="0" w:line="240" w:lineRule="auto"/>
              <w:contextualSpacing/>
              <w:rPr>
                <w:rFonts w:eastAsia="Times New Roman" w:cs="Calibri"/>
                <w:i/>
                <w:iCs/>
                <w:color w:val="000000"/>
                <w:szCs w:val="18"/>
                <w:lang w:val="nl-NL" w:eastAsia="nl-NL"/>
              </w:rPr>
            </w:pPr>
            <w:r w:rsidRPr="00FD1605">
              <w:rPr>
                <w:rFonts w:eastAsia="Times New Roman" w:cs="Calibri"/>
                <w:color w:val="000000"/>
                <w:szCs w:val="18"/>
                <w:lang w:val="nl-NL" w:eastAsia="nl-NL"/>
              </w:rPr>
              <w:t>Het budgettaire effect is exclusief uitvoeringskosten. Die zouden in een uitvoeringstoets moeten worden uitgezocht.</w:t>
            </w:r>
          </w:p>
        </w:tc>
      </w:tr>
      <w:tr w:rsidRPr="00F51BCF" w:rsidR="00756F6B" w:rsidTr="00F56224" w14:paraId="3D757DA0" w14:textId="77777777">
        <w:trPr>
          <w:trHeight w:val="315"/>
        </w:trPr>
        <w:tc>
          <w:tcPr>
            <w:tcW w:w="2055" w:type="dxa"/>
            <w:tcBorders>
              <w:top w:val="nil"/>
              <w:left w:val="single" w:color="auto" w:sz="8" w:space="0"/>
              <w:bottom w:val="single" w:color="auto" w:sz="8" w:space="0"/>
              <w:right w:val="nil"/>
            </w:tcBorders>
            <w:shd w:val="clear" w:color="auto" w:fill="auto"/>
            <w:noWrap/>
          </w:tcPr>
          <w:p w:rsidRPr="00704454" w:rsidR="00756F6B" w:rsidP="00061051" w:rsidRDefault="00756F6B" w14:paraId="519E76D5"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Toelichting raming</w:t>
            </w:r>
          </w:p>
        </w:tc>
        <w:tc>
          <w:tcPr>
            <w:tcW w:w="8080" w:type="dxa"/>
            <w:tcBorders>
              <w:top w:val="single" w:color="auto" w:sz="4" w:space="0"/>
              <w:left w:val="single" w:color="auto" w:sz="4" w:space="0"/>
              <w:bottom w:val="single" w:color="auto" w:sz="8" w:space="0"/>
              <w:right w:val="single" w:color="auto" w:sz="4" w:space="0"/>
            </w:tcBorders>
            <w:shd w:val="clear" w:color="auto" w:fill="auto"/>
            <w:noWrap/>
          </w:tcPr>
          <w:p w:rsidRPr="00FD1605" w:rsidR="00756F6B" w:rsidP="00061051" w:rsidRDefault="00756F6B" w14:paraId="4741AC22" w14:textId="77777777">
            <w:pPr>
              <w:spacing w:after="0" w:line="240" w:lineRule="auto"/>
              <w:contextualSpacing/>
              <w:rPr>
                <w:rFonts w:eastAsia="Times New Roman" w:cs="Calibri"/>
                <w:color w:val="000000"/>
                <w:szCs w:val="18"/>
                <w:lang w:val="nl-NL" w:eastAsia="nl-NL"/>
              </w:rPr>
            </w:pPr>
            <w:r w:rsidRPr="00FD1605">
              <w:rPr>
                <w:rFonts w:eastAsia="Times New Roman" w:cs="Calibri"/>
                <w:color w:val="000000"/>
                <w:szCs w:val="18"/>
                <w:lang w:val="nl-NL" w:eastAsia="nl-NL"/>
              </w:rPr>
              <w:t xml:space="preserve">Het ambtshalve toekennen leidt tot hogere uitgaven aan de TW. Door de maatregel is er geen niet-gebruik meer. Voor de raming is het rapport </w:t>
            </w:r>
            <w:r w:rsidRPr="00FD1605">
              <w:rPr>
                <w:rFonts w:eastAsia="Times New Roman" w:cs="Calibri"/>
                <w:i/>
                <w:iCs/>
                <w:color w:val="000000"/>
                <w:szCs w:val="18"/>
                <w:lang w:val="nl-NL" w:eastAsia="nl-NL"/>
              </w:rPr>
              <w:t>‘Onderzoeksrapport niet-gebruik Toeslagenwet’</w:t>
            </w:r>
            <w:r w:rsidRPr="00FD1605">
              <w:rPr>
                <w:rFonts w:eastAsia="Times New Roman" w:cs="Calibri"/>
                <w:color w:val="000000"/>
                <w:szCs w:val="18"/>
                <w:lang w:val="nl-NL" w:eastAsia="nl-NL"/>
              </w:rPr>
              <w:t xml:space="preserve"> van de Nederlandse Arbeidsinspectie als uitgangspunt gehanteerd.</w:t>
            </w:r>
          </w:p>
        </w:tc>
      </w:tr>
      <w:tr w:rsidRPr="00F51BCF" w:rsidR="00756F6B" w:rsidTr="00F56224" w14:paraId="6BFA3AD9" w14:textId="77777777">
        <w:trPr>
          <w:trHeight w:val="315"/>
        </w:trPr>
        <w:tc>
          <w:tcPr>
            <w:tcW w:w="2055" w:type="dxa"/>
            <w:tcBorders>
              <w:top w:val="nil"/>
              <w:left w:val="single" w:color="auto" w:sz="8" w:space="0"/>
              <w:bottom w:val="single" w:color="auto" w:sz="8" w:space="0"/>
              <w:right w:val="nil"/>
            </w:tcBorders>
            <w:shd w:val="clear" w:color="auto" w:fill="auto"/>
            <w:noWrap/>
          </w:tcPr>
          <w:p w:rsidRPr="00704454" w:rsidR="00756F6B" w:rsidP="00061051" w:rsidRDefault="00756F6B" w14:paraId="5F6144D4"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Inkomens-</w:t>
            </w:r>
          </w:p>
          <w:p w:rsidRPr="00704454" w:rsidR="00756F6B" w:rsidP="00061051" w:rsidRDefault="00756F6B" w14:paraId="319A73D3"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effecten</w:t>
            </w:r>
          </w:p>
        </w:tc>
        <w:tc>
          <w:tcPr>
            <w:tcW w:w="8080" w:type="dxa"/>
            <w:tcBorders>
              <w:top w:val="single" w:color="auto" w:sz="4" w:space="0"/>
              <w:left w:val="single" w:color="auto" w:sz="4" w:space="0"/>
              <w:bottom w:val="single" w:color="auto" w:sz="8" w:space="0"/>
              <w:right w:val="single" w:color="auto" w:sz="4" w:space="0"/>
            </w:tcBorders>
            <w:shd w:val="clear" w:color="auto" w:fill="auto"/>
            <w:noWrap/>
          </w:tcPr>
          <w:p w:rsidRPr="00FD1605" w:rsidR="00756F6B" w:rsidP="00061051" w:rsidRDefault="00756F6B" w14:paraId="0D5A3455" w14:textId="77777777">
            <w:pPr>
              <w:spacing w:after="0" w:line="240" w:lineRule="auto"/>
              <w:contextualSpacing/>
              <w:rPr>
                <w:rFonts w:eastAsia="Times New Roman" w:cs="Calibri"/>
                <w:i/>
                <w:iCs/>
                <w:color w:val="000000"/>
                <w:szCs w:val="18"/>
                <w:lang w:val="nl-NL" w:eastAsia="nl-NL"/>
              </w:rPr>
            </w:pPr>
            <w:r w:rsidRPr="00FD1605">
              <w:rPr>
                <w:szCs w:val="18"/>
                <w:lang w:val="nl-NL"/>
              </w:rPr>
              <w:t>De toekenning van een aanvullende toeslag aan mensen die er nu (bewust of onbewust) geen gebruik van maken zal ertoe leiden dat meer mensen een inkomen op het sociaal minimum ontvangen.</w:t>
            </w:r>
            <w:r>
              <w:rPr>
                <w:szCs w:val="18"/>
                <w:lang w:val="nl-NL"/>
              </w:rPr>
              <w:t xml:space="preserve"> </w:t>
            </w:r>
            <w:r w:rsidRPr="00FD1605">
              <w:rPr>
                <w:rFonts w:eastAsia="Times New Roman" w:cs="Calibri"/>
                <w:color w:val="000000"/>
                <w:szCs w:val="18"/>
                <w:lang w:val="nl-NL" w:eastAsia="nl-NL"/>
              </w:rPr>
              <w:t>Dit zijn mensen die onder de huidige bepalingen ook al in aanmerking komen voor de Toeslagenwet.</w:t>
            </w:r>
          </w:p>
          <w:p w:rsidRPr="00FD1605" w:rsidR="00756F6B" w:rsidP="00061051" w:rsidRDefault="00756F6B" w14:paraId="1896CB19" w14:textId="206DE18A">
            <w:pPr>
              <w:contextualSpacing/>
              <w:rPr>
                <w:szCs w:val="18"/>
                <w:lang w:val="nl-NL"/>
              </w:rPr>
            </w:pPr>
          </w:p>
        </w:tc>
      </w:tr>
      <w:tr w:rsidRPr="00F51BCF" w:rsidR="00756F6B" w:rsidTr="00F56224" w14:paraId="0EA1845B" w14:textId="77777777">
        <w:trPr>
          <w:trHeight w:val="315"/>
        </w:trPr>
        <w:tc>
          <w:tcPr>
            <w:tcW w:w="2055" w:type="dxa"/>
            <w:tcBorders>
              <w:top w:val="nil"/>
              <w:left w:val="single" w:color="auto" w:sz="8" w:space="0"/>
              <w:bottom w:val="single" w:color="auto" w:sz="8" w:space="0"/>
              <w:right w:val="nil"/>
            </w:tcBorders>
            <w:shd w:val="clear" w:color="auto" w:fill="auto"/>
            <w:noWrap/>
          </w:tcPr>
          <w:p w:rsidRPr="00704454" w:rsidR="00756F6B" w:rsidP="00061051" w:rsidRDefault="00756F6B" w14:paraId="79B07C95"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Arbeidsmarkt-effecten</w:t>
            </w:r>
          </w:p>
        </w:tc>
        <w:tc>
          <w:tcPr>
            <w:tcW w:w="8080" w:type="dxa"/>
            <w:tcBorders>
              <w:top w:val="single" w:color="auto" w:sz="4" w:space="0"/>
              <w:left w:val="single" w:color="auto" w:sz="4" w:space="0"/>
              <w:bottom w:val="single" w:color="auto" w:sz="8" w:space="0"/>
              <w:right w:val="single" w:color="auto" w:sz="4" w:space="0"/>
            </w:tcBorders>
            <w:shd w:val="clear" w:color="auto" w:fill="auto"/>
            <w:noWrap/>
          </w:tcPr>
          <w:p w:rsidRPr="00FD1605" w:rsidR="00756F6B" w:rsidP="00061051" w:rsidRDefault="00756F6B" w14:paraId="02A853BF" w14:textId="77777777">
            <w:pPr>
              <w:contextualSpacing/>
              <w:rPr>
                <w:szCs w:val="18"/>
                <w:lang w:val="nl-NL"/>
              </w:rPr>
            </w:pPr>
            <w:r w:rsidRPr="00FD1605">
              <w:rPr>
                <w:szCs w:val="18"/>
                <w:lang w:val="nl-NL"/>
              </w:rPr>
              <w:t xml:space="preserve">Het werkgelegenheidseffect is vrijwel nihil. Het is een voorziening waar deze groep al een beroep op kon doen. </w:t>
            </w:r>
          </w:p>
        </w:tc>
      </w:tr>
      <w:tr w:rsidRPr="00FD1605" w:rsidR="00756F6B" w:rsidTr="00F56224" w14:paraId="7BFED7C0" w14:textId="77777777">
        <w:trPr>
          <w:trHeight w:val="315"/>
        </w:trPr>
        <w:tc>
          <w:tcPr>
            <w:tcW w:w="2055" w:type="dxa"/>
            <w:tcBorders>
              <w:top w:val="nil"/>
              <w:left w:val="single" w:color="auto" w:sz="8" w:space="0"/>
              <w:bottom w:val="single" w:color="auto" w:sz="8" w:space="0"/>
              <w:right w:val="nil"/>
            </w:tcBorders>
            <w:shd w:val="clear" w:color="auto" w:fill="auto"/>
            <w:noWrap/>
          </w:tcPr>
          <w:p w:rsidRPr="00704454" w:rsidR="00756F6B" w:rsidP="00061051" w:rsidRDefault="00756F6B" w14:paraId="655F52DA"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Overige relevante aspecten</w:t>
            </w:r>
          </w:p>
        </w:tc>
        <w:tc>
          <w:tcPr>
            <w:tcW w:w="8080" w:type="dxa"/>
            <w:tcBorders>
              <w:top w:val="single" w:color="auto" w:sz="4" w:space="0"/>
              <w:left w:val="single" w:color="auto" w:sz="4" w:space="0"/>
              <w:bottom w:val="single" w:color="auto" w:sz="8" w:space="0"/>
              <w:right w:val="single" w:color="auto" w:sz="4" w:space="0"/>
            </w:tcBorders>
            <w:shd w:val="clear" w:color="auto" w:fill="auto"/>
            <w:noWrap/>
          </w:tcPr>
          <w:p w:rsidRPr="00FD1605" w:rsidR="00756F6B" w:rsidP="00061051" w:rsidRDefault="00756F6B" w14:paraId="14FA6418" w14:textId="77777777">
            <w:pPr>
              <w:spacing w:after="0" w:line="240" w:lineRule="auto"/>
              <w:contextualSpacing/>
              <w:rPr>
                <w:rFonts w:eastAsia="Times New Roman" w:cs="Calibri"/>
                <w:color w:val="000000"/>
                <w:szCs w:val="18"/>
                <w:lang w:val="nl-NL" w:eastAsia="nl-NL"/>
              </w:rPr>
            </w:pPr>
            <w:r w:rsidRPr="00FD1605">
              <w:rPr>
                <w:rFonts w:eastAsia="Times New Roman" w:cs="Calibri"/>
                <w:color w:val="000000"/>
                <w:szCs w:val="18"/>
                <w:lang w:val="nl-NL" w:eastAsia="nl-NL"/>
              </w:rPr>
              <w:t>Zie het rapport van de Nederlandse Arbeidsinspectie over niet gebruik van de TW. Deze maatregel biedt een oplossing voor het niet gebruik.</w:t>
            </w:r>
          </w:p>
          <w:p w:rsidRPr="00FD1605" w:rsidR="00756F6B" w:rsidP="00061051" w:rsidRDefault="00756F6B" w14:paraId="64DE9999" w14:textId="77777777">
            <w:pPr>
              <w:spacing w:after="0" w:line="240" w:lineRule="auto"/>
              <w:contextualSpacing/>
              <w:rPr>
                <w:rFonts w:eastAsia="Times New Roman" w:cs="Calibri"/>
                <w:color w:val="000000"/>
                <w:szCs w:val="18"/>
                <w:lang w:val="nl-NL" w:eastAsia="nl-NL"/>
              </w:rPr>
            </w:pPr>
          </w:p>
          <w:p w:rsidRPr="00FD1605" w:rsidR="00756F6B" w:rsidP="00061051" w:rsidRDefault="00756F6B" w14:paraId="4AB77B37" w14:textId="77777777">
            <w:pPr>
              <w:spacing w:after="0" w:line="240" w:lineRule="auto"/>
              <w:contextualSpacing/>
              <w:rPr>
                <w:rFonts w:eastAsia="Times New Roman" w:cs="Calibri"/>
                <w:color w:val="000000"/>
                <w:szCs w:val="18"/>
                <w:lang w:val="nl-NL" w:eastAsia="nl-NL"/>
              </w:rPr>
            </w:pPr>
          </w:p>
        </w:tc>
      </w:tr>
    </w:tbl>
    <w:p w:rsidRPr="00756F6B" w:rsidR="00756F6B" w:rsidP="00756F6B" w:rsidRDefault="00756F6B" w14:paraId="28ECB367" w14:textId="6E308377">
      <w:pPr>
        <w:rPr>
          <w:lang w:val="nl-NL"/>
        </w:rPr>
      </w:pPr>
      <w:r w:rsidRPr="00756F6B">
        <w:rPr>
          <w:lang w:val="nl-NL"/>
        </w:rPr>
        <w:br w:type="page"/>
      </w:r>
    </w:p>
    <w:tbl>
      <w:tblPr>
        <w:tblW w:w="10085" w:type="dxa"/>
        <w:tblInd w:w="-436" w:type="dxa"/>
        <w:tblBorders>
          <w:top w:val="single" w:color="auto" w:sz="4" w:space="0"/>
          <w:left w:val="single" w:color="auto" w:sz="8" w:space="0"/>
          <w:bottom w:val="single" w:color="auto" w:sz="8" w:space="0"/>
          <w:right w:val="single" w:color="auto" w:sz="4" w:space="0"/>
          <w:insideH w:val="single" w:color="auto" w:sz="8" w:space="0"/>
          <w:insideV w:val="single" w:color="auto" w:sz="4" w:space="0"/>
        </w:tblBorders>
        <w:tblCellMar>
          <w:left w:w="70" w:type="dxa"/>
          <w:right w:w="70" w:type="dxa"/>
        </w:tblCellMar>
        <w:tblLook w:val="04A0" w:firstRow="1" w:lastRow="0" w:firstColumn="1" w:lastColumn="0" w:noHBand="0" w:noVBand="1"/>
      </w:tblPr>
      <w:tblGrid>
        <w:gridCol w:w="2005"/>
        <w:gridCol w:w="8080"/>
      </w:tblGrid>
      <w:tr w:rsidRPr="00FD1605" w:rsidR="00274420" w:rsidTr="00274420" w14:paraId="5B20FBC3" w14:textId="77777777">
        <w:trPr>
          <w:trHeight w:val="315"/>
        </w:trPr>
        <w:tc>
          <w:tcPr>
            <w:tcW w:w="2005" w:type="dxa"/>
            <w:shd w:val="clear" w:color="auto" w:fill="auto"/>
            <w:noWrap/>
            <w:hideMark/>
          </w:tcPr>
          <w:p w:rsidRPr="00704454" w:rsidR="00E2272F" w:rsidP="00D50797" w:rsidRDefault="00E2272F" w14:paraId="64F86FDC" w14:textId="695CD1E2">
            <w:pPr>
              <w:spacing w:after="0" w:line="240" w:lineRule="auto"/>
              <w:contextualSpacing/>
              <w:rPr>
                <w:rFonts w:eastAsia="Times New Roman" w:cs="Calibri"/>
                <w:b/>
                <w:bCs/>
                <w:color w:val="000000"/>
                <w:szCs w:val="18"/>
                <w:lang w:val="nl-NL" w:eastAsia="nl-NL"/>
              </w:rPr>
            </w:pPr>
          </w:p>
          <w:p w:rsidRPr="00704454" w:rsidR="00274420" w:rsidP="00D50797" w:rsidRDefault="00274420" w14:paraId="76AE74C7" w14:textId="25D484D4">
            <w:pPr>
              <w:spacing w:after="0" w:line="240" w:lineRule="auto"/>
              <w:contextualSpacing/>
              <w:rPr>
                <w:rFonts w:eastAsia="Times New Roman" w:cs="Calibri"/>
                <w:b/>
                <w:bCs/>
                <w:color w:val="000000"/>
                <w:szCs w:val="18"/>
                <w:lang w:val="nl-NL" w:eastAsia="nl-NL"/>
              </w:rPr>
            </w:pPr>
            <w:r w:rsidRPr="00704454">
              <w:rPr>
                <w:rFonts w:eastAsia="Times New Roman" w:cs="Calibri"/>
                <w:b/>
                <w:bCs/>
                <w:color w:val="000000"/>
                <w:szCs w:val="18"/>
                <w:lang w:val="nl-NL" w:eastAsia="nl-NL"/>
              </w:rPr>
              <w:t>Maatregel</w:t>
            </w:r>
          </w:p>
        </w:tc>
        <w:tc>
          <w:tcPr>
            <w:tcW w:w="8080" w:type="dxa"/>
            <w:shd w:val="clear" w:color="auto" w:fill="auto"/>
            <w:noWrap/>
            <w:hideMark/>
          </w:tcPr>
          <w:p w:rsidRPr="00704454" w:rsidR="00274420" w:rsidP="009A520D" w:rsidRDefault="00756F6B" w14:paraId="1DC2F440" w14:textId="08BA268A">
            <w:pPr>
              <w:pStyle w:val="Kop1"/>
              <w:contextualSpacing/>
              <w:rPr>
                <w:rFonts w:ascii="Verdana" w:hAnsi="Verdana" w:eastAsia="Times New Roman"/>
                <w:b/>
                <w:bCs/>
                <w:color w:val="auto"/>
                <w:sz w:val="18"/>
                <w:szCs w:val="18"/>
                <w:lang w:val="nl-NL" w:eastAsia="nl-NL"/>
              </w:rPr>
            </w:pPr>
            <w:bookmarkStart w:name="_Toc223522226" w:id="4"/>
            <w:r>
              <w:rPr>
                <w:rFonts w:ascii="Verdana" w:hAnsi="Verdana" w:eastAsia="Times New Roman"/>
                <w:b/>
                <w:bCs/>
                <w:color w:val="auto"/>
                <w:sz w:val="18"/>
                <w:szCs w:val="18"/>
                <w:lang w:val="nl-NL" w:eastAsia="nl-NL"/>
              </w:rPr>
              <w:t>B</w:t>
            </w:r>
            <w:r w:rsidRPr="00913061" w:rsidR="00274420">
              <w:rPr>
                <w:rFonts w:ascii="Verdana" w:hAnsi="Verdana" w:eastAsia="Times New Roman"/>
                <w:b/>
                <w:bCs/>
                <w:color w:val="auto"/>
                <w:sz w:val="18"/>
                <w:szCs w:val="18"/>
                <w:lang w:val="nl-NL" w:eastAsia="nl-NL"/>
              </w:rPr>
              <w:t>.1 Afschaffen kostendelersnorm</w:t>
            </w:r>
            <w:bookmarkEnd w:id="4"/>
          </w:p>
        </w:tc>
      </w:tr>
      <w:tr w:rsidRPr="00F51BCF" w:rsidR="00274420" w:rsidTr="00274420" w14:paraId="28F6B149" w14:textId="77777777">
        <w:trPr>
          <w:trHeight w:val="315"/>
        </w:trPr>
        <w:tc>
          <w:tcPr>
            <w:tcW w:w="2005" w:type="dxa"/>
            <w:shd w:val="clear" w:color="auto" w:fill="auto"/>
            <w:noWrap/>
          </w:tcPr>
          <w:p w:rsidRPr="00704454" w:rsidR="00274420" w:rsidP="00D50797" w:rsidRDefault="00274420" w14:paraId="6BD66CC1" w14:textId="77777777">
            <w:pPr>
              <w:spacing w:after="0" w:line="240" w:lineRule="auto"/>
              <w:contextualSpacing/>
              <w:rPr>
                <w:rFonts w:eastAsia="Times New Roman" w:cs="Calibri"/>
                <w:b/>
                <w:bCs/>
                <w:color w:val="000000"/>
                <w:szCs w:val="18"/>
                <w:lang w:val="nl-NL" w:eastAsia="nl-NL"/>
              </w:rPr>
            </w:pPr>
            <w:r w:rsidRPr="00704454">
              <w:rPr>
                <w:rFonts w:eastAsia="Times New Roman" w:cs="Calibri"/>
                <w:b/>
                <w:bCs/>
                <w:color w:val="000000"/>
                <w:szCs w:val="18"/>
                <w:lang w:val="nl-NL" w:eastAsia="nl-NL"/>
              </w:rPr>
              <w:t>Korte uitleg maatregel</w:t>
            </w:r>
          </w:p>
        </w:tc>
        <w:tc>
          <w:tcPr>
            <w:tcW w:w="8080" w:type="dxa"/>
            <w:shd w:val="clear" w:color="auto" w:fill="auto"/>
            <w:noWrap/>
          </w:tcPr>
          <w:p w:rsidRPr="00FD1605" w:rsidR="00274420" w:rsidP="00E054E7" w:rsidRDefault="00274420" w14:paraId="3ABE1349" w14:textId="05A0D533">
            <w:pPr>
              <w:spacing w:line="240" w:lineRule="auto"/>
              <w:contextualSpacing/>
              <w:rPr>
                <w:szCs w:val="18"/>
                <w:lang w:val="nl-NL"/>
              </w:rPr>
            </w:pPr>
            <w:r w:rsidRPr="00FD1605">
              <w:rPr>
                <w:szCs w:val="18"/>
                <w:lang w:val="nl-NL"/>
              </w:rPr>
              <w:t>De maatregel zorgt ervoor dat de kostendelersnorm (50% WML) niet langer wordt toegepast voor de Toeslagenwet, maar dat kostendelers worden aangemerkt als alleenstaanden (70% WML). Hierdoor wordt de aanvullende toeslag hoger (tenzij sprake is van maximering op het dagloon)</w:t>
            </w:r>
            <w:r w:rsidRPr="00FD1605" w:rsidR="00591E50">
              <w:rPr>
                <w:szCs w:val="18"/>
                <w:lang w:val="nl-NL"/>
              </w:rPr>
              <w:t xml:space="preserve"> en komt voor de uitvoerder en de uitkeringsgerechtigde een complex vast te stellen criterium te vervallen</w:t>
            </w:r>
            <w:r w:rsidRPr="00FD1605">
              <w:rPr>
                <w:szCs w:val="18"/>
                <w:lang w:val="nl-NL"/>
              </w:rPr>
              <w:t>.</w:t>
            </w:r>
            <w:r w:rsidRPr="00FD1605" w:rsidR="00591E50">
              <w:rPr>
                <w:szCs w:val="18"/>
                <w:lang w:val="nl-NL"/>
              </w:rPr>
              <w:t xml:space="preserve"> UWV heeft vanaf de invoering van de kostendelersnorm aangegeven dat deze voor hen niet handhaafbaar is. </w:t>
            </w:r>
            <w:r w:rsidR="00E054E7">
              <w:rPr>
                <w:szCs w:val="18"/>
                <w:lang w:val="nl-NL"/>
              </w:rPr>
              <w:t>Met deze maatregel wordt het uitgangspunt van de kostendelersnorm losgelaten en gaat de Toeslagenwet nog meer afwijken van de Participatiewet (zie ook overige relevante aspecten).</w:t>
            </w:r>
          </w:p>
        </w:tc>
      </w:tr>
      <w:tr w:rsidRPr="00F51BCF" w:rsidR="00274420" w:rsidTr="00274420" w14:paraId="45F64770" w14:textId="77777777">
        <w:trPr>
          <w:trHeight w:val="315"/>
        </w:trPr>
        <w:tc>
          <w:tcPr>
            <w:tcW w:w="2005" w:type="dxa"/>
            <w:shd w:val="clear" w:color="auto" w:fill="auto"/>
            <w:noWrap/>
          </w:tcPr>
          <w:p w:rsidRPr="00704454" w:rsidR="00274420" w:rsidP="00D50797" w:rsidRDefault="00274420" w14:paraId="1AFC083A" w14:textId="77777777">
            <w:pPr>
              <w:spacing w:after="0" w:line="240" w:lineRule="auto"/>
              <w:contextualSpacing/>
              <w:rPr>
                <w:rFonts w:eastAsia="Times New Roman" w:cs="Calibri"/>
                <w:b/>
                <w:bCs/>
                <w:color w:val="000000"/>
                <w:szCs w:val="18"/>
                <w:lang w:val="nl-NL" w:eastAsia="nl-NL"/>
              </w:rPr>
            </w:pPr>
            <w:r w:rsidRPr="00704454">
              <w:rPr>
                <w:rFonts w:eastAsia="Times New Roman" w:cs="Calibri"/>
                <w:b/>
                <w:bCs/>
                <w:color w:val="000000"/>
                <w:szCs w:val="18"/>
                <w:lang w:val="nl-NL" w:eastAsia="nl-NL"/>
              </w:rPr>
              <w:t>Doel maatregel</w:t>
            </w:r>
          </w:p>
        </w:tc>
        <w:tc>
          <w:tcPr>
            <w:tcW w:w="8080" w:type="dxa"/>
            <w:shd w:val="clear" w:color="auto" w:fill="auto"/>
            <w:noWrap/>
          </w:tcPr>
          <w:p w:rsidRPr="00FD1605" w:rsidR="00274420" w:rsidP="00D50797" w:rsidRDefault="00274420" w14:paraId="59164231" w14:textId="37393830">
            <w:pPr>
              <w:spacing w:after="0" w:line="240" w:lineRule="auto"/>
              <w:contextualSpacing/>
              <w:rPr>
                <w:szCs w:val="18"/>
                <w:lang w:val="nl-NL"/>
              </w:rPr>
            </w:pPr>
            <w:r w:rsidRPr="00FD1605">
              <w:rPr>
                <w:szCs w:val="18"/>
                <w:lang w:val="nl-NL"/>
              </w:rPr>
              <w:t xml:space="preserve">Vereenvoudiging van de wetgeving, wegnemen van een complexiteit rondom de leefvormen in de wetgeving. </w:t>
            </w:r>
          </w:p>
        </w:tc>
      </w:tr>
      <w:tr w:rsidRPr="00F51BCF" w:rsidR="00274420" w:rsidTr="00274420" w14:paraId="3F9EC44E" w14:textId="77777777">
        <w:trPr>
          <w:trHeight w:val="315"/>
        </w:trPr>
        <w:tc>
          <w:tcPr>
            <w:tcW w:w="2005" w:type="dxa"/>
            <w:shd w:val="clear" w:color="auto" w:fill="auto"/>
            <w:noWrap/>
          </w:tcPr>
          <w:p w:rsidRPr="00FD1605" w:rsidR="00274420" w:rsidP="00D50797" w:rsidRDefault="00274420" w14:paraId="141F7446" w14:textId="77777777">
            <w:pPr>
              <w:spacing w:after="0" w:line="240" w:lineRule="auto"/>
              <w:contextualSpacing/>
              <w:rPr>
                <w:rFonts w:eastAsia="Times New Roman" w:cs="Calibri"/>
                <w:b/>
                <w:bCs/>
                <w:color w:val="000000"/>
                <w:szCs w:val="18"/>
                <w:lang w:val="nl-NL" w:eastAsia="nl-NL"/>
              </w:rPr>
            </w:pPr>
            <w:r w:rsidRPr="00FD1605">
              <w:rPr>
                <w:rFonts w:eastAsia="Times New Roman" w:cs="Calibri"/>
                <w:b/>
                <w:bCs/>
                <w:color w:val="000000"/>
                <w:szCs w:val="18"/>
                <w:lang w:val="nl-NL" w:eastAsia="nl-NL"/>
              </w:rPr>
              <w:t xml:space="preserve">Vereenvoudiging vanuit burgerperspectief (begrijpelijkheid, zekerheid en </w:t>
            </w:r>
            <w:proofErr w:type="spellStart"/>
            <w:r w:rsidRPr="00FD1605">
              <w:rPr>
                <w:rFonts w:eastAsia="Times New Roman" w:cs="Calibri"/>
                <w:b/>
                <w:bCs/>
                <w:color w:val="000000"/>
                <w:szCs w:val="18"/>
                <w:lang w:val="nl-NL" w:eastAsia="nl-NL"/>
              </w:rPr>
              <w:t>doenlijkheid</w:t>
            </w:r>
            <w:proofErr w:type="spellEnd"/>
            <w:r w:rsidRPr="00FD1605">
              <w:rPr>
                <w:rFonts w:eastAsia="Times New Roman" w:cs="Calibri"/>
                <w:b/>
                <w:bCs/>
                <w:color w:val="000000"/>
                <w:szCs w:val="18"/>
                <w:lang w:val="nl-NL" w:eastAsia="nl-NL"/>
              </w:rPr>
              <w:t>)</w:t>
            </w:r>
          </w:p>
        </w:tc>
        <w:tc>
          <w:tcPr>
            <w:tcW w:w="8080" w:type="dxa"/>
            <w:shd w:val="clear" w:color="auto" w:fill="auto"/>
            <w:noWrap/>
          </w:tcPr>
          <w:p w:rsidRPr="00FD1605" w:rsidR="00274420" w:rsidP="00D50797" w:rsidRDefault="00FF67EE" w14:paraId="23F9C246" w14:textId="55E5DEF7">
            <w:pPr>
              <w:spacing w:line="240" w:lineRule="auto"/>
              <w:contextualSpacing/>
              <w:rPr>
                <w:szCs w:val="18"/>
                <w:lang w:val="nl-NL"/>
              </w:rPr>
            </w:pPr>
            <w:r>
              <w:rPr>
                <w:szCs w:val="18"/>
                <w:lang w:val="nl-NL"/>
              </w:rPr>
              <w:t>Doordat de basiswetten van UWV geen kostendelersnorm kennen, is het voor mensen verwarrend dat zij vanuit UWV verschillende uitkeringen krijgen waarbij de kostendelersnorm</w:t>
            </w:r>
            <w:r w:rsidR="00D53888">
              <w:rPr>
                <w:szCs w:val="18"/>
                <w:lang w:val="nl-NL"/>
              </w:rPr>
              <w:t xml:space="preserve"> alleen voor de toeslag van toepassing is</w:t>
            </w:r>
            <w:r>
              <w:rPr>
                <w:szCs w:val="18"/>
                <w:lang w:val="nl-NL"/>
              </w:rPr>
              <w:t>. Daarnaast is h</w:t>
            </w:r>
            <w:r w:rsidRPr="00FD1605" w:rsidR="00274420">
              <w:rPr>
                <w:szCs w:val="18"/>
                <w:lang w:val="nl-NL"/>
              </w:rPr>
              <w:t xml:space="preserve">et voor mensen soms onduidelijk wat wordt verstaan onder kostendeler en wat de gevolgen voor hun toeslag zijn. Uitkeringsgerechtigden zijn zich er daarnaast vaak onvoldoende van bewust dat zij aan UWV door moeten geven als hun woonsituatie wijzigt. Hierdoor kunnen zij geconfronteerd worden met terugvorderingen. Het is eenvoudiger voor uitkeringsgerechtigden om de regeling te overzien </w:t>
            </w:r>
            <w:r w:rsidR="003A0106">
              <w:rPr>
                <w:szCs w:val="18"/>
                <w:lang w:val="nl-NL"/>
              </w:rPr>
              <w:t>wanneer</w:t>
            </w:r>
            <w:r w:rsidRPr="00FD1605" w:rsidR="003A0106">
              <w:rPr>
                <w:szCs w:val="18"/>
                <w:lang w:val="nl-NL"/>
              </w:rPr>
              <w:t xml:space="preserve"> </w:t>
            </w:r>
            <w:r w:rsidRPr="00FD1605" w:rsidR="00274420">
              <w:rPr>
                <w:szCs w:val="18"/>
                <w:lang w:val="nl-NL"/>
              </w:rPr>
              <w:t xml:space="preserve">zij of als gehuwd worden gezien of als alleenstaand. Zij hoeven bijvoorbeeld geen huurcontract meer te overleggen. Hiermee wordt het beroep op het </w:t>
            </w:r>
            <w:proofErr w:type="spellStart"/>
            <w:r w:rsidRPr="00FD1605" w:rsidR="00274420">
              <w:rPr>
                <w:szCs w:val="18"/>
                <w:lang w:val="nl-NL"/>
              </w:rPr>
              <w:t>doenvermogen</w:t>
            </w:r>
            <w:proofErr w:type="spellEnd"/>
            <w:r w:rsidRPr="00FD1605" w:rsidR="00274420">
              <w:rPr>
                <w:szCs w:val="18"/>
                <w:lang w:val="nl-NL"/>
              </w:rPr>
              <w:t xml:space="preserve"> kleiner. </w:t>
            </w:r>
            <w:r w:rsidRPr="00FD1605" w:rsidR="00D562DD">
              <w:rPr>
                <w:szCs w:val="18"/>
                <w:lang w:val="nl-NL"/>
              </w:rPr>
              <w:t xml:space="preserve">Dit heeft naar verwachting ook effect op het niet-gebruik van de TW. </w:t>
            </w:r>
            <w:r w:rsidRPr="00FD1605" w:rsidR="00274420">
              <w:rPr>
                <w:szCs w:val="18"/>
                <w:lang w:val="nl-NL"/>
              </w:rPr>
              <w:t>Door de Toeslagenwet te vereenvoudigen is het voor de uitkeringsgerechtigde makkelijker de regeling te overzien en wordt de drempel tot het aanvragen van de regeling kleiner.</w:t>
            </w:r>
          </w:p>
        </w:tc>
      </w:tr>
      <w:tr w:rsidRPr="00FD1605" w:rsidR="00274420" w:rsidTr="00274420" w14:paraId="39E006F1" w14:textId="77777777">
        <w:trPr>
          <w:trHeight w:val="315"/>
        </w:trPr>
        <w:tc>
          <w:tcPr>
            <w:tcW w:w="2005" w:type="dxa"/>
            <w:shd w:val="clear" w:color="auto" w:fill="auto"/>
            <w:noWrap/>
          </w:tcPr>
          <w:p w:rsidRPr="00704454" w:rsidR="00274420" w:rsidP="00D50797" w:rsidRDefault="00274420" w14:paraId="48DDCC1D" w14:textId="77777777">
            <w:pPr>
              <w:spacing w:after="0" w:line="240" w:lineRule="auto"/>
              <w:contextualSpacing/>
              <w:rPr>
                <w:rFonts w:eastAsia="Times New Roman" w:cs="Calibri"/>
                <w:b/>
                <w:bCs/>
                <w:color w:val="000000"/>
                <w:szCs w:val="18"/>
                <w:lang w:val="nl-NL" w:eastAsia="nl-NL"/>
              </w:rPr>
            </w:pPr>
            <w:r w:rsidRPr="00704454">
              <w:rPr>
                <w:rFonts w:eastAsia="Times New Roman" w:cs="Calibri"/>
                <w:b/>
                <w:bCs/>
                <w:color w:val="000000"/>
                <w:szCs w:val="18"/>
                <w:lang w:val="nl-NL" w:eastAsia="nl-NL"/>
              </w:rPr>
              <w:t xml:space="preserve">Keuzes binnen maatregel </w:t>
            </w:r>
          </w:p>
        </w:tc>
        <w:tc>
          <w:tcPr>
            <w:tcW w:w="8080" w:type="dxa"/>
            <w:shd w:val="clear" w:color="auto" w:fill="auto"/>
            <w:noWrap/>
          </w:tcPr>
          <w:p w:rsidRPr="00FD1605" w:rsidR="00274420" w:rsidP="00D50797" w:rsidRDefault="00274420" w14:paraId="3F9E6045" w14:textId="75EC3AC0">
            <w:pPr>
              <w:spacing w:after="0" w:line="240" w:lineRule="auto"/>
              <w:contextualSpacing/>
              <w:rPr>
                <w:szCs w:val="18"/>
                <w:lang w:val="nl-NL"/>
              </w:rPr>
            </w:pPr>
          </w:p>
        </w:tc>
      </w:tr>
      <w:tr w:rsidRPr="00F51BCF" w:rsidR="00274420" w:rsidTr="00274420" w14:paraId="667F9007" w14:textId="77777777">
        <w:trPr>
          <w:trHeight w:val="315"/>
        </w:trPr>
        <w:tc>
          <w:tcPr>
            <w:tcW w:w="2005" w:type="dxa"/>
            <w:shd w:val="clear" w:color="auto" w:fill="auto"/>
            <w:noWrap/>
          </w:tcPr>
          <w:p w:rsidRPr="00704454" w:rsidR="00274420" w:rsidP="00D50797" w:rsidRDefault="00274420" w14:paraId="62771727" w14:textId="77777777">
            <w:pPr>
              <w:spacing w:after="0" w:line="240" w:lineRule="auto"/>
              <w:contextualSpacing/>
              <w:rPr>
                <w:rFonts w:eastAsia="Times New Roman" w:cs="Calibri"/>
                <w:b/>
                <w:bCs/>
                <w:color w:val="000000"/>
                <w:szCs w:val="18"/>
                <w:lang w:val="nl-NL" w:eastAsia="nl-NL"/>
              </w:rPr>
            </w:pPr>
            <w:r w:rsidRPr="00704454">
              <w:rPr>
                <w:rFonts w:eastAsia="Times New Roman" w:cs="Calibri"/>
                <w:b/>
                <w:bCs/>
                <w:color w:val="000000"/>
                <w:szCs w:val="18"/>
                <w:lang w:val="nl-NL" w:eastAsia="nl-NL"/>
              </w:rPr>
              <w:t>Tijdpad inwerkingtreding</w:t>
            </w:r>
          </w:p>
        </w:tc>
        <w:tc>
          <w:tcPr>
            <w:tcW w:w="8080" w:type="dxa"/>
            <w:shd w:val="clear" w:color="auto" w:fill="auto"/>
            <w:noWrap/>
          </w:tcPr>
          <w:p w:rsidRPr="00FD1605" w:rsidR="00274420" w:rsidP="00D50797" w:rsidRDefault="00274420" w14:paraId="1D55252A" w14:textId="66F60BDD">
            <w:pPr>
              <w:spacing w:after="0" w:line="240" w:lineRule="auto"/>
              <w:contextualSpacing/>
              <w:rPr>
                <w:rFonts w:eastAsia="Times New Roman" w:cs="Calibri"/>
                <w:color w:val="000000"/>
                <w:szCs w:val="18"/>
                <w:lang w:val="nl-NL" w:eastAsia="nl-NL"/>
              </w:rPr>
            </w:pPr>
            <w:r w:rsidRPr="00FD1605">
              <w:rPr>
                <w:rFonts w:eastAsia="Times New Roman" w:cs="Calibri"/>
                <w:color w:val="000000"/>
                <w:szCs w:val="18"/>
                <w:lang w:val="nl-NL" w:eastAsia="nl-NL"/>
              </w:rPr>
              <w:t xml:space="preserve">Voor afschaffen van de kostendelersnorm is een wetswijziging van artikel 2 TW nodig. </w:t>
            </w:r>
            <w:r w:rsidR="009804DE">
              <w:rPr>
                <w:rFonts w:eastAsia="Times New Roman" w:cs="Calibri"/>
                <w:color w:val="000000"/>
                <w:szCs w:val="18"/>
                <w:lang w:val="nl-NL" w:eastAsia="nl-NL"/>
              </w:rPr>
              <w:t>Een wetswijziging</w:t>
            </w:r>
            <w:r w:rsidRPr="00FD1605">
              <w:rPr>
                <w:rFonts w:eastAsia="Times New Roman" w:cs="Calibri"/>
                <w:color w:val="000000"/>
                <w:szCs w:val="18"/>
                <w:lang w:val="nl-NL" w:eastAsia="nl-NL"/>
              </w:rPr>
              <w:t xml:space="preserve"> duurt gemiddeld twee jaar. Ook dient rekening te worden gehouden met eventuele extra tijd voor de implementatie door de uitvoerder. Hierbij kan worden gedacht aan aanpassingen van systemen en communicatie aan uitkeringsgerechtigden.</w:t>
            </w:r>
          </w:p>
        </w:tc>
      </w:tr>
      <w:tr w:rsidRPr="00F51BCF" w:rsidR="00274420" w:rsidTr="00274420" w14:paraId="69571ABA" w14:textId="77777777">
        <w:trPr>
          <w:trHeight w:val="315"/>
        </w:trPr>
        <w:tc>
          <w:tcPr>
            <w:tcW w:w="2005" w:type="dxa"/>
            <w:shd w:val="clear" w:color="auto" w:fill="auto"/>
            <w:noWrap/>
          </w:tcPr>
          <w:p w:rsidRPr="00704454" w:rsidR="00274420" w:rsidP="00D50797" w:rsidRDefault="00274420" w14:paraId="46C5393B" w14:textId="77777777">
            <w:pPr>
              <w:spacing w:after="0" w:line="240" w:lineRule="auto"/>
              <w:contextualSpacing/>
              <w:rPr>
                <w:rFonts w:eastAsia="Times New Roman" w:cs="Calibri"/>
                <w:b/>
                <w:bCs/>
                <w:color w:val="000000"/>
                <w:szCs w:val="18"/>
                <w:lang w:val="nl-NL" w:eastAsia="nl-NL"/>
              </w:rPr>
            </w:pPr>
            <w:r w:rsidRPr="00704454">
              <w:rPr>
                <w:rFonts w:eastAsia="Times New Roman" w:cs="Calibri"/>
                <w:b/>
                <w:bCs/>
                <w:color w:val="000000"/>
                <w:szCs w:val="18"/>
                <w:lang w:val="nl-NL" w:eastAsia="nl-NL"/>
              </w:rPr>
              <w:t>Juridische haalbaarheid</w:t>
            </w:r>
          </w:p>
        </w:tc>
        <w:tc>
          <w:tcPr>
            <w:tcW w:w="8080" w:type="dxa"/>
            <w:shd w:val="clear" w:color="auto" w:fill="auto"/>
            <w:noWrap/>
          </w:tcPr>
          <w:p w:rsidRPr="00FD1605" w:rsidR="00274420" w:rsidP="00D50797" w:rsidRDefault="00274420" w14:paraId="17315A5D" w14:textId="77777777">
            <w:pPr>
              <w:spacing w:after="0" w:line="240" w:lineRule="auto"/>
              <w:contextualSpacing/>
              <w:rPr>
                <w:rFonts w:eastAsia="Times New Roman" w:cs="Calibri"/>
                <w:color w:val="000000"/>
                <w:szCs w:val="18"/>
                <w:lang w:val="nl-NL" w:eastAsia="nl-NL"/>
              </w:rPr>
            </w:pPr>
            <w:r w:rsidRPr="00FD1605">
              <w:rPr>
                <w:rFonts w:eastAsia="Times New Roman" w:cs="Calibri"/>
                <w:color w:val="000000"/>
                <w:szCs w:val="18"/>
                <w:lang w:val="nl-NL" w:eastAsia="nl-NL"/>
              </w:rPr>
              <w:t xml:space="preserve">Voor deze maatregel moet de Toeslagenwet worden gewijzigd. </w:t>
            </w:r>
          </w:p>
          <w:p w:rsidRPr="00FD1605" w:rsidR="00274420" w:rsidP="00D50797" w:rsidRDefault="00193141" w14:paraId="329DC338" w14:textId="31396AD9">
            <w:pPr>
              <w:spacing w:after="0" w:line="240" w:lineRule="auto"/>
              <w:contextualSpacing/>
              <w:rPr>
                <w:rFonts w:eastAsia="Times New Roman" w:cs="Calibri"/>
                <w:color w:val="000000"/>
                <w:szCs w:val="18"/>
                <w:lang w:val="nl-NL" w:eastAsia="nl-NL"/>
              </w:rPr>
            </w:pPr>
            <w:r w:rsidRPr="00FD1605">
              <w:rPr>
                <w:rFonts w:eastAsia="Times New Roman" w:cs="Calibri"/>
                <w:color w:val="000000"/>
                <w:szCs w:val="18"/>
                <w:lang w:val="nl-NL" w:eastAsia="nl-NL"/>
              </w:rPr>
              <w:t>Vanuit juridisch perspectief wordt het risico op doorwerking naar andere sociale voorzieningen waar de kostendelersnorm van toepassing is</w:t>
            </w:r>
            <w:r w:rsidR="007111C5">
              <w:rPr>
                <w:rFonts w:eastAsia="Times New Roman" w:cs="Calibri"/>
                <w:color w:val="000000"/>
                <w:szCs w:val="18"/>
                <w:lang w:val="nl-NL" w:eastAsia="nl-NL"/>
              </w:rPr>
              <w:t>,</w:t>
            </w:r>
            <w:r w:rsidRPr="00FD1605">
              <w:rPr>
                <w:rFonts w:eastAsia="Times New Roman" w:cs="Calibri"/>
                <w:color w:val="000000"/>
                <w:szCs w:val="18"/>
                <w:lang w:val="nl-NL" w:eastAsia="nl-NL"/>
              </w:rPr>
              <w:t xml:space="preserve"> relatief klein ingeschat. Binnen de sociale voorzieningen bestaat al verschillende invulling aan de gevolgen van kostendeler zijn (t.a.v. uitkeringshoogte) en de </w:t>
            </w:r>
            <w:r w:rsidRPr="00FD1605" w:rsidR="00C36F57">
              <w:rPr>
                <w:rFonts w:eastAsia="Times New Roman" w:cs="Calibri"/>
                <w:color w:val="000000"/>
                <w:szCs w:val="18"/>
                <w:lang w:val="nl-NL" w:eastAsia="nl-NL"/>
              </w:rPr>
              <w:t>bevoegdheden om leefvormen vast te stellen. Op basis van deze argumenten wordt een afschaffing van de kostendelersnorm in alleen de Toeslagenwet juridisch uitleg</w:t>
            </w:r>
            <w:r w:rsidRPr="00FD1605" w:rsidR="00CF0A88">
              <w:rPr>
                <w:rFonts w:eastAsia="Times New Roman" w:cs="Calibri"/>
                <w:color w:val="000000"/>
                <w:szCs w:val="18"/>
                <w:lang w:val="nl-NL" w:eastAsia="nl-NL"/>
              </w:rPr>
              <w:t>baar</w:t>
            </w:r>
            <w:r w:rsidRPr="00FD1605" w:rsidR="00C36F57">
              <w:rPr>
                <w:rFonts w:eastAsia="Times New Roman" w:cs="Calibri"/>
                <w:color w:val="000000"/>
                <w:szCs w:val="18"/>
                <w:lang w:val="nl-NL" w:eastAsia="nl-NL"/>
              </w:rPr>
              <w:t xml:space="preserve"> geacht. </w:t>
            </w:r>
            <w:r w:rsidR="007111C5">
              <w:rPr>
                <w:rFonts w:eastAsia="Times New Roman" w:cs="Calibri"/>
                <w:color w:val="000000"/>
                <w:szCs w:val="18"/>
                <w:lang w:val="nl-NL" w:eastAsia="nl-NL"/>
              </w:rPr>
              <w:t xml:space="preserve">De maatregel is alleen begunstigend voor alleenstaanden. Er is rechtvaardiging nodig voor het onderscheid (wel of niet toepassing </w:t>
            </w:r>
            <w:r w:rsidRPr="00A212F7" w:rsidR="007111C5">
              <w:rPr>
                <w:rFonts w:eastAsia="Times New Roman" w:cs="Calibri"/>
                <w:color w:val="000000"/>
                <w:szCs w:val="18"/>
                <w:lang w:val="nl-NL" w:eastAsia="nl-NL"/>
              </w:rPr>
              <w:t>kostendelersnorm</w:t>
            </w:r>
            <w:r w:rsidR="007111C5">
              <w:rPr>
                <w:rFonts w:eastAsia="Times New Roman" w:cs="Calibri"/>
                <w:color w:val="000000"/>
                <w:szCs w:val="18"/>
                <w:lang w:val="nl-NL" w:eastAsia="nl-NL"/>
              </w:rPr>
              <w:t>)</w:t>
            </w:r>
            <w:r w:rsidRPr="00A212F7" w:rsidR="007111C5">
              <w:rPr>
                <w:rFonts w:eastAsia="Times New Roman" w:cs="Calibri"/>
                <w:color w:val="000000"/>
                <w:szCs w:val="18"/>
                <w:lang w:val="nl-NL" w:eastAsia="nl-NL"/>
              </w:rPr>
              <w:t xml:space="preserve"> </w:t>
            </w:r>
            <w:r w:rsidR="007111C5">
              <w:rPr>
                <w:rFonts w:eastAsia="Times New Roman" w:cs="Calibri"/>
                <w:color w:val="000000"/>
                <w:szCs w:val="18"/>
                <w:lang w:val="nl-NL" w:eastAsia="nl-NL"/>
              </w:rPr>
              <w:t xml:space="preserve">dat met deze maatregel ontstaat tussen </w:t>
            </w:r>
            <w:r w:rsidRPr="006122F2" w:rsidR="007111C5">
              <w:rPr>
                <w:szCs w:val="18"/>
                <w:lang w:val="nl-NL"/>
              </w:rPr>
              <w:t>gehuwd</w:t>
            </w:r>
            <w:r w:rsidR="007111C5">
              <w:rPr>
                <w:szCs w:val="18"/>
                <w:lang w:val="nl-NL"/>
              </w:rPr>
              <w:t xml:space="preserve">en en </w:t>
            </w:r>
            <w:r w:rsidRPr="006122F2" w:rsidR="007111C5">
              <w:rPr>
                <w:szCs w:val="18"/>
                <w:lang w:val="nl-NL"/>
              </w:rPr>
              <w:t>alleenstaand</w:t>
            </w:r>
            <w:r w:rsidR="007111C5">
              <w:rPr>
                <w:szCs w:val="18"/>
                <w:lang w:val="nl-NL"/>
              </w:rPr>
              <w:t>en.</w:t>
            </w:r>
          </w:p>
        </w:tc>
      </w:tr>
      <w:tr w:rsidRPr="00F51BCF" w:rsidR="00274420" w:rsidTr="00274420" w14:paraId="19102C56" w14:textId="77777777">
        <w:trPr>
          <w:trHeight w:val="315"/>
        </w:trPr>
        <w:tc>
          <w:tcPr>
            <w:tcW w:w="2005" w:type="dxa"/>
            <w:shd w:val="clear" w:color="auto" w:fill="auto"/>
            <w:noWrap/>
          </w:tcPr>
          <w:p w:rsidRPr="00704454" w:rsidR="00274420" w:rsidP="00D50797" w:rsidRDefault="00274420" w14:paraId="4DA9342D" w14:textId="77777777">
            <w:pPr>
              <w:spacing w:after="0" w:line="240" w:lineRule="auto"/>
              <w:contextualSpacing/>
              <w:rPr>
                <w:rFonts w:eastAsia="Times New Roman" w:cs="Calibri"/>
                <w:b/>
                <w:bCs/>
                <w:color w:val="000000"/>
                <w:szCs w:val="18"/>
                <w:lang w:val="nl-NL" w:eastAsia="nl-NL"/>
              </w:rPr>
            </w:pPr>
            <w:r w:rsidRPr="00704454">
              <w:rPr>
                <w:rFonts w:eastAsia="Times New Roman" w:cs="Calibri"/>
                <w:b/>
                <w:bCs/>
                <w:color w:val="000000"/>
                <w:szCs w:val="18"/>
                <w:lang w:val="nl-NL" w:eastAsia="nl-NL"/>
              </w:rPr>
              <w:t>Uitvoerbaarheid</w:t>
            </w:r>
          </w:p>
        </w:tc>
        <w:tc>
          <w:tcPr>
            <w:tcW w:w="8080" w:type="dxa"/>
            <w:shd w:val="clear" w:color="auto" w:fill="auto"/>
            <w:noWrap/>
          </w:tcPr>
          <w:p w:rsidRPr="00FD1605" w:rsidR="00274420" w:rsidP="00D50797" w:rsidRDefault="00274420" w14:paraId="6F437DAF" w14:textId="5E7A4698">
            <w:pPr>
              <w:spacing w:line="240" w:lineRule="auto"/>
              <w:contextualSpacing/>
              <w:rPr>
                <w:szCs w:val="18"/>
                <w:lang w:val="nl-NL"/>
              </w:rPr>
            </w:pPr>
            <w:r w:rsidRPr="00FD1605">
              <w:rPr>
                <w:szCs w:val="18"/>
                <w:lang w:val="nl-NL"/>
              </w:rPr>
              <w:t xml:space="preserve">UWV weet wel of iemand medebewoners heeft (uit </w:t>
            </w:r>
            <w:r w:rsidRPr="00FD1605" w:rsidR="005A6913">
              <w:rPr>
                <w:szCs w:val="18"/>
                <w:lang w:val="nl-NL"/>
              </w:rPr>
              <w:t xml:space="preserve">de </w:t>
            </w:r>
            <w:r w:rsidRPr="00FD1605">
              <w:rPr>
                <w:szCs w:val="18"/>
                <w:lang w:val="nl-NL"/>
              </w:rPr>
              <w:t xml:space="preserve">BRP), maar niet wat de onderlinge relatie is tussen deze personen (partner, gezamenlijk huishouden, kostendeler of huurder) en weet daardoor niet wat de huishoudenssamenstelling is. Hiervoor moet UWV vertrouwen op de informatie die de verzekerde heeft verstrekt. Doordat UWV de kostendelersnorm niet meer hoeft uit te voeren, levert dat naar verwachting een verlichting/vereenvoudiging voor de uitvoering op. </w:t>
            </w:r>
            <w:r w:rsidRPr="00FD1605" w:rsidR="00C36F57">
              <w:rPr>
                <w:szCs w:val="18"/>
                <w:lang w:val="nl-NL"/>
              </w:rPr>
              <w:t xml:space="preserve">Ook worden er minder </w:t>
            </w:r>
            <w:r w:rsidRPr="00FD1605" w:rsidR="001D0FF3">
              <w:rPr>
                <w:szCs w:val="18"/>
                <w:lang w:val="nl-NL"/>
              </w:rPr>
              <w:t xml:space="preserve">herberekeningen en </w:t>
            </w:r>
            <w:r w:rsidRPr="00FD1605" w:rsidR="00C36F57">
              <w:rPr>
                <w:szCs w:val="18"/>
                <w:lang w:val="nl-NL"/>
              </w:rPr>
              <w:t xml:space="preserve">(hoge) terugvorderingen </w:t>
            </w:r>
            <w:r w:rsidRPr="00FD1605" w:rsidR="001D0FF3">
              <w:rPr>
                <w:szCs w:val="18"/>
                <w:lang w:val="nl-NL"/>
              </w:rPr>
              <w:t xml:space="preserve">verwacht </w:t>
            </w:r>
            <w:r w:rsidRPr="00FD1605" w:rsidR="00C36F57">
              <w:rPr>
                <w:szCs w:val="18"/>
                <w:lang w:val="nl-NL"/>
              </w:rPr>
              <w:t xml:space="preserve">door het niet </w:t>
            </w:r>
            <w:r w:rsidRPr="00FD1605" w:rsidR="001D0FF3">
              <w:rPr>
                <w:szCs w:val="18"/>
                <w:lang w:val="nl-NL"/>
              </w:rPr>
              <w:t xml:space="preserve">(juist) </w:t>
            </w:r>
            <w:r w:rsidRPr="00FD1605" w:rsidR="00C36F57">
              <w:rPr>
                <w:szCs w:val="18"/>
                <w:lang w:val="nl-NL"/>
              </w:rPr>
              <w:t>doorgeven van leefvormwijzigingen.</w:t>
            </w:r>
            <w:r w:rsidR="00DF58CB">
              <w:rPr>
                <w:szCs w:val="18"/>
                <w:lang w:val="nl-NL"/>
              </w:rPr>
              <w:t xml:space="preserve"> Deze maatregel lost de problematiek echter niet volledig op, omdat UWV nog wel de gehuwdennorm blijft uitvoeren en handhaven. Voor de gehuwdennorm blijft UWV afhankelijk van de informatie die de verzekerde verstrekt.</w:t>
            </w:r>
          </w:p>
          <w:p w:rsidRPr="00FD1605" w:rsidR="001D0FF3" w:rsidP="00D50797" w:rsidRDefault="001D0FF3" w14:paraId="3BF3091E" w14:textId="77777777">
            <w:pPr>
              <w:spacing w:line="240" w:lineRule="auto"/>
              <w:contextualSpacing/>
              <w:rPr>
                <w:szCs w:val="18"/>
                <w:lang w:val="nl-NL"/>
              </w:rPr>
            </w:pPr>
          </w:p>
          <w:p w:rsidRPr="00FD1605" w:rsidR="00274420" w:rsidP="00D50797" w:rsidRDefault="005B4F55" w14:paraId="39D0C486" w14:textId="516D09A3">
            <w:pPr>
              <w:spacing w:line="240" w:lineRule="auto"/>
              <w:contextualSpacing/>
              <w:rPr>
                <w:szCs w:val="18"/>
                <w:lang w:val="nl-NL"/>
              </w:rPr>
            </w:pPr>
            <w:r w:rsidRPr="00FD1605">
              <w:rPr>
                <w:szCs w:val="18"/>
                <w:lang w:val="nl-NL"/>
              </w:rPr>
              <w:t>E</w:t>
            </w:r>
            <w:r w:rsidRPr="00FD1605" w:rsidR="00274420">
              <w:rPr>
                <w:szCs w:val="18"/>
                <w:lang w:val="nl-NL"/>
              </w:rPr>
              <w:t>r</w:t>
            </w:r>
            <w:r w:rsidRPr="00FD1605">
              <w:rPr>
                <w:szCs w:val="18"/>
                <w:lang w:val="nl-NL"/>
              </w:rPr>
              <w:t xml:space="preserve"> is</w:t>
            </w:r>
            <w:r w:rsidRPr="00FD1605" w:rsidR="00274420">
              <w:rPr>
                <w:szCs w:val="18"/>
                <w:lang w:val="nl-NL"/>
              </w:rPr>
              <w:t xml:space="preserve"> een groep uitkeringsgerechtigden die ten tijde van inwerkingtreding al recht heeft op een TW-aanvulling op grond van de kostendelersnorm. Zij kunnen recht krijgen op een hogere aanvulling op grond van de alleenstaande-norm. Deze groep moet door UWV worden geïdentificeerd en de aanvulling moet worden herzien. Ook kunnen mensen die nu niet in aanmerking komen voor een aanvullende toeslag, door de maatregel recht krijgen (doordat hun inkomen tussen 50% en 70% WML ligt). Deze </w:t>
            </w:r>
            <w:r w:rsidRPr="00FD1605" w:rsidR="00274420">
              <w:rPr>
                <w:szCs w:val="18"/>
                <w:lang w:val="nl-NL"/>
              </w:rPr>
              <w:lastRenderedPageBreak/>
              <w:t>personen kunnen nieuwe aanvragen indienen, die door UWV beoordeeld moeten worden.</w:t>
            </w:r>
          </w:p>
        </w:tc>
      </w:tr>
      <w:tr w:rsidRPr="00F51BCF" w:rsidR="00274420" w:rsidTr="00274420" w14:paraId="30A44DEC" w14:textId="77777777">
        <w:trPr>
          <w:trHeight w:val="315"/>
        </w:trPr>
        <w:tc>
          <w:tcPr>
            <w:tcW w:w="2005" w:type="dxa"/>
            <w:shd w:val="clear" w:color="auto" w:fill="auto"/>
            <w:noWrap/>
          </w:tcPr>
          <w:p w:rsidRPr="00704454" w:rsidR="00274420" w:rsidP="00D50797" w:rsidRDefault="00274420" w14:paraId="1C81A90D" w14:textId="77777777">
            <w:pPr>
              <w:spacing w:after="0" w:line="240" w:lineRule="auto"/>
              <w:contextualSpacing/>
              <w:rPr>
                <w:rFonts w:eastAsia="Times New Roman" w:cs="Calibri"/>
                <w:b/>
                <w:bCs/>
                <w:color w:val="000000"/>
                <w:szCs w:val="18"/>
                <w:lang w:val="nl-NL" w:eastAsia="nl-NL"/>
              </w:rPr>
            </w:pPr>
            <w:r w:rsidRPr="00704454">
              <w:rPr>
                <w:rFonts w:eastAsia="Times New Roman" w:cs="Calibri"/>
                <w:b/>
                <w:bCs/>
                <w:color w:val="000000"/>
                <w:szCs w:val="18"/>
                <w:lang w:val="nl-NL" w:eastAsia="nl-NL"/>
              </w:rPr>
              <w:lastRenderedPageBreak/>
              <w:t>Financiële effecten</w:t>
            </w:r>
          </w:p>
        </w:tc>
        <w:tc>
          <w:tcPr>
            <w:tcW w:w="8080" w:type="dxa"/>
            <w:shd w:val="clear" w:color="auto" w:fill="auto"/>
            <w:noWrap/>
          </w:tcPr>
          <w:tbl>
            <w:tblPr>
              <w:tblStyle w:val="Tabelraster"/>
              <w:tblpPr w:leftFromText="141" w:rightFromText="141" w:vertAnchor="page" w:horzAnchor="margin" w:tblpY="541"/>
              <w:tblOverlap w:val="never"/>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1E0" w:firstRow="1" w:lastRow="1" w:firstColumn="1" w:lastColumn="1" w:noHBand="0" w:noVBand="0"/>
            </w:tblPr>
            <w:tblGrid>
              <w:gridCol w:w="2005"/>
              <w:gridCol w:w="792"/>
              <w:gridCol w:w="792"/>
              <w:gridCol w:w="792"/>
              <w:gridCol w:w="804"/>
              <w:gridCol w:w="804"/>
              <w:gridCol w:w="972"/>
              <w:gridCol w:w="971"/>
            </w:tblGrid>
            <w:tr w:rsidRPr="00F51BCF" w:rsidR="00EA2DE8" w:rsidTr="00EA2DE8" w14:paraId="5312BC22" w14:textId="77777777">
              <w:tc>
                <w:tcPr>
                  <w:tcW w:w="1263" w:type="pct"/>
                  <w:tcBorders>
                    <w:top w:val="single" w:color="auto" w:sz="4" w:space="0"/>
                    <w:left w:val="single" w:color="auto" w:sz="4" w:space="0"/>
                  </w:tcBorders>
                </w:tcPr>
                <w:p w:rsidRPr="00EA2DE8" w:rsidR="00EA2DE8" w:rsidP="00D50797" w:rsidRDefault="00EA2DE8" w14:paraId="4E21DAC2" w14:textId="0BD664AD">
                  <w:pPr>
                    <w:contextualSpacing/>
                    <w:rPr>
                      <w:rFonts w:ascii="Verdana" w:hAnsi="Verdana"/>
                      <w:bCs/>
                      <w:i/>
                      <w:iCs/>
                      <w:sz w:val="18"/>
                      <w:szCs w:val="18"/>
                    </w:rPr>
                  </w:pPr>
                  <w:r w:rsidRPr="00EA2DE8">
                    <w:rPr>
                      <w:rFonts w:ascii="Verdana" w:hAnsi="Verdana"/>
                      <w:bCs/>
                      <w:i/>
                      <w:iCs/>
                      <w:sz w:val="18"/>
                      <w:szCs w:val="18"/>
                    </w:rPr>
                    <w:t>In miljoenen euro’s</w:t>
                  </w:r>
                </w:p>
              </w:tc>
              <w:tc>
                <w:tcPr>
                  <w:tcW w:w="499" w:type="pct"/>
                  <w:tcBorders>
                    <w:top w:val="single" w:color="auto" w:sz="4" w:space="0"/>
                  </w:tcBorders>
                </w:tcPr>
                <w:p w:rsidRPr="00EA2DE8" w:rsidR="00EA2DE8" w:rsidP="00D50797" w:rsidRDefault="00EA2DE8" w14:paraId="325FD2E1" w14:textId="77777777">
                  <w:pPr>
                    <w:contextualSpacing/>
                    <w:rPr>
                      <w:rFonts w:ascii="Verdana" w:hAnsi="Verdana"/>
                      <w:b/>
                      <w:bCs/>
                      <w:sz w:val="18"/>
                      <w:szCs w:val="18"/>
                    </w:rPr>
                  </w:pPr>
                  <w:r w:rsidRPr="00EA2DE8">
                    <w:rPr>
                      <w:rFonts w:ascii="Verdana" w:hAnsi="Verdana"/>
                      <w:b/>
                      <w:bCs/>
                      <w:sz w:val="18"/>
                      <w:szCs w:val="18"/>
                    </w:rPr>
                    <w:t>2026</w:t>
                  </w:r>
                </w:p>
              </w:tc>
              <w:tc>
                <w:tcPr>
                  <w:tcW w:w="499" w:type="pct"/>
                  <w:tcBorders>
                    <w:top w:val="single" w:color="auto" w:sz="4" w:space="0"/>
                  </w:tcBorders>
                </w:tcPr>
                <w:p w:rsidRPr="00EA2DE8" w:rsidR="00EA2DE8" w:rsidP="00D50797" w:rsidRDefault="00EA2DE8" w14:paraId="2129CB78" w14:textId="77777777">
                  <w:pPr>
                    <w:contextualSpacing/>
                    <w:rPr>
                      <w:rFonts w:ascii="Verdana" w:hAnsi="Verdana"/>
                      <w:b/>
                      <w:bCs/>
                      <w:sz w:val="18"/>
                      <w:szCs w:val="18"/>
                    </w:rPr>
                  </w:pPr>
                  <w:r w:rsidRPr="00EA2DE8">
                    <w:rPr>
                      <w:rFonts w:ascii="Verdana" w:hAnsi="Verdana"/>
                      <w:b/>
                      <w:bCs/>
                      <w:sz w:val="18"/>
                      <w:szCs w:val="18"/>
                    </w:rPr>
                    <w:t>2027</w:t>
                  </w:r>
                </w:p>
              </w:tc>
              <w:tc>
                <w:tcPr>
                  <w:tcW w:w="499" w:type="pct"/>
                  <w:tcBorders>
                    <w:top w:val="single" w:color="auto" w:sz="4" w:space="0"/>
                  </w:tcBorders>
                </w:tcPr>
                <w:p w:rsidRPr="00EA2DE8" w:rsidR="00EA2DE8" w:rsidP="00D50797" w:rsidRDefault="00EA2DE8" w14:paraId="5B6F8A3E" w14:textId="77777777">
                  <w:pPr>
                    <w:contextualSpacing/>
                    <w:rPr>
                      <w:rFonts w:ascii="Verdana" w:hAnsi="Verdana"/>
                      <w:b/>
                      <w:bCs/>
                      <w:sz w:val="18"/>
                      <w:szCs w:val="18"/>
                    </w:rPr>
                  </w:pPr>
                  <w:r w:rsidRPr="00EA2DE8">
                    <w:rPr>
                      <w:rFonts w:ascii="Verdana" w:hAnsi="Verdana"/>
                      <w:b/>
                      <w:bCs/>
                      <w:sz w:val="18"/>
                      <w:szCs w:val="18"/>
                    </w:rPr>
                    <w:t>2028</w:t>
                  </w:r>
                </w:p>
              </w:tc>
              <w:tc>
                <w:tcPr>
                  <w:tcW w:w="507" w:type="pct"/>
                  <w:tcBorders>
                    <w:top w:val="single" w:color="auto" w:sz="4" w:space="0"/>
                  </w:tcBorders>
                </w:tcPr>
                <w:p w:rsidRPr="00EA2DE8" w:rsidR="00EA2DE8" w:rsidP="00D50797" w:rsidRDefault="00EA2DE8" w14:paraId="61174995" w14:textId="77777777">
                  <w:pPr>
                    <w:contextualSpacing/>
                    <w:rPr>
                      <w:rFonts w:ascii="Verdana" w:hAnsi="Verdana"/>
                      <w:b/>
                      <w:bCs/>
                      <w:sz w:val="18"/>
                      <w:szCs w:val="18"/>
                    </w:rPr>
                  </w:pPr>
                  <w:r w:rsidRPr="00EA2DE8">
                    <w:rPr>
                      <w:rFonts w:ascii="Verdana" w:hAnsi="Verdana"/>
                      <w:b/>
                      <w:bCs/>
                      <w:sz w:val="18"/>
                      <w:szCs w:val="18"/>
                    </w:rPr>
                    <w:t>2029</w:t>
                  </w:r>
                </w:p>
              </w:tc>
              <w:tc>
                <w:tcPr>
                  <w:tcW w:w="507" w:type="pct"/>
                  <w:tcBorders>
                    <w:top w:val="single" w:color="auto" w:sz="4" w:space="0"/>
                  </w:tcBorders>
                </w:tcPr>
                <w:p w:rsidRPr="00EA2DE8" w:rsidR="00EA2DE8" w:rsidP="00D50797" w:rsidRDefault="00EA2DE8" w14:paraId="556EC9E5" w14:textId="77777777">
                  <w:pPr>
                    <w:contextualSpacing/>
                    <w:rPr>
                      <w:rFonts w:ascii="Verdana" w:hAnsi="Verdana"/>
                      <w:b/>
                      <w:bCs/>
                      <w:sz w:val="18"/>
                      <w:szCs w:val="18"/>
                    </w:rPr>
                  </w:pPr>
                  <w:r w:rsidRPr="00EA2DE8">
                    <w:rPr>
                      <w:rFonts w:ascii="Verdana" w:hAnsi="Verdana"/>
                      <w:b/>
                      <w:bCs/>
                      <w:sz w:val="18"/>
                      <w:szCs w:val="18"/>
                    </w:rPr>
                    <w:t>2030</w:t>
                  </w:r>
                </w:p>
              </w:tc>
              <w:tc>
                <w:tcPr>
                  <w:tcW w:w="613" w:type="pct"/>
                  <w:tcBorders>
                    <w:top w:val="single" w:color="auto" w:sz="4" w:space="0"/>
                  </w:tcBorders>
                </w:tcPr>
                <w:p w:rsidRPr="00EA2DE8" w:rsidR="00EA2DE8" w:rsidP="00D50797" w:rsidRDefault="00EA2DE8" w14:paraId="0FFC8223" w14:textId="19A1ADC7">
                  <w:pPr>
                    <w:contextualSpacing/>
                    <w:rPr>
                      <w:rFonts w:ascii="Verdana" w:hAnsi="Verdana"/>
                      <w:b/>
                      <w:bCs/>
                      <w:sz w:val="18"/>
                      <w:szCs w:val="18"/>
                    </w:rPr>
                  </w:pPr>
                  <w:r w:rsidRPr="00EA2DE8">
                    <w:rPr>
                      <w:rFonts w:ascii="Verdana" w:hAnsi="Verdana"/>
                      <w:b/>
                      <w:bCs/>
                      <w:sz w:val="18"/>
                      <w:szCs w:val="18"/>
                    </w:rPr>
                    <w:t>2031</w:t>
                  </w:r>
                </w:p>
              </w:tc>
              <w:tc>
                <w:tcPr>
                  <w:tcW w:w="612" w:type="pct"/>
                  <w:tcBorders>
                    <w:top w:val="single" w:color="auto" w:sz="4" w:space="0"/>
                  </w:tcBorders>
                </w:tcPr>
                <w:p w:rsidRPr="00EA2DE8" w:rsidR="00EA2DE8" w:rsidP="00D50797" w:rsidRDefault="00EA2DE8" w14:paraId="16443E32" w14:textId="2BB9BFB6">
                  <w:pPr>
                    <w:contextualSpacing/>
                    <w:rPr>
                      <w:rFonts w:ascii="Verdana" w:hAnsi="Verdana"/>
                      <w:b/>
                      <w:bCs/>
                      <w:sz w:val="18"/>
                      <w:szCs w:val="18"/>
                    </w:rPr>
                  </w:pPr>
                  <w:proofErr w:type="spellStart"/>
                  <w:r w:rsidRPr="00EA2DE8">
                    <w:rPr>
                      <w:rFonts w:ascii="Verdana" w:hAnsi="Verdana"/>
                      <w:b/>
                      <w:bCs/>
                      <w:sz w:val="18"/>
                      <w:szCs w:val="18"/>
                    </w:rPr>
                    <w:t>Struc</w:t>
                  </w:r>
                  <w:proofErr w:type="spellEnd"/>
                  <w:r w:rsidRPr="00EA2DE8">
                    <w:rPr>
                      <w:rFonts w:ascii="Verdana" w:hAnsi="Verdana"/>
                      <w:b/>
                      <w:bCs/>
                      <w:sz w:val="18"/>
                      <w:szCs w:val="18"/>
                    </w:rPr>
                    <w:t>. (2060)</w:t>
                  </w:r>
                </w:p>
              </w:tc>
            </w:tr>
            <w:tr w:rsidRPr="00F51BCF" w:rsidR="00EA2DE8" w:rsidTr="00EA2DE8" w14:paraId="5424960A" w14:textId="77777777">
              <w:tc>
                <w:tcPr>
                  <w:tcW w:w="1263" w:type="pct"/>
                </w:tcPr>
                <w:p w:rsidRPr="00EA2DE8" w:rsidR="00EA2DE8" w:rsidP="00D50797" w:rsidRDefault="00EA2DE8" w14:paraId="10C8587E" w14:textId="77777777">
                  <w:pPr>
                    <w:contextualSpacing/>
                    <w:rPr>
                      <w:rFonts w:ascii="Verdana" w:hAnsi="Verdana"/>
                      <w:sz w:val="18"/>
                      <w:szCs w:val="18"/>
                    </w:rPr>
                  </w:pPr>
                  <w:r w:rsidRPr="00EA2DE8">
                    <w:rPr>
                      <w:rFonts w:ascii="Verdana" w:hAnsi="Verdana"/>
                      <w:sz w:val="18"/>
                      <w:szCs w:val="18"/>
                    </w:rPr>
                    <w:t>Algemene effecten</w:t>
                  </w:r>
                </w:p>
              </w:tc>
              <w:tc>
                <w:tcPr>
                  <w:tcW w:w="499" w:type="pct"/>
                </w:tcPr>
                <w:p w:rsidRPr="00EA2DE8" w:rsidR="00EA2DE8" w:rsidP="00D50797" w:rsidRDefault="00EA2DE8" w14:paraId="6711BDF8" w14:textId="77777777">
                  <w:pPr>
                    <w:contextualSpacing/>
                    <w:rPr>
                      <w:rFonts w:ascii="Verdana" w:hAnsi="Verdana"/>
                      <w:sz w:val="18"/>
                      <w:szCs w:val="18"/>
                    </w:rPr>
                  </w:pPr>
                </w:p>
              </w:tc>
              <w:tc>
                <w:tcPr>
                  <w:tcW w:w="499" w:type="pct"/>
                </w:tcPr>
                <w:p w:rsidRPr="00EA2DE8" w:rsidR="00EA2DE8" w:rsidP="00D50797" w:rsidRDefault="00EA2DE8" w14:paraId="2EB1B1BB" w14:textId="4A75BA6E">
                  <w:pPr>
                    <w:contextualSpacing/>
                    <w:rPr>
                      <w:rFonts w:ascii="Verdana" w:hAnsi="Verdana"/>
                      <w:sz w:val="18"/>
                      <w:szCs w:val="18"/>
                    </w:rPr>
                  </w:pPr>
                </w:p>
              </w:tc>
              <w:tc>
                <w:tcPr>
                  <w:tcW w:w="499" w:type="pct"/>
                </w:tcPr>
                <w:p w:rsidRPr="00EA2DE8" w:rsidR="00EA2DE8" w:rsidP="00D50797" w:rsidRDefault="00EA2DE8" w14:paraId="71FC1637" w14:textId="217DE149">
                  <w:pPr>
                    <w:contextualSpacing/>
                    <w:rPr>
                      <w:rFonts w:ascii="Verdana" w:hAnsi="Verdana"/>
                      <w:sz w:val="18"/>
                      <w:szCs w:val="18"/>
                    </w:rPr>
                  </w:pPr>
                </w:p>
              </w:tc>
              <w:tc>
                <w:tcPr>
                  <w:tcW w:w="507" w:type="pct"/>
                </w:tcPr>
                <w:p w:rsidRPr="00EA2DE8" w:rsidR="00EA2DE8" w:rsidP="00D50797" w:rsidRDefault="00EA2DE8" w14:paraId="6EED4087" w14:textId="75386065">
                  <w:pPr>
                    <w:contextualSpacing/>
                    <w:rPr>
                      <w:rFonts w:ascii="Verdana" w:hAnsi="Verdana"/>
                      <w:sz w:val="18"/>
                      <w:szCs w:val="18"/>
                    </w:rPr>
                  </w:pPr>
                  <w:r w:rsidRPr="00EA2DE8">
                    <w:rPr>
                      <w:rFonts w:ascii="Verdana" w:hAnsi="Verdana"/>
                      <w:sz w:val="18"/>
                      <w:szCs w:val="18"/>
                    </w:rPr>
                    <w:t>9,6</w:t>
                  </w:r>
                </w:p>
              </w:tc>
              <w:tc>
                <w:tcPr>
                  <w:tcW w:w="507" w:type="pct"/>
                </w:tcPr>
                <w:p w:rsidRPr="00EA2DE8" w:rsidR="00EA2DE8" w:rsidP="00D50797" w:rsidRDefault="00EA2DE8" w14:paraId="1ED16153" w14:textId="0ED6E959">
                  <w:pPr>
                    <w:contextualSpacing/>
                    <w:rPr>
                      <w:rFonts w:ascii="Verdana" w:hAnsi="Verdana"/>
                      <w:sz w:val="18"/>
                      <w:szCs w:val="18"/>
                    </w:rPr>
                  </w:pPr>
                  <w:r w:rsidRPr="00EA2DE8">
                    <w:rPr>
                      <w:rFonts w:ascii="Verdana" w:hAnsi="Verdana"/>
                      <w:sz w:val="18"/>
                      <w:szCs w:val="18"/>
                    </w:rPr>
                    <w:t>9,8</w:t>
                  </w:r>
                </w:p>
              </w:tc>
              <w:tc>
                <w:tcPr>
                  <w:tcW w:w="613" w:type="pct"/>
                </w:tcPr>
                <w:p w:rsidRPr="00EA2DE8" w:rsidR="00EA2DE8" w:rsidP="00D50797" w:rsidRDefault="00EA2DE8" w14:paraId="108AB371" w14:textId="03F3BCED">
                  <w:pPr>
                    <w:contextualSpacing/>
                    <w:rPr>
                      <w:rFonts w:ascii="Verdana" w:hAnsi="Verdana"/>
                      <w:sz w:val="18"/>
                      <w:szCs w:val="18"/>
                    </w:rPr>
                  </w:pPr>
                  <w:r w:rsidRPr="00EA2DE8">
                    <w:rPr>
                      <w:rFonts w:ascii="Verdana" w:hAnsi="Verdana"/>
                      <w:sz w:val="18"/>
                      <w:szCs w:val="18"/>
                    </w:rPr>
                    <w:t>9,9</w:t>
                  </w:r>
                </w:p>
              </w:tc>
              <w:tc>
                <w:tcPr>
                  <w:tcW w:w="612" w:type="pct"/>
                </w:tcPr>
                <w:p w:rsidRPr="00EA2DE8" w:rsidR="00EA2DE8" w:rsidP="00D50797" w:rsidRDefault="00EA2DE8" w14:paraId="618F5E61" w14:textId="65C2A91C">
                  <w:pPr>
                    <w:contextualSpacing/>
                    <w:rPr>
                      <w:rFonts w:ascii="Verdana" w:hAnsi="Verdana"/>
                      <w:sz w:val="18"/>
                      <w:szCs w:val="18"/>
                    </w:rPr>
                  </w:pPr>
                  <w:r w:rsidRPr="00EA2DE8">
                    <w:rPr>
                      <w:rFonts w:ascii="Verdana" w:hAnsi="Verdana"/>
                      <w:sz w:val="18"/>
                      <w:szCs w:val="18"/>
                    </w:rPr>
                    <w:t>10,9</w:t>
                  </w:r>
                </w:p>
              </w:tc>
            </w:tr>
            <w:tr w:rsidRPr="00F51BCF" w:rsidR="00EA2DE8" w:rsidTr="00EA2DE8" w14:paraId="57BE51B0" w14:textId="77777777">
              <w:tc>
                <w:tcPr>
                  <w:tcW w:w="1263" w:type="pct"/>
                </w:tcPr>
                <w:p w:rsidRPr="00EA2DE8" w:rsidR="00EA2DE8" w:rsidP="00D50797" w:rsidRDefault="00EA2DE8" w14:paraId="1A9CDF91" w14:textId="77777777">
                  <w:pPr>
                    <w:contextualSpacing/>
                    <w:rPr>
                      <w:rFonts w:ascii="Verdana" w:hAnsi="Verdana"/>
                      <w:sz w:val="18"/>
                      <w:szCs w:val="18"/>
                    </w:rPr>
                  </w:pPr>
                  <w:r w:rsidRPr="00EA2DE8">
                    <w:rPr>
                      <w:rFonts w:ascii="Verdana" w:hAnsi="Verdana"/>
                      <w:sz w:val="18"/>
                      <w:szCs w:val="18"/>
                    </w:rPr>
                    <w:t>Weglekeffecten</w:t>
                  </w:r>
                </w:p>
              </w:tc>
              <w:tc>
                <w:tcPr>
                  <w:tcW w:w="499" w:type="pct"/>
                </w:tcPr>
                <w:p w:rsidRPr="00EA2DE8" w:rsidR="00EA2DE8" w:rsidP="00D50797" w:rsidRDefault="00EA2DE8" w14:paraId="2C09BC12" w14:textId="77777777">
                  <w:pPr>
                    <w:contextualSpacing/>
                    <w:rPr>
                      <w:rFonts w:ascii="Verdana" w:hAnsi="Verdana"/>
                      <w:sz w:val="18"/>
                      <w:szCs w:val="18"/>
                    </w:rPr>
                  </w:pPr>
                </w:p>
              </w:tc>
              <w:tc>
                <w:tcPr>
                  <w:tcW w:w="499" w:type="pct"/>
                </w:tcPr>
                <w:p w:rsidRPr="00EA2DE8" w:rsidR="00EA2DE8" w:rsidP="00D50797" w:rsidRDefault="00EA2DE8" w14:paraId="0C80CEDE" w14:textId="77777777">
                  <w:pPr>
                    <w:contextualSpacing/>
                    <w:rPr>
                      <w:rFonts w:ascii="Verdana" w:hAnsi="Verdana"/>
                      <w:sz w:val="18"/>
                      <w:szCs w:val="18"/>
                    </w:rPr>
                  </w:pPr>
                </w:p>
              </w:tc>
              <w:tc>
                <w:tcPr>
                  <w:tcW w:w="499" w:type="pct"/>
                </w:tcPr>
                <w:p w:rsidRPr="00EA2DE8" w:rsidR="00EA2DE8" w:rsidP="00D50797" w:rsidRDefault="00EA2DE8" w14:paraId="448CC356" w14:textId="77777777">
                  <w:pPr>
                    <w:contextualSpacing/>
                    <w:rPr>
                      <w:rFonts w:ascii="Verdana" w:hAnsi="Verdana"/>
                      <w:sz w:val="18"/>
                      <w:szCs w:val="18"/>
                    </w:rPr>
                  </w:pPr>
                </w:p>
              </w:tc>
              <w:tc>
                <w:tcPr>
                  <w:tcW w:w="507" w:type="pct"/>
                </w:tcPr>
                <w:p w:rsidRPr="00EA2DE8" w:rsidR="00EA2DE8" w:rsidP="00D50797" w:rsidRDefault="00EA2DE8" w14:paraId="672E85EB" w14:textId="77777777">
                  <w:pPr>
                    <w:contextualSpacing/>
                    <w:rPr>
                      <w:rFonts w:ascii="Verdana" w:hAnsi="Verdana"/>
                      <w:sz w:val="18"/>
                      <w:szCs w:val="18"/>
                    </w:rPr>
                  </w:pPr>
                </w:p>
              </w:tc>
              <w:tc>
                <w:tcPr>
                  <w:tcW w:w="507" w:type="pct"/>
                </w:tcPr>
                <w:p w:rsidRPr="00EA2DE8" w:rsidR="00EA2DE8" w:rsidP="00D50797" w:rsidRDefault="00EA2DE8" w14:paraId="7ED473BD" w14:textId="77777777">
                  <w:pPr>
                    <w:contextualSpacing/>
                    <w:rPr>
                      <w:rFonts w:ascii="Verdana" w:hAnsi="Verdana"/>
                      <w:sz w:val="18"/>
                      <w:szCs w:val="18"/>
                    </w:rPr>
                  </w:pPr>
                </w:p>
              </w:tc>
              <w:tc>
                <w:tcPr>
                  <w:tcW w:w="613" w:type="pct"/>
                </w:tcPr>
                <w:p w:rsidRPr="00EA2DE8" w:rsidR="00EA2DE8" w:rsidP="00D50797" w:rsidRDefault="00EA2DE8" w14:paraId="4E628AA8" w14:textId="77777777">
                  <w:pPr>
                    <w:contextualSpacing/>
                    <w:rPr>
                      <w:rFonts w:ascii="Verdana" w:hAnsi="Verdana"/>
                      <w:sz w:val="18"/>
                      <w:szCs w:val="18"/>
                    </w:rPr>
                  </w:pPr>
                </w:p>
              </w:tc>
              <w:tc>
                <w:tcPr>
                  <w:tcW w:w="612" w:type="pct"/>
                </w:tcPr>
                <w:p w:rsidRPr="00EA2DE8" w:rsidR="00EA2DE8" w:rsidP="00D50797" w:rsidRDefault="00EA2DE8" w14:paraId="37692507" w14:textId="3412C028">
                  <w:pPr>
                    <w:contextualSpacing/>
                    <w:rPr>
                      <w:rFonts w:ascii="Verdana" w:hAnsi="Verdana"/>
                      <w:sz w:val="18"/>
                      <w:szCs w:val="18"/>
                    </w:rPr>
                  </w:pPr>
                </w:p>
              </w:tc>
            </w:tr>
            <w:tr w:rsidRPr="00F51BCF" w:rsidR="00EA2DE8" w:rsidTr="00EA2DE8" w14:paraId="01667B66" w14:textId="77777777">
              <w:tc>
                <w:tcPr>
                  <w:tcW w:w="1263" w:type="pct"/>
                </w:tcPr>
                <w:p w:rsidRPr="00EA2DE8" w:rsidR="00EA2DE8" w:rsidP="00D50797" w:rsidRDefault="00EA2DE8" w14:paraId="3B50A61A" w14:textId="77777777">
                  <w:pPr>
                    <w:contextualSpacing/>
                    <w:rPr>
                      <w:rFonts w:ascii="Verdana" w:hAnsi="Verdana"/>
                      <w:sz w:val="18"/>
                      <w:szCs w:val="18"/>
                    </w:rPr>
                  </w:pPr>
                  <w:r w:rsidRPr="00EA2DE8">
                    <w:rPr>
                      <w:rFonts w:ascii="Verdana" w:hAnsi="Verdana"/>
                      <w:sz w:val="18"/>
                      <w:szCs w:val="18"/>
                    </w:rPr>
                    <w:t>Uitvoeringskosten</w:t>
                  </w:r>
                </w:p>
              </w:tc>
              <w:tc>
                <w:tcPr>
                  <w:tcW w:w="499" w:type="pct"/>
                </w:tcPr>
                <w:p w:rsidRPr="00EA2DE8" w:rsidR="00EA2DE8" w:rsidP="00D50797" w:rsidRDefault="00EA2DE8" w14:paraId="6447B11A" w14:textId="77777777">
                  <w:pPr>
                    <w:contextualSpacing/>
                    <w:rPr>
                      <w:rFonts w:ascii="Verdana" w:hAnsi="Verdana"/>
                      <w:sz w:val="18"/>
                      <w:szCs w:val="18"/>
                    </w:rPr>
                  </w:pPr>
                </w:p>
              </w:tc>
              <w:tc>
                <w:tcPr>
                  <w:tcW w:w="499" w:type="pct"/>
                </w:tcPr>
                <w:p w:rsidRPr="00EA2DE8" w:rsidR="00EA2DE8" w:rsidP="00D50797" w:rsidRDefault="00EA2DE8" w14:paraId="2D6223AA" w14:textId="77777777">
                  <w:pPr>
                    <w:contextualSpacing/>
                    <w:rPr>
                      <w:rFonts w:ascii="Verdana" w:hAnsi="Verdana"/>
                      <w:sz w:val="18"/>
                      <w:szCs w:val="18"/>
                    </w:rPr>
                  </w:pPr>
                </w:p>
              </w:tc>
              <w:tc>
                <w:tcPr>
                  <w:tcW w:w="499" w:type="pct"/>
                </w:tcPr>
                <w:p w:rsidRPr="00EA2DE8" w:rsidR="00EA2DE8" w:rsidP="00D50797" w:rsidRDefault="00EA2DE8" w14:paraId="28FEF5D8" w14:textId="77777777">
                  <w:pPr>
                    <w:contextualSpacing/>
                    <w:rPr>
                      <w:rFonts w:ascii="Verdana" w:hAnsi="Verdana"/>
                      <w:sz w:val="18"/>
                      <w:szCs w:val="18"/>
                    </w:rPr>
                  </w:pPr>
                </w:p>
              </w:tc>
              <w:tc>
                <w:tcPr>
                  <w:tcW w:w="507" w:type="pct"/>
                </w:tcPr>
                <w:p w:rsidRPr="00EA2DE8" w:rsidR="00EA2DE8" w:rsidP="00D50797" w:rsidRDefault="00EA2DE8" w14:paraId="582A2513" w14:textId="77777777">
                  <w:pPr>
                    <w:contextualSpacing/>
                    <w:rPr>
                      <w:rFonts w:ascii="Verdana" w:hAnsi="Verdana"/>
                      <w:sz w:val="18"/>
                      <w:szCs w:val="18"/>
                    </w:rPr>
                  </w:pPr>
                </w:p>
              </w:tc>
              <w:tc>
                <w:tcPr>
                  <w:tcW w:w="507" w:type="pct"/>
                </w:tcPr>
                <w:p w:rsidRPr="00EA2DE8" w:rsidR="00EA2DE8" w:rsidP="00D50797" w:rsidRDefault="00EA2DE8" w14:paraId="63DD404A" w14:textId="77777777">
                  <w:pPr>
                    <w:contextualSpacing/>
                    <w:rPr>
                      <w:rFonts w:ascii="Verdana" w:hAnsi="Verdana"/>
                      <w:sz w:val="18"/>
                      <w:szCs w:val="18"/>
                    </w:rPr>
                  </w:pPr>
                </w:p>
              </w:tc>
              <w:tc>
                <w:tcPr>
                  <w:tcW w:w="613" w:type="pct"/>
                </w:tcPr>
                <w:p w:rsidRPr="00EA2DE8" w:rsidR="00EA2DE8" w:rsidP="00D50797" w:rsidRDefault="00EA2DE8" w14:paraId="6147A078" w14:textId="77777777">
                  <w:pPr>
                    <w:contextualSpacing/>
                    <w:rPr>
                      <w:rFonts w:ascii="Verdana" w:hAnsi="Verdana"/>
                      <w:sz w:val="18"/>
                      <w:szCs w:val="18"/>
                    </w:rPr>
                  </w:pPr>
                </w:p>
              </w:tc>
              <w:tc>
                <w:tcPr>
                  <w:tcW w:w="612" w:type="pct"/>
                </w:tcPr>
                <w:p w:rsidRPr="00EA2DE8" w:rsidR="00EA2DE8" w:rsidP="00D50797" w:rsidRDefault="00EA2DE8" w14:paraId="39F8306C" w14:textId="356E3DDA">
                  <w:pPr>
                    <w:contextualSpacing/>
                    <w:rPr>
                      <w:rFonts w:ascii="Verdana" w:hAnsi="Verdana"/>
                      <w:sz w:val="18"/>
                      <w:szCs w:val="18"/>
                    </w:rPr>
                  </w:pPr>
                </w:p>
              </w:tc>
            </w:tr>
            <w:tr w:rsidRPr="00F51BCF" w:rsidR="00EA2DE8" w:rsidTr="00EA2DE8" w14:paraId="51BF2437" w14:textId="77777777">
              <w:tc>
                <w:tcPr>
                  <w:tcW w:w="1263" w:type="pct"/>
                </w:tcPr>
                <w:p w:rsidRPr="00EA2DE8" w:rsidR="00EA2DE8" w:rsidP="00D50797" w:rsidRDefault="00EA2DE8" w14:paraId="5398BB90" w14:textId="77777777">
                  <w:pPr>
                    <w:contextualSpacing/>
                    <w:rPr>
                      <w:rFonts w:ascii="Verdana" w:hAnsi="Verdana"/>
                      <w:sz w:val="18"/>
                      <w:szCs w:val="18"/>
                    </w:rPr>
                  </w:pPr>
                </w:p>
              </w:tc>
              <w:tc>
                <w:tcPr>
                  <w:tcW w:w="499" w:type="pct"/>
                </w:tcPr>
                <w:p w:rsidRPr="00EA2DE8" w:rsidR="00EA2DE8" w:rsidP="00D50797" w:rsidRDefault="00EA2DE8" w14:paraId="00AB32BA" w14:textId="77777777">
                  <w:pPr>
                    <w:contextualSpacing/>
                    <w:rPr>
                      <w:rFonts w:ascii="Verdana" w:hAnsi="Verdana"/>
                      <w:sz w:val="18"/>
                      <w:szCs w:val="18"/>
                    </w:rPr>
                  </w:pPr>
                </w:p>
              </w:tc>
              <w:tc>
                <w:tcPr>
                  <w:tcW w:w="499" w:type="pct"/>
                </w:tcPr>
                <w:p w:rsidRPr="00EA2DE8" w:rsidR="00EA2DE8" w:rsidP="00D50797" w:rsidRDefault="00EA2DE8" w14:paraId="42C5ACDD" w14:textId="77777777">
                  <w:pPr>
                    <w:contextualSpacing/>
                    <w:rPr>
                      <w:rFonts w:ascii="Verdana" w:hAnsi="Verdana"/>
                      <w:sz w:val="18"/>
                      <w:szCs w:val="18"/>
                    </w:rPr>
                  </w:pPr>
                </w:p>
              </w:tc>
              <w:tc>
                <w:tcPr>
                  <w:tcW w:w="499" w:type="pct"/>
                </w:tcPr>
                <w:p w:rsidRPr="00EA2DE8" w:rsidR="00EA2DE8" w:rsidP="00D50797" w:rsidRDefault="00EA2DE8" w14:paraId="348562F8" w14:textId="77777777">
                  <w:pPr>
                    <w:contextualSpacing/>
                    <w:rPr>
                      <w:rFonts w:ascii="Verdana" w:hAnsi="Verdana"/>
                      <w:sz w:val="18"/>
                      <w:szCs w:val="18"/>
                    </w:rPr>
                  </w:pPr>
                </w:p>
              </w:tc>
              <w:tc>
                <w:tcPr>
                  <w:tcW w:w="507" w:type="pct"/>
                </w:tcPr>
                <w:p w:rsidRPr="00EA2DE8" w:rsidR="00EA2DE8" w:rsidP="00D50797" w:rsidRDefault="00EA2DE8" w14:paraId="7C328A60" w14:textId="77777777">
                  <w:pPr>
                    <w:contextualSpacing/>
                    <w:rPr>
                      <w:rFonts w:ascii="Verdana" w:hAnsi="Verdana"/>
                      <w:sz w:val="18"/>
                      <w:szCs w:val="18"/>
                    </w:rPr>
                  </w:pPr>
                </w:p>
              </w:tc>
              <w:tc>
                <w:tcPr>
                  <w:tcW w:w="507" w:type="pct"/>
                </w:tcPr>
                <w:p w:rsidRPr="00EA2DE8" w:rsidR="00EA2DE8" w:rsidP="00D50797" w:rsidRDefault="00EA2DE8" w14:paraId="39F36D40" w14:textId="77777777">
                  <w:pPr>
                    <w:contextualSpacing/>
                    <w:rPr>
                      <w:rFonts w:ascii="Verdana" w:hAnsi="Verdana"/>
                      <w:sz w:val="18"/>
                      <w:szCs w:val="18"/>
                    </w:rPr>
                  </w:pPr>
                </w:p>
              </w:tc>
              <w:tc>
                <w:tcPr>
                  <w:tcW w:w="613" w:type="pct"/>
                </w:tcPr>
                <w:p w:rsidRPr="00EA2DE8" w:rsidR="00EA2DE8" w:rsidP="00D50797" w:rsidRDefault="00EA2DE8" w14:paraId="3086F8BB" w14:textId="77777777">
                  <w:pPr>
                    <w:contextualSpacing/>
                    <w:rPr>
                      <w:rFonts w:ascii="Verdana" w:hAnsi="Verdana"/>
                      <w:sz w:val="18"/>
                      <w:szCs w:val="18"/>
                    </w:rPr>
                  </w:pPr>
                </w:p>
              </w:tc>
              <w:tc>
                <w:tcPr>
                  <w:tcW w:w="612" w:type="pct"/>
                </w:tcPr>
                <w:p w:rsidRPr="00EA2DE8" w:rsidR="00EA2DE8" w:rsidP="00D50797" w:rsidRDefault="00EA2DE8" w14:paraId="4AB30B23" w14:textId="13E4185A">
                  <w:pPr>
                    <w:contextualSpacing/>
                    <w:rPr>
                      <w:rFonts w:ascii="Verdana" w:hAnsi="Verdana"/>
                      <w:sz w:val="18"/>
                      <w:szCs w:val="18"/>
                    </w:rPr>
                  </w:pPr>
                </w:p>
              </w:tc>
            </w:tr>
            <w:tr w:rsidRPr="00F51BCF" w:rsidR="00EA2DE8" w:rsidTr="00EA2DE8" w14:paraId="061D215C" w14:textId="77777777">
              <w:tc>
                <w:tcPr>
                  <w:tcW w:w="1263" w:type="pct"/>
                </w:tcPr>
                <w:p w:rsidRPr="00EA2DE8" w:rsidR="00EA2DE8" w:rsidP="00EC2984" w:rsidRDefault="00EA2DE8" w14:paraId="2CDD3E67" w14:textId="77777777">
                  <w:pPr>
                    <w:contextualSpacing/>
                    <w:rPr>
                      <w:rFonts w:ascii="Verdana" w:hAnsi="Verdana"/>
                      <w:b/>
                      <w:bCs/>
                      <w:sz w:val="18"/>
                      <w:szCs w:val="18"/>
                    </w:rPr>
                  </w:pPr>
                  <w:r w:rsidRPr="00EA2DE8">
                    <w:rPr>
                      <w:rFonts w:ascii="Verdana" w:hAnsi="Verdana"/>
                      <w:b/>
                      <w:bCs/>
                      <w:sz w:val="18"/>
                      <w:szCs w:val="18"/>
                    </w:rPr>
                    <w:t>Totaal</w:t>
                  </w:r>
                </w:p>
              </w:tc>
              <w:tc>
                <w:tcPr>
                  <w:tcW w:w="499" w:type="pct"/>
                </w:tcPr>
                <w:p w:rsidRPr="00EA2DE8" w:rsidR="00EA2DE8" w:rsidP="00EC2984" w:rsidRDefault="00EA2DE8" w14:paraId="78BA93A3" w14:textId="77777777">
                  <w:pPr>
                    <w:contextualSpacing/>
                    <w:rPr>
                      <w:rFonts w:ascii="Verdana" w:hAnsi="Verdana"/>
                      <w:b/>
                      <w:bCs/>
                      <w:sz w:val="18"/>
                      <w:szCs w:val="18"/>
                    </w:rPr>
                  </w:pPr>
                </w:p>
              </w:tc>
              <w:tc>
                <w:tcPr>
                  <w:tcW w:w="499" w:type="pct"/>
                </w:tcPr>
                <w:p w:rsidRPr="00EA2DE8" w:rsidR="00EA2DE8" w:rsidP="00EC2984" w:rsidRDefault="00EA2DE8" w14:paraId="28BED8FD" w14:textId="77DE96B2">
                  <w:pPr>
                    <w:contextualSpacing/>
                    <w:rPr>
                      <w:rFonts w:ascii="Verdana" w:hAnsi="Verdana"/>
                      <w:b/>
                      <w:bCs/>
                      <w:sz w:val="18"/>
                      <w:szCs w:val="18"/>
                    </w:rPr>
                  </w:pPr>
                </w:p>
              </w:tc>
              <w:tc>
                <w:tcPr>
                  <w:tcW w:w="499" w:type="pct"/>
                </w:tcPr>
                <w:p w:rsidRPr="00EA2DE8" w:rsidR="00EA2DE8" w:rsidP="00EC2984" w:rsidRDefault="00EA2DE8" w14:paraId="3C9736A8" w14:textId="314830B6">
                  <w:pPr>
                    <w:contextualSpacing/>
                    <w:rPr>
                      <w:rFonts w:ascii="Verdana" w:hAnsi="Verdana"/>
                      <w:b/>
                      <w:bCs/>
                      <w:sz w:val="18"/>
                      <w:szCs w:val="18"/>
                    </w:rPr>
                  </w:pPr>
                </w:p>
              </w:tc>
              <w:tc>
                <w:tcPr>
                  <w:tcW w:w="507" w:type="pct"/>
                </w:tcPr>
                <w:p w:rsidRPr="00EA2DE8" w:rsidR="00EA2DE8" w:rsidP="00EC2984" w:rsidRDefault="00EA2DE8" w14:paraId="10188F38" w14:textId="39818E4F">
                  <w:pPr>
                    <w:contextualSpacing/>
                    <w:rPr>
                      <w:rFonts w:ascii="Verdana" w:hAnsi="Verdana"/>
                      <w:b/>
                      <w:bCs/>
                      <w:sz w:val="18"/>
                      <w:szCs w:val="18"/>
                    </w:rPr>
                  </w:pPr>
                  <w:r w:rsidRPr="00EA2DE8">
                    <w:rPr>
                      <w:rFonts w:ascii="Verdana" w:hAnsi="Verdana"/>
                      <w:sz w:val="18"/>
                      <w:szCs w:val="18"/>
                    </w:rPr>
                    <w:t>9,6</w:t>
                  </w:r>
                </w:p>
              </w:tc>
              <w:tc>
                <w:tcPr>
                  <w:tcW w:w="507" w:type="pct"/>
                </w:tcPr>
                <w:p w:rsidRPr="00EA2DE8" w:rsidR="00EA2DE8" w:rsidP="00EC2984" w:rsidRDefault="00EA2DE8" w14:paraId="193B1610" w14:textId="3A3D3E86">
                  <w:pPr>
                    <w:contextualSpacing/>
                    <w:rPr>
                      <w:rFonts w:ascii="Verdana" w:hAnsi="Verdana"/>
                      <w:b/>
                      <w:bCs/>
                      <w:sz w:val="18"/>
                      <w:szCs w:val="18"/>
                    </w:rPr>
                  </w:pPr>
                  <w:r w:rsidRPr="00EA2DE8">
                    <w:rPr>
                      <w:rFonts w:ascii="Verdana" w:hAnsi="Verdana"/>
                      <w:sz w:val="18"/>
                      <w:szCs w:val="18"/>
                    </w:rPr>
                    <w:t>9,8</w:t>
                  </w:r>
                </w:p>
              </w:tc>
              <w:tc>
                <w:tcPr>
                  <w:tcW w:w="613" w:type="pct"/>
                </w:tcPr>
                <w:p w:rsidRPr="00EA2DE8" w:rsidR="00EA2DE8" w:rsidP="00EC2984" w:rsidRDefault="00EA2DE8" w14:paraId="50C6BD42" w14:textId="652F416B">
                  <w:pPr>
                    <w:contextualSpacing/>
                    <w:rPr>
                      <w:rFonts w:ascii="Verdana" w:hAnsi="Verdana"/>
                      <w:sz w:val="18"/>
                      <w:szCs w:val="18"/>
                    </w:rPr>
                  </w:pPr>
                  <w:r w:rsidRPr="00EA2DE8">
                    <w:rPr>
                      <w:rFonts w:ascii="Verdana" w:hAnsi="Verdana"/>
                      <w:sz w:val="18"/>
                      <w:szCs w:val="18"/>
                    </w:rPr>
                    <w:t>9,9</w:t>
                  </w:r>
                </w:p>
              </w:tc>
              <w:tc>
                <w:tcPr>
                  <w:tcW w:w="612" w:type="pct"/>
                </w:tcPr>
                <w:p w:rsidRPr="00EA2DE8" w:rsidR="00EA2DE8" w:rsidP="00EC2984" w:rsidRDefault="00EA2DE8" w14:paraId="0ACA1891" w14:textId="5A945BA4">
                  <w:pPr>
                    <w:contextualSpacing/>
                    <w:rPr>
                      <w:rFonts w:ascii="Verdana" w:hAnsi="Verdana"/>
                      <w:b/>
                      <w:bCs/>
                      <w:sz w:val="18"/>
                      <w:szCs w:val="18"/>
                    </w:rPr>
                  </w:pPr>
                  <w:r w:rsidRPr="00EA2DE8">
                    <w:rPr>
                      <w:rFonts w:ascii="Verdana" w:hAnsi="Verdana"/>
                      <w:sz w:val="18"/>
                      <w:szCs w:val="18"/>
                    </w:rPr>
                    <w:t>10,9</w:t>
                  </w:r>
                </w:p>
              </w:tc>
            </w:tr>
          </w:tbl>
          <w:p w:rsidRPr="00FD1605" w:rsidR="00274420" w:rsidP="00D50797" w:rsidRDefault="00EC2984" w14:paraId="2D9E6563" w14:textId="4AE054E7">
            <w:pPr>
              <w:spacing w:after="0" w:line="240" w:lineRule="auto"/>
              <w:contextualSpacing/>
              <w:rPr>
                <w:rFonts w:eastAsia="Times New Roman" w:cs="Calibri"/>
                <w:color w:val="000000"/>
                <w:szCs w:val="18"/>
                <w:lang w:val="nl-NL" w:eastAsia="nl-NL"/>
              </w:rPr>
            </w:pPr>
            <w:r w:rsidRPr="00FD1605">
              <w:rPr>
                <w:rFonts w:eastAsia="Times New Roman" w:cs="Calibri"/>
                <w:color w:val="000000"/>
                <w:szCs w:val="18"/>
                <w:lang w:val="nl-NL" w:eastAsia="nl-NL"/>
              </w:rPr>
              <w:t>Het budgettaire effect is exclusief uitvoeringskosten.</w:t>
            </w:r>
            <w:r w:rsidRPr="00FD1605" w:rsidR="00DF7893">
              <w:rPr>
                <w:rFonts w:eastAsia="Times New Roman" w:cs="Calibri"/>
                <w:color w:val="000000"/>
                <w:szCs w:val="18"/>
                <w:lang w:val="nl-NL" w:eastAsia="nl-NL"/>
              </w:rPr>
              <w:t xml:space="preserve"> Die </w:t>
            </w:r>
            <w:r w:rsidRPr="00FD1605" w:rsidR="00FC34A8">
              <w:rPr>
                <w:rFonts w:eastAsia="Times New Roman" w:cs="Calibri"/>
                <w:color w:val="000000"/>
                <w:szCs w:val="18"/>
                <w:lang w:val="nl-NL" w:eastAsia="nl-NL"/>
              </w:rPr>
              <w:t>zouden</w:t>
            </w:r>
            <w:r w:rsidRPr="00FD1605" w:rsidR="00DF7893">
              <w:rPr>
                <w:rFonts w:eastAsia="Times New Roman" w:cs="Calibri"/>
                <w:color w:val="000000"/>
                <w:szCs w:val="18"/>
                <w:lang w:val="nl-NL" w:eastAsia="nl-NL"/>
              </w:rPr>
              <w:t xml:space="preserve"> in een uitvoeringstoets uitgezocht</w:t>
            </w:r>
            <w:r w:rsidRPr="00FD1605" w:rsidR="00FC34A8">
              <w:rPr>
                <w:rFonts w:eastAsia="Times New Roman" w:cs="Calibri"/>
                <w:color w:val="000000"/>
                <w:szCs w:val="18"/>
                <w:lang w:val="nl-NL" w:eastAsia="nl-NL"/>
              </w:rPr>
              <w:t xml:space="preserve"> moeten worden</w:t>
            </w:r>
            <w:r w:rsidRPr="00FD1605" w:rsidR="00DF7893">
              <w:rPr>
                <w:rFonts w:eastAsia="Times New Roman" w:cs="Calibri"/>
                <w:color w:val="000000"/>
                <w:szCs w:val="18"/>
                <w:lang w:val="nl-NL" w:eastAsia="nl-NL"/>
              </w:rPr>
              <w:t>.</w:t>
            </w:r>
          </w:p>
        </w:tc>
      </w:tr>
      <w:tr w:rsidRPr="00FD1605" w:rsidR="00274420" w:rsidTr="00274420" w14:paraId="71FAFF4A" w14:textId="77777777">
        <w:trPr>
          <w:trHeight w:val="315"/>
        </w:trPr>
        <w:tc>
          <w:tcPr>
            <w:tcW w:w="2005" w:type="dxa"/>
            <w:shd w:val="clear" w:color="auto" w:fill="auto"/>
            <w:noWrap/>
          </w:tcPr>
          <w:p w:rsidRPr="00704454" w:rsidR="00274420" w:rsidP="00D50797" w:rsidRDefault="00274420" w14:paraId="2A4E3119" w14:textId="77777777">
            <w:pPr>
              <w:spacing w:after="0" w:line="240" w:lineRule="auto"/>
              <w:contextualSpacing/>
              <w:rPr>
                <w:rFonts w:eastAsia="Times New Roman" w:cs="Calibri"/>
                <w:b/>
                <w:bCs/>
                <w:color w:val="000000"/>
                <w:szCs w:val="18"/>
                <w:lang w:val="nl-NL" w:eastAsia="nl-NL"/>
              </w:rPr>
            </w:pPr>
            <w:r w:rsidRPr="00704454">
              <w:rPr>
                <w:rFonts w:eastAsia="Times New Roman" w:cs="Calibri"/>
                <w:b/>
                <w:bCs/>
                <w:color w:val="000000"/>
                <w:szCs w:val="18"/>
                <w:lang w:val="nl-NL" w:eastAsia="nl-NL"/>
              </w:rPr>
              <w:t>Toelichting raming</w:t>
            </w:r>
          </w:p>
        </w:tc>
        <w:tc>
          <w:tcPr>
            <w:tcW w:w="8080" w:type="dxa"/>
            <w:shd w:val="clear" w:color="auto" w:fill="auto"/>
            <w:noWrap/>
          </w:tcPr>
          <w:p w:rsidRPr="00FD1605" w:rsidR="00274420" w:rsidP="00EC2984" w:rsidRDefault="00EC2984" w14:paraId="43E637E4" w14:textId="794F5061">
            <w:pPr>
              <w:spacing w:after="0" w:line="240" w:lineRule="auto"/>
              <w:contextualSpacing/>
              <w:rPr>
                <w:rFonts w:eastAsia="Times New Roman" w:cs="Calibri"/>
                <w:color w:val="000000"/>
                <w:szCs w:val="18"/>
                <w:lang w:val="nl-NL" w:eastAsia="nl-NL"/>
              </w:rPr>
            </w:pPr>
            <w:r w:rsidRPr="00FD1605">
              <w:rPr>
                <w:szCs w:val="18"/>
                <w:lang w:val="nl-NL"/>
              </w:rPr>
              <w:t xml:space="preserve">Het afschaffen van de kostendelersnorm en deze groep als alleenstaanden aan te merken leidt tot extra uitgaven. Dat komt doordat deze groep een aanvulling tot 70% WML kunnen ontvangen in plaats van tot 50% WML. Door </w:t>
            </w:r>
            <w:r w:rsidRPr="00FD1605" w:rsidR="00AC215E">
              <w:rPr>
                <w:szCs w:val="18"/>
                <w:lang w:val="nl-NL"/>
              </w:rPr>
              <w:t>de hogere</w:t>
            </w:r>
            <w:r w:rsidRPr="00FD1605">
              <w:rPr>
                <w:szCs w:val="18"/>
                <w:lang w:val="nl-NL"/>
              </w:rPr>
              <w:t xml:space="preserve"> norm is er een nieuwe groep mensen die mogelijk recht krijgt op een aanvulling. Dat is in de raming meegenomen.</w:t>
            </w:r>
          </w:p>
        </w:tc>
      </w:tr>
      <w:tr w:rsidRPr="00EB3835" w:rsidR="00274420" w:rsidTr="00274420" w14:paraId="4B1F0B59" w14:textId="77777777">
        <w:trPr>
          <w:trHeight w:val="315"/>
        </w:trPr>
        <w:tc>
          <w:tcPr>
            <w:tcW w:w="2005" w:type="dxa"/>
            <w:shd w:val="clear" w:color="auto" w:fill="auto"/>
            <w:noWrap/>
          </w:tcPr>
          <w:p w:rsidRPr="00704454" w:rsidR="00274420" w:rsidP="00D50797" w:rsidRDefault="00274420" w14:paraId="4520B571" w14:textId="77777777">
            <w:pPr>
              <w:spacing w:after="0" w:line="240" w:lineRule="auto"/>
              <w:contextualSpacing/>
              <w:rPr>
                <w:rFonts w:eastAsia="Times New Roman" w:cs="Calibri"/>
                <w:b/>
                <w:bCs/>
                <w:color w:val="000000"/>
                <w:szCs w:val="18"/>
                <w:lang w:val="nl-NL" w:eastAsia="nl-NL"/>
              </w:rPr>
            </w:pPr>
            <w:r w:rsidRPr="00704454">
              <w:rPr>
                <w:rFonts w:eastAsia="Times New Roman" w:cs="Calibri"/>
                <w:b/>
                <w:bCs/>
                <w:color w:val="000000"/>
                <w:szCs w:val="18"/>
                <w:lang w:val="nl-NL" w:eastAsia="nl-NL"/>
              </w:rPr>
              <w:t>Inkomens-</w:t>
            </w:r>
          </w:p>
          <w:p w:rsidRPr="00704454" w:rsidR="00274420" w:rsidP="00D50797" w:rsidRDefault="00274420" w14:paraId="12DD77C3" w14:textId="77777777">
            <w:pPr>
              <w:spacing w:after="0" w:line="240" w:lineRule="auto"/>
              <w:contextualSpacing/>
              <w:rPr>
                <w:rFonts w:eastAsia="Times New Roman" w:cs="Calibri"/>
                <w:b/>
                <w:bCs/>
                <w:color w:val="000000"/>
                <w:szCs w:val="18"/>
                <w:lang w:val="nl-NL" w:eastAsia="nl-NL"/>
              </w:rPr>
            </w:pPr>
            <w:r w:rsidRPr="00704454">
              <w:rPr>
                <w:rFonts w:eastAsia="Times New Roman" w:cs="Calibri"/>
                <w:b/>
                <w:bCs/>
                <w:color w:val="000000"/>
                <w:szCs w:val="18"/>
                <w:lang w:val="nl-NL" w:eastAsia="nl-NL"/>
              </w:rPr>
              <w:t>effecten</w:t>
            </w:r>
          </w:p>
        </w:tc>
        <w:tc>
          <w:tcPr>
            <w:tcW w:w="8080" w:type="dxa"/>
            <w:shd w:val="clear" w:color="auto" w:fill="auto"/>
            <w:noWrap/>
          </w:tcPr>
          <w:p w:rsidRPr="00FD1605" w:rsidR="00274420" w:rsidP="00D50797" w:rsidRDefault="003A0106" w14:paraId="554820CC" w14:textId="59DF04D4">
            <w:pPr>
              <w:spacing w:line="240" w:lineRule="auto"/>
              <w:contextualSpacing/>
              <w:rPr>
                <w:szCs w:val="18"/>
                <w:lang w:val="nl-NL"/>
              </w:rPr>
            </w:pPr>
            <w:r>
              <w:rPr>
                <w:szCs w:val="18"/>
                <w:lang w:val="nl-NL"/>
              </w:rPr>
              <w:t>Het afschaffen van de kostendelersnorm</w:t>
            </w:r>
            <w:r w:rsidRPr="00FD1605">
              <w:rPr>
                <w:szCs w:val="18"/>
                <w:lang w:val="nl-NL"/>
              </w:rPr>
              <w:t xml:space="preserve"> </w:t>
            </w:r>
            <w:r w:rsidRPr="00FD1605" w:rsidR="00274420">
              <w:rPr>
                <w:szCs w:val="18"/>
                <w:lang w:val="nl-NL"/>
              </w:rPr>
              <w:t>heeft positieve inkomenseffecten voor alleenstaande TW-gerechtigden die nu als kostendelers worden aangemerkt.</w:t>
            </w:r>
            <w:r>
              <w:rPr>
                <w:szCs w:val="18"/>
                <w:lang w:val="nl-NL"/>
              </w:rPr>
              <w:t xml:space="preserve"> Hun uitkering gaat omhoog. Daartegenover staat dat de hogere uitkering kan leiden tot lagere toeslagen. </w:t>
            </w:r>
            <w:r w:rsidRPr="00FD1605" w:rsidR="00274420">
              <w:rPr>
                <w:szCs w:val="18"/>
                <w:lang w:val="nl-NL"/>
              </w:rPr>
              <w:t xml:space="preserve"> </w:t>
            </w:r>
          </w:p>
        </w:tc>
      </w:tr>
      <w:tr w:rsidRPr="00EB3835" w:rsidR="00274420" w:rsidTr="00274420" w14:paraId="7D5525AB" w14:textId="77777777">
        <w:trPr>
          <w:trHeight w:val="315"/>
        </w:trPr>
        <w:tc>
          <w:tcPr>
            <w:tcW w:w="2005" w:type="dxa"/>
            <w:shd w:val="clear" w:color="auto" w:fill="auto"/>
            <w:noWrap/>
          </w:tcPr>
          <w:p w:rsidRPr="00704454" w:rsidR="00274420" w:rsidP="00D50797" w:rsidRDefault="00274420" w14:paraId="01033BFD" w14:textId="77777777">
            <w:pPr>
              <w:spacing w:after="0" w:line="240" w:lineRule="auto"/>
              <w:contextualSpacing/>
              <w:rPr>
                <w:rFonts w:eastAsia="Times New Roman" w:cs="Calibri"/>
                <w:b/>
                <w:bCs/>
                <w:color w:val="000000"/>
                <w:szCs w:val="18"/>
                <w:lang w:val="nl-NL" w:eastAsia="nl-NL"/>
              </w:rPr>
            </w:pPr>
            <w:r w:rsidRPr="00704454">
              <w:rPr>
                <w:rFonts w:eastAsia="Times New Roman" w:cs="Calibri"/>
                <w:b/>
                <w:bCs/>
                <w:color w:val="000000"/>
                <w:szCs w:val="18"/>
                <w:lang w:val="nl-NL" w:eastAsia="nl-NL"/>
              </w:rPr>
              <w:t>Arbeidsmarkt-effecten</w:t>
            </w:r>
          </w:p>
        </w:tc>
        <w:tc>
          <w:tcPr>
            <w:tcW w:w="8080" w:type="dxa"/>
            <w:shd w:val="clear" w:color="auto" w:fill="auto"/>
            <w:noWrap/>
          </w:tcPr>
          <w:p w:rsidRPr="00FD1605" w:rsidR="00274420" w:rsidP="00D50797" w:rsidRDefault="00274420" w14:paraId="3204CDBA" w14:textId="75BB9B4C">
            <w:pPr>
              <w:spacing w:after="0" w:line="240" w:lineRule="auto"/>
              <w:contextualSpacing/>
              <w:rPr>
                <w:szCs w:val="18"/>
                <w:lang w:val="nl-NL"/>
              </w:rPr>
            </w:pPr>
            <w:r w:rsidRPr="00FD1605">
              <w:rPr>
                <w:szCs w:val="18"/>
                <w:lang w:val="nl-NL"/>
              </w:rPr>
              <w:t>Het afschaffen van de kostendelersnorm kan een effect hebben op de prikkel tot werken.</w:t>
            </w:r>
            <w:r w:rsidR="0013191C">
              <w:rPr>
                <w:szCs w:val="18"/>
                <w:lang w:val="nl-NL"/>
              </w:rPr>
              <w:t xml:space="preserve"> Een eenvoudigere en in sommige gevallen hogere uitkering biedt mensen zekerheid</w:t>
            </w:r>
            <w:r w:rsidR="00647786">
              <w:rPr>
                <w:szCs w:val="18"/>
                <w:lang w:val="nl-NL"/>
              </w:rPr>
              <w:t>. Dit</w:t>
            </w:r>
            <w:r w:rsidR="0013191C">
              <w:rPr>
                <w:szCs w:val="18"/>
                <w:lang w:val="nl-NL"/>
              </w:rPr>
              <w:t xml:space="preserve"> kan een positief effect hebben op</w:t>
            </w:r>
            <w:r w:rsidRPr="00FD1605">
              <w:rPr>
                <w:szCs w:val="18"/>
                <w:lang w:val="nl-NL"/>
              </w:rPr>
              <w:t xml:space="preserve"> de stap naar (meer) werk. Vereenvoudiging van het aantal leefvormen binnen de Toeslagenwet kan helpen om van </w:t>
            </w:r>
            <w:r w:rsidRPr="00FD1605" w:rsidR="00AC215E">
              <w:rPr>
                <w:szCs w:val="18"/>
                <w:lang w:val="nl-NL"/>
              </w:rPr>
              <w:t>tevoren</w:t>
            </w:r>
            <w:r w:rsidRPr="00FD1605">
              <w:rPr>
                <w:szCs w:val="18"/>
                <w:lang w:val="nl-NL"/>
              </w:rPr>
              <w:t xml:space="preserve"> beter in te kunnen schatten waar mensen recht op hebben, waardoor zij eerder deze stap naar werk zullen zetten. Aan de andere </w:t>
            </w:r>
            <w:r w:rsidRPr="00FD1605" w:rsidR="00AC215E">
              <w:rPr>
                <w:szCs w:val="18"/>
                <w:lang w:val="nl-NL"/>
              </w:rPr>
              <w:t>kant kan</w:t>
            </w:r>
            <w:r w:rsidRPr="00FD1605">
              <w:rPr>
                <w:szCs w:val="18"/>
                <w:lang w:val="nl-NL"/>
              </w:rPr>
              <w:t xml:space="preserve"> het de prikkel tot werken verkleinen</w:t>
            </w:r>
            <w:r w:rsidRPr="00FD1605" w:rsidR="005E4B4D">
              <w:rPr>
                <w:szCs w:val="18"/>
                <w:lang w:val="nl-NL"/>
              </w:rPr>
              <w:t>,</w:t>
            </w:r>
            <w:r w:rsidRPr="00FD1605">
              <w:rPr>
                <w:szCs w:val="18"/>
                <w:lang w:val="nl-NL"/>
              </w:rPr>
              <w:t xml:space="preserve"> omdat de uitkering voor mensen die een woning delen maar geen gezamenlijk huishouden voeren stijgt.</w:t>
            </w:r>
          </w:p>
        </w:tc>
      </w:tr>
      <w:tr w:rsidRPr="00EB3835" w:rsidR="00274420" w:rsidTr="00274420" w14:paraId="18AD87DD" w14:textId="77777777">
        <w:trPr>
          <w:trHeight w:val="315"/>
        </w:trPr>
        <w:tc>
          <w:tcPr>
            <w:tcW w:w="2005" w:type="dxa"/>
            <w:shd w:val="clear" w:color="auto" w:fill="auto"/>
            <w:noWrap/>
          </w:tcPr>
          <w:p w:rsidRPr="00704454" w:rsidR="00274420" w:rsidP="00D50797" w:rsidRDefault="00274420" w14:paraId="46930DCD" w14:textId="77777777">
            <w:pPr>
              <w:spacing w:after="0" w:line="240" w:lineRule="auto"/>
              <w:contextualSpacing/>
              <w:rPr>
                <w:rFonts w:eastAsia="Times New Roman" w:cs="Calibri"/>
                <w:b/>
                <w:bCs/>
                <w:color w:val="000000"/>
                <w:szCs w:val="18"/>
                <w:lang w:val="nl-NL" w:eastAsia="nl-NL"/>
              </w:rPr>
            </w:pPr>
            <w:r w:rsidRPr="00704454">
              <w:rPr>
                <w:rFonts w:eastAsia="Times New Roman" w:cs="Calibri"/>
                <w:b/>
                <w:bCs/>
                <w:color w:val="000000"/>
                <w:szCs w:val="18"/>
                <w:lang w:val="nl-NL" w:eastAsia="nl-NL"/>
              </w:rPr>
              <w:t>Overige relevante aspecten</w:t>
            </w:r>
          </w:p>
        </w:tc>
        <w:tc>
          <w:tcPr>
            <w:tcW w:w="8080" w:type="dxa"/>
            <w:shd w:val="clear" w:color="auto" w:fill="auto"/>
            <w:noWrap/>
          </w:tcPr>
          <w:p w:rsidR="00274420" w:rsidP="00D50797" w:rsidRDefault="00274420" w14:paraId="128554E8" w14:textId="1654C17A">
            <w:pPr>
              <w:spacing w:line="240" w:lineRule="auto"/>
              <w:contextualSpacing/>
              <w:rPr>
                <w:szCs w:val="18"/>
                <w:lang w:val="nl-NL"/>
              </w:rPr>
            </w:pPr>
            <w:r w:rsidRPr="00FD1605">
              <w:rPr>
                <w:szCs w:val="18"/>
                <w:lang w:val="nl-NL"/>
              </w:rPr>
              <w:t>Per 1 juli 2016 is de kostendelersnorm voor de TW ingevoerd</w:t>
            </w:r>
            <w:r w:rsidRPr="00704454">
              <w:rPr>
                <w:rStyle w:val="Voetnootmarkering"/>
                <w:szCs w:val="18"/>
                <w:lang w:val="nl-NL"/>
              </w:rPr>
              <w:footnoteReference w:id="2"/>
            </w:r>
            <w:r w:rsidRPr="00FD1605">
              <w:rPr>
                <w:szCs w:val="18"/>
                <w:lang w:val="nl-NL"/>
              </w:rPr>
              <w:t>. Voor gehuwden en ongehuwd samenwonenden die een gezamenlijke huishouding voeren, bleef de huidige gehuwdennorm in de TW gelden. Twee of meer meerderjarige personen die echter geen gezamenlijke huishouding voeren, maar wel het hoofdverblijf in dezelfde woning hebben, worden geacht voordelen van samenwonen te hebben, doordat zij de kosten van huur, verwarming en dergelijke kunnen delen. In deze situatie zijn de kosten van levensonderhoud per persoon lager.</w:t>
            </w:r>
            <w:r w:rsidRPr="00704454">
              <w:rPr>
                <w:rStyle w:val="Voetnootmarkering"/>
                <w:szCs w:val="18"/>
                <w:lang w:val="nl-NL"/>
              </w:rPr>
              <w:footnoteReference w:id="3"/>
            </w:r>
            <w:r w:rsidRPr="00FD1605">
              <w:rPr>
                <w:szCs w:val="18"/>
                <w:lang w:val="nl-NL"/>
              </w:rPr>
              <w:t xml:space="preserve"> Een uitzondering bestaat voor personen die de leeftijd van 27 jaar (tot 1 januari 2023: 21 jaar) nog niet hebben bereikt, huurders en studenten.</w:t>
            </w:r>
            <w:r w:rsidR="00FD40F0">
              <w:rPr>
                <w:szCs w:val="18"/>
                <w:lang w:val="nl-NL"/>
              </w:rPr>
              <w:t xml:space="preserve"> Met deze maatregel wordt dit uitgangspunt losgelaten.</w:t>
            </w:r>
          </w:p>
          <w:p w:rsidRPr="00FD1605" w:rsidR="00ED3D47" w:rsidP="00D50797" w:rsidRDefault="00ED3D47" w14:paraId="5DA9CDF0" w14:textId="77777777">
            <w:pPr>
              <w:spacing w:line="240" w:lineRule="auto"/>
              <w:contextualSpacing/>
              <w:rPr>
                <w:szCs w:val="18"/>
                <w:lang w:val="nl-NL"/>
              </w:rPr>
            </w:pPr>
          </w:p>
          <w:p w:rsidRPr="00FD1605" w:rsidR="00274420" w:rsidP="00D50797" w:rsidRDefault="006A4770" w14:paraId="2CFBB0B1" w14:textId="448C568C">
            <w:pPr>
              <w:spacing w:line="240" w:lineRule="auto"/>
              <w:contextualSpacing/>
              <w:rPr>
                <w:szCs w:val="18"/>
                <w:lang w:val="nl-NL"/>
              </w:rPr>
            </w:pPr>
            <w:r w:rsidRPr="00FD1605">
              <w:rPr>
                <w:szCs w:val="18"/>
                <w:lang w:val="nl-NL"/>
              </w:rPr>
              <w:t>Voor invoering van de kostendelersnorm</w:t>
            </w:r>
            <w:r w:rsidRPr="00FD1605" w:rsidR="00274420">
              <w:rPr>
                <w:szCs w:val="18"/>
                <w:lang w:val="nl-NL"/>
              </w:rPr>
              <w:t xml:space="preserve"> hielden de normbedragen voor alleenstaanden in de TW hiermee geen rekening: betrokkenen ontvingen maximaal 70% van de grondslag. Door de kostendelersnorm geldt voor een alleenstaande die tot een meerpersoonshuishouden behoort, een maximale TW-aanvulling tot 50% van het referentieminimumloon. De kostendelersnorm in de TW wijkt af van die in de P</w:t>
            </w:r>
            <w:r w:rsidR="00512E82">
              <w:rPr>
                <w:szCs w:val="18"/>
                <w:lang w:val="nl-NL"/>
              </w:rPr>
              <w:t>articipatie</w:t>
            </w:r>
            <w:r w:rsidRPr="00FD1605" w:rsidR="00274420">
              <w:rPr>
                <w:szCs w:val="18"/>
                <w:lang w:val="nl-NL"/>
              </w:rPr>
              <w:t xml:space="preserve">wet en is nu relevant voor </w:t>
            </w:r>
            <w:r w:rsidRPr="00764B6D" w:rsidR="00274420">
              <w:rPr>
                <w:szCs w:val="18"/>
                <w:lang w:val="nl-NL"/>
              </w:rPr>
              <w:t xml:space="preserve">ongeveer </w:t>
            </w:r>
            <w:r w:rsidRPr="00764B6D" w:rsidR="00EC2984">
              <w:rPr>
                <w:szCs w:val="18"/>
                <w:lang w:val="nl-NL"/>
              </w:rPr>
              <w:t>5,0</w:t>
            </w:r>
            <w:r w:rsidRPr="00764B6D" w:rsidR="00274420">
              <w:rPr>
                <w:szCs w:val="18"/>
                <w:lang w:val="nl-NL"/>
              </w:rPr>
              <w:t>% van de</w:t>
            </w:r>
            <w:r w:rsidRPr="00FD1605" w:rsidR="00274420">
              <w:rPr>
                <w:szCs w:val="18"/>
                <w:lang w:val="nl-NL"/>
              </w:rPr>
              <w:t xml:space="preserve"> TW-uitkeringen.</w:t>
            </w:r>
          </w:p>
          <w:p w:rsidRPr="00FD1605" w:rsidR="00274420" w:rsidP="00D50797" w:rsidRDefault="00274420" w14:paraId="4EB64E1E" w14:textId="77777777">
            <w:pPr>
              <w:spacing w:line="240" w:lineRule="auto"/>
              <w:contextualSpacing/>
              <w:rPr>
                <w:szCs w:val="18"/>
                <w:lang w:val="nl-NL"/>
              </w:rPr>
            </w:pPr>
          </w:p>
          <w:p w:rsidRPr="00FD1605" w:rsidR="00274420" w:rsidP="00D50797" w:rsidRDefault="00274420" w14:paraId="42DFAA3E" w14:textId="5DAB8AB1">
            <w:pPr>
              <w:spacing w:line="240" w:lineRule="auto"/>
              <w:contextualSpacing/>
              <w:rPr>
                <w:rFonts w:cs="Times New Roman"/>
                <w:szCs w:val="18"/>
                <w:lang w:val="nl-NL"/>
              </w:rPr>
            </w:pPr>
            <w:r w:rsidRPr="00FD1605">
              <w:rPr>
                <w:szCs w:val="18"/>
                <w:lang w:val="nl-NL"/>
              </w:rPr>
              <w:t xml:space="preserve">De kostendelersnorm is in de Participatiewet van toepassing op zowel gehuwden als alleenstaanden en het aantal medebewoners is bepalend voor de hoogte van de </w:t>
            </w:r>
            <w:r w:rsidRPr="00FD1605" w:rsidR="00DC2274">
              <w:rPr>
                <w:szCs w:val="18"/>
                <w:lang w:val="nl-NL"/>
              </w:rPr>
              <w:t>bijstand</w:t>
            </w:r>
            <w:r w:rsidRPr="00FD1605">
              <w:rPr>
                <w:szCs w:val="18"/>
                <w:lang w:val="nl-NL"/>
              </w:rPr>
              <w:t xml:space="preserve">. In de TW geldt de kostendelersnorm alleen voor alleenstaanden die huisgenoten hebben. De handhaving binnen UWV is ingericht op naleving van loondervingsuitkeringen, waarbij inkomensverlies bepalend is. </w:t>
            </w:r>
            <w:r w:rsidRPr="00FD1605" w:rsidR="006A4770">
              <w:rPr>
                <w:szCs w:val="18"/>
                <w:lang w:val="nl-NL"/>
              </w:rPr>
              <w:t xml:space="preserve">Doordat de loondervingsuitkeringen individuele uitkeringen zijn, zijn gezinsinkomen en leefvormen voor die uitkeringen niet relevant. </w:t>
            </w:r>
            <w:r w:rsidRPr="00FD1605" w:rsidR="00C36F57">
              <w:rPr>
                <w:szCs w:val="18"/>
                <w:lang w:val="nl-NL"/>
              </w:rPr>
              <w:t>UWV en de systemen zijn daardoor niet ingericht op leefvorm</w:t>
            </w:r>
            <w:r w:rsidRPr="00FD1605" w:rsidR="00DC2274">
              <w:rPr>
                <w:szCs w:val="18"/>
                <w:lang w:val="nl-NL"/>
              </w:rPr>
              <w:t>,</w:t>
            </w:r>
            <w:r w:rsidRPr="00FD1605" w:rsidR="00C36F57">
              <w:rPr>
                <w:szCs w:val="18"/>
                <w:lang w:val="nl-NL"/>
              </w:rPr>
              <w:t xml:space="preserve"> maar op de uitgangspunten vanuit de loondervingsuitkeringen. Afschaffing van de kostendelersnorm zou de Toeslagenwet beter handhaafbaar maken en minder </w:t>
            </w:r>
            <w:r w:rsidRPr="00FD1605" w:rsidR="006A4770">
              <w:rPr>
                <w:szCs w:val="18"/>
                <w:lang w:val="nl-NL"/>
              </w:rPr>
              <w:t>foutgevoelig</w:t>
            </w:r>
            <w:r w:rsidRPr="00FD1605" w:rsidR="00C36F57">
              <w:rPr>
                <w:szCs w:val="18"/>
                <w:lang w:val="nl-NL"/>
              </w:rPr>
              <w:t>.</w:t>
            </w:r>
            <w:r w:rsidRPr="00FD1605">
              <w:rPr>
                <w:rFonts w:cs="Times New Roman"/>
                <w:szCs w:val="18"/>
                <w:lang w:val="nl-NL"/>
              </w:rPr>
              <w:t xml:space="preserve"> </w:t>
            </w:r>
          </w:p>
          <w:p w:rsidRPr="00FD1605" w:rsidR="00274420" w:rsidP="00D50797" w:rsidRDefault="00274420" w14:paraId="1992E218" w14:textId="77777777">
            <w:pPr>
              <w:spacing w:line="240" w:lineRule="auto"/>
              <w:contextualSpacing/>
              <w:rPr>
                <w:rFonts w:cs="Times New Roman"/>
                <w:szCs w:val="18"/>
                <w:lang w:val="nl-NL"/>
              </w:rPr>
            </w:pPr>
          </w:p>
          <w:p w:rsidRPr="00FD1605" w:rsidR="00274420" w:rsidP="00186478" w:rsidRDefault="00274420" w14:paraId="00F38121" w14:textId="5DBF8DEE">
            <w:pPr>
              <w:spacing w:after="0" w:line="240" w:lineRule="auto"/>
              <w:contextualSpacing/>
              <w:rPr>
                <w:szCs w:val="18"/>
                <w:lang w:val="nl-NL"/>
              </w:rPr>
            </w:pPr>
            <w:r w:rsidRPr="00FD1605">
              <w:rPr>
                <w:szCs w:val="18"/>
                <w:lang w:val="nl-NL"/>
              </w:rPr>
              <w:t xml:space="preserve">Uitgangspunt van de kostendelersnorm is dat het gerechtvaardigd is bij het bepalen van de hoogte van de diverse minimaregelingen rekening te houden met </w:t>
            </w:r>
            <w:r w:rsidRPr="00FD1605">
              <w:rPr>
                <w:szCs w:val="18"/>
                <w:lang w:val="nl-NL"/>
              </w:rPr>
              <w:lastRenderedPageBreak/>
              <w:t xml:space="preserve">schaalvoordelen die ontstaan door het delen van bepaalde kosten. Ook beoogt de kostendelersnorm het tegengaan van stapeling van minima-uitkeringen op één woonadres. </w:t>
            </w:r>
            <w:r w:rsidR="00345A8D">
              <w:rPr>
                <w:szCs w:val="18"/>
                <w:lang w:val="nl-NL"/>
              </w:rPr>
              <w:t>BZK</w:t>
            </w:r>
            <w:r w:rsidR="00764B6D">
              <w:rPr>
                <w:szCs w:val="18"/>
                <w:lang w:val="nl-NL"/>
              </w:rPr>
              <w:t xml:space="preserve"> </w:t>
            </w:r>
            <w:r w:rsidR="00DF7D81">
              <w:rPr>
                <w:szCs w:val="18"/>
                <w:lang w:val="nl-NL"/>
              </w:rPr>
              <w:t xml:space="preserve">heeft </w:t>
            </w:r>
            <w:r w:rsidR="0033329B">
              <w:rPr>
                <w:szCs w:val="18"/>
                <w:lang w:val="nl-NL"/>
              </w:rPr>
              <w:t xml:space="preserve">een </w:t>
            </w:r>
            <w:r w:rsidR="00764B6D">
              <w:rPr>
                <w:szCs w:val="18"/>
                <w:lang w:val="nl-NL"/>
              </w:rPr>
              <w:t xml:space="preserve">onderzoek </w:t>
            </w:r>
            <w:r w:rsidR="0033329B">
              <w:rPr>
                <w:szCs w:val="18"/>
                <w:lang w:val="nl-NL"/>
              </w:rPr>
              <w:t xml:space="preserve">uit </w:t>
            </w:r>
            <w:r w:rsidR="00DF7D81">
              <w:rPr>
                <w:szCs w:val="18"/>
                <w:lang w:val="nl-NL"/>
              </w:rPr>
              <w:t xml:space="preserve">laten voeren </w:t>
            </w:r>
            <w:r w:rsidR="00764B6D">
              <w:rPr>
                <w:szCs w:val="18"/>
                <w:lang w:val="nl-NL"/>
              </w:rPr>
              <w:t xml:space="preserve">naar </w:t>
            </w:r>
            <w:r w:rsidR="00DF7D81">
              <w:rPr>
                <w:szCs w:val="18"/>
                <w:lang w:val="nl-NL"/>
              </w:rPr>
              <w:t xml:space="preserve">aanpassing of afschaffing </w:t>
            </w:r>
            <w:r w:rsidR="0033329B">
              <w:rPr>
                <w:szCs w:val="18"/>
                <w:lang w:val="nl-NL"/>
              </w:rPr>
              <w:t>van de kostendelersnorm</w:t>
            </w:r>
            <w:r w:rsidR="00DF7D81">
              <w:rPr>
                <w:szCs w:val="18"/>
                <w:lang w:val="nl-NL"/>
              </w:rPr>
              <w:t xml:space="preserve"> </w:t>
            </w:r>
            <w:r w:rsidR="00936EF6">
              <w:rPr>
                <w:szCs w:val="18"/>
                <w:lang w:val="nl-NL"/>
              </w:rPr>
              <w:t xml:space="preserve">en het effect daarvan </w:t>
            </w:r>
            <w:r w:rsidR="00DF7D81">
              <w:rPr>
                <w:szCs w:val="18"/>
                <w:lang w:val="nl-NL"/>
              </w:rPr>
              <w:t xml:space="preserve">op woningdelen en het </w:t>
            </w:r>
            <w:r w:rsidR="00936EF6">
              <w:rPr>
                <w:szCs w:val="18"/>
                <w:lang w:val="nl-NL"/>
              </w:rPr>
              <w:t>creëren</w:t>
            </w:r>
            <w:r w:rsidR="00DF7D81">
              <w:rPr>
                <w:szCs w:val="18"/>
                <w:lang w:val="nl-NL"/>
              </w:rPr>
              <w:t xml:space="preserve"> van extra bestaande woonruimte. Uit het onderzoek bleek echter dat het afschaffen van de kostendelersnorm geen doelmatige</w:t>
            </w:r>
            <w:r w:rsidR="00936EF6">
              <w:rPr>
                <w:szCs w:val="18"/>
                <w:lang w:val="nl-NL"/>
              </w:rPr>
              <w:t xml:space="preserve"> manier is om woningdelen te stimuleren</w:t>
            </w:r>
            <w:r w:rsidR="00334990">
              <w:rPr>
                <w:rStyle w:val="Voetnootmarkering"/>
                <w:szCs w:val="18"/>
                <w:lang w:val="nl-NL"/>
              </w:rPr>
              <w:footnoteReference w:id="4"/>
            </w:r>
            <w:r w:rsidR="00936EF6">
              <w:rPr>
                <w:szCs w:val="18"/>
                <w:lang w:val="nl-NL"/>
              </w:rPr>
              <w:t>.</w:t>
            </w:r>
            <w:r w:rsidR="00345A8D">
              <w:rPr>
                <w:szCs w:val="18"/>
                <w:lang w:val="nl-NL"/>
              </w:rPr>
              <w:t xml:space="preserve"> </w:t>
            </w:r>
          </w:p>
        </w:tc>
      </w:tr>
    </w:tbl>
    <w:p w:rsidR="00913061" w:rsidRDefault="00913061" w14:paraId="713C4950" w14:textId="4394E9A7">
      <w:pPr>
        <w:rPr>
          <w:lang w:val="nl-NL"/>
        </w:rPr>
      </w:pPr>
    </w:p>
    <w:p w:rsidR="00913061" w:rsidRDefault="00913061" w14:paraId="42D48C67" w14:textId="77777777">
      <w:pPr>
        <w:rPr>
          <w:lang w:val="nl-NL"/>
        </w:rPr>
      </w:pPr>
      <w:r>
        <w:rPr>
          <w:lang w:val="nl-NL"/>
        </w:rPr>
        <w:br w:type="page"/>
      </w:r>
    </w:p>
    <w:p w:rsidRPr="00FD1605" w:rsidR="00274420" w:rsidRDefault="00274420" w14:paraId="319BDDB3" w14:textId="77777777">
      <w:pPr>
        <w:rPr>
          <w:lang w:val="nl-NL"/>
        </w:rPr>
      </w:pPr>
    </w:p>
    <w:tbl>
      <w:tblPr>
        <w:tblW w:w="10065" w:type="dxa"/>
        <w:tblInd w:w="-436" w:type="dxa"/>
        <w:tblCellMar>
          <w:left w:w="70" w:type="dxa"/>
          <w:right w:w="70" w:type="dxa"/>
        </w:tblCellMar>
        <w:tblLook w:val="04A0" w:firstRow="1" w:lastRow="0" w:firstColumn="1" w:lastColumn="0" w:noHBand="0" w:noVBand="1"/>
      </w:tblPr>
      <w:tblGrid>
        <w:gridCol w:w="1951"/>
        <w:gridCol w:w="8221"/>
      </w:tblGrid>
      <w:tr w:rsidRPr="00FD1605" w:rsidR="00274420" w:rsidTr="00270DD5" w14:paraId="4B0087EC" w14:textId="77777777">
        <w:trPr>
          <w:trHeight w:val="300"/>
        </w:trPr>
        <w:tc>
          <w:tcPr>
            <w:tcW w:w="1844" w:type="dxa"/>
            <w:tcBorders>
              <w:top w:val="single" w:color="auto" w:sz="8" w:space="0"/>
              <w:left w:val="single" w:color="auto" w:sz="8" w:space="0"/>
              <w:bottom w:val="single" w:color="auto" w:sz="4" w:space="0"/>
              <w:right w:val="nil"/>
            </w:tcBorders>
            <w:shd w:val="clear" w:color="auto" w:fill="auto"/>
            <w:noWrap/>
          </w:tcPr>
          <w:p w:rsidRPr="00FD1605" w:rsidR="00E2272F" w:rsidP="00274420" w:rsidRDefault="00E2272F" w14:paraId="6313EF03" w14:textId="3843C64F">
            <w:pPr>
              <w:spacing w:after="0" w:line="240" w:lineRule="auto"/>
              <w:contextualSpacing/>
              <w:rPr>
                <w:rFonts w:eastAsia="Times New Roman" w:cs="Calibri"/>
                <w:b/>
                <w:bCs/>
                <w:color w:val="000000"/>
                <w:szCs w:val="18"/>
                <w:lang w:val="nl-NL" w:eastAsia="nl-NL"/>
              </w:rPr>
            </w:pPr>
          </w:p>
          <w:p w:rsidRPr="00704454" w:rsidR="00274420" w:rsidP="00274420" w:rsidRDefault="00274420" w14:paraId="22A95951" w14:textId="69EA783F">
            <w:pPr>
              <w:spacing w:after="0" w:line="240" w:lineRule="auto"/>
              <w:contextualSpacing/>
              <w:rPr>
                <w:rFonts w:eastAsia="Times New Roman" w:cs="Calibri"/>
                <w:b/>
                <w:bCs/>
                <w:color w:val="000000"/>
                <w:szCs w:val="18"/>
                <w:lang w:val="nl-NL" w:eastAsia="nl-NL"/>
              </w:rPr>
            </w:pPr>
            <w:r w:rsidRPr="00704454">
              <w:rPr>
                <w:rFonts w:eastAsia="Times New Roman" w:cs="Calibri"/>
                <w:b/>
                <w:bCs/>
                <w:color w:val="000000"/>
                <w:szCs w:val="18"/>
                <w:lang w:val="nl-NL" w:eastAsia="nl-NL"/>
              </w:rPr>
              <w:t>Maatregel</w:t>
            </w:r>
          </w:p>
        </w:tc>
        <w:tc>
          <w:tcPr>
            <w:tcW w:w="8221" w:type="dxa"/>
            <w:tcBorders>
              <w:top w:val="single" w:color="auto" w:sz="8" w:space="0"/>
              <w:left w:val="single" w:color="auto" w:sz="4" w:space="0"/>
              <w:bottom w:val="single" w:color="auto" w:sz="4" w:space="0"/>
              <w:right w:val="single" w:color="auto" w:sz="4" w:space="0"/>
            </w:tcBorders>
            <w:shd w:val="clear" w:color="auto" w:fill="auto"/>
            <w:noWrap/>
          </w:tcPr>
          <w:p w:rsidRPr="00704454" w:rsidR="00274420" w:rsidP="00E2272F" w:rsidRDefault="00756F6B" w14:paraId="55D4424E" w14:textId="6C61882D">
            <w:pPr>
              <w:pStyle w:val="Kop1"/>
              <w:rPr>
                <w:rFonts w:ascii="Verdana" w:hAnsi="Verdana" w:eastAsia="Times New Roman" w:cs="Calibri"/>
                <w:b/>
                <w:bCs/>
                <w:color w:val="auto"/>
                <w:sz w:val="18"/>
                <w:szCs w:val="18"/>
                <w:lang w:val="nl-NL" w:eastAsia="nl-NL"/>
              </w:rPr>
            </w:pPr>
            <w:bookmarkStart w:name="_Toc223522227" w:id="5"/>
            <w:r>
              <w:rPr>
                <w:rFonts w:ascii="Verdana" w:hAnsi="Verdana"/>
                <w:b/>
                <w:bCs/>
                <w:color w:val="auto"/>
                <w:sz w:val="18"/>
                <w:szCs w:val="18"/>
                <w:lang w:val="nl-NL"/>
              </w:rPr>
              <w:t>B</w:t>
            </w:r>
            <w:r w:rsidRPr="00913061" w:rsidR="00274420">
              <w:rPr>
                <w:rFonts w:ascii="Verdana" w:hAnsi="Verdana"/>
                <w:b/>
                <w:bCs/>
                <w:color w:val="auto"/>
                <w:sz w:val="18"/>
                <w:szCs w:val="18"/>
                <w:lang w:val="nl-NL"/>
              </w:rPr>
              <w:t>.2 Individualiseren aanvullende toeslag</w:t>
            </w:r>
            <w:bookmarkEnd w:id="5"/>
            <w:r w:rsidRPr="00704454" w:rsidR="00274420">
              <w:rPr>
                <w:rFonts w:ascii="Verdana" w:hAnsi="Verdana"/>
                <w:b/>
                <w:bCs/>
                <w:color w:val="auto"/>
                <w:sz w:val="18"/>
                <w:szCs w:val="18"/>
                <w:lang w:val="nl-NL"/>
              </w:rPr>
              <w:t xml:space="preserve"> </w:t>
            </w:r>
          </w:p>
        </w:tc>
      </w:tr>
      <w:tr w:rsidRPr="00EB3835" w:rsidR="00274420" w:rsidTr="00270DD5" w14:paraId="4C087AD6" w14:textId="77777777">
        <w:trPr>
          <w:trHeight w:val="315"/>
        </w:trPr>
        <w:tc>
          <w:tcPr>
            <w:tcW w:w="1844" w:type="dxa"/>
            <w:tcBorders>
              <w:top w:val="nil"/>
              <w:left w:val="single" w:color="auto" w:sz="8" w:space="0"/>
              <w:bottom w:val="single" w:color="auto" w:sz="8" w:space="0"/>
              <w:right w:val="nil"/>
            </w:tcBorders>
            <w:shd w:val="clear" w:color="auto" w:fill="auto"/>
            <w:noWrap/>
          </w:tcPr>
          <w:p w:rsidRPr="00704454" w:rsidR="00274420" w:rsidP="00274420" w:rsidRDefault="00274420" w14:paraId="24F585A0" w14:textId="77777777">
            <w:pPr>
              <w:spacing w:after="0" w:line="240" w:lineRule="auto"/>
              <w:contextualSpacing/>
              <w:rPr>
                <w:rFonts w:eastAsia="Times New Roman" w:cs="Calibri"/>
                <w:b/>
                <w:bCs/>
                <w:color w:val="000000"/>
                <w:szCs w:val="18"/>
                <w:lang w:val="nl-NL" w:eastAsia="nl-NL"/>
              </w:rPr>
            </w:pPr>
            <w:r w:rsidRPr="00704454">
              <w:rPr>
                <w:rFonts w:eastAsia="Times New Roman" w:cs="Calibri"/>
                <w:b/>
                <w:bCs/>
                <w:color w:val="000000"/>
                <w:szCs w:val="18"/>
                <w:lang w:val="nl-NL" w:eastAsia="nl-NL"/>
              </w:rPr>
              <w:t>Korte uitleg maatregel</w:t>
            </w:r>
          </w:p>
        </w:tc>
        <w:tc>
          <w:tcPr>
            <w:tcW w:w="8221" w:type="dxa"/>
            <w:tcBorders>
              <w:top w:val="single" w:color="auto" w:sz="4" w:space="0"/>
              <w:left w:val="single" w:color="auto" w:sz="4" w:space="0"/>
              <w:bottom w:val="single" w:color="auto" w:sz="8" w:space="0"/>
              <w:right w:val="single" w:color="auto" w:sz="4" w:space="0"/>
            </w:tcBorders>
            <w:shd w:val="clear" w:color="auto" w:fill="auto"/>
            <w:noWrap/>
          </w:tcPr>
          <w:p w:rsidRPr="00FD1605" w:rsidR="00274420" w:rsidP="00274420" w:rsidRDefault="00274420" w14:paraId="7A140198" w14:textId="77777777">
            <w:pPr>
              <w:spacing w:after="0" w:line="240" w:lineRule="auto"/>
              <w:contextualSpacing/>
              <w:rPr>
                <w:szCs w:val="18"/>
                <w:lang w:val="nl-NL"/>
              </w:rPr>
            </w:pPr>
            <w:r w:rsidRPr="00FD1605">
              <w:rPr>
                <w:szCs w:val="18"/>
                <w:lang w:val="nl-NL"/>
              </w:rPr>
              <w:t xml:space="preserve">De Toeslagenwet zorgt voor een aanvulling op een aantal basisuitkeringen van UWV en bij ziekte op loon tot het sociaal minimum. </w:t>
            </w:r>
          </w:p>
          <w:p w:rsidRPr="00FD1605" w:rsidR="00274420" w:rsidP="00274420" w:rsidRDefault="00274420" w14:paraId="6C8E2671" w14:textId="77777777">
            <w:pPr>
              <w:spacing w:after="0" w:line="240" w:lineRule="auto"/>
              <w:contextualSpacing/>
              <w:rPr>
                <w:szCs w:val="18"/>
                <w:lang w:val="nl-NL"/>
              </w:rPr>
            </w:pPr>
            <w:r w:rsidRPr="00FD1605">
              <w:rPr>
                <w:szCs w:val="18"/>
                <w:lang w:val="nl-NL"/>
              </w:rPr>
              <w:t xml:space="preserve">Met deze maatregel gaat er één norm (70% WML) gelden voor alle uitkeringsgerechtigden. Wanneer het totale individuele inkomen (uitkering + eventueel inkomen) lager is dan deze norm, is er recht op de aanvullende toeslag. De maximering tot het dagloon blijft bestaan. Voor een eventuele aanvulling van het gezinsinkomen van een gehuwde (of daarmee gelijkgestelde) is men aangewezen op een aanvullende bijstandsuitkering. </w:t>
            </w:r>
          </w:p>
          <w:p w:rsidRPr="00FD1605" w:rsidR="00274420" w:rsidP="00274420" w:rsidRDefault="00274420" w14:paraId="6C59CC88" w14:textId="18788438">
            <w:pPr>
              <w:spacing w:after="0" w:line="240" w:lineRule="auto"/>
              <w:contextualSpacing/>
              <w:rPr>
                <w:szCs w:val="18"/>
                <w:lang w:val="nl-NL"/>
              </w:rPr>
            </w:pPr>
            <w:r w:rsidRPr="00FD1605">
              <w:rPr>
                <w:szCs w:val="18"/>
                <w:lang w:val="nl-NL"/>
              </w:rPr>
              <w:t xml:space="preserve">Of de uitkeringsgerechtigde gehuwd of samenwonend is of medebewoners (kostendelers) heeft, doet er niet langer toe, net zoals de hoogte van het inkomen van de eventuele partner. </w:t>
            </w:r>
            <w:r w:rsidR="005206D7">
              <w:rPr>
                <w:szCs w:val="18"/>
                <w:lang w:val="nl-NL"/>
              </w:rPr>
              <w:t>Met deze maatregel worden een aantal principes van een minimaregeling losgelaten en gaat de Toeslagenwet nog meer afwijken van de Participatiewet (zie ook overige relevante aspecten).</w:t>
            </w:r>
          </w:p>
        </w:tc>
      </w:tr>
      <w:tr w:rsidRPr="00EB3835" w:rsidR="00274420" w:rsidTr="00270DD5" w14:paraId="50ABDE8D" w14:textId="77777777">
        <w:trPr>
          <w:trHeight w:val="315"/>
        </w:trPr>
        <w:tc>
          <w:tcPr>
            <w:tcW w:w="1844" w:type="dxa"/>
            <w:tcBorders>
              <w:top w:val="nil"/>
              <w:left w:val="single" w:color="auto" w:sz="8" w:space="0"/>
              <w:bottom w:val="single" w:color="auto" w:sz="8" w:space="0"/>
              <w:right w:val="nil"/>
            </w:tcBorders>
            <w:shd w:val="clear" w:color="auto" w:fill="auto"/>
            <w:noWrap/>
          </w:tcPr>
          <w:p w:rsidRPr="00704454" w:rsidR="00274420" w:rsidP="00274420" w:rsidRDefault="00274420" w14:paraId="7C5D4046" w14:textId="77777777">
            <w:pPr>
              <w:spacing w:after="0" w:line="240" w:lineRule="auto"/>
              <w:contextualSpacing/>
              <w:rPr>
                <w:rFonts w:eastAsia="Times New Roman" w:cs="Calibri"/>
                <w:b/>
                <w:bCs/>
                <w:color w:val="000000"/>
                <w:szCs w:val="18"/>
                <w:lang w:val="nl-NL" w:eastAsia="nl-NL"/>
              </w:rPr>
            </w:pPr>
            <w:r w:rsidRPr="00704454">
              <w:rPr>
                <w:rFonts w:eastAsia="Times New Roman" w:cs="Calibri"/>
                <w:b/>
                <w:bCs/>
                <w:color w:val="000000"/>
                <w:szCs w:val="18"/>
                <w:lang w:val="nl-NL" w:eastAsia="nl-NL"/>
              </w:rPr>
              <w:t>Doel maatregel</w:t>
            </w:r>
          </w:p>
        </w:tc>
        <w:tc>
          <w:tcPr>
            <w:tcW w:w="8221" w:type="dxa"/>
            <w:tcBorders>
              <w:top w:val="single" w:color="auto" w:sz="4" w:space="0"/>
              <w:left w:val="single" w:color="auto" w:sz="4" w:space="0"/>
              <w:bottom w:val="single" w:color="auto" w:sz="8" w:space="0"/>
              <w:right w:val="single" w:color="auto" w:sz="4" w:space="0"/>
            </w:tcBorders>
            <w:shd w:val="clear" w:color="auto" w:fill="auto"/>
            <w:noWrap/>
          </w:tcPr>
          <w:p w:rsidRPr="00FD1605" w:rsidR="00274420" w:rsidP="00274420" w:rsidRDefault="00274420" w14:paraId="2E92CC14" w14:textId="2872A265">
            <w:pPr>
              <w:contextualSpacing/>
              <w:rPr>
                <w:szCs w:val="18"/>
                <w:lang w:val="nl-NL"/>
              </w:rPr>
            </w:pPr>
            <w:r w:rsidRPr="00FD1605">
              <w:rPr>
                <w:szCs w:val="18"/>
                <w:lang w:val="nl-NL"/>
              </w:rPr>
              <w:t xml:space="preserve">Vereenvoudiging van de wetgeving, wegnemen van meerdere complexiteiten voor zowel uitkeringsgerechtigde als uitvoerder en vergroten van de voorspelbaarheid van de inkomenssituatie van de uitkeringsgerechtigde. </w:t>
            </w:r>
          </w:p>
        </w:tc>
      </w:tr>
      <w:tr w:rsidRPr="00EB3835" w:rsidR="00274420" w:rsidTr="00270DD5" w14:paraId="1A180CAD" w14:textId="77777777">
        <w:trPr>
          <w:trHeight w:val="315"/>
        </w:trPr>
        <w:tc>
          <w:tcPr>
            <w:tcW w:w="1844" w:type="dxa"/>
            <w:tcBorders>
              <w:top w:val="nil"/>
              <w:left w:val="single" w:color="auto" w:sz="8" w:space="0"/>
              <w:bottom w:val="single" w:color="auto" w:sz="8" w:space="0"/>
              <w:right w:val="nil"/>
            </w:tcBorders>
            <w:shd w:val="clear" w:color="auto" w:fill="auto"/>
            <w:noWrap/>
          </w:tcPr>
          <w:p w:rsidRPr="00FD1605" w:rsidR="00274420" w:rsidP="00274420" w:rsidRDefault="00274420" w14:paraId="6C85A568" w14:textId="77777777">
            <w:pPr>
              <w:spacing w:after="0" w:line="240" w:lineRule="auto"/>
              <w:contextualSpacing/>
              <w:rPr>
                <w:rFonts w:eastAsia="Times New Roman" w:cs="Calibri"/>
                <w:b/>
                <w:bCs/>
                <w:color w:val="000000"/>
                <w:szCs w:val="18"/>
                <w:lang w:val="nl-NL" w:eastAsia="nl-NL"/>
              </w:rPr>
            </w:pPr>
            <w:r w:rsidRPr="00FD1605">
              <w:rPr>
                <w:rFonts w:eastAsia="Times New Roman" w:cs="Calibri"/>
                <w:b/>
                <w:bCs/>
                <w:color w:val="000000"/>
                <w:szCs w:val="18"/>
                <w:lang w:val="nl-NL" w:eastAsia="nl-NL"/>
              </w:rPr>
              <w:t xml:space="preserve">Vereenvoudiging vanuit burgerperspectief (begrijpelijkheid, zekerheid en </w:t>
            </w:r>
            <w:proofErr w:type="spellStart"/>
            <w:r w:rsidRPr="00FD1605">
              <w:rPr>
                <w:rFonts w:eastAsia="Times New Roman" w:cs="Calibri"/>
                <w:b/>
                <w:bCs/>
                <w:color w:val="000000"/>
                <w:szCs w:val="18"/>
                <w:lang w:val="nl-NL" w:eastAsia="nl-NL"/>
              </w:rPr>
              <w:t>doenlijkheid</w:t>
            </w:r>
            <w:proofErr w:type="spellEnd"/>
            <w:r w:rsidRPr="00FD1605">
              <w:rPr>
                <w:rFonts w:eastAsia="Times New Roman" w:cs="Calibri"/>
                <w:b/>
                <w:bCs/>
                <w:color w:val="000000"/>
                <w:szCs w:val="18"/>
                <w:lang w:val="nl-NL" w:eastAsia="nl-NL"/>
              </w:rPr>
              <w:t>)</w:t>
            </w:r>
          </w:p>
        </w:tc>
        <w:tc>
          <w:tcPr>
            <w:tcW w:w="8221" w:type="dxa"/>
            <w:tcBorders>
              <w:top w:val="single" w:color="auto" w:sz="4" w:space="0"/>
              <w:left w:val="single" w:color="auto" w:sz="4" w:space="0"/>
              <w:bottom w:val="single" w:color="auto" w:sz="8" w:space="0"/>
              <w:right w:val="single" w:color="auto" w:sz="4" w:space="0"/>
            </w:tcBorders>
            <w:shd w:val="clear" w:color="auto" w:fill="auto"/>
            <w:noWrap/>
          </w:tcPr>
          <w:p w:rsidRPr="00FD1605" w:rsidR="00274420" w:rsidP="00274420" w:rsidRDefault="00274420" w14:paraId="298CD019" w14:textId="4EA9FF13">
            <w:pPr>
              <w:contextualSpacing/>
              <w:rPr>
                <w:szCs w:val="18"/>
                <w:lang w:val="nl-NL"/>
              </w:rPr>
            </w:pPr>
            <w:r w:rsidRPr="00FD1605">
              <w:rPr>
                <w:szCs w:val="18"/>
                <w:lang w:val="nl-NL"/>
              </w:rPr>
              <w:t>De Toeslagenwet is</w:t>
            </w:r>
            <w:r w:rsidRPr="00FD1605" w:rsidR="005E4B4D">
              <w:rPr>
                <w:szCs w:val="18"/>
                <w:lang w:val="nl-NL"/>
              </w:rPr>
              <w:t xml:space="preserve"> niet</w:t>
            </w:r>
            <w:r w:rsidRPr="00FD1605">
              <w:rPr>
                <w:szCs w:val="18"/>
                <w:lang w:val="nl-NL"/>
              </w:rPr>
              <w:t xml:space="preserve"> makkelijk om te begrijpen. Het is voor mensen soms onduidelijk wat wordt verstaan onder de verschillende leefvormen en dat het partnerinkomen invloed heeft op de aanvullende toeslag</w:t>
            </w:r>
            <w:r w:rsidR="00C81A1A">
              <w:rPr>
                <w:szCs w:val="18"/>
                <w:lang w:val="nl-NL"/>
              </w:rPr>
              <w:t xml:space="preserve"> (terwijl dat bij de basisuitkering niet het geval is)</w:t>
            </w:r>
            <w:r w:rsidRPr="00FD1605">
              <w:rPr>
                <w:szCs w:val="18"/>
                <w:lang w:val="nl-NL"/>
              </w:rPr>
              <w:t xml:space="preserve">. Uitkeringsgerechtigden zijn zich er daarnaast vaak onvoldoende van bewust dat zij aan UWV door moeten geven als hun woonsituatie of inkomenssituatie van de partner wijzigt. Hierdoor kunnen zij geconfronteerd worden met terugvorderingen. Individualiseren van de Toeslagenwet betekent ook minder verplichtingen voor </w:t>
            </w:r>
            <w:r w:rsidRPr="00FD1605" w:rsidR="00851ACA">
              <w:rPr>
                <w:szCs w:val="18"/>
                <w:lang w:val="nl-NL"/>
              </w:rPr>
              <w:t>mensen</w:t>
            </w:r>
            <w:r w:rsidRPr="00FD1605">
              <w:rPr>
                <w:szCs w:val="18"/>
                <w:lang w:val="nl-NL"/>
              </w:rPr>
              <w:t xml:space="preserve">, omdat zij minder gegevens hoeven aan te leveren bij de aanvraag en gedurende de uitkeringsperiode. </w:t>
            </w:r>
          </w:p>
        </w:tc>
      </w:tr>
      <w:tr w:rsidRPr="00F05D0D" w:rsidR="00274420" w:rsidTr="00270DD5" w14:paraId="6A7BCD0F" w14:textId="77777777">
        <w:trPr>
          <w:trHeight w:val="315"/>
        </w:trPr>
        <w:tc>
          <w:tcPr>
            <w:tcW w:w="1844" w:type="dxa"/>
            <w:tcBorders>
              <w:top w:val="nil"/>
              <w:left w:val="single" w:color="auto" w:sz="8" w:space="0"/>
              <w:bottom w:val="single" w:color="auto" w:sz="8" w:space="0"/>
              <w:right w:val="nil"/>
            </w:tcBorders>
            <w:shd w:val="clear" w:color="auto" w:fill="auto"/>
            <w:noWrap/>
          </w:tcPr>
          <w:p w:rsidRPr="00704454" w:rsidR="00274420" w:rsidP="00274420" w:rsidRDefault="00274420" w14:paraId="27AB082A" w14:textId="77777777">
            <w:pPr>
              <w:spacing w:after="0" w:line="240" w:lineRule="auto"/>
              <w:contextualSpacing/>
              <w:rPr>
                <w:rFonts w:eastAsia="Times New Roman" w:cs="Calibri"/>
                <w:b/>
                <w:bCs/>
                <w:color w:val="000000"/>
                <w:szCs w:val="18"/>
                <w:lang w:val="nl-NL" w:eastAsia="nl-NL"/>
              </w:rPr>
            </w:pPr>
            <w:r w:rsidRPr="00704454">
              <w:rPr>
                <w:rFonts w:eastAsia="Times New Roman" w:cs="Calibri"/>
                <w:b/>
                <w:bCs/>
                <w:color w:val="000000"/>
                <w:szCs w:val="18"/>
                <w:lang w:val="nl-NL" w:eastAsia="nl-NL"/>
              </w:rPr>
              <w:t xml:space="preserve">Keuzes binnen maatregel </w:t>
            </w:r>
          </w:p>
        </w:tc>
        <w:tc>
          <w:tcPr>
            <w:tcW w:w="8221" w:type="dxa"/>
            <w:tcBorders>
              <w:top w:val="single" w:color="auto" w:sz="4" w:space="0"/>
              <w:left w:val="single" w:color="auto" w:sz="4" w:space="0"/>
              <w:bottom w:val="single" w:color="auto" w:sz="8" w:space="0"/>
              <w:right w:val="single" w:color="auto" w:sz="4" w:space="0"/>
            </w:tcBorders>
            <w:shd w:val="clear" w:color="auto" w:fill="auto"/>
            <w:noWrap/>
          </w:tcPr>
          <w:p w:rsidRPr="00FD1605" w:rsidR="00274420" w:rsidP="00274420" w:rsidRDefault="00274420" w14:paraId="61969FC2" w14:textId="5163FAC8">
            <w:pPr>
              <w:spacing w:after="0" w:line="240" w:lineRule="auto"/>
              <w:contextualSpacing/>
              <w:rPr>
                <w:rFonts w:eastAsia="Times New Roman" w:cs="Calibri"/>
                <w:color w:val="000000"/>
                <w:szCs w:val="18"/>
                <w:lang w:val="nl-NL" w:eastAsia="nl-NL"/>
              </w:rPr>
            </w:pPr>
            <w:r w:rsidRPr="00FD1605">
              <w:rPr>
                <w:rFonts w:eastAsia="Times New Roman" w:cs="Calibri"/>
                <w:color w:val="000000"/>
                <w:szCs w:val="18"/>
                <w:lang w:val="nl-NL" w:eastAsia="nl-NL"/>
              </w:rPr>
              <w:t xml:space="preserve">Voor uitkeringsgerechtigden die ten tijde van de invoering van de maatregel al recht hebben op een aanvullende toeslag dient overgangsrecht opgesteld te worden. Omdat de gevolgen voor de verschillende groepen uitkeringsgerechtigden verschillend uitpakken, bestaat de mogelijkheid dat verschillend overgangsrecht per groep vastgesteld moet worden. Zie ook ‘inkomenseffecten’. </w:t>
            </w:r>
          </w:p>
        </w:tc>
      </w:tr>
      <w:tr w:rsidRPr="00EB3835" w:rsidR="00274420" w:rsidTr="00270DD5" w14:paraId="44E60451" w14:textId="77777777">
        <w:trPr>
          <w:trHeight w:val="315"/>
        </w:trPr>
        <w:tc>
          <w:tcPr>
            <w:tcW w:w="1844" w:type="dxa"/>
            <w:tcBorders>
              <w:top w:val="nil"/>
              <w:left w:val="single" w:color="auto" w:sz="8" w:space="0"/>
              <w:bottom w:val="single" w:color="auto" w:sz="8" w:space="0"/>
              <w:right w:val="nil"/>
            </w:tcBorders>
            <w:shd w:val="clear" w:color="auto" w:fill="auto"/>
            <w:noWrap/>
          </w:tcPr>
          <w:p w:rsidRPr="00704454" w:rsidR="00274420" w:rsidP="00274420" w:rsidRDefault="00274420" w14:paraId="2A76B4C2" w14:textId="77777777">
            <w:pPr>
              <w:spacing w:after="0" w:line="240" w:lineRule="auto"/>
              <w:contextualSpacing/>
              <w:rPr>
                <w:rFonts w:eastAsia="Times New Roman" w:cs="Calibri"/>
                <w:b/>
                <w:bCs/>
                <w:color w:val="000000"/>
                <w:szCs w:val="18"/>
                <w:lang w:val="nl-NL" w:eastAsia="nl-NL"/>
              </w:rPr>
            </w:pPr>
            <w:r w:rsidRPr="00704454">
              <w:rPr>
                <w:rFonts w:eastAsia="Times New Roman" w:cs="Calibri"/>
                <w:b/>
                <w:bCs/>
                <w:color w:val="000000"/>
                <w:szCs w:val="18"/>
                <w:lang w:val="nl-NL" w:eastAsia="nl-NL"/>
              </w:rPr>
              <w:t>Tijdpad inwerkingtreding</w:t>
            </w:r>
          </w:p>
        </w:tc>
        <w:tc>
          <w:tcPr>
            <w:tcW w:w="8221" w:type="dxa"/>
            <w:tcBorders>
              <w:top w:val="single" w:color="auto" w:sz="4" w:space="0"/>
              <w:left w:val="single" w:color="auto" w:sz="4" w:space="0"/>
              <w:bottom w:val="single" w:color="auto" w:sz="8" w:space="0"/>
              <w:right w:val="single" w:color="auto" w:sz="4" w:space="0"/>
            </w:tcBorders>
            <w:shd w:val="clear" w:color="auto" w:fill="auto"/>
            <w:noWrap/>
          </w:tcPr>
          <w:p w:rsidRPr="00FD1605" w:rsidR="00274420" w:rsidP="00274420" w:rsidRDefault="00274420" w14:paraId="74AA50AD" w14:textId="224F32CC">
            <w:pPr>
              <w:spacing w:after="0" w:line="240" w:lineRule="auto"/>
              <w:contextualSpacing/>
              <w:rPr>
                <w:iCs/>
                <w:szCs w:val="18"/>
                <w:lang w:val="nl-NL"/>
              </w:rPr>
            </w:pPr>
            <w:r w:rsidRPr="00FD1605">
              <w:rPr>
                <w:iCs/>
                <w:szCs w:val="18"/>
                <w:lang w:val="nl-NL"/>
              </w:rPr>
              <w:t>Deze wijziging vergt aanpassingen in de Toeslagenwet. Dit is een wetswijziging, waarvoor gemiddeld een doorlooptijd van 2 jaar geldt.</w:t>
            </w:r>
            <w:r w:rsidRPr="00FD1605">
              <w:rPr>
                <w:rFonts w:eastAsia="Times New Roman" w:cs="Calibri"/>
                <w:color w:val="000000"/>
                <w:szCs w:val="18"/>
                <w:lang w:val="nl-NL" w:eastAsia="nl-NL"/>
              </w:rPr>
              <w:t xml:space="preserve"> Daarnaast zullen er aanpassingen in de lagere regelgeving doorgevoerd moeten worden. </w:t>
            </w:r>
            <w:r w:rsidRPr="00FD1605" w:rsidR="00573867">
              <w:rPr>
                <w:iCs/>
                <w:szCs w:val="18"/>
                <w:lang w:val="nl-NL"/>
              </w:rPr>
              <w:t xml:space="preserve">Ook dient rekening te worden gehouden met wijzigingen van systemen bij de uitvoerder. </w:t>
            </w:r>
          </w:p>
        </w:tc>
      </w:tr>
      <w:tr w:rsidRPr="007111C5" w:rsidR="00274420" w:rsidTr="00270DD5" w14:paraId="06557804" w14:textId="77777777">
        <w:trPr>
          <w:trHeight w:val="315"/>
        </w:trPr>
        <w:tc>
          <w:tcPr>
            <w:tcW w:w="1844" w:type="dxa"/>
            <w:tcBorders>
              <w:top w:val="nil"/>
              <w:left w:val="single" w:color="auto" w:sz="8" w:space="0"/>
              <w:bottom w:val="single" w:color="auto" w:sz="8" w:space="0"/>
              <w:right w:val="nil"/>
            </w:tcBorders>
            <w:shd w:val="clear" w:color="auto" w:fill="auto"/>
            <w:noWrap/>
          </w:tcPr>
          <w:p w:rsidRPr="00704454" w:rsidR="00274420" w:rsidP="00274420" w:rsidRDefault="00274420" w14:paraId="474080DA" w14:textId="77777777">
            <w:pPr>
              <w:spacing w:after="0" w:line="240" w:lineRule="auto"/>
              <w:contextualSpacing/>
              <w:rPr>
                <w:rFonts w:eastAsia="Times New Roman" w:cs="Calibri"/>
                <w:b/>
                <w:bCs/>
                <w:color w:val="000000"/>
                <w:szCs w:val="18"/>
                <w:lang w:val="nl-NL" w:eastAsia="nl-NL"/>
              </w:rPr>
            </w:pPr>
            <w:r w:rsidRPr="00704454">
              <w:rPr>
                <w:rFonts w:eastAsia="Times New Roman" w:cs="Calibri"/>
                <w:b/>
                <w:bCs/>
                <w:color w:val="000000"/>
                <w:szCs w:val="18"/>
                <w:lang w:val="nl-NL" w:eastAsia="nl-NL"/>
              </w:rPr>
              <w:t>Juridische haalbaarheid</w:t>
            </w:r>
          </w:p>
          <w:p w:rsidRPr="00704454" w:rsidR="00274420" w:rsidP="00274420" w:rsidRDefault="00274420" w14:paraId="109BF47A" w14:textId="77777777">
            <w:pPr>
              <w:spacing w:after="0" w:line="240" w:lineRule="auto"/>
              <w:contextualSpacing/>
              <w:rPr>
                <w:rFonts w:eastAsia="Times New Roman" w:cs="Calibri"/>
                <w:b/>
                <w:bCs/>
                <w:color w:val="000000"/>
                <w:szCs w:val="18"/>
                <w:lang w:val="nl-NL" w:eastAsia="nl-NL"/>
              </w:rPr>
            </w:pPr>
          </w:p>
          <w:p w:rsidRPr="00704454" w:rsidR="00274420" w:rsidP="00274420" w:rsidRDefault="00274420" w14:paraId="49FEB886" w14:textId="77777777">
            <w:pPr>
              <w:spacing w:after="0" w:line="240" w:lineRule="auto"/>
              <w:contextualSpacing/>
              <w:rPr>
                <w:rFonts w:eastAsia="Times New Roman" w:cs="Calibri"/>
                <w:color w:val="000000"/>
                <w:szCs w:val="18"/>
                <w:lang w:val="nl-NL" w:eastAsia="nl-NL"/>
              </w:rPr>
            </w:pPr>
          </w:p>
        </w:tc>
        <w:tc>
          <w:tcPr>
            <w:tcW w:w="8221" w:type="dxa"/>
            <w:tcBorders>
              <w:top w:val="single" w:color="auto" w:sz="4" w:space="0"/>
              <w:left w:val="single" w:color="auto" w:sz="4" w:space="0"/>
              <w:bottom w:val="single" w:color="auto" w:sz="8" w:space="0"/>
              <w:right w:val="single" w:color="auto" w:sz="4" w:space="0"/>
            </w:tcBorders>
            <w:shd w:val="clear" w:color="auto" w:fill="auto"/>
            <w:noWrap/>
          </w:tcPr>
          <w:p w:rsidRPr="00FD1605" w:rsidR="00274420" w:rsidP="00274420" w:rsidRDefault="00274420" w14:paraId="3A811D80" w14:textId="283F09B1">
            <w:pPr>
              <w:contextualSpacing/>
              <w:rPr>
                <w:rFonts w:eastAsia="Times New Roman" w:cs="Calibri"/>
                <w:color w:val="000000"/>
                <w:szCs w:val="18"/>
                <w:lang w:val="nl-NL" w:eastAsia="nl-NL"/>
              </w:rPr>
            </w:pPr>
            <w:r w:rsidRPr="00FD1605">
              <w:rPr>
                <w:rFonts w:eastAsia="Times New Roman" w:cs="Calibri"/>
                <w:color w:val="000000"/>
                <w:szCs w:val="18"/>
                <w:lang w:val="nl-NL" w:eastAsia="nl-NL"/>
              </w:rPr>
              <w:t>Er is een wetswijziging nodig van diverse artikelen in de Toeslagenwet en diverse lagere regelgeving. Ook dient eventuele samenloop met andere wetten in kaart te worden gebracht. Er zal overgangsrecht vastgesteld moeten worden.</w:t>
            </w:r>
            <w:r w:rsidR="007111C5">
              <w:rPr>
                <w:rFonts w:eastAsia="Times New Roman" w:cs="Calibri"/>
                <w:color w:val="000000"/>
                <w:szCs w:val="18"/>
                <w:lang w:val="nl-NL" w:eastAsia="nl-NL"/>
              </w:rPr>
              <w:t xml:space="preserve"> In de situatie van de p</w:t>
            </w:r>
            <w:r w:rsidRPr="00FB7063" w:rsidR="007111C5">
              <w:rPr>
                <w:rFonts w:eastAsia="Times New Roman" w:cs="Calibri"/>
                <w:color w:val="000000"/>
                <w:szCs w:val="18"/>
                <w:lang w:val="nl-NL" w:eastAsia="nl-NL"/>
              </w:rPr>
              <w:t xml:space="preserve">artner zonder inkomen </w:t>
            </w:r>
            <w:r w:rsidR="007111C5">
              <w:rPr>
                <w:rFonts w:eastAsia="Times New Roman" w:cs="Calibri"/>
                <w:color w:val="000000"/>
                <w:szCs w:val="18"/>
                <w:lang w:val="nl-NL" w:eastAsia="nl-NL"/>
              </w:rPr>
              <w:t>(</w:t>
            </w:r>
            <w:r w:rsidRPr="00FB7063" w:rsidR="007111C5">
              <w:rPr>
                <w:rFonts w:eastAsia="Times New Roman" w:cs="Calibri"/>
                <w:color w:val="000000"/>
                <w:szCs w:val="18"/>
                <w:lang w:val="nl-NL" w:eastAsia="nl-NL"/>
              </w:rPr>
              <w:t>nu 100% WML</w:t>
            </w:r>
            <w:r w:rsidR="007111C5">
              <w:rPr>
                <w:rFonts w:eastAsia="Times New Roman" w:cs="Calibri"/>
                <w:color w:val="000000"/>
                <w:szCs w:val="18"/>
                <w:lang w:val="nl-NL" w:eastAsia="nl-NL"/>
              </w:rPr>
              <w:t xml:space="preserve"> – door deze maatregel een daling van inkomen tot 30%) is mogelijk sprake van ongelijke behandeling en inmenging in het eigendomsrecht.</w:t>
            </w:r>
            <w:r w:rsidRPr="00C6327F" w:rsidR="007111C5">
              <w:rPr>
                <w:lang w:val="nl-NL"/>
              </w:rPr>
              <w:t xml:space="preserve"> </w:t>
            </w:r>
            <w:r w:rsidR="007111C5">
              <w:rPr>
                <w:lang w:val="nl-NL"/>
              </w:rPr>
              <w:t>Voor beide</w:t>
            </w:r>
            <w:r w:rsidRPr="005E5643" w:rsidR="007111C5">
              <w:rPr>
                <w:rFonts w:eastAsia="Times New Roman" w:cs="Calibri"/>
                <w:color w:val="000000"/>
                <w:szCs w:val="18"/>
                <w:lang w:val="nl-NL" w:eastAsia="nl-NL"/>
              </w:rPr>
              <w:t xml:space="preserve"> </w:t>
            </w:r>
            <w:r w:rsidR="007111C5">
              <w:rPr>
                <w:rFonts w:eastAsia="Times New Roman" w:cs="Calibri"/>
                <w:color w:val="000000"/>
                <w:szCs w:val="18"/>
                <w:lang w:val="nl-NL" w:eastAsia="nl-NL"/>
              </w:rPr>
              <w:t xml:space="preserve">moet </w:t>
            </w:r>
            <w:r w:rsidRPr="005E5643" w:rsidR="007111C5">
              <w:rPr>
                <w:rFonts w:eastAsia="Times New Roman" w:cs="Calibri"/>
                <w:color w:val="000000"/>
                <w:szCs w:val="18"/>
                <w:lang w:val="nl-NL" w:eastAsia="nl-NL"/>
              </w:rPr>
              <w:t xml:space="preserve">een rechtvaardiging </w:t>
            </w:r>
            <w:r w:rsidR="007111C5">
              <w:rPr>
                <w:rFonts w:eastAsia="Times New Roman" w:cs="Calibri"/>
                <w:color w:val="000000"/>
                <w:szCs w:val="18"/>
                <w:lang w:val="nl-NL" w:eastAsia="nl-NL"/>
              </w:rPr>
              <w:t xml:space="preserve">zijn. </w:t>
            </w:r>
            <w:r w:rsidRPr="00FD1605">
              <w:rPr>
                <w:rFonts w:eastAsia="Times New Roman" w:cs="Calibri"/>
                <w:color w:val="000000"/>
                <w:szCs w:val="18"/>
                <w:lang w:val="nl-NL" w:eastAsia="nl-NL"/>
              </w:rPr>
              <w:t xml:space="preserve"> </w:t>
            </w:r>
          </w:p>
        </w:tc>
      </w:tr>
      <w:tr w:rsidRPr="00EB3835" w:rsidR="00274420" w:rsidTr="00270DD5" w14:paraId="469CA289" w14:textId="77777777">
        <w:trPr>
          <w:trHeight w:val="315"/>
        </w:trPr>
        <w:tc>
          <w:tcPr>
            <w:tcW w:w="1844" w:type="dxa"/>
            <w:tcBorders>
              <w:top w:val="nil"/>
              <w:left w:val="single" w:color="auto" w:sz="8" w:space="0"/>
              <w:bottom w:val="single" w:color="auto" w:sz="8" w:space="0"/>
              <w:right w:val="nil"/>
            </w:tcBorders>
            <w:shd w:val="clear" w:color="auto" w:fill="auto"/>
            <w:noWrap/>
          </w:tcPr>
          <w:p w:rsidRPr="00704454" w:rsidR="00274420" w:rsidP="00274420" w:rsidRDefault="00274420" w14:paraId="17E9F3FE" w14:textId="77777777">
            <w:pPr>
              <w:spacing w:after="0" w:line="240" w:lineRule="auto"/>
              <w:contextualSpacing/>
              <w:rPr>
                <w:rFonts w:eastAsia="Times New Roman" w:cs="Calibri"/>
                <w:b/>
                <w:bCs/>
                <w:color w:val="000000"/>
                <w:szCs w:val="18"/>
                <w:lang w:val="nl-NL" w:eastAsia="nl-NL"/>
              </w:rPr>
            </w:pPr>
            <w:r w:rsidRPr="00704454">
              <w:rPr>
                <w:rFonts w:eastAsia="Times New Roman" w:cs="Calibri"/>
                <w:b/>
                <w:bCs/>
                <w:color w:val="000000"/>
                <w:szCs w:val="18"/>
                <w:lang w:val="nl-NL" w:eastAsia="nl-NL"/>
              </w:rPr>
              <w:t>Uitvoerbaarheid</w:t>
            </w:r>
          </w:p>
        </w:tc>
        <w:tc>
          <w:tcPr>
            <w:tcW w:w="8221" w:type="dxa"/>
            <w:tcBorders>
              <w:top w:val="single" w:color="auto" w:sz="4" w:space="0"/>
              <w:left w:val="single" w:color="auto" w:sz="4" w:space="0"/>
              <w:bottom w:val="single" w:color="auto" w:sz="8" w:space="0"/>
              <w:right w:val="single" w:color="auto" w:sz="4" w:space="0"/>
            </w:tcBorders>
            <w:shd w:val="clear" w:color="auto" w:fill="auto"/>
            <w:noWrap/>
          </w:tcPr>
          <w:p w:rsidRPr="00FD1605" w:rsidR="00274420" w:rsidP="00274420" w:rsidRDefault="00274420" w14:paraId="535825C3" w14:textId="4439F309">
            <w:pPr>
              <w:contextualSpacing/>
              <w:rPr>
                <w:rFonts w:eastAsia="Times New Roman" w:cs="Calibri"/>
                <w:color w:val="000000"/>
                <w:szCs w:val="18"/>
                <w:lang w:val="nl-NL" w:eastAsia="nl-NL"/>
              </w:rPr>
            </w:pPr>
            <w:r w:rsidRPr="00FD1605">
              <w:rPr>
                <w:rFonts w:eastAsia="DejaVu Sans" w:cs="Calibri Light"/>
                <w:color w:val="000000"/>
                <w:szCs w:val="18"/>
                <w:lang w:val="nl-NL"/>
              </w:rPr>
              <w:t xml:space="preserve">De individualisering van het recht op aanvullende toeslag is een complexiteitsreductie voor UWV, omdat zij met minder factoren rekening hoeft te houden tijdens de beoordeling van een aanvraag en continuering van een lopend recht. </w:t>
            </w:r>
            <w:r w:rsidRPr="00FD1605">
              <w:rPr>
                <w:szCs w:val="18"/>
                <w:lang w:val="nl-NL"/>
              </w:rPr>
              <w:t>Daarnaast wordt de Toeslagenwet beter handhaafbaar</w:t>
            </w:r>
            <w:r w:rsidRPr="00FD1605" w:rsidR="00573867">
              <w:rPr>
                <w:szCs w:val="18"/>
                <w:lang w:val="nl-NL"/>
              </w:rPr>
              <w:t xml:space="preserve"> en minder foutgevoelig</w:t>
            </w:r>
            <w:r w:rsidRPr="00FD1605">
              <w:rPr>
                <w:szCs w:val="18"/>
                <w:lang w:val="nl-NL"/>
              </w:rPr>
              <w:t>.</w:t>
            </w:r>
            <w:r w:rsidRPr="00FD1605">
              <w:rPr>
                <w:rFonts w:eastAsia="Times New Roman" w:cs="Calibri"/>
                <w:color w:val="000000"/>
                <w:szCs w:val="18"/>
                <w:lang w:val="nl-NL" w:eastAsia="nl-NL"/>
              </w:rPr>
              <w:t xml:space="preserve"> </w:t>
            </w:r>
          </w:p>
          <w:p w:rsidRPr="00FD1605" w:rsidR="00274420" w:rsidP="00274420" w:rsidRDefault="00274420" w14:paraId="77AD9D00" w14:textId="77777777">
            <w:pPr>
              <w:contextualSpacing/>
              <w:rPr>
                <w:rFonts w:eastAsia="Times New Roman" w:cs="Calibri"/>
                <w:color w:val="000000"/>
                <w:szCs w:val="18"/>
                <w:lang w:val="nl-NL" w:eastAsia="nl-NL"/>
              </w:rPr>
            </w:pPr>
          </w:p>
          <w:p w:rsidRPr="00FD1605" w:rsidR="00274420" w:rsidP="00274420" w:rsidRDefault="00274420" w14:paraId="2512358A" w14:textId="6B80539E">
            <w:pPr>
              <w:contextualSpacing/>
              <w:rPr>
                <w:szCs w:val="18"/>
                <w:lang w:val="nl-NL"/>
              </w:rPr>
            </w:pPr>
            <w:r w:rsidRPr="00FD1605">
              <w:rPr>
                <w:rFonts w:eastAsia="Times New Roman" w:cs="Calibri"/>
                <w:color w:val="000000"/>
                <w:szCs w:val="18"/>
                <w:lang w:val="nl-NL" w:eastAsia="nl-NL"/>
              </w:rPr>
              <w:t xml:space="preserve">Er dienen aanpassingen aan alle systemen plaats te vinden omdat de Toeslagenwet geen eigen systeem heeft, maar gekoppeld is aan de systemen van de materiewetten. Afhankelijk van te maken keuzes rondom overgangsrecht, kan de situatie ontstaan dat er gedurende lange tijd werkprocessen en berekeningen (op basis van verschillende criteria voor rechten) naast elkaar moeten blijven bestaan. </w:t>
            </w:r>
          </w:p>
        </w:tc>
      </w:tr>
      <w:tr w:rsidRPr="00EB3835" w:rsidR="00274420" w:rsidTr="00270DD5" w14:paraId="35C5A6BF" w14:textId="77777777">
        <w:trPr>
          <w:trHeight w:val="315"/>
        </w:trPr>
        <w:tc>
          <w:tcPr>
            <w:tcW w:w="1844" w:type="dxa"/>
            <w:tcBorders>
              <w:top w:val="nil"/>
              <w:left w:val="single" w:color="auto" w:sz="8" w:space="0"/>
              <w:bottom w:val="single" w:color="auto" w:sz="8" w:space="0"/>
              <w:right w:val="nil"/>
            </w:tcBorders>
            <w:shd w:val="clear" w:color="auto" w:fill="auto"/>
            <w:noWrap/>
          </w:tcPr>
          <w:p w:rsidRPr="00704454" w:rsidR="00274420" w:rsidP="00274420" w:rsidRDefault="00274420" w14:paraId="02142C7A" w14:textId="77777777">
            <w:pPr>
              <w:spacing w:after="0" w:line="240" w:lineRule="auto"/>
              <w:contextualSpacing/>
              <w:rPr>
                <w:rFonts w:eastAsia="Times New Roman" w:cs="Calibri"/>
                <w:color w:val="000000"/>
                <w:szCs w:val="18"/>
                <w:highlight w:val="yellow"/>
                <w:lang w:val="nl-NL" w:eastAsia="nl-NL"/>
              </w:rPr>
            </w:pPr>
            <w:r w:rsidRPr="00704454">
              <w:rPr>
                <w:rFonts w:eastAsia="Times New Roman" w:cs="Calibri"/>
                <w:b/>
                <w:bCs/>
                <w:color w:val="000000"/>
                <w:szCs w:val="18"/>
                <w:lang w:val="nl-NL" w:eastAsia="nl-NL"/>
              </w:rPr>
              <w:t>Financiële effecten</w:t>
            </w:r>
            <w:r w:rsidRPr="00704454">
              <w:rPr>
                <w:rFonts w:eastAsia="Times New Roman" w:cs="Calibri"/>
                <w:color w:val="000000"/>
                <w:szCs w:val="18"/>
                <w:highlight w:val="yellow"/>
                <w:lang w:val="nl-NL" w:eastAsia="nl-NL"/>
              </w:rPr>
              <w:t xml:space="preserve"> </w:t>
            </w:r>
          </w:p>
          <w:p w:rsidRPr="00704454" w:rsidR="00274420" w:rsidP="00274420" w:rsidRDefault="00274420" w14:paraId="5AFAFB77" w14:textId="77777777">
            <w:pPr>
              <w:spacing w:after="0" w:line="240" w:lineRule="auto"/>
              <w:contextualSpacing/>
              <w:rPr>
                <w:rFonts w:eastAsia="Times New Roman" w:cs="Calibri"/>
                <w:color w:val="000000"/>
                <w:szCs w:val="18"/>
                <w:highlight w:val="yellow"/>
                <w:lang w:val="nl-NL" w:eastAsia="nl-NL"/>
              </w:rPr>
            </w:pPr>
          </w:p>
          <w:p w:rsidRPr="00704454" w:rsidR="00274420" w:rsidP="00274420" w:rsidRDefault="00274420" w14:paraId="698DF872" w14:textId="73972F0E">
            <w:pPr>
              <w:spacing w:after="0" w:line="240" w:lineRule="auto"/>
              <w:contextualSpacing/>
              <w:rPr>
                <w:rFonts w:eastAsia="Times New Roman" w:cs="Calibri"/>
                <w:b/>
                <w:bCs/>
                <w:color w:val="000000"/>
                <w:szCs w:val="18"/>
                <w:lang w:val="nl-NL" w:eastAsia="nl-NL"/>
              </w:rPr>
            </w:pPr>
          </w:p>
        </w:tc>
        <w:tc>
          <w:tcPr>
            <w:tcW w:w="8221" w:type="dxa"/>
            <w:tcBorders>
              <w:top w:val="single" w:color="auto" w:sz="4" w:space="0"/>
              <w:left w:val="single" w:color="auto" w:sz="4" w:space="0"/>
              <w:bottom w:val="single" w:color="auto" w:sz="8" w:space="0"/>
              <w:right w:val="single" w:color="auto" w:sz="4" w:space="0"/>
            </w:tcBorders>
            <w:shd w:val="clear" w:color="auto" w:fill="auto"/>
            <w:noWrap/>
          </w:tcPr>
          <w:tbl>
            <w:tblPr>
              <w:tblStyle w:val="Tabelraster"/>
              <w:tblpPr w:leftFromText="141" w:rightFromText="141" w:vertAnchor="page" w:horzAnchor="margin" w:tblpY="541"/>
              <w:tblOverlap w:val="never"/>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1E0" w:firstRow="1" w:lastRow="1" w:firstColumn="1" w:lastColumn="1" w:noHBand="0" w:noVBand="0"/>
            </w:tblPr>
            <w:tblGrid>
              <w:gridCol w:w="2090"/>
              <w:gridCol w:w="829"/>
              <w:gridCol w:w="827"/>
              <w:gridCol w:w="827"/>
              <w:gridCol w:w="827"/>
              <w:gridCol w:w="827"/>
              <w:gridCol w:w="827"/>
              <w:gridCol w:w="1019"/>
            </w:tblGrid>
            <w:tr w:rsidRPr="00EB3835" w:rsidR="00274420" w:rsidTr="00D50797" w14:paraId="17717EF3" w14:textId="77777777">
              <w:tc>
                <w:tcPr>
                  <w:tcW w:w="1295" w:type="pct"/>
                  <w:tcBorders>
                    <w:top w:val="single" w:color="auto" w:sz="4" w:space="0"/>
                    <w:left w:val="single" w:color="auto" w:sz="4" w:space="0"/>
                  </w:tcBorders>
                </w:tcPr>
                <w:p w:rsidRPr="00FD1605" w:rsidR="00274420" w:rsidP="00274420" w:rsidRDefault="00AC215E" w14:paraId="068113B2" w14:textId="10FB6477">
                  <w:pPr>
                    <w:contextualSpacing/>
                    <w:rPr>
                      <w:rFonts w:ascii="Verdana" w:hAnsi="Verdana"/>
                      <w:b/>
                      <w:sz w:val="18"/>
                      <w:szCs w:val="18"/>
                    </w:rPr>
                  </w:pPr>
                  <w:r w:rsidRPr="00FD1605">
                    <w:rPr>
                      <w:rFonts w:ascii="Verdana" w:hAnsi="Verdana"/>
                      <w:bCs/>
                      <w:i/>
                      <w:iCs/>
                      <w:sz w:val="18"/>
                      <w:szCs w:val="18"/>
                    </w:rPr>
                    <w:t>In miljoenen euro’s</w:t>
                  </w:r>
                </w:p>
              </w:tc>
              <w:tc>
                <w:tcPr>
                  <w:tcW w:w="514" w:type="pct"/>
                  <w:tcBorders>
                    <w:top w:val="single" w:color="auto" w:sz="4" w:space="0"/>
                  </w:tcBorders>
                </w:tcPr>
                <w:p w:rsidRPr="00FD1605" w:rsidR="00274420" w:rsidP="00274420" w:rsidRDefault="00274420" w14:paraId="20DD44D2" w14:textId="0A5A4B56">
                  <w:pPr>
                    <w:contextualSpacing/>
                    <w:rPr>
                      <w:rFonts w:ascii="Verdana" w:hAnsi="Verdana"/>
                      <w:b/>
                      <w:bCs/>
                      <w:sz w:val="18"/>
                      <w:szCs w:val="18"/>
                    </w:rPr>
                  </w:pPr>
                  <w:r w:rsidRPr="00FD1605">
                    <w:rPr>
                      <w:rFonts w:ascii="Verdana" w:hAnsi="Verdana"/>
                      <w:b/>
                      <w:bCs/>
                      <w:sz w:val="18"/>
                      <w:szCs w:val="18"/>
                    </w:rPr>
                    <w:t>202</w:t>
                  </w:r>
                  <w:r w:rsidR="00EA2DE8">
                    <w:rPr>
                      <w:rFonts w:ascii="Verdana" w:hAnsi="Verdana"/>
                      <w:b/>
                      <w:bCs/>
                      <w:sz w:val="18"/>
                      <w:szCs w:val="18"/>
                    </w:rPr>
                    <w:t>6</w:t>
                  </w:r>
                </w:p>
              </w:tc>
              <w:tc>
                <w:tcPr>
                  <w:tcW w:w="512" w:type="pct"/>
                  <w:tcBorders>
                    <w:top w:val="single" w:color="auto" w:sz="4" w:space="0"/>
                  </w:tcBorders>
                </w:tcPr>
                <w:p w:rsidRPr="00FD1605" w:rsidR="00274420" w:rsidP="00274420" w:rsidRDefault="00274420" w14:paraId="63A5E5C2" w14:textId="4351BB37">
                  <w:pPr>
                    <w:contextualSpacing/>
                    <w:rPr>
                      <w:rFonts w:ascii="Verdana" w:hAnsi="Verdana"/>
                      <w:b/>
                      <w:bCs/>
                      <w:sz w:val="18"/>
                      <w:szCs w:val="18"/>
                    </w:rPr>
                  </w:pPr>
                  <w:r w:rsidRPr="00FD1605">
                    <w:rPr>
                      <w:rFonts w:ascii="Verdana" w:hAnsi="Verdana"/>
                      <w:b/>
                      <w:bCs/>
                      <w:sz w:val="18"/>
                      <w:szCs w:val="18"/>
                    </w:rPr>
                    <w:t>202</w:t>
                  </w:r>
                  <w:r w:rsidR="00EA2DE8">
                    <w:rPr>
                      <w:rFonts w:ascii="Verdana" w:hAnsi="Verdana"/>
                      <w:b/>
                      <w:bCs/>
                      <w:sz w:val="18"/>
                      <w:szCs w:val="18"/>
                    </w:rPr>
                    <w:t>7</w:t>
                  </w:r>
                </w:p>
              </w:tc>
              <w:tc>
                <w:tcPr>
                  <w:tcW w:w="512" w:type="pct"/>
                  <w:tcBorders>
                    <w:top w:val="single" w:color="auto" w:sz="4" w:space="0"/>
                  </w:tcBorders>
                </w:tcPr>
                <w:p w:rsidRPr="00FD1605" w:rsidR="00274420" w:rsidP="00274420" w:rsidRDefault="00274420" w14:paraId="6E6C2987" w14:textId="7A32E605">
                  <w:pPr>
                    <w:contextualSpacing/>
                    <w:rPr>
                      <w:rFonts w:ascii="Verdana" w:hAnsi="Verdana"/>
                      <w:b/>
                      <w:bCs/>
                      <w:sz w:val="18"/>
                      <w:szCs w:val="18"/>
                    </w:rPr>
                  </w:pPr>
                  <w:r w:rsidRPr="00FD1605">
                    <w:rPr>
                      <w:rFonts w:ascii="Verdana" w:hAnsi="Verdana"/>
                      <w:b/>
                      <w:bCs/>
                      <w:sz w:val="18"/>
                      <w:szCs w:val="18"/>
                    </w:rPr>
                    <w:t>202</w:t>
                  </w:r>
                  <w:r w:rsidR="00EA2DE8">
                    <w:rPr>
                      <w:rFonts w:ascii="Verdana" w:hAnsi="Verdana"/>
                      <w:b/>
                      <w:bCs/>
                      <w:sz w:val="18"/>
                      <w:szCs w:val="18"/>
                    </w:rPr>
                    <w:t>8</w:t>
                  </w:r>
                </w:p>
              </w:tc>
              <w:tc>
                <w:tcPr>
                  <w:tcW w:w="512" w:type="pct"/>
                  <w:tcBorders>
                    <w:top w:val="single" w:color="auto" w:sz="4" w:space="0"/>
                  </w:tcBorders>
                </w:tcPr>
                <w:p w:rsidRPr="00FD1605" w:rsidR="00274420" w:rsidP="00274420" w:rsidRDefault="00274420" w14:paraId="46820904" w14:textId="48BC1B61">
                  <w:pPr>
                    <w:contextualSpacing/>
                    <w:rPr>
                      <w:rFonts w:ascii="Verdana" w:hAnsi="Verdana"/>
                      <w:b/>
                      <w:bCs/>
                      <w:sz w:val="18"/>
                      <w:szCs w:val="18"/>
                    </w:rPr>
                  </w:pPr>
                  <w:r w:rsidRPr="00FD1605">
                    <w:rPr>
                      <w:rFonts w:ascii="Verdana" w:hAnsi="Verdana"/>
                      <w:b/>
                      <w:bCs/>
                      <w:sz w:val="18"/>
                      <w:szCs w:val="18"/>
                    </w:rPr>
                    <w:t>202</w:t>
                  </w:r>
                  <w:r w:rsidR="00EA2DE8">
                    <w:rPr>
                      <w:rFonts w:ascii="Verdana" w:hAnsi="Verdana"/>
                      <w:b/>
                      <w:bCs/>
                      <w:sz w:val="18"/>
                      <w:szCs w:val="18"/>
                    </w:rPr>
                    <w:t>9</w:t>
                  </w:r>
                </w:p>
              </w:tc>
              <w:tc>
                <w:tcPr>
                  <w:tcW w:w="512" w:type="pct"/>
                  <w:tcBorders>
                    <w:top w:val="single" w:color="auto" w:sz="4" w:space="0"/>
                  </w:tcBorders>
                </w:tcPr>
                <w:p w:rsidRPr="00FD1605" w:rsidR="00274420" w:rsidP="00274420" w:rsidRDefault="00274420" w14:paraId="05A0CABA" w14:textId="76F062E4">
                  <w:pPr>
                    <w:contextualSpacing/>
                    <w:rPr>
                      <w:rFonts w:ascii="Verdana" w:hAnsi="Verdana"/>
                      <w:b/>
                      <w:bCs/>
                      <w:sz w:val="18"/>
                      <w:szCs w:val="18"/>
                    </w:rPr>
                  </w:pPr>
                  <w:r w:rsidRPr="00FD1605">
                    <w:rPr>
                      <w:rFonts w:ascii="Verdana" w:hAnsi="Verdana"/>
                      <w:b/>
                      <w:bCs/>
                      <w:sz w:val="18"/>
                      <w:szCs w:val="18"/>
                    </w:rPr>
                    <w:t>20</w:t>
                  </w:r>
                  <w:r w:rsidR="00EA2DE8">
                    <w:rPr>
                      <w:rFonts w:ascii="Verdana" w:hAnsi="Verdana"/>
                      <w:b/>
                      <w:bCs/>
                      <w:sz w:val="18"/>
                      <w:szCs w:val="18"/>
                    </w:rPr>
                    <w:t>30</w:t>
                  </w:r>
                </w:p>
              </w:tc>
              <w:tc>
                <w:tcPr>
                  <w:tcW w:w="512" w:type="pct"/>
                  <w:tcBorders>
                    <w:top w:val="single" w:color="auto" w:sz="4" w:space="0"/>
                  </w:tcBorders>
                </w:tcPr>
                <w:p w:rsidRPr="00FD1605" w:rsidR="00274420" w:rsidP="00274420" w:rsidRDefault="00274420" w14:paraId="048E071C" w14:textId="1425E45B">
                  <w:pPr>
                    <w:contextualSpacing/>
                    <w:rPr>
                      <w:rFonts w:ascii="Verdana" w:hAnsi="Verdana"/>
                      <w:b/>
                      <w:bCs/>
                      <w:sz w:val="18"/>
                      <w:szCs w:val="18"/>
                    </w:rPr>
                  </w:pPr>
                  <w:r w:rsidRPr="00FD1605">
                    <w:rPr>
                      <w:rFonts w:ascii="Verdana" w:hAnsi="Verdana"/>
                      <w:b/>
                      <w:bCs/>
                      <w:sz w:val="18"/>
                      <w:szCs w:val="18"/>
                    </w:rPr>
                    <w:t>20</w:t>
                  </w:r>
                  <w:r w:rsidR="00EA2DE8">
                    <w:rPr>
                      <w:rFonts w:ascii="Verdana" w:hAnsi="Verdana"/>
                      <w:b/>
                      <w:bCs/>
                      <w:sz w:val="18"/>
                      <w:szCs w:val="18"/>
                    </w:rPr>
                    <w:t>31</w:t>
                  </w:r>
                </w:p>
              </w:tc>
              <w:tc>
                <w:tcPr>
                  <w:tcW w:w="631" w:type="pct"/>
                  <w:tcBorders>
                    <w:top w:val="single" w:color="auto" w:sz="4" w:space="0"/>
                  </w:tcBorders>
                </w:tcPr>
                <w:p w:rsidRPr="00FD1605" w:rsidR="00274420" w:rsidP="00274420" w:rsidRDefault="00274420" w14:paraId="57B35FDD" w14:textId="77777777">
                  <w:pPr>
                    <w:contextualSpacing/>
                    <w:rPr>
                      <w:rFonts w:ascii="Verdana" w:hAnsi="Verdana"/>
                      <w:b/>
                      <w:bCs/>
                      <w:sz w:val="18"/>
                      <w:szCs w:val="18"/>
                    </w:rPr>
                  </w:pPr>
                  <w:proofErr w:type="spellStart"/>
                  <w:r w:rsidRPr="00FD1605">
                    <w:rPr>
                      <w:rFonts w:ascii="Verdana" w:hAnsi="Verdana"/>
                      <w:b/>
                      <w:bCs/>
                      <w:sz w:val="18"/>
                      <w:szCs w:val="18"/>
                    </w:rPr>
                    <w:t>Struc</w:t>
                  </w:r>
                  <w:proofErr w:type="spellEnd"/>
                  <w:r w:rsidRPr="00FD1605">
                    <w:rPr>
                      <w:rFonts w:ascii="Verdana" w:hAnsi="Verdana"/>
                      <w:b/>
                      <w:bCs/>
                      <w:sz w:val="18"/>
                      <w:szCs w:val="18"/>
                    </w:rPr>
                    <w:t>.</w:t>
                  </w:r>
                </w:p>
              </w:tc>
            </w:tr>
            <w:tr w:rsidRPr="00EB3835" w:rsidR="00274420" w:rsidTr="00D50797" w14:paraId="31327288" w14:textId="77777777">
              <w:tc>
                <w:tcPr>
                  <w:tcW w:w="1295" w:type="pct"/>
                </w:tcPr>
                <w:p w:rsidRPr="00FD1605" w:rsidR="00274420" w:rsidP="00274420" w:rsidRDefault="00274420" w14:paraId="781FE5B3" w14:textId="77777777">
                  <w:pPr>
                    <w:contextualSpacing/>
                    <w:rPr>
                      <w:rFonts w:ascii="Verdana" w:hAnsi="Verdana"/>
                      <w:sz w:val="18"/>
                      <w:szCs w:val="18"/>
                    </w:rPr>
                  </w:pPr>
                  <w:r w:rsidRPr="00FD1605">
                    <w:rPr>
                      <w:rFonts w:ascii="Verdana" w:hAnsi="Verdana"/>
                      <w:sz w:val="18"/>
                      <w:szCs w:val="18"/>
                    </w:rPr>
                    <w:t>Algemene effecten</w:t>
                  </w:r>
                </w:p>
              </w:tc>
              <w:tc>
                <w:tcPr>
                  <w:tcW w:w="514" w:type="pct"/>
                </w:tcPr>
                <w:p w:rsidRPr="00FD1605" w:rsidR="00274420" w:rsidP="00274420" w:rsidRDefault="00274420" w14:paraId="7ABBF16B" w14:textId="77777777">
                  <w:pPr>
                    <w:contextualSpacing/>
                    <w:rPr>
                      <w:rFonts w:ascii="Verdana" w:hAnsi="Verdana"/>
                      <w:sz w:val="18"/>
                      <w:szCs w:val="18"/>
                    </w:rPr>
                  </w:pPr>
                </w:p>
              </w:tc>
              <w:tc>
                <w:tcPr>
                  <w:tcW w:w="512" w:type="pct"/>
                </w:tcPr>
                <w:p w:rsidRPr="00FD1605" w:rsidR="00274420" w:rsidP="00274420" w:rsidRDefault="00274420" w14:paraId="17299D92" w14:textId="77777777">
                  <w:pPr>
                    <w:contextualSpacing/>
                    <w:rPr>
                      <w:rFonts w:ascii="Verdana" w:hAnsi="Verdana"/>
                      <w:sz w:val="18"/>
                      <w:szCs w:val="18"/>
                    </w:rPr>
                  </w:pPr>
                </w:p>
              </w:tc>
              <w:tc>
                <w:tcPr>
                  <w:tcW w:w="512" w:type="pct"/>
                </w:tcPr>
                <w:p w:rsidRPr="00FD1605" w:rsidR="00274420" w:rsidP="00274420" w:rsidRDefault="00274420" w14:paraId="328E9BB8" w14:textId="77777777">
                  <w:pPr>
                    <w:contextualSpacing/>
                    <w:rPr>
                      <w:rFonts w:ascii="Verdana" w:hAnsi="Verdana"/>
                      <w:sz w:val="18"/>
                      <w:szCs w:val="18"/>
                    </w:rPr>
                  </w:pPr>
                </w:p>
              </w:tc>
              <w:tc>
                <w:tcPr>
                  <w:tcW w:w="512" w:type="pct"/>
                </w:tcPr>
                <w:p w:rsidRPr="00FD1605" w:rsidR="00274420" w:rsidP="00274420" w:rsidRDefault="00274420" w14:paraId="23F8A5BB" w14:textId="77777777">
                  <w:pPr>
                    <w:contextualSpacing/>
                    <w:rPr>
                      <w:rFonts w:ascii="Verdana" w:hAnsi="Verdana"/>
                      <w:sz w:val="18"/>
                      <w:szCs w:val="18"/>
                    </w:rPr>
                  </w:pPr>
                </w:p>
              </w:tc>
              <w:tc>
                <w:tcPr>
                  <w:tcW w:w="512" w:type="pct"/>
                </w:tcPr>
                <w:p w:rsidRPr="00FD1605" w:rsidR="00274420" w:rsidP="00274420" w:rsidRDefault="00274420" w14:paraId="14FAC024" w14:textId="77777777">
                  <w:pPr>
                    <w:contextualSpacing/>
                    <w:rPr>
                      <w:rFonts w:ascii="Verdana" w:hAnsi="Verdana"/>
                      <w:sz w:val="18"/>
                      <w:szCs w:val="18"/>
                    </w:rPr>
                  </w:pPr>
                </w:p>
              </w:tc>
              <w:tc>
                <w:tcPr>
                  <w:tcW w:w="512" w:type="pct"/>
                </w:tcPr>
                <w:p w:rsidRPr="00FD1605" w:rsidR="00274420" w:rsidP="00274420" w:rsidRDefault="00274420" w14:paraId="72A9EA4F" w14:textId="77777777">
                  <w:pPr>
                    <w:contextualSpacing/>
                    <w:rPr>
                      <w:rFonts w:ascii="Verdana" w:hAnsi="Verdana"/>
                      <w:sz w:val="18"/>
                      <w:szCs w:val="18"/>
                    </w:rPr>
                  </w:pPr>
                </w:p>
              </w:tc>
              <w:tc>
                <w:tcPr>
                  <w:tcW w:w="631" w:type="pct"/>
                </w:tcPr>
                <w:p w:rsidRPr="00FD1605" w:rsidR="00274420" w:rsidP="00274420" w:rsidRDefault="00274420" w14:paraId="7B8ED29B" w14:textId="77777777">
                  <w:pPr>
                    <w:contextualSpacing/>
                    <w:rPr>
                      <w:rFonts w:ascii="Verdana" w:hAnsi="Verdana"/>
                      <w:sz w:val="18"/>
                      <w:szCs w:val="18"/>
                    </w:rPr>
                  </w:pPr>
                </w:p>
              </w:tc>
            </w:tr>
            <w:tr w:rsidRPr="00EB3835" w:rsidR="00274420" w:rsidTr="00D50797" w14:paraId="6F103362" w14:textId="77777777">
              <w:tc>
                <w:tcPr>
                  <w:tcW w:w="1295" w:type="pct"/>
                </w:tcPr>
                <w:p w:rsidRPr="00FD1605" w:rsidR="00274420" w:rsidP="00274420" w:rsidRDefault="00274420" w14:paraId="7760865F" w14:textId="77777777">
                  <w:pPr>
                    <w:contextualSpacing/>
                    <w:rPr>
                      <w:rFonts w:ascii="Verdana" w:hAnsi="Verdana"/>
                      <w:sz w:val="18"/>
                      <w:szCs w:val="18"/>
                    </w:rPr>
                  </w:pPr>
                  <w:r w:rsidRPr="00FD1605">
                    <w:rPr>
                      <w:rFonts w:ascii="Verdana" w:hAnsi="Verdana"/>
                      <w:sz w:val="18"/>
                      <w:szCs w:val="18"/>
                    </w:rPr>
                    <w:t>Weglekeffecten</w:t>
                  </w:r>
                </w:p>
              </w:tc>
              <w:tc>
                <w:tcPr>
                  <w:tcW w:w="514" w:type="pct"/>
                </w:tcPr>
                <w:p w:rsidRPr="00FD1605" w:rsidR="00274420" w:rsidP="00274420" w:rsidRDefault="00274420" w14:paraId="4D0FE8D7" w14:textId="77777777">
                  <w:pPr>
                    <w:contextualSpacing/>
                    <w:rPr>
                      <w:rFonts w:ascii="Verdana" w:hAnsi="Verdana"/>
                      <w:sz w:val="18"/>
                      <w:szCs w:val="18"/>
                    </w:rPr>
                  </w:pPr>
                </w:p>
              </w:tc>
              <w:tc>
                <w:tcPr>
                  <w:tcW w:w="512" w:type="pct"/>
                </w:tcPr>
                <w:p w:rsidRPr="00FD1605" w:rsidR="00274420" w:rsidP="00274420" w:rsidRDefault="00274420" w14:paraId="76646388" w14:textId="77777777">
                  <w:pPr>
                    <w:contextualSpacing/>
                    <w:rPr>
                      <w:rFonts w:ascii="Verdana" w:hAnsi="Verdana"/>
                      <w:sz w:val="18"/>
                      <w:szCs w:val="18"/>
                    </w:rPr>
                  </w:pPr>
                </w:p>
              </w:tc>
              <w:tc>
                <w:tcPr>
                  <w:tcW w:w="512" w:type="pct"/>
                </w:tcPr>
                <w:p w:rsidRPr="00FD1605" w:rsidR="00274420" w:rsidP="00274420" w:rsidRDefault="00274420" w14:paraId="044B5A09" w14:textId="77777777">
                  <w:pPr>
                    <w:contextualSpacing/>
                    <w:rPr>
                      <w:rFonts w:ascii="Verdana" w:hAnsi="Verdana"/>
                      <w:sz w:val="18"/>
                      <w:szCs w:val="18"/>
                    </w:rPr>
                  </w:pPr>
                </w:p>
              </w:tc>
              <w:tc>
                <w:tcPr>
                  <w:tcW w:w="512" w:type="pct"/>
                </w:tcPr>
                <w:p w:rsidRPr="00FD1605" w:rsidR="00274420" w:rsidP="00274420" w:rsidRDefault="00274420" w14:paraId="59C9C809" w14:textId="77777777">
                  <w:pPr>
                    <w:contextualSpacing/>
                    <w:rPr>
                      <w:rFonts w:ascii="Verdana" w:hAnsi="Verdana"/>
                      <w:sz w:val="18"/>
                      <w:szCs w:val="18"/>
                    </w:rPr>
                  </w:pPr>
                </w:p>
              </w:tc>
              <w:tc>
                <w:tcPr>
                  <w:tcW w:w="512" w:type="pct"/>
                </w:tcPr>
                <w:p w:rsidRPr="00FD1605" w:rsidR="00274420" w:rsidP="00274420" w:rsidRDefault="00274420" w14:paraId="2D0BE706" w14:textId="77777777">
                  <w:pPr>
                    <w:contextualSpacing/>
                    <w:rPr>
                      <w:rFonts w:ascii="Verdana" w:hAnsi="Verdana"/>
                      <w:sz w:val="18"/>
                      <w:szCs w:val="18"/>
                    </w:rPr>
                  </w:pPr>
                </w:p>
              </w:tc>
              <w:tc>
                <w:tcPr>
                  <w:tcW w:w="512" w:type="pct"/>
                </w:tcPr>
                <w:p w:rsidRPr="00FD1605" w:rsidR="00274420" w:rsidP="00274420" w:rsidRDefault="00274420" w14:paraId="3CAA9E48" w14:textId="77777777">
                  <w:pPr>
                    <w:contextualSpacing/>
                    <w:rPr>
                      <w:rFonts w:ascii="Verdana" w:hAnsi="Verdana"/>
                      <w:sz w:val="18"/>
                      <w:szCs w:val="18"/>
                    </w:rPr>
                  </w:pPr>
                </w:p>
              </w:tc>
              <w:tc>
                <w:tcPr>
                  <w:tcW w:w="631" w:type="pct"/>
                </w:tcPr>
                <w:p w:rsidRPr="00FD1605" w:rsidR="00274420" w:rsidP="00274420" w:rsidRDefault="00274420" w14:paraId="78870678" w14:textId="77777777">
                  <w:pPr>
                    <w:contextualSpacing/>
                    <w:rPr>
                      <w:rFonts w:ascii="Verdana" w:hAnsi="Verdana"/>
                      <w:sz w:val="18"/>
                      <w:szCs w:val="18"/>
                    </w:rPr>
                  </w:pPr>
                </w:p>
              </w:tc>
            </w:tr>
            <w:tr w:rsidRPr="00EB3835" w:rsidR="00274420" w:rsidTr="00D50797" w14:paraId="523116C0" w14:textId="77777777">
              <w:tc>
                <w:tcPr>
                  <w:tcW w:w="1295" w:type="pct"/>
                </w:tcPr>
                <w:p w:rsidRPr="00FD1605" w:rsidR="00274420" w:rsidP="00274420" w:rsidRDefault="00274420" w14:paraId="5B90384D" w14:textId="32F4475C">
                  <w:pPr>
                    <w:contextualSpacing/>
                    <w:rPr>
                      <w:rFonts w:ascii="Verdana" w:hAnsi="Verdana"/>
                      <w:sz w:val="18"/>
                      <w:szCs w:val="18"/>
                    </w:rPr>
                  </w:pPr>
                  <w:r w:rsidRPr="00FD1605">
                    <w:rPr>
                      <w:rFonts w:ascii="Verdana" w:hAnsi="Verdana"/>
                      <w:sz w:val="18"/>
                      <w:szCs w:val="18"/>
                    </w:rPr>
                    <w:lastRenderedPageBreak/>
                    <w:t>Uitvoeringskosten</w:t>
                  </w:r>
                </w:p>
              </w:tc>
              <w:tc>
                <w:tcPr>
                  <w:tcW w:w="514" w:type="pct"/>
                </w:tcPr>
                <w:p w:rsidRPr="00FD1605" w:rsidR="00274420" w:rsidP="00274420" w:rsidRDefault="00274420" w14:paraId="46CCCBFF" w14:textId="77777777">
                  <w:pPr>
                    <w:contextualSpacing/>
                    <w:rPr>
                      <w:rFonts w:ascii="Verdana" w:hAnsi="Verdana"/>
                      <w:sz w:val="18"/>
                      <w:szCs w:val="18"/>
                    </w:rPr>
                  </w:pPr>
                </w:p>
              </w:tc>
              <w:tc>
                <w:tcPr>
                  <w:tcW w:w="512" w:type="pct"/>
                </w:tcPr>
                <w:p w:rsidRPr="00FD1605" w:rsidR="00274420" w:rsidP="00274420" w:rsidRDefault="00274420" w14:paraId="39BAD04D" w14:textId="77777777">
                  <w:pPr>
                    <w:contextualSpacing/>
                    <w:rPr>
                      <w:rFonts w:ascii="Verdana" w:hAnsi="Verdana"/>
                      <w:sz w:val="18"/>
                      <w:szCs w:val="18"/>
                    </w:rPr>
                  </w:pPr>
                </w:p>
              </w:tc>
              <w:tc>
                <w:tcPr>
                  <w:tcW w:w="512" w:type="pct"/>
                </w:tcPr>
                <w:p w:rsidRPr="00FD1605" w:rsidR="00274420" w:rsidP="00274420" w:rsidRDefault="00274420" w14:paraId="4ED5EB92" w14:textId="77777777">
                  <w:pPr>
                    <w:contextualSpacing/>
                    <w:rPr>
                      <w:rFonts w:ascii="Verdana" w:hAnsi="Verdana"/>
                      <w:sz w:val="18"/>
                      <w:szCs w:val="18"/>
                    </w:rPr>
                  </w:pPr>
                </w:p>
              </w:tc>
              <w:tc>
                <w:tcPr>
                  <w:tcW w:w="512" w:type="pct"/>
                </w:tcPr>
                <w:p w:rsidRPr="00FD1605" w:rsidR="00274420" w:rsidP="00274420" w:rsidRDefault="00274420" w14:paraId="7FBB1275" w14:textId="77777777">
                  <w:pPr>
                    <w:contextualSpacing/>
                    <w:rPr>
                      <w:rFonts w:ascii="Verdana" w:hAnsi="Verdana"/>
                      <w:sz w:val="18"/>
                      <w:szCs w:val="18"/>
                    </w:rPr>
                  </w:pPr>
                </w:p>
              </w:tc>
              <w:tc>
                <w:tcPr>
                  <w:tcW w:w="512" w:type="pct"/>
                </w:tcPr>
                <w:p w:rsidRPr="00FD1605" w:rsidR="00274420" w:rsidP="00274420" w:rsidRDefault="00274420" w14:paraId="46C00B37" w14:textId="77777777">
                  <w:pPr>
                    <w:contextualSpacing/>
                    <w:rPr>
                      <w:rFonts w:ascii="Verdana" w:hAnsi="Verdana"/>
                      <w:sz w:val="18"/>
                      <w:szCs w:val="18"/>
                    </w:rPr>
                  </w:pPr>
                </w:p>
              </w:tc>
              <w:tc>
                <w:tcPr>
                  <w:tcW w:w="512" w:type="pct"/>
                </w:tcPr>
                <w:p w:rsidRPr="00FD1605" w:rsidR="00274420" w:rsidP="00274420" w:rsidRDefault="00274420" w14:paraId="507B086F" w14:textId="77777777">
                  <w:pPr>
                    <w:contextualSpacing/>
                    <w:rPr>
                      <w:rFonts w:ascii="Verdana" w:hAnsi="Verdana"/>
                      <w:sz w:val="18"/>
                      <w:szCs w:val="18"/>
                    </w:rPr>
                  </w:pPr>
                </w:p>
              </w:tc>
              <w:tc>
                <w:tcPr>
                  <w:tcW w:w="631" w:type="pct"/>
                </w:tcPr>
                <w:p w:rsidRPr="00FD1605" w:rsidR="00274420" w:rsidP="00274420" w:rsidRDefault="00274420" w14:paraId="1AFF60CB" w14:textId="77777777">
                  <w:pPr>
                    <w:contextualSpacing/>
                    <w:rPr>
                      <w:rFonts w:ascii="Verdana" w:hAnsi="Verdana"/>
                      <w:sz w:val="18"/>
                      <w:szCs w:val="18"/>
                    </w:rPr>
                  </w:pPr>
                </w:p>
              </w:tc>
            </w:tr>
            <w:tr w:rsidRPr="00EB3835" w:rsidR="00274420" w:rsidTr="00D50797" w14:paraId="76665886" w14:textId="77777777">
              <w:tc>
                <w:tcPr>
                  <w:tcW w:w="1295" w:type="pct"/>
                </w:tcPr>
                <w:p w:rsidRPr="00FD1605" w:rsidR="00274420" w:rsidP="00274420" w:rsidRDefault="00274420" w14:paraId="404296C5" w14:textId="77777777">
                  <w:pPr>
                    <w:contextualSpacing/>
                    <w:rPr>
                      <w:rFonts w:ascii="Verdana" w:hAnsi="Verdana"/>
                      <w:sz w:val="18"/>
                      <w:szCs w:val="18"/>
                    </w:rPr>
                  </w:pPr>
                </w:p>
              </w:tc>
              <w:tc>
                <w:tcPr>
                  <w:tcW w:w="514" w:type="pct"/>
                </w:tcPr>
                <w:p w:rsidRPr="00FD1605" w:rsidR="00274420" w:rsidP="00274420" w:rsidRDefault="00274420" w14:paraId="559EE74C" w14:textId="77777777">
                  <w:pPr>
                    <w:contextualSpacing/>
                    <w:rPr>
                      <w:rFonts w:ascii="Verdana" w:hAnsi="Verdana"/>
                      <w:sz w:val="18"/>
                      <w:szCs w:val="18"/>
                    </w:rPr>
                  </w:pPr>
                </w:p>
              </w:tc>
              <w:tc>
                <w:tcPr>
                  <w:tcW w:w="512" w:type="pct"/>
                </w:tcPr>
                <w:p w:rsidRPr="00FD1605" w:rsidR="00274420" w:rsidP="00274420" w:rsidRDefault="00274420" w14:paraId="4C1C1F62" w14:textId="77777777">
                  <w:pPr>
                    <w:contextualSpacing/>
                    <w:rPr>
                      <w:rFonts w:ascii="Verdana" w:hAnsi="Verdana"/>
                      <w:sz w:val="18"/>
                      <w:szCs w:val="18"/>
                    </w:rPr>
                  </w:pPr>
                </w:p>
              </w:tc>
              <w:tc>
                <w:tcPr>
                  <w:tcW w:w="512" w:type="pct"/>
                </w:tcPr>
                <w:p w:rsidRPr="00FD1605" w:rsidR="00274420" w:rsidP="00274420" w:rsidRDefault="00274420" w14:paraId="6DECC518" w14:textId="77777777">
                  <w:pPr>
                    <w:contextualSpacing/>
                    <w:rPr>
                      <w:rFonts w:ascii="Verdana" w:hAnsi="Verdana"/>
                      <w:sz w:val="18"/>
                      <w:szCs w:val="18"/>
                    </w:rPr>
                  </w:pPr>
                </w:p>
              </w:tc>
              <w:tc>
                <w:tcPr>
                  <w:tcW w:w="512" w:type="pct"/>
                </w:tcPr>
                <w:p w:rsidRPr="00FD1605" w:rsidR="00274420" w:rsidP="00274420" w:rsidRDefault="00274420" w14:paraId="2F522966" w14:textId="77777777">
                  <w:pPr>
                    <w:contextualSpacing/>
                    <w:rPr>
                      <w:rFonts w:ascii="Verdana" w:hAnsi="Verdana"/>
                      <w:sz w:val="18"/>
                      <w:szCs w:val="18"/>
                    </w:rPr>
                  </w:pPr>
                </w:p>
              </w:tc>
              <w:tc>
                <w:tcPr>
                  <w:tcW w:w="512" w:type="pct"/>
                </w:tcPr>
                <w:p w:rsidRPr="00FD1605" w:rsidR="00274420" w:rsidP="00274420" w:rsidRDefault="00274420" w14:paraId="7E0AF54F" w14:textId="77777777">
                  <w:pPr>
                    <w:contextualSpacing/>
                    <w:rPr>
                      <w:rFonts w:ascii="Verdana" w:hAnsi="Verdana"/>
                      <w:sz w:val="18"/>
                      <w:szCs w:val="18"/>
                    </w:rPr>
                  </w:pPr>
                </w:p>
              </w:tc>
              <w:tc>
                <w:tcPr>
                  <w:tcW w:w="512" w:type="pct"/>
                </w:tcPr>
                <w:p w:rsidRPr="00FD1605" w:rsidR="00274420" w:rsidP="00274420" w:rsidRDefault="00274420" w14:paraId="0571CDF1" w14:textId="77777777">
                  <w:pPr>
                    <w:contextualSpacing/>
                    <w:rPr>
                      <w:rFonts w:ascii="Verdana" w:hAnsi="Verdana"/>
                      <w:sz w:val="18"/>
                      <w:szCs w:val="18"/>
                    </w:rPr>
                  </w:pPr>
                </w:p>
              </w:tc>
              <w:tc>
                <w:tcPr>
                  <w:tcW w:w="631" w:type="pct"/>
                </w:tcPr>
                <w:p w:rsidRPr="00FD1605" w:rsidR="00274420" w:rsidP="00274420" w:rsidRDefault="00274420" w14:paraId="79F63BF0" w14:textId="77777777">
                  <w:pPr>
                    <w:contextualSpacing/>
                    <w:rPr>
                      <w:rFonts w:ascii="Verdana" w:hAnsi="Verdana"/>
                      <w:sz w:val="18"/>
                      <w:szCs w:val="18"/>
                    </w:rPr>
                  </w:pPr>
                </w:p>
              </w:tc>
            </w:tr>
            <w:tr w:rsidRPr="00EB3835" w:rsidR="00274420" w:rsidTr="00D50797" w14:paraId="522E27D0" w14:textId="77777777">
              <w:tc>
                <w:tcPr>
                  <w:tcW w:w="1295" w:type="pct"/>
                </w:tcPr>
                <w:p w:rsidRPr="00FD1605" w:rsidR="00274420" w:rsidP="00274420" w:rsidRDefault="00274420" w14:paraId="4F5F1413" w14:textId="77777777">
                  <w:pPr>
                    <w:contextualSpacing/>
                    <w:rPr>
                      <w:rFonts w:ascii="Verdana" w:hAnsi="Verdana"/>
                      <w:b/>
                      <w:bCs/>
                      <w:sz w:val="18"/>
                      <w:szCs w:val="18"/>
                    </w:rPr>
                  </w:pPr>
                  <w:r w:rsidRPr="00FD1605">
                    <w:rPr>
                      <w:rFonts w:ascii="Verdana" w:hAnsi="Verdana"/>
                      <w:b/>
                      <w:bCs/>
                      <w:sz w:val="18"/>
                      <w:szCs w:val="18"/>
                    </w:rPr>
                    <w:t>Totaal</w:t>
                  </w:r>
                </w:p>
              </w:tc>
              <w:tc>
                <w:tcPr>
                  <w:tcW w:w="514" w:type="pct"/>
                </w:tcPr>
                <w:p w:rsidRPr="00FD1605" w:rsidR="00274420" w:rsidP="00274420" w:rsidRDefault="00274420" w14:paraId="0D91FF70" w14:textId="77777777">
                  <w:pPr>
                    <w:contextualSpacing/>
                    <w:rPr>
                      <w:rFonts w:ascii="Verdana" w:hAnsi="Verdana"/>
                      <w:b/>
                      <w:bCs/>
                      <w:sz w:val="18"/>
                      <w:szCs w:val="18"/>
                    </w:rPr>
                  </w:pPr>
                </w:p>
              </w:tc>
              <w:tc>
                <w:tcPr>
                  <w:tcW w:w="512" w:type="pct"/>
                </w:tcPr>
                <w:p w:rsidRPr="00FD1605" w:rsidR="00274420" w:rsidP="00274420" w:rsidRDefault="00274420" w14:paraId="350119B2" w14:textId="77777777">
                  <w:pPr>
                    <w:contextualSpacing/>
                    <w:rPr>
                      <w:rFonts w:ascii="Verdana" w:hAnsi="Verdana"/>
                      <w:b/>
                      <w:bCs/>
                      <w:sz w:val="18"/>
                      <w:szCs w:val="18"/>
                    </w:rPr>
                  </w:pPr>
                </w:p>
              </w:tc>
              <w:tc>
                <w:tcPr>
                  <w:tcW w:w="512" w:type="pct"/>
                </w:tcPr>
                <w:p w:rsidRPr="00FD1605" w:rsidR="00274420" w:rsidP="00274420" w:rsidRDefault="00274420" w14:paraId="06438960" w14:textId="77777777">
                  <w:pPr>
                    <w:contextualSpacing/>
                    <w:rPr>
                      <w:rFonts w:ascii="Verdana" w:hAnsi="Verdana"/>
                      <w:b/>
                      <w:bCs/>
                      <w:sz w:val="18"/>
                      <w:szCs w:val="18"/>
                    </w:rPr>
                  </w:pPr>
                </w:p>
              </w:tc>
              <w:tc>
                <w:tcPr>
                  <w:tcW w:w="512" w:type="pct"/>
                </w:tcPr>
                <w:p w:rsidRPr="00FD1605" w:rsidR="00274420" w:rsidP="00274420" w:rsidRDefault="00274420" w14:paraId="67F9D4D4" w14:textId="77777777">
                  <w:pPr>
                    <w:contextualSpacing/>
                    <w:rPr>
                      <w:rFonts w:ascii="Verdana" w:hAnsi="Verdana"/>
                      <w:b/>
                      <w:bCs/>
                      <w:sz w:val="18"/>
                      <w:szCs w:val="18"/>
                    </w:rPr>
                  </w:pPr>
                </w:p>
              </w:tc>
              <w:tc>
                <w:tcPr>
                  <w:tcW w:w="512" w:type="pct"/>
                </w:tcPr>
                <w:p w:rsidRPr="00FD1605" w:rsidR="00274420" w:rsidP="00274420" w:rsidRDefault="00274420" w14:paraId="7666C89E" w14:textId="77777777">
                  <w:pPr>
                    <w:contextualSpacing/>
                    <w:rPr>
                      <w:rFonts w:ascii="Verdana" w:hAnsi="Verdana"/>
                      <w:b/>
                      <w:bCs/>
                      <w:sz w:val="18"/>
                      <w:szCs w:val="18"/>
                    </w:rPr>
                  </w:pPr>
                </w:p>
              </w:tc>
              <w:tc>
                <w:tcPr>
                  <w:tcW w:w="512" w:type="pct"/>
                </w:tcPr>
                <w:p w:rsidRPr="00FD1605" w:rsidR="00274420" w:rsidP="00274420" w:rsidRDefault="00274420" w14:paraId="602B3C0C" w14:textId="77777777">
                  <w:pPr>
                    <w:contextualSpacing/>
                    <w:rPr>
                      <w:rFonts w:ascii="Verdana" w:hAnsi="Verdana"/>
                      <w:b/>
                      <w:bCs/>
                      <w:sz w:val="18"/>
                      <w:szCs w:val="18"/>
                    </w:rPr>
                  </w:pPr>
                </w:p>
              </w:tc>
              <w:tc>
                <w:tcPr>
                  <w:tcW w:w="631" w:type="pct"/>
                </w:tcPr>
                <w:p w:rsidRPr="00FD1605" w:rsidR="00274420" w:rsidP="00274420" w:rsidRDefault="00274420" w14:paraId="75AB92DD" w14:textId="77777777">
                  <w:pPr>
                    <w:contextualSpacing/>
                    <w:rPr>
                      <w:rFonts w:ascii="Verdana" w:hAnsi="Verdana"/>
                      <w:b/>
                      <w:bCs/>
                      <w:sz w:val="18"/>
                      <w:szCs w:val="18"/>
                    </w:rPr>
                  </w:pPr>
                </w:p>
              </w:tc>
            </w:tr>
          </w:tbl>
          <w:p w:rsidRPr="00FD1605" w:rsidR="00274420" w:rsidP="00274420" w:rsidRDefault="00AC215E" w14:paraId="4FBA3665" w14:textId="7E2D827F">
            <w:pPr>
              <w:spacing w:after="0" w:line="240" w:lineRule="auto"/>
              <w:contextualSpacing/>
              <w:rPr>
                <w:rFonts w:eastAsia="Times New Roman" w:cs="Calibri"/>
                <w:color w:val="000000"/>
                <w:szCs w:val="18"/>
                <w:lang w:val="nl-NL" w:eastAsia="nl-NL"/>
              </w:rPr>
            </w:pPr>
            <w:r w:rsidRPr="00FD1605">
              <w:rPr>
                <w:szCs w:val="18"/>
                <w:lang w:val="nl-NL"/>
              </w:rPr>
              <w:t xml:space="preserve"> </w:t>
            </w:r>
            <w:r w:rsidRPr="00FD1605" w:rsidR="0020576D">
              <w:rPr>
                <w:szCs w:val="18"/>
                <w:lang w:val="nl-NL"/>
              </w:rPr>
              <w:t xml:space="preserve">Zie een toelichting op </w:t>
            </w:r>
            <w:r w:rsidRPr="00FD1605" w:rsidR="00CF0A88">
              <w:rPr>
                <w:szCs w:val="18"/>
                <w:lang w:val="nl-NL"/>
              </w:rPr>
              <w:t>het verwachte budgettaire effect</w:t>
            </w:r>
            <w:r w:rsidRPr="00FD1605" w:rsidR="0020576D">
              <w:rPr>
                <w:szCs w:val="18"/>
                <w:lang w:val="nl-NL"/>
              </w:rPr>
              <w:t xml:space="preserve"> hieronder.</w:t>
            </w:r>
          </w:p>
        </w:tc>
      </w:tr>
      <w:tr w:rsidRPr="00FD1605" w:rsidR="00274420" w:rsidTr="00270DD5" w14:paraId="6C547EA9" w14:textId="77777777">
        <w:trPr>
          <w:trHeight w:val="315"/>
        </w:trPr>
        <w:tc>
          <w:tcPr>
            <w:tcW w:w="1844" w:type="dxa"/>
            <w:tcBorders>
              <w:top w:val="nil"/>
              <w:left w:val="single" w:color="auto" w:sz="8" w:space="0"/>
              <w:bottom w:val="single" w:color="auto" w:sz="8" w:space="0"/>
              <w:right w:val="nil"/>
            </w:tcBorders>
            <w:shd w:val="clear" w:color="auto" w:fill="auto"/>
            <w:noWrap/>
          </w:tcPr>
          <w:p w:rsidRPr="00704454" w:rsidR="00274420" w:rsidP="00274420" w:rsidRDefault="00274420" w14:paraId="7A9AAFFF" w14:textId="77777777">
            <w:pPr>
              <w:spacing w:after="0" w:line="240" w:lineRule="auto"/>
              <w:contextualSpacing/>
              <w:rPr>
                <w:rFonts w:eastAsia="Times New Roman" w:cs="Calibri"/>
                <w:color w:val="000000"/>
                <w:szCs w:val="18"/>
                <w:highlight w:val="yellow"/>
                <w:lang w:val="nl-NL" w:eastAsia="nl-NL"/>
              </w:rPr>
            </w:pPr>
            <w:r w:rsidRPr="00704454">
              <w:rPr>
                <w:rFonts w:eastAsia="Times New Roman" w:cs="Calibri"/>
                <w:b/>
                <w:bCs/>
                <w:color w:val="000000"/>
                <w:szCs w:val="18"/>
                <w:lang w:val="nl-NL" w:eastAsia="nl-NL"/>
              </w:rPr>
              <w:lastRenderedPageBreak/>
              <w:t>Toelichting raming</w:t>
            </w:r>
            <w:r w:rsidRPr="00704454">
              <w:rPr>
                <w:rFonts w:eastAsia="Times New Roman" w:cs="Calibri"/>
                <w:color w:val="000000"/>
                <w:szCs w:val="18"/>
                <w:highlight w:val="yellow"/>
                <w:lang w:val="nl-NL" w:eastAsia="nl-NL"/>
              </w:rPr>
              <w:t xml:space="preserve"> </w:t>
            </w:r>
          </w:p>
          <w:p w:rsidRPr="00704454" w:rsidR="00274420" w:rsidP="00274420" w:rsidRDefault="00274420" w14:paraId="1B5EB5D6" w14:textId="328E0C53">
            <w:pPr>
              <w:spacing w:after="0" w:line="240" w:lineRule="auto"/>
              <w:contextualSpacing/>
              <w:rPr>
                <w:rFonts w:eastAsia="Times New Roman" w:cs="Calibri"/>
                <w:b/>
                <w:bCs/>
                <w:color w:val="000000"/>
                <w:szCs w:val="18"/>
                <w:lang w:val="nl-NL" w:eastAsia="nl-NL"/>
              </w:rPr>
            </w:pPr>
          </w:p>
        </w:tc>
        <w:tc>
          <w:tcPr>
            <w:tcW w:w="8221" w:type="dxa"/>
            <w:tcBorders>
              <w:top w:val="single" w:color="auto" w:sz="4" w:space="0"/>
              <w:left w:val="single" w:color="auto" w:sz="4" w:space="0"/>
              <w:bottom w:val="single" w:color="auto" w:sz="8" w:space="0"/>
              <w:right w:val="single" w:color="auto" w:sz="4" w:space="0"/>
            </w:tcBorders>
            <w:shd w:val="clear" w:color="auto" w:fill="auto"/>
            <w:noWrap/>
          </w:tcPr>
          <w:p w:rsidRPr="00FD1605" w:rsidR="00274420" w:rsidP="00AC215E" w:rsidRDefault="00AC215E" w14:paraId="153D50E1" w14:textId="772CCE0F">
            <w:pPr>
              <w:spacing w:after="0" w:line="240" w:lineRule="auto"/>
              <w:contextualSpacing/>
              <w:rPr>
                <w:rFonts w:eastAsia="Times New Roman" w:cs="Calibri"/>
                <w:color w:val="000000"/>
                <w:szCs w:val="18"/>
                <w:lang w:val="nl-NL" w:eastAsia="nl-NL"/>
              </w:rPr>
            </w:pPr>
            <w:r w:rsidRPr="00FD1605">
              <w:rPr>
                <w:rFonts w:eastAsia="Times New Roman" w:cs="Calibri"/>
                <w:color w:val="000000"/>
                <w:szCs w:val="18"/>
                <w:lang w:val="nl-NL" w:eastAsia="nl-NL"/>
              </w:rPr>
              <w:t xml:space="preserve">Het individualiseren van de TW is een grote wijziging. Voorwaarden zoals een toets op gezinsinkomen en de aanwezigheid van jonge kinderen wordt losgelaten. </w:t>
            </w:r>
            <w:r w:rsidRPr="00FD1605" w:rsidR="0020576D">
              <w:rPr>
                <w:rFonts w:eastAsia="Times New Roman" w:cs="Calibri"/>
                <w:color w:val="000000"/>
                <w:szCs w:val="18"/>
                <w:lang w:val="nl-NL" w:eastAsia="nl-NL"/>
              </w:rPr>
              <w:t xml:space="preserve">Een ingrijpende wijziging brengt meer onzekerheid met zich mee voor de raming. De extra uitgaven worden geschat op </w:t>
            </w:r>
            <w:r w:rsidRPr="00FD1605" w:rsidR="0020576D">
              <w:rPr>
                <w:rFonts w:eastAsia="Times New Roman" w:cs="Calibri"/>
                <w:b/>
                <w:bCs/>
                <w:color w:val="000000"/>
                <w:szCs w:val="18"/>
                <w:lang w:val="nl-NL" w:eastAsia="nl-NL"/>
              </w:rPr>
              <w:t>ongeveer € 1</w:t>
            </w:r>
            <w:r w:rsidR="00EF5ECD">
              <w:rPr>
                <w:rFonts w:eastAsia="Times New Roman" w:cs="Calibri"/>
                <w:b/>
                <w:bCs/>
                <w:color w:val="000000"/>
                <w:szCs w:val="18"/>
                <w:lang w:val="nl-NL" w:eastAsia="nl-NL"/>
              </w:rPr>
              <w:t>,25</w:t>
            </w:r>
            <w:r w:rsidRPr="00FD1605" w:rsidR="0020576D">
              <w:rPr>
                <w:rFonts w:eastAsia="Times New Roman" w:cs="Calibri"/>
                <w:b/>
                <w:bCs/>
                <w:color w:val="000000"/>
                <w:szCs w:val="18"/>
                <w:lang w:val="nl-NL" w:eastAsia="nl-NL"/>
              </w:rPr>
              <w:t xml:space="preserve"> tot € 1,</w:t>
            </w:r>
            <w:r w:rsidR="00EF5ECD">
              <w:rPr>
                <w:rFonts w:eastAsia="Times New Roman" w:cs="Calibri"/>
                <w:b/>
                <w:bCs/>
                <w:color w:val="000000"/>
                <w:szCs w:val="18"/>
                <w:lang w:val="nl-NL" w:eastAsia="nl-NL"/>
              </w:rPr>
              <w:t>75</w:t>
            </w:r>
            <w:r w:rsidRPr="00FD1605" w:rsidR="0020576D">
              <w:rPr>
                <w:rFonts w:eastAsia="Times New Roman" w:cs="Calibri"/>
                <w:b/>
                <w:bCs/>
                <w:color w:val="000000"/>
                <w:szCs w:val="18"/>
                <w:lang w:val="nl-NL" w:eastAsia="nl-NL"/>
              </w:rPr>
              <w:t xml:space="preserve"> miljard per jaar</w:t>
            </w:r>
            <w:r w:rsidRPr="00FD1605" w:rsidR="0020576D">
              <w:rPr>
                <w:rFonts w:eastAsia="Times New Roman" w:cs="Calibri"/>
                <w:color w:val="000000"/>
                <w:szCs w:val="18"/>
                <w:lang w:val="nl-NL" w:eastAsia="nl-NL"/>
              </w:rPr>
              <w:t>. Dit is exclusief een effect op de uitvoeringskosten van UWV.</w:t>
            </w:r>
            <w:r w:rsidRPr="00FD1605" w:rsidR="00BF50A6">
              <w:rPr>
                <w:rFonts w:eastAsia="Times New Roman" w:cs="Calibri"/>
                <w:color w:val="000000"/>
                <w:szCs w:val="18"/>
                <w:lang w:val="nl-NL" w:eastAsia="nl-NL"/>
              </w:rPr>
              <w:t xml:space="preserve"> Die zouden in een uitvoeringstoets uitgezocht moeten worden.</w:t>
            </w:r>
          </w:p>
        </w:tc>
      </w:tr>
      <w:tr w:rsidRPr="00EB3835" w:rsidR="00274420" w:rsidTr="00270DD5" w14:paraId="62506543" w14:textId="77777777">
        <w:trPr>
          <w:trHeight w:val="315"/>
        </w:trPr>
        <w:tc>
          <w:tcPr>
            <w:tcW w:w="1844" w:type="dxa"/>
            <w:tcBorders>
              <w:top w:val="nil"/>
              <w:left w:val="single" w:color="auto" w:sz="8" w:space="0"/>
              <w:bottom w:val="single" w:color="auto" w:sz="8" w:space="0"/>
              <w:right w:val="nil"/>
            </w:tcBorders>
            <w:shd w:val="clear" w:color="auto" w:fill="auto"/>
            <w:noWrap/>
          </w:tcPr>
          <w:p w:rsidRPr="00704454" w:rsidR="00274420" w:rsidP="00274420" w:rsidRDefault="00274420" w14:paraId="008BF8B5" w14:textId="77777777">
            <w:pPr>
              <w:spacing w:after="0" w:line="240" w:lineRule="auto"/>
              <w:contextualSpacing/>
              <w:rPr>
                <w:rFonts w:eastAsia="Times New Roman" w:cs="Calibri"/>
                <w:b/>
                <w:bCs/>
                <w:color w:val="000000"/>
                <w:szCs w:val="18"/>
                <w:lang w:val="nl-NL" w:eastAsia="nl-NL"/>
              </w:rPr>
            </w:pPr>
            <w:r w:rsidRPr="00704454">
              <w:rPr>
                <w:rFonts w:eastAsia="Times New Roman" w:cs="Calibri"/>
                <w:b/>
                <w:bCs/>
                <w:color w:val="000000"/>
                <w:szCs w:val="18"/>
                <w:lang w:val="nl-NL" w:eastAsia="nl-NL"/>
              </w:rPr>
              <w:t>Inkomens-</w:t>
            </w:r>
          </w:p>
          <w:p w:rsidRPr="00704454" w:rsidR="00274420" w:rsidP="00274420" w:rsidRDefault="00274420" w14:paraId="14D0ED08" w14:textId="77777777">
            <w:pPr>
              <w:spacing w:after="0" w:line="240" w:lineRule="auto"/>
              <w:contextualSpacing/>
              <w:rPr>
                <w:rFonts w:eastAsia="Times New Roman" w:cs="Calibri"/>
                <w:b/>
                <w:bCs/>
                <w:color w:val="000000"/>
                <w:szCs w:val="18"/>
                <w:lang w:val="nl-NL" w:eastAsia="nl-NL"/>
              </w:rPr>
            </w:pPr>
            <w:r w:rsidRPr="00704454">
              <w:rPr>
                <w:rFonts w:eastAsia="Times New Roman" w:cs="Calibri"/>
                <w:b/>
                <w:bCs/>
                <w:color w:val="000000"/>
                <w:szCs w:val="18"/>
                <w:lang w:val="nl-NL" w:eastAsia="nl-NL"/>
              </w:rPr>
              <w:t>effecten</w:t>
            </w:r>
          </w:p>
        </w:tc>
        <w:tc>
          <w:tcPr>
            <w:tcW w:w="8221" w:type="dxa"/>
            <w:tcBorders>
              <w:top w:val="single" w:color="auto" w:sz="4" w:space="0"/>
              <w:left w:val="single" w:color="auto" w:sz="4" w:space="0"/>
              <w:bottom w:val="single" w:color="auto" w:sz="8" w:space="0"/>
              <w:right w:val="single" w:color="auto" w:sz="4" w:space="0"/>
            </w:tcBorders>
            <w:shd w:val="clear" w:color="auto" w:fill="auto"/>
            <w:noWrap/>
          </w:tcPr>
          <w:p w:rsidRPr="00FD1605" w:rsidR="00274420" w:rsidP="00274420" w:rsidRDefault="00274420" w14:paraId="6A26C613" w14:textId="31E049FF">
            <w:pPr>
              <w:contextualSpacing/>
              <w:rPr>
                <w:rFonts w:eastAsia="Times New Roman" w:cs="Calibri"/>
                <w:color w:val="000000"/>
                <w:szCs w:val="18"/>
                <w:lang w:val="nl-NL" w:eastAsia="nl-NL"/>
              </w:rPr>
            </w:pPr>
            <w:r w:rsidRPr="00FD1605">
              <w:rPr>
                <w:szCs w:val="18"/>
                <w:lang w:val="nl-NL"/>
              </w:rPr>
              <w:t>De gevolgen verschillen per situatie waarin de uitkeringsgerechtigde verkeer</w:t>
            </w:r>
            <w:r w:rsidRPr="00FD1605" w:rsidR="002C3B70">
              <w:rPr>
                <w:szCs w:val="18"/>
                <w:lang w:val="nl-NL"/>
              </w:rPr>
              <w:t>t</w:t>
            </w:r>
            <w:r w:rsidRPr="00FD1605">
              <w:rPr>
                <w:szCs w:val="18"/>
                <w:lang w:val="nl-NL"/>
              </w:rPr>
              <w:t xml:space="preserve"> en eventueel diens partner en inkomen. </w:t>
            </w:r>
            <w:r w:rsidRPr="00FD1605">
              <w:rPr>
                <w:rFonts w:eastAsia="Times New Roman" w:cs="Calibri"/>
                <w:color w:val="000000"/>
                <w:szCs w:val="18"/>
                <w:lang w:val="nl-NL" w:eastAsia="nl-NL"/>
              </w:rPr>
              <w:t>In onderstaand schema worden de gevolgen</w:t>
            </w:r>
            <w:r w:rsidR="001A3367">
              <w:rPr>
                <w:rFonts w:eastAsia="Times New Roman" w:cs="Calibri"/>
                <w:color w:val="000000"/>
                <w:szCs w:val="18"/>
                <w:lang w:val="nl-NL" w:eastAsia="nl-NL"/>
              </w:rPr>
              <w:t xml:space="preserve"> voor de TW-uitkering</w:t>
            </w:r>
            <w:r w:rsidRPr="00FD1605">
              <w:rPr>
                <w:rFonts w:eastAsia="Times New Roman" w:cs="Calibri"/>
                <w:color w:val="000000"/>
                <w:szCs w:val="18"/>
                <w:lang w:val="nl-NL" w:eastAsia="nl-NL"/>
              </w:rPr>
              <w:t xml:space="preserve"> per situatie in beeld gebracht.</w:t>
            </w:r>
            <w:r w:rsidR="001A3367">
              <w:rPr>
                <w:rFonts w:eastAsia="Times New Roman" w:cs="Calibri"/>
                <w:color w:val="000000"/>
                <w:szCs w:val="18"/>
                <w:lang w:val="nl-NL" w:eastAsia="nl-NL"/>
              </w:rPr>
              <w:t xml:space="preserve"> Hierbij dient opgemerkt te worden dat het individualiseren van de TW kan leiden</w:t>
            </w:r>
            <w:r w:rsidR="00B527E3">
              <w:rPr>
                <w:rFonts w:eastAsia="Times New Roman" w:cs="Calibri"/>
                <w:color w:val="000000"/>
                <w:szCs w:val="18"/>
                <w:lang w:val="nl-NL" w:eastAsia="nl-NL"/>
              </w:rPr>
              <w:t xml:space="preserve"> tot lagere toeslagen</w:t>
            </w:r>
            <w:r w:rsidR="001A3367">
              <w:rPr>
                <w:rFonts w:eastAsia="Times New Roman" w:cs="Calibri"/>
                <w:color w:val="000000"/>
                <w:szCs w:val="18"/>
                <w:lang w:val="nl-NL" w:eastAsia="nl-NL"/>
              </w:rPr>
              <w:t xml:space="preserve">, </w:t>
            </w:r>
            <w:r w:rsidR="00B527E3">
              <w:rPr>
                <w:rFonts w:eastAsia="Times New Roman" w:cs="Calibri"/>
                <w:color w:val="000000"/>
                <w:szCs w:val="18"/>
                <w:lang w:val="nl-NL" w:eastAsia="nl-NL"/>
              </w:rPr>
              <w:t>omdat toeslagen</w:t>
            </w:r>
            <w:r w:rsidR="001A3367">
              <w:rPr>
                <w:rFonts w:eastAsia="Times New Roman" w:cs="Calibri"/>
                <w:color w:val="000000"/>
                <w:szCs w:val="18"/>
                <w:lang w:val="nl-NL" w:eastAsia="nl-NL"/>
              </w:rPr>
              <w:t xml:space="preserve"> wel op huishoudensniveau worden vastgesteld.</w:t>
            </w:r>
          </w:p>
          <w:tbl>
            <w:tblPr>
              <w:tblStyle w:val="Tabelraster"/>
              <w:tblW w:w="0" w:type="auto"/>
              <w:tblInd w:w="0" w:type="dxa"/>
              <w:tblLook w:val="04A0" w:firstRow="1" w:lastRow="0" w:firstColumn="1" w:lastColumn="0" w:noHBand="0" w:noVBand="1"/>
            </w:tblPr>
            <w:tblGrid>
              <w:gridCol w:w="2737"/>
              <w:gridCol w:w="3402"/>
            </w:tblGrid>
            <w:tr w:rsidRPr="00EB3835" w:rsidR="00274420" w:rsidTr="00D50797" w14:paraId="7075FB91" w14:textId="77777777">
              <w:tc>
                <w:tcPr>
                  <w:tcW w:w="2737" w:type="dxa"/>
                  <w:tcBorders>
                    <w:top w:val="single" w:color="auto" w:sz="4" w:space="0"/>
                    <w:left w:val="single" w:color="auto" w:sz="4" w:space="0"/>
                    <w:bottom w:val="single" w:color="auto" w:sz="4" w:space="0"/>
                    <w:right w:val="single" w:color="auto" w:sz="4" w:space="0"/>
                  </w:tcBorders>
                  <w:hideMark/>
                </w:tcPr>
                <w:p w:rsidRPr="00FD1605" w:rsidR="00274420" w:rsidP="00274420" w:rsidRDefault="001A3367" w14:paraId="6C89ACC4" w14:textId="1563A644">
                  <w:pPr>
                    <w:contextualSpacing/>
                    <w:rPr>
                      <w:rFonts w:ascii="Verdana" w:hAnsi="Verdana"/>
                      <w:b/>
                      <w:bCs/>
                      <w:sz w:val="18"/>
                      <w:szCs w:val="18"/>
                    </w:rPr>
                  </w:pPr>
                  <w:r>
                    <w:rPr>
                      <w:rFonts w:ascii="Verdana" w:hAnsi="Verdana"/>
                      <w:b/>
                      <w:bCs/>
                      <w:sz w:val="18"/>
                      <w:szCs w:val="18"/>
                    </w:rPr>
                    <w:t>Uitkeringss</w:t>
                  </w:r>
                  <w:r w:rsidRPr="00FD1605" w:rsidR="00274420">
                    <w:rPr>
                      <w:rFonts w:ascii="Verdana" w:hAnsi="Verdana"/>
                      <w:b/>
                      <w:bCs/>
                      <w:sz w:val="18"/>
                      <w:szCs w:val="18"/>
                    </w:rPr>
                    <w:t>ituatie nu voor mensen met een basisuitkering</w:t>
                  </w:r>
                </w:p>
              </w:tc>
              <w:tc>
                <w:tcPr>
                  <w:tcW w:w="3402" w:type="dxa"/>
                  <w:tcBorders>
                    <w:top w:val="single" w:color="auto" w:sz="4" w:space="0"/>
                    <w:left w:val="single" w:color="auto" w:sz="4" w:space="0"/>
                    <w:bottom w:val="single" w:color="auto" w:sz="4" w:space="0"/>
                    <w:right w:val="single" w:color="auto" w:sz="4" w:space="0"/>
                  </w:tcBorders>
                  <w:hideMark/>
                </w:tcPr>
                <w:p w:rsidRPr="00FD1605" w:rsidR="00274420" w:rsidP="00274420" w:rsidRDefault="001A3367" w14:paraId="78B5C5E6" w14:textId="2AEE45D0">
                  <w:pPr>
                    <w:contextualSpacing/>
                    <w:rPr>
                      <w:rFonts w:ascii="Verdana" w:hAnsi="Verdana"/>
                      <w:b/>
                      <w:bCs/>
                      <w:sz w:val="18"/>
                      <w:szCs w:val="18"/>
                    </w:rPr>
                  </w:pPr>
                  <w:r>
                    <w:rPr>
                      <w:rFonts w:ascii="Verdana" w:hAnsi="Verdana"/>
                      <w:b/>
                      <w:bCs/>
                      <w:sz w:val="18"/>
                      <w:szCs w:val="18"/>
                    </w:rPr>
                    <w:t>Uitkeringssituatie bij</w:t>
                  </w:r>
                  <w:r w:rsidRPr="00FD1605">
                    <w:rPr>
                      <w:rFonts w:ascii="Verdana" w:hAnsi="Verdana"/>
                      <w:b/>
                      <w:bCs/>
                      <w:sz w:val="18"/>
                      <w:szCs w:val="18"/>
                    </w:rPr>
                    <w:t xml:space="preserve"> </w:t>
                  </w:r>
                  <w:r w:rsidRPr="00FD1605" w:rsidR="00274420">
                    <w:rPr>
                      <w:rFonts w:ascii="Verdana" w:hAnsi="Verdana"/>
                      <w:b/>
                      <w:bCs/>
                      <w:sz w:val="18"/>
                      <w:szCs w:val="18"/>
                    </w:rPr>
                    <w:t>iedereen norm van</w:t>
                  </w:r>
                  <w:r w:rsidRPr="00FD1605" w:rsidR="00274420">
                    <w:rPr>
                      <w:rFonts w:ascii="Verdana" w:hAnsi="Verdana"/>
                      <w:sz w:val="18"/>
                      <w:szCs w:val="18"/>
                    </w:rPr>
                    <w:t xml:space="preserve"> </w:t>
                  </w:r>
                  <w:r w:rsidRPr="00FD1605" w:rsidR="00274420">
                    <w:rPr>
                      <w:rFonts w:ascii="Verdana" w:hAnsi="Verdana"/>
                      <w:b/>
                      <w:bCs/>
                      <w:sz w:val="18"/>
                      <w:szCs w:val="18"/>
                    </w:rPr>
                    <w:t>70% TW</w:t>
                  </w:r>
                </w:p>
              </w:tc>
            </w:tr>
            <w:tr w:rsidRPr="00FD1605" w:rsidR="00274420" w:rsidTr="00D50797" w14:paraId="390B1D8A" w14:textId="77777777">
              <w:tc>
                <w:tcPr>
                  <w:tcW w:w="2737" w:type="dxa"/>
                  <w:tcBorders>
                    <w:top w:val="single" w:color="auto" w:sz="4" w:space="0"/>
                    <w:left w:val="single" w:color="auto" w:sz="4" w:space="0"/>
                    <w:bottom w:val="single" w:color="auto" w:sz="4" w:space="0"/>
                    <w:right w:val="single" w:color="auto" w:sz="4" w:space="0"/>
                  </w:tcBorders>
                </w:tcPr>
                <w:p w:rsidRPr="00FD1605" w:rsidR="00274420" w:rsidP="00274420" w:rsidRDefault="00274420" w14:paraId="7940E2FB" w14:textId="77777777">
                  <w:pPr>
                    <w:contextualSpacing/>
                    <w:rPr>
                      <w:rFonts w:ascii="Verdana" w:hAnsi="Verdana"/>
                      <w:sz w:val="18"/>
                      <w:szCs w:val="18"/>
                    </w:rPr>
                  </w:pPr>
                  <w:r w:rsidRPr="00FD1605">
                    <w:rPr>
                      <w:rFonts w:ascii="Verdana" w:hAnsi="Verdana"/>
                      <w:sz w:val="18"/>
                      <w:szCs w:val="18"/>
                    </w:rPr>
                    <w:t xml:space="preserve">Partner geboren na 1971 zonder inkomen (geen kinderen of &gt; 12 jaar), nu geen TW-aanvulling. </w:t>
                  </w:r>
                </w:p>
              </w:tc>
              <w:tc>
                <w:tcPr>
                  <w:tcW w:w="3402"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FD1605" w:rsidR="00274420" w:rsidP="00274420" w:rsidRDefault="00274420" w14:paraId="4950BA62" w14:textId="1144B550">
                  <w:pPr>
                    <w:contextualSpacing/>
                    <w:rPr>
                      <w:rFonts w:ascii="Verdana" w:hAnsi="Verdana"/>
                      <w:sz w:val="18"/>
                      <w:szCs w:val="18"/>
                    </w:rPr>
                  </w:pPr>
                  <w:r w:rsidRPr="00FD1605">
                    <w:rPr>
                      <w:rFonts w:ascii="Verdana" w:hAnsi="Verdana"/>
                      <w:sz w:val="18"/>
                      <w:szCs w:val="18"/>
                    </w:rPr>
                    <w:t xml:space="preserve">Stijging UWV-uitkering </w:t>
                  </w:r>
                  <w:r w:rsidRPr="00FD1605" w:rsidR="005A6913">
                    <w:rPr>
                      <w:rFonts w:ascii="Verdana" w:hAnsi="Verdana"/>
                      <w:sz w:val="18"/>
                      <w:szCs w:val="18"/>
                    </w:rPr>
                    <w:t xml:space="preserve">tot </w:t>
                  </w:r>
                  <w:r w:rsidRPr="00FD1605">
                    <w:rPr>
                      <w:rFonts w:ascii="Verdana" w:hAnsi="Verdana"/>
                      <w:sz w:val="18"/>
                      <w:szCs w:val="18"/>
                    </w:rPr>
                    <w:t>70% WML. *</w:t>
                  </w:r>
                </w:p>
              </w:tc>
            </w:tr>
            <w:tr w:rsidRPr="00EB3835" w:rsidR="00274420" w:rsidTr="00D50797" w14:paraId="6750D28F" w14:textId="77777777">
              <w:trPr>
                <w:trHeight w:val="548"/>
              </w:trPr>
              <w:tc>
                <w:tcPr>
                  <w:tcW w:w="2737" w:type="dxa"/>
                  <w:tcBorders>
                    <w:top w:val="single" w:color="auto" w:sz="4" w:space="0"/>
                    <w:left w:val="single" w:color="auto" w:sz="4" w:space="0"/>
                    <w:bottom w:val="single" w:color="auto" w:sz="4" w:space="0"/>
                    <w:right w:val="single" w:color="auto" w:sz="4" w:space="0"/>
                  </w:tcBorders>
                </w:tcPr>
                <w:p w:rsidRPr="00FD1605" w:rsidR="00274420" w:rsidP="00274420" w:rsidRDefault="00274420" w14:paraId="7A790C19" w14:textId="77777777">
                  <w:pPr>
                    <w:contextualSpacing/>
                    <w:rPr>
                      <w:rFonts w:ascii="Verdana" w:hAnsi="Verdana"/>
                      <w:sz w:val="18"/>
                      <w:szCs w:val="18"/>
                    </w:rPr>
                  </w:pPr>
                  <w:r w:rsidRPr="00FD1605">
                    <w:rPr>
                      <w:rFonts w:ascii="Verdana" w:hAnsi="Verdana"/>
                      <w:sz w:val="18"/>
                      <w:szCs w:val="18"/>
                    </w:rPr>
                    <w:t>Partner met uitkering en TW, nu 100% WML</w:t>
                  </w:r>
                  <w:r w:rsidRPr="00FD1605">
                    <w:rPr>
                      <w:rStyle w:val="Voetnootmarkering"/>
                      <w:rFonts w:ascii="Verdana" w:hAnsi="Verdana" w:eastAsiaTheme="majorEastAsia"/>
                      <w:sz w:val="18"/>
                      <w:szCs w:val="18"/>
                    </w:rPr>
                    <w:footnoteReference w:id="5"/>
                  </w:r>
                </w:p>
              </w:tc>
              <w:tc>
                <w:tcPr>
                  <w:tcW w:w="3402" w:type="dxa"/>
                  <w:tcBorders>
                    <w:top w:val="single" w:color="auto" w:sz="4" w:space="0"/>
                    <w:left w:val="single" w:color="auto" w:sz="4" w:space="0"/>
                    <w:bottom w:val="single" w:color="auto" w:sz="4" w:space="0"/>
                    <w:right w:val="single" w:color="auto" w:sz="4" w:space="0"/>
                  </w:tcBorders>
                  <w:shd w:val="clear" w:color="auto" w:fill="D9E2F3" w:themeFill="accent5" w:themeFillTint="33"/>
                </w:tcPr>
                <w:p w:rsidRPr="00FD1605" w:rsidR="00274420" w:rsidP="00274420" w:rsidRDefault="00274420" w14:paraId="10D21A8A" w14:textId="3C034646">
                  <w:pPr>
                    <w:contextualSpacing/>
                    <w:rPr>
                      <w:rFonts w:ascii="Verdana" w:hAnsi="Verdana"/>
                      <w:sz w:val="18"/>
                      <w:szCs w:val="18"/>
                    </w:rPr>
                  </w:pPr>
                  <w:r w:rsidRPr="00FD1605">
                    <w:rPr>
                      <w:rFonts w:ascii="Verdana" w:hAnsi="Verdana"/>
                      <w:sz w:val="18"/>
                      <w:szCs w:val="18"/>
                    </w:rPr>
                    <w:t xml:space="preserve">Stijging </w:t>
                  </w:r>
                  <w:r w:rsidR="001A3367">
                    <w:rPr>
                      <w:rFonts w:ascii="Verdana" w:hAnsi="Verdana"/>
                      <w:sz w:val="18"/>
                      <w:szCs w:val="18"/>
                    </w:rPr>
                    <w:t>uitkering</w:t>
                  </w:r>
                  <w:r w:rsidRPr="00FD1605" w:rsidR="001A3367">
                    <w:rPr>
                      <w:rFonts w:ascii="Verdana" w:hAnsi="Verdana"/>
                      <w:sz w:val="18"/>
                      <w:szCs w:val="18"/>
                    </w:rPr>
                    <w:t xml:space="preserve"> </w:t>
                  </w:r>
                  <w:r w:rsidRPr="00FD1605" w:rsidR="005A6913">
                    <w:rPr>
                      <w:rFonts w:ascii="Verdana" w:hAnsi="Verdana"/>
                      <w:sz w:val="18"/>
                      <w:szCs w:val="18"/>
                    </w:rPr>
                    <w:t xml:space="preserve">tot </w:t>
                  </w:r>
                  <w:r w:rsidR="001A3367">
                    <w:rPr>
                      <w:rFonts w:ascii="Verdana" w:hAnsi="Verdana"/>
                      <w:sz w:val="18"/>
                      <w:szCs w:val="18"/>
                    </w:rPr>
                    <w:t>1</w:t>
                  </w:r>
                  <w:r w:rsidRPr="00FD1605">
                    <w:rPr>
                      <w:rFonts w:ascii="Verdana" w:hAnsi="Verdana"/>
                      <w:sz w:val="18"/>
                      <w:szCs w:val="18"/>
                    </w:rPr>
                    <w:t>40%</w:t>
                  </w:r>
                  <w:r w:rsidR="001A3367">
                    <w:rPr>
                      <w:rFonts w:ascii="Verdana" w:hAnsi="Verdana"/>
                      <w:sz w:val="18"/>
                      <w:szCs w:val="18"/>
                    </w:rPr>
                    <w:t xml:space="preserve"> WML</w:t>
                  </w:r>
                  <w:r w:rsidRPr="00FD1605">
                    <w:rPr>
                      <w:rFonts w:ascii="Verdana" w:hAnsi="Verdana"/>
                      <w:sz w:val="18"/>
                      <w:szCs w:val="18"/>
                    </w:rPr>
                    <w:t xml:space="preserve">, </w:t>
                  </w:r>
                  <w:r w:rsidR="00512E82">
                    <w:rPr>
                      <w:rFonts w:ascii="Verdana" w:hAnsi="Verdana"/>
                      <w:sz w:val="18"/>
                      <w:szCs w:val="18"/>
                    </w:rPr>
                    <w:t>(</w:t>
                  </w:r>
                  <w:r w:rsidRPr="00FD1605">
                    <w:rPr>
                      <w:rFonts w:ascii="Verdana" w:hAnsi="Verdana"/>
                      <w:sz w:val="18"/>
                      <w:szCs w:val="18"/>
                    </w:rPr>
                    <w:t xml:space="preserve">beiden </w:t>
                  </w:r>
                  <w:r w:rsidRPr="00FD1605" w:rsidR="005A6913">
                    <w:rPr>
                      <w:rFonts w:ascii="Verdana" w:hAnsi="Verdana"/>
                      <w:sz w:val="18"/>
                      <w:szCs w:val="18"/>
                    </w:rPr>
                    <w:t xml:space="preserve">tot </w:t>
                  </w:r>
                  <w:r w:rsidRPr="00FD1605">
                    <w:rPr>
                      <w:rFonts w:ascii="Verdana" w:hAnsi="Verdana"/>
                      <w:sz w:val="18"/>
                      <w:szCs w:val="18"/>
                    </w:rPr>
                    <w:t>70%</w:t>
                  </w:r>
                  <w:r w:rsidR="00512E82">
                    <w:rPr>
                      <w:rFonts w:ascii="Verdana" w:hAnsi="Verdana"/>
                      <w:sz w:val="18"/>
                      <w:szCs w:val="18"/>
                    </w:rPr>
                    <w:t xml:space="preserve"> WML)</w:t>
                  </w:r>
                </w:p>
              </w:tc>
            </w:tr>
            <w:tr w:rsidRPr="00EB3835" w:rsidR="00274420" w:rsidTr="00D50797" w14:paraId="0B7ADAD0" w14:textId="77777777">
              <w:tc>
                <w:tcPr>
                  <w:tcW w:w="2737" w:type="dxa"/>
                  <w:tcBorders>
                    <w:top w:val="single" w:color="auto" w:sz="4" w:space="0"/>
                    <w:left w:val="single" w:color="auto" w:sz="4" w:space="0"/>
                    <w:bottom w:val="single" w:color="auto" w:sz="4" w:space="0"/>
                    <w:right w:val="single" w:color="auto" w:sz="4" w:space="0"/>
                  </w:tcBorders>
                  <w:hideMark/>
                </w:tcPr>
                <w:p w:rsidRPr="00FD1605" w:rsidR="00274420" w:rsidP="00274420" w:rsidRDefault="00B93782" w14:paraId="22AA9B28" w14:textId="720E7E51">
                  <w:pPr>
                    <w:contextualSpacing/>
                    <w:rPr>
                      <w:rFonts w:ascii="Verdana" w:hAnsi="Verdana"/>
                      <w:sz w:val="18"/>
                      <w:szCs w:val="18"/>
                    </w:rPr>
                  </w:pPr>
                  <w:r w:rsidRPr="00FD1605">
                    <w:rPr>
                      <w:rFonts w:ascii="Verdana" w:hAnsi="Verdana"/>
                      <w:sz w:val="18"/>
                      <w:szCs w:val="18"/>
                    </w:rPr>
                    <w:t>P</w:t>
                  </w:r>
                  <w:r w:rsidRPr="00FD1605" w:rsidR="00274420">
                    <w:rPr>
                      <w:rFonts w:ascii="Verdana" w:hAnsi="Verdana"/>
                      <w:sz w:val="18"/>
                      <w:szCs w:val="18"/>
                    </w:rPr>
                    <w:t>artner zonder inkomen, nu 100% WML</w:t>
                  </w:r>
                </w:p>
              </w:tc>
              <w:tc>
                <w:tcPr>
                  <w:tcW w:w="3402" w:type="dxa"/>
                  <w:tcBorders>
                    <w:top w:val="single" w:color="auto" w:sz="4" w:space="0"/>
                    <w:left w:val="single" w:color="auto" w:sz="4" w:space="0"/>
                    <w:bottom w:val="single" w:color="auto" w:sz="4" w:space="0"/>
                    <w:right w:val="single" w:color="auto" w:sz="4" w:space="0"/>
                  </w:tcBorders>
                  <w:shd w:val="clear" w:color="auto" w:fill="FBE4D5" w:themeFill="accent2" w:themeFillTint="33"/>
                  <w:hideMark/>
                </w:tcPr>
                <w:p w:rsidRPr="00FD1605" w:rsidR="00274420" w:rsidP="00274420" w:rsidRDefault="00274420" w14:paraId="060F13E5" w14:textId="048376C2">
                  <w:pPr>
                    <w:contextualSpacing/>
                    <w:rPr>
                      <w:rFonts w:ascii="Verdana" w:hAnsi="Verdana"/>
                      <w:sz w:val="18"/>
                      <w:szCs w:val="18"/>
                    </w:rPr>
                  </w:pPr>
                  <w:r w:rsidRPr="00FD1605">
                    <w:rPr>
                      <w:rFonts w:ascii="Verdana" w:hAnsi="Verdana"/>
                      <w:sz w:val="18"/>
                      <w:szCs w:val="18"/>
                    </w:rPr>
                    <w:t xml:space="preserve">Daling </w:t>
                  </w:r>
                  <w:r w:rsidR="001A3367">
                    <w:rPr>
                      <w:rFonts w:ascii="Verdana" w:hAnsi="Verdana"/>
                      <w:sz w:val="18"/>
                      <w:szCs w:val="18"/>
                    </w:rPr>
                    <w:t>uitkering</w:t>
                  </w:r>
                  <w:r w:rsidRPr="00FD1605" w:rsidR="001A3367">
                    <w:rPr>
                      <w:rFonts w:ascii="Verdana" w:hAnsi="Verdana"/>
                      <w:sz w:val="18"/>
                      <w:szCs w:val="18"/>
                    </w:rPr>
                    <w:t xml:space="preserve"> </w:t>
                  </w:r>
                  <w:r w:rsidRPr="00FD1605" w:rsidR="005A6913">
                    <w:rPr>
                      <w:rFonts w:ascii="Verdana" w:hAnsi="Verdana"/>
                      <w:sz w:val="18"/>
                      <w:szCs w:val="18"/>
                    </w:rPr>
                    <w:t xml:space="preserve">tot </w:t>
                  </w:r>
                  <w:r w:rsidR="00170E98">
                    <w:rPr>
                      <w:rFonts w:ascii="Verdana" w:hAnsi="Verdana"/>
                      <w:sz w:val="18"/>
                      <w:szCs w:val="18"/>
                    </w:rPr>
                    <w:t>70</w:t>
                  </w:r>
                  <w:r w:rsidRPr="00FD1605">
                    <w:rPr>
                      <w:rFonts w:ascii="Verdana" w:hAnsi="Verdana"/>
                      <w:sz w:val="18"/>
                      <w:szCs w:val="18"/>
                    </w:rPr>
                    <w:t>%</w:t>
                  </w:r>
                  <w:r w:rsidR="00170E98">
                    <w:rPr>
                      <w:rFonts w:ascii="Verdana" w:hAnsi="Verdana"/>
                      <w:sz w:val="18"/>
                      <w:szCs w:val="18"/>
                    </w:rPr>
                    <w:t xml:space="preserve"> WML</w:t>
                  </w:r>
                  <w:r w:rsidRPr="00FD1605">
                    <w:rPr>
                      <w:rFonts w:ascii="Verdana" w:hAnsi="Verdana"/>
                      <w:sz w:val="18"/>
                      <w:szCs w:val="18"/>
                    </w:rPr>
                    <w:t>*</w:t>
                  </w:r>
                </w:p>
              </w:tc>
            </w:tr>
            <w:tr w:rsidRPr="00EB3835" w:rsidR="00274420" w:rsidTr="00D50797" w14:paraId="738FF051" w14:textId="77777777">
              <w:tc>
                <w:tcPr>
                  <w:tcW w:w="2737" w:type="dxa"/>
                  <w:tcBorders>
                    <w:top w:val="single" w:color="auto" w:sz="4" w:space="0"/>
                    <w:left w:val="single" w:color="auto" w:sz="4" w:space="0"/>
                    <w:bottom w:val="single" w:color="auto" w:sz="4" w:space="0"/>
                    <w:right w:val="single" w:color="auto" w:sz="4" w:space="0"/>
                  </w:tcBorders>
                  <w:hideMark/>
                </w:tcPr>
                <w:p w:rsidRPr="00FD1605" w:rsidR="00274420" w:rsidP="00274420" w:rsidRDefault="00274420" w14:paraId="03290DE5" w14:textId="77777777">
                  <w:pPr>
                    <w:contextualSpacing/>
                    <w:rPr>
                      <w:rFonts w:ascii="Verdana" w:hAnsi="Verdana"/>
                      <w:sz w:val="18"/>
                      <w:szCs w:val="18"/>
                    </w:rPr>
                  </w:pPr>
                  <w:r w:rsidRPr="00FD1605">
                    <w:rPr>
                      <w:rFonts w:ascii="Verdana" w:hAnsi="Verdana"/>
                      <w:sz w:val="18"/>
                      <w:szCs w:val="18"/>
                    </w:rPr>
                    <w:t>Alleenstaanden, nu 70% WML</w:t>
                  </w:r>
                </w:p>
              </w:tc>
              <w:tc>
                <w:tcPr>
                  <w:tcW w:w="3402" w:type="dxa"/>
                  <w:tcBorders>
                    <w:top w:val="single" w:color="auto" w:sz="4" w:space="0"/>
                    <w:left w:val="single" w:color="auto" w:sz="4" w:space="0"/>
                    <w:bottom w:val="single" w:color="auto" w:sz="4" w:space="0"/>
                    <w:right w:val="single" w:color="auto" w:sz="4" w:space="0"/>
                  </w:tcBorders>
                  <w:shd w:val="clear" w:color="auto" w:fill="E2EFD9" w:themeFill="accent6" w:themeFillTint="33"/>
                  <w:hideMark/>
                </w:tcPr>
                <w:p w:rsidRPr="00FD1605" w:rsidR="00274420" w:rsidP="00274420" w:rsidRDefault="00274420" w14:paraId="5906C3BC" w14:textId="77777777">
                  <w:pPr>
                    <w:contextualSpacing/>
                    <w:rPr>
                      <w:rFonts w:ascii="Verdana" w:hAnsi="Verdana"/>
                      <w:sz w:val="18"/>
                      <w:szCs w:val="18"/>
                    </w:rPr>
                  </w:pPr>
                  <w:r w:rsidRPr="00FD1605">
                    <w:rPr>
                      <w:rFonts w:ascii="Verdana" w:hAnsi="Verdana"/>
                      <w:sz w:val="18"/>
                      <w:szCs w:val="18"/>
                    </w:rPr>
                    <w:t>Geen wijziging</w:t>
                  </w:r>
                </w:p>
              </w:tc>
            </w:tr>
            <w:tr w:rsidRPr="00EB3835" w:rsidR="00274420" w:rsidTr="00D50797" w14:paraId="6F5CF592" w14:textId="77777777">
              <w:tc>
                <w:tcPr>
                  <w:tcW w:w="2737" w:type="dxa"/>
                  <w:tcBorders>
                    <w:top w:val="single" w:color="auto" w:sz="4" w:space="0"/>
                    <w:left w:val="single" w:color="auto" w:sz="4" w:space="0"/>
                    <w:bottom w:val="single" w:color="auto" w:sz="4" w:space="0"/>
                    <w:right w:val="single" w:color="auto" w:sz="4" w:space="0"/>
                  </w:tcBorders>
                  <w:hideMark/>
                </w:tcPr>
                <w:p w:rsidRPr="00FD1605" w:rsidR="00274420" w:rsidP="00274420" w:rsidRDefault="00274420" w14:paraId="74034F48" w14:textId="77777777">
                  <w:pPr>
                    <w:contextualSpacing/>
                    <w:rPr>
                      <w:rFonts w:ascii="Verdana" w:hAnsi="Verdana"/>
                      <w:sz w:val="18"/>
                      <w:szCs w:val="18"/>
                    </w:rPr>
                  </w:pPr>
                  <w:r w:rsidRPr="00FD1605">
                    <w:rPr>
                      <w:rFonts w:ascii="Verdana" w:hAnsi="Verdana"/>
                      <w:sz w:val="18"/>
                      <w:szCs w:val="18"/>
                    </w:rPr>
                    <w:t>Kostendeler, nu 50% WML</w:t>
                  </w:r>
                </w:p>
              </w:tc>
              <w:tc>
                <w:tcPr>
                  <w:tcW w:w="3402" w:type="dxa"/>
                  <w:tcBorders>
                    <w:top w:val="single" w:color="auto" w:sz="4" w:space="0"/>
                    <w:left w:val="single" w:color="auto" w:sz="4" w:space="0"/>
                    <w:bottom w:val="single" w:color="auto" w:sz="4" w:space="0"/>
                    <w:right w:val="single" w:color="auto" w:sz="4" w:space="0"/>
                  </w:tcBorders>
                  <w:shd w:val="clear" w:color="auto" w:fill="D9E2F3" w:themeFill="accent5" w:themeFillTint="33"/>
                  <w:hideMark/>
                </w:tcPr>
                <w:p w:rsidRPr="00FD1605" w:rsidR="00274420" w:rsidP="00274420" w:rsidRDefault="00274420" w14:paraId="3E0560BD" w14:textId="426FB004">
                  <w:pPr>
                    <w:contextualSpacing/>
                    <w:rPr>
                      <w:rFonts w:ascii="Verdana" w:hAnsi="Verdana"/>
                      <w:sz w:val="18"/>
                      <w:szCs w:val="18"/>
                    </w:rPr>
                  </w:pPr>
                  <w:r w:rsidRPr="00FD1605">
                    <w:rPr>
                      <w:rFonts w:ascii="Verdana" w:hAnsi="Verdana"/>
                      <w:sz w:val="18"/>
                      <w:szCs w:val="18"/>
                    </w:rPr>
                    <w:t xml:space="preserve">Stijging </w:t>
                  </w:r>
                  <w:r w:rsidR="001A3367">
                    <w:rPr>
                      <w:rFonts w:ascii="Verdana" w:hAnsi="Verdana"/>
                      <w:sz w:val="18"/>
                      <w:szCs w:val="18"/>
                    </w:rPr>
                    <w:t>uitkering</w:t>
                  </w:r>
                  <w:r w:rsidRPr="00FD1605" w:rsidR="001A3367">
                    <w:rPr>
                      <w:rFonts w:ascii="Verdana" w:hAnsi="Verdana"/>
                      <w:sz w:val="18"/>
                      <w:szCs w:val="18"/>
                    </w:rPr>
                    <w:t xml:space="preserve"> </w:t>
                  </w:r>
                  <w:r w:rsidRPr="00FD1605" w:rsidR="005A6913">
                    <w:rPr>
                      <w:rFonts w:ascii="Verdana" w:hAnsi="Verdana"/>
                      <w:sz w:val="18"/>
                      <w:szCs w:val="18"/>
                    </w:rPr>
                    <w:t>tot</w:t>
                  </w:r>
                  <w:r w:rsidRPr="00FD1605">
                    <w:rPr>
                      <w:rFonts w:ascii="Verdana" w:hAnsi="Verdana"/>
                      <w:sz w:val="18"/>
                      <w:szCs w:val="18"/>
                    </w:rPr>
                    <w:t xml:space="preserve"> </w:t>
                  </w:r>
                  <w:r w:rsidR="00170E98">
                    <w:rPr>
                      <w:rFonts w:ascii="Verdana" w:hAnsi="Verdana"/>
                      <w:sz w:val="18"/>
                      <w:szCs w:val="18"/>
                    </w:rPr>
                    <w:t>70</w:t>
                  </w:r>
                  <w:r w:rsidRPr="00FD1605">
                    <w:rPr>
                      <w:rFonts w:ascii="Verdana" w:hAnsi="Verdana"/>
                      <w:sz w:val="18"/>
                      <w:szCs w:val="18"/>
                    </w:rPr>
                    <w:t>% WML</w:t>
                  </w:r>
                </w:p>
              </w:tc>
            </w:tr>
            <w:tr w:rsidRPr="00EB3835" w:rsidR="00274420" w:rsidTr="00D50797" w14:paraId="7B734AD4" w14:textId="77777777">
              <w:tc>
                <w:tcPr>
                  <w:tcW w:w="6139" w:type="dxa"/>
                  <w:gridSpan w:val="2"/>
                  <w:tcBorders>
                    <w:top w:val="single" w:color="auto" w:sz="4" w:space="0"/>
                    <w:left w:val="single" w:color="auto" w:sz="4" w:space="0"/>
                    <w:bottom w:val="single" w:color="auto" w:sz="4" w:space="0"/>
                    <w:right w:val="single" w:color="auto" w:sz="4" w:space="0"/>
                  </w:tcBorders>
                  <w:shd w:val="clear" w:color="auto" w:fill="auto"/>
                </w:tcPr>
                <w:p w:rsidRPr="00FD1605" w:rsidR="00274420" w:rsidP="00274420" w:rsidRDefault="00274420" w14:paraId="5C45C3BF" w14:textId="77777777">
                  <w:pPr>
                    <w:contextualSpacing/>
                    <w:rPr>
                      <w:rFonts w:ascii="Verdana" w:hAnsi="Verdana"/>
                      <w:sz w:val="18"/>
                      <w:szCs w:val="18"/>
                    </w:rPr>
                  </w:pPr>
                </w:p>
              </w:tc>
            </w:tr>
          </w:tbl>
          <w:p w:rsidRPr="00FD1605" w:rsidR="00274420" w:rsidP="00274420" w:rsidRDefault="00274420" w14:paraId="110A9C0F" w14:textId="35F1CCE5">
            <w:pPr>
              <w:pBdr>
                <w:top w:val="single" w:color="auto" w:sz="4" w:space="1"/>
                <w:left w:val="single" w:color="auto" w:sz="4" w:space="4"/>
                <w:bottom w:val="single" w:color="auto" w:sz="4" w:space="1"/>
                <w:right w:val="single" w:color="auto" w:sz="4" w:space="4"/>
              </w:pBdr>
              <w:contextualSpacing/>
              <w:rPr>
                <w:lang w:val="nl-NL"/>
              </w:rPr>
            </w:pPr>
            <w:r w:rsidRPr="00FD1605">
              <w:rPr>
                <w:szCs w:val="18"/>
                <w:lang w:val="nl-NL"/>
              </w:rPr>
              <w:t>*Mogelijk is er (al) recht op (aanvullend</w:t>
            </w:r>
            <w:r w:rsidRPr="00FD1605" w:rsidR="002C3B70">
              <w:rPr>
                <w:szCs w:val="18"/>
                <w:lang w:val="nl-NL"/>
              </w:rPr>
              <w:t>e</w:t>
            </w:r>
            <w:r w:rsidRPr="00FD1605">
              <w:rPr>
                <w:szCs w:val="18"/>
                <w:lang w:val="nl-NL"/>
              </w:rPr>
              <w:t xml:space="preserve">) bijstand. De toegangseisen en regels van de bijstand verschillen met die van de Toeslagenwet. Zo geldt een vermogenstoets en is het inkomen van de </w:t>
            </w:r>
            <w:r w:rsidRPr="00FD1605">
              <w:rPr>
                <w:rFonts w:eastAsia="DejaVu Sans" w:cs="Calibri Light"/>
                <w:color w:val="000000"/>
                <w:szCs w:val="18"/>
                <w:lang w:val="nl-NL"/>
              </w:rPr>
              <w:t>partners medebepalend voor het recht op bijstand</w:t>
            </w:r>
            <w:r w:rsidRPr="00FD1605" w:rsidR="00010AF2">
              <w:rPr>
                <w:rFonts w:eastAsia="DejaVu Sans" w:cs="Calibri Light"/>
                <w:color w:val="000000"/>
                <w:szCs w:val="18"/>
                <w:lang w:val="nl-NL"/>
              </w:rPr>
              <w:t>. Voor de TW geldt geen vermogenstoets</w:t>
            </w:r>
            <w:r w:rsidRPr="00FD1605" w:rsidR="00605693">
              <w:rPr>
                <w:rFonts w:eastAsia="DejaVu Sans" w:cs="Calibri Light"/>
                <w:color w:val="000000"/>
                <w:szCs w:val="18"/>
                <w:lang w:val="nl-NL"/>
              </w:rPr>
              <w:t xml:space="preserve"> en</w:t>
            </w:r>
            <w:r w:rsidRPr="00FD1605" w:rsidR="00010AF2">
              <w:rPr>
                <w:rFonts w:eastAsia="DejaVu Sans" w:cs="Calibri Light"/>
                <w:color w:val="000000"/>
                <w:szCs w:val="18"/>
                <w:lang w:val="nl-NL"/>
              </w:rPr>
              <w:t xml:space="preserve"> is het inkomen van de partner</w:t>
            </w:r>
            <w:r w:rsidRPr="00FD1605" w:rsidR="00605693">
              <w:rPr>
                <w:rFonts w:eastAsia="DejaVu Sans" w:cs="Calibri Light"/>
                <w:color w:val="000000"/>
                <w:szCs w:val="18"/>
                <w:lang w:val="nl-NL"/>
              </w:rPr>
              <w:t xml:space="preserve"> met deze maatregel niet meer</w:t>
            </w:r>
            <w:r w:rsidRPr="00FD1605" w:rsidR="00010AF2">
              <w:rPr>
                <w:rFonts w:eastAsia="DejaVu Sans" w:cs="Calibri Light"/>
                <w:color w:val="000000"/>
                <w:szCs w:val="18"/>
                <w:lang w:val="nl-NL"/>
              </w:rPr>
              <w:t xml:space="preserve"> medebepalend</w:t>
            </w:r>
            <w:r w:rsidRPr="00FD1605">
              <w:rPr>
                <w:rFonts w:eastAsia="DejaVu Sans" w:cs="Calibri Light"/>
                <w:color w:val="000000"/>
                <w:szCs w:val="18"/>
                <w:lang w:val="nl-NL"/>
              </w:rPr>
              <w:t xml:space="preserve">. </w:t>
            </w:r>
          </w:p>
          <w:p w:rsidRPr="00FD1605" w:rsidR="00274420" w:rsidP="00274420" w:rsidRDefault="00274420" w14:paraId="40784DE0" w14:textId="1EC3B363">
            <w:pPr>
              <w:contextualSpacing/>
              <w:rPr>
                <w:rFonts w:eastAsia="Times New Roman" w:cs="Calibri"/>
                <w:color w:val="000000"/>
                <w:szCs w:val="18"/>
                <w:lang w:val="nl-NL" w:eastAsia="nl-NL"/>
              </w:rPr>
            </w:pPr>
            <w:r w:rsidRPr="00FD1605">
              <w:rPr>
                <w:rFonts w:eastAsia="DejaVu Sans" w:cs="Calibri Light"/>
                <w:color w:val="000000"/>
                <w:szCs w:val="18"/>
                <w:lang w:val="nl-NL"/>
              </w:rPr>
              <w:t>Wanneer iemand na invoering van de maatregel eenmaal aanspraak op een aanvullende toeslag heeft, behoud</w:t>
            </w:r>
            <w:r w:rsidRPr="00FD1605" w:rsidR="00B63980">
              <w:rPr>
                <w:rFonts w:eastAsia="DejaVu Sans" w:cs="Calibri Light"/>
                <w:color w:val="000000"/>
                <w:szCs w:val="18"/>
                <w:lang w:val="nl-NL"/>
              </w:rPr>
              <w:t>t</w:t>
            </w:r>
            <w:r w:rsidRPr="00FD1605">
              <w:rPr>
                <w:rFonts w:eastAsia="DejaVu Sans" w:cs="Calibri Light"/>
                <w:color w:val="000000"/>
                <w:szCs w:val="18"/>
                <w:lang w:val="nl-NL"/>
              </w:rPr>
              <w:t xml:space="preserve"> </w:t>
            </w:r>
            <w:r w:rsidR="004375A1">
              <w:rPr>
                <w:rFonts w:eastAsia="DejaVu Sans" w:cs="Calibri Light"/>
                <w:color w:val="000000"/>
                <w:szCs w:val="18"/>
                <w:lang w:val="nl-NL"/>
              </w:rPr>
              <w:t>deze persoon</w:t>
            </w:r>
            <w:r w:rsidRPr="00FD1605" w:rsidR="002C3B70">
              <w:rPr>
                <w:rFonts w:eastAsia="DejaVu Sans" w:cs="Calibri Light"/>
                <w:color w:val="000000"/>
                <w:szCs w:val="18"/>
                <w:lang w:val="nl-NL"/>
              </w:rPr>
              <w:t xml:space="preserve"> </w:t>
            </w:r>
            <w:r w:rsidRPr="00FD1605">
              <w:rPr>
                <w:rFonts w:eastAsia="DejaVu Sans" w:cs="Calibri Light"/>
                <w:color w:val="000000"/>
                <w:szCs w:val="18"/>
                <w:lang w:val="nl-NL"/>
              </w:rPr>
              <w:t>de</w:t>
            </w:r>
            <w:r w:rsidR="004375A1">
              <w:rPr>
                <w:rFonts w:eastAsia="DejaVu Sans" w:cs="Calibri Light"/>
                <w:color w:val="000000"/>
                <w:szCs w:val="18"/>
                <w:lang w:val="nl-NL"/>
              </w:rPr>
              <w:t xml:space="preserve"> aanvulling</w:t>
            </w:r>
            <w:r w:rsidRPr="00FD1605">
              <w:rPr>
                <w:rFonts w:eastAsia="DejaVu Sans" w:cs="Calibri Light"/>
                <w:color w:val="000000"/>
                <w:szCs w:val="18"/>
                <w:lang w:val="nl-NL"/>
              </w:rPr>
              <w:t xml:space="preserve"> ook langer</w:t>
            </w:r>
            <w:r w:rsidRPr="00FD1605" w:rsidR="00B63980">
              <w:rPr>
                <w:rFonts w:eastAsia="DejaVu Sans" w:cs="Calibri Light"/>
                <w:color w:val="000000"/>
                <w:szCs w:val="18"/>
                <w:lang w:val="nl-NL"/>
              </w:rPr>
              <w:t>,</w:t>
            </w:r>
            <w:r w:rsidRPr="00FD1605">
              <w:rPr>
                <w:rFonts w:eastAsia="DejaVu Sans" w:cs="Calibri Light"/>
                <w:color w:val="000000"/>
                <w:szCs w:val="18"/>
                <w:lang w:val="nl-NL"/>
              </w:rPr>
              <w:t xml:space="preserve"> omdat de (financiële) omstandigheden van de partner of de leefsituatie niet langer meetellen. Mensen krijgen hierdoor mogelijk meer financiële zelfstandigheid, zijn zelfredzamer en minder afhankelijk van een partner om in de eigen basisvoorzieningen te voordien.</w:t>
            </w:r>
            <w:r w:rsidRPr="00FD1605">
              <w:rPr>
                <w:rFonts w:eastAsia="Times New Roman" w:cs="Calibri"/>
                <w:color w:val="000000"/>
                <w:szCs w:val="18"/>
                <w:lang w:val="nl-NL" w:eastAsia="nl-NL"/>
              </w:rPr>
              <w:t xml:space="preserve"> Ook eventuele belemmering om samen te wonen kunnen worden opgeheven, wat positieve effecten kan hebben voor de huisvesting.</w:t>
            </w:r>
            <w:r w:rsidR="000A4715">
              <w:rPr>
                <w:rFonts w:eastAsia="Times New Roman" w:cs="Calibri"/>
                <w:color w:val="000000"/>
                <w:szCs w:val="18"/>
                <w:lang w:val="nl-NL" w:eastAsia="nl-NL"/>
              </w:rPr>
              <w:t xml:space="preserve"> Wel geldt dat de hogere TW-uitkering kan leiden tot lagere toeslagen, wat deze effecten deels weer teniet doen.</w:t>
            </w:r>
          </w:p>
        </w:tc>
      </w:tr>
      <w:tr w:rsidRPr="00EB3835" w:rsidR="00274420" w:rsidTr="00270DD5" w14:paraId="36D1E3A7" w14:textId="77777777">
        <w:trPr>
          <w:trHeight w:val="315"/>
        </w:trPr>
        <w:tc>
          <w:tcPr>
            <w:tcW w:w="1844" w:type="dxa"/>
            <w:tcBorders>
              <w:top w:val="nil"/>
              <w:left w:val="single" w:color="auto" w:sz="8" w:space="0"/>
              <w:bottom w:val="single" w:color="auto" w:sz="8" w:space="0"/>
              <w:right w:val="nil"/>
            </w:tcBorders>
            <w:shd w:val="clear" w:color="auto" w:fill="auto"/>
            <w:noWrap/>
          </w:tcPr>
          <w:p w:rsidRPr="00704454" w:rsidR="00274420" w:rsidP="00274420" w:rsidRDefault="00274420" w14:paraId="4149A1D8" w14:textId="3B905622">
            <w:pPr>
              <w:spacing w:after="0" w:line="240" w:lineRule="auto"/>
              <w:contextualSpacing/>
              <w:rPr>
                <w:rFonts w:eastAsia="Times New Roman" w:cs="Calibri"/>
                <w:b/>
                <w:bCs/>
                <w:color w:val="000000"/>
                <w:szCs w:val="18"/>
                <w:lang w:val="nl-NL" w:eastAsia="nl-NL"/>
              </w:rPr>
            </w:pPr>
            <w:r w:rsidRPr="00704454">
              <w:rPr>
                <w:rFonts w:eastAsia="Times New Roman" w:cs="Calibri"/>
                <w:b/>
                <w:bCs/>
                <w:color w:val="000000"/>
                <w:szCs w:val="18"/>
                <w:lang w:val="nl-NL" w:eastAsia="nl-NL"/>
              </w:rPr>
              <w:t>Arbeidsmarkt</w:t>
            </w:r>
            <w:r w:rsidRPr="00704454" w:rsidR="00010AF2">
              <w:rPr>
                <w:rFonts w:eastAsia="Times New Roman" w:cs="Calibri"/>
                <w:b/>
                <w:bCs/>
                <w:color w:val="000000"/>
                <w:szCs w:val="18"/>
                <w:lang w:val="nl-NL" w:eastAsia="nl-NL"/>
              </w:rPr>
              <w:t>-</w:t>
            </w:r>
            <w:r w:rsidRPr="00704454">
              <w:rPr>
                <w:rFonts w:eastAsia="Times New Roman" w:cs="Calibri"/>
                <w:b/>
                <w:bCs/>
                <w:color w:val="000000"/>
                <w:szCs w:val="18"/>
                <w:lang w:val="nl-NL" w:eastAsia="nl-NL"/>
              </w:rPr>
              <w:t>effecten</w:t>
            </w:r>
          </w:p>
        </w:tc>
        <w:tc>
          <w:tcPr>
            <w:tcW w:w="8221" w:type="dxa"/>
            <w:tcBorders>
              <w:top w:val="single" w:color="auto" w:sz="4" w:space="0"/>
              <w:left w:val="single" w:color="auto" w:sz="4" w:space="0"/>
              <w:bottom w:val="single" w:color="auto" w:sz="8" w:space="0"/>
              <w:right w:val="single" w:color="auto" w:sz="4" w:space="0"/>
            </w:tcBorders>
            <w:shd w:val="clear" w:color="auto" w:fill="auto"/>
            <w:noWrap/>
          </w:tcPr>
          <w:p w:rsidRPr="00FD1605" w:rsidR="00573867" w:rsidP="00573867" w:rsidRDefault="004C6881" w14:paraId="3923D02D" w14:textId="6AA6AB13">
            <w:pPr>
              <w:spacing w:after="0" w:line="240" w:lineRule="auto"/>
              <w:contextualSpacing/>
              <w:rPr>
                <w:rFonts w:eastAsia="Times New Roman" w:cs="Calibri"/>
                <w:color w:val="000000"/>
                <w:szCs w:val="18"/>
                <w:lang w:val="nl-NL" w:eastAsia="nl-NL"/>
              </w:rPr>
            </w:pPr>
            <w:r>
              <w:rPr>
                <w:szCs w:val="18"/>
                <w:lang w:val="nl-NL"/>
              </w:rPr>
              <w:t>Een eenvoudigere en in sommige gevallen hogere uitkering biedt mensen zekerheid. Dit kan een positief effect hebben op</w:t>
            </w:r>
            <w:r w:rsidRPr="00FD1605">
              <w:rPr>
                <w:szCs w:val="18"/>
                <w:lang w:val="nl-NL"/>
              </w:rPr>
              <w:t xml:space="preserve"> de stap naar (meer) werk.</w:t>
            </w:r>
            <w:r>
              <w:rPr>
                <w:szCs w:val="18"/>
                <w:lang w:val="nl-NL"/>
              </w:rPr>
              <w:t xml:space="preserve"> </w:t>
            </w:r>
            <w:r w:rsidRPr="00FD1605" w:rsidR="00274420">
              <w:rPr>
                <w:szCs w:val="18"/>
                <w:lang w:val="nl-NL"/>
              </w:rPr>
              <w:t>Individualisering van de aanvullende toeslag leidt tot meer financiële duidelijkheid. Aan de andere kant kan e</w:t>
            </w:r>
            <w:r w:rsidRPr="00FD1605" w:rsidR="00274420">
              <w:rPr>
                <w:rFonts w:eastAsia="Times New Roman" w:cs="Calibri"/>
                <w:color w:val="000000"/>
                <w:szCs w:val="18"/>
                <w:lang w:val="nl-NL" w:eastAsia="nl-NL"/>
              </w:rPr>
              <w:t xml:space="preserve">en individuele toeslag de prikkel om te gaan werken verminderen doordat het gezinsinkomen vanuit de uitkeringssituatie hoger wordt. </w:t>
            </w:r>
          </w:p>
          <w:p w:rsidRPr="00FD1605" w:rsidR="00274420" w:rsidP="00274420" w:rsidRDefault="00274420" w14:paraId="755AC8AF" w14:textId="4D3C53A1">
            <w:pPr>
              <w:spacing w:after="0" w:line="240" w:lineRule="auto"/>
              <w:contextualSpacing/>
              <w:rPr>
                <w:rFonts w:eastAsia="Times New Roman" w:cs="Calibri"/>
                <w:color w:val="000000"/>
                <w:szCs w:val="18"/>
                <w:lang w:val="nl-NL" w:eastAsia="nl-NL"/>
              </w:rPr>
            </w:pPr>
            <w:r w:rsidRPr="00FD1605">
              <w:rPr>
                <w:rFonts w:eastAsia="Times New Roman" w:cs="Calibri"/>
                <w:color w:val="000000"/>
                <w:szCs w:val="18"/>
                <w:lang w:val="nl-NL" w:eastAsia="nl-NL"/>
              </w:rPr>
              <w:t xml:space="preserve"> </w:t>
            </w:r>
          </w:p>
        </w:tc>
      </w:tr>
      <w:tr w:rsidRPr="00EB3835" w:rsidR="00274420" w:rsidTr="00270DD5" w14:paraId="21DBCB9D" w14:textId="77777777">
        <w:trPr>
          <w:trHeight w:val="315"/>
        </w:trPr>
        <w:tc>
          <w:tcPr>
            <w:tcW w:w="1844" w:type="dxa"/>
            <w:tcBorders>
              <w:top w:val="nil"/>
              <w:left w:val="single" w:color="auto" w:sz="8" w:space="0"/>
              <w:bottom w:val="single" w:color="auto" w:sz="8" w:space="0"/>
              <w:right w:val="nil"/>
            </w:tcBorders>
            <w:shd w:val="clear" w:color="auto" w:fill="auto"/>
            <w:noWrap/>
          </w:tcPr>
          <w:p w:rsidRPr="00704454" w:rsidR="00274420" w:rsidP="00274420" w:rsidRDefault="00274420" w14:paraId="2D173DBC" w14:textId="77777777">
            <w:pPr>
              <w:spacing w:after="0" w:line="240" w:lineRule="auto"/>
              <w:contextualSpacing/>
              <w:rPr>
                <w:rFonts w:eastAsia="Times New Roman" w:cs="Calibri"/>
                <w:b/>
                <w:bCs/>
                <w:color w:val="000000"/>
                <w:szCs w:val="18"/>
                <w:lang w:val="nl-NL" w:eastAsia="nl-NL"/>
              </w:rPr>
            </w:pPr>
            <w:r w:rsidRPr="00704454">
              <w:rPr>
                <w:rFonts w:eastAsia="Times New Roman" w:cs="Calibri"/>
                <w:b/>
                <w:bCs/>
                <w:color w:val="000000"/>
                <w:szCs w:val="18"/>
                <w:lang w:val="nl-NL" w:eastAsia="nl-NL"/>
              </w:rPr>
              <w:t>Overige relevante aspecten</w:t>
            </w:r>
          </w:p>
        </w:tc>
        <w:tc>
          <w:tcPr>
            <w:tcW w:w="8221" w:type="dxa"/>
            <w:tcBorders>
              <w:top w:val="single" w:color="auto" w:sz="4" w:space="0"/>
              <w:left w:val="single" w:color="auto" w:sz="4" w:space="0"/>
              <w:bottom w:val="single" w:color="auto" w:sz="8" w:space="0"/>
              <w:right w:val="single" w:color="auto" w:sz="4" w:space="0"/>
            </w:tcBorders>
            <w:shd w:val="clear" w:color="auto" w:fill="auto"/>
            <w:noWrap/>
          </w:tcPr>
          <w:p w:rsidRPr="00FD1605" w:rsidR="00274420" w:rsidP="00274420" w:rsidRDefault="00274420" w14:paraId="6FA81462" w14:textId="6775EECC">
            <w:pPr>
              <w:spacing w:after="0" w:line="240" w:lineRule="auto"/>
              <w:contextualSpacing/>
              <w:rPr>
                <w:szCs w:val="18"/>
                <w:lang w:val="nl-NL"/>
              </w:rPr>
            </w:pPr>
            <w:r w:rsidRPr="00FD1605">
              <w:rPr>
                <w:szCs w:val="18"/>
                <w:lang w:val="nl-NL"/>
              </w:rPr>
              <w:t xml:space="preserve">Op dit moment </w:t>
            </w:r>
            <w:r w:rsidRPr="00FD1605" w:rsidR="00B63980">
              <w:rPr>
                <w:szCs w:val="18"/>
                <w:lang w:val="nl-NL"/>
              </w:rPr>
              <w:t>zijn</w:t>
            </w:r>
            <w:r w:rsidRPr="00FD1605">
              <w:rPr>
                <w:szCs w:val="18"/>
                <w:lang w:val="nl-NL"/>
              </w:rPr>
              <w:t xml:space="preserve"> het (</w:t>
            </w:r>
            <w:proofErr w:type="spellStart"/>
            <w:r w:rsidRPr="00FD1605">
              <w:rPr>
                <w:szCs w:val="18"/>
                <w:lang w:val="nl-NL"/>
              </w:rPr>
              <w:t>gezins</w:t>
            </w:r>
            <w:proofErr w:type="spellEnd"/>
            <w:r w:rsidRPr="00FD1605">
              <w:rPr>
                <w:szCs w:val="18"/>
                <w:lang w:val="nl-NL"/>
              </w:rPr>
              <w:t>)inkomen en leefsituatie bepalend voor het recht op de TW. Het sociaal minimum is afhankelijk van de leefvorm:</w:t>
            </w:r>
          </w:p>
          <w:p w:rsidRPr="00FD1605" w:rsidR="00274420" w:rsidP="00274420" w:rsidRDefault="00274420" w14:paraId="1E22F18F" w14:textId="488C0642">
            <w:pPr>
              <w:pStyle w:val="Lijstalinea"/>
              <w:numPr>
                <w:ilvl w:val="0"/>
                <w:numId w:val="1"/>
              </w:numPr>
              <w:spacing w:after="0" w:line="240" w:lineRule="auto"/>
              <w:rPr>
                <w:szCs w:val="18"/>
                <w:lang w:val="nl-NL"/>
              </w:rPr>
            </w:pPr>
            <w:r w:rsidRPr="00FD1605">
              <w:rPr>
                <w:szCs w:val="18"/>
                <w:lang w:val="nl-NL"/>
              </w:rPr>
              <w:t>Het bedrag voor gehuwden is gebaseerd op 100% van het bruto-referentieminimummaandloon</w:t>
            </w:r>
            <w:r w:rsidR="003C797B">
              <w:rPr>
                <w:rStyle w:val="Voetnootmarkering"/>
                <w:szCs w:val="18"/>
                <w:lang w:val="nl-NL"/>
              </w:rPr>
              <w:footnoteReference w:id="6"/>
            </w:r>
            <w:r w:rsidRPr="00FD1605">
              <w:rPr>
                <w:szCs w:val="18"/>
                <w:lang w:val="nl-NL"/>
              </w:rPr>
              <w:t>.</w:t>
            </w:r>
          </w:p>
          <w:p w:rsidRPr="00FD1605" w:rsidR="00274420" w:rsidP="00274420" w:rsidRDefault="00274420" w14:paraId="3D99BB77" w14:textId="0555D2FE">
            <w:pPr>
              <w:pStyle w:val="Lijstalinea"/>
              <w:numPr>
                <w:ilvl w:val="0"/>
                <w:numId w:val="1"/>
              </w:numPr>
              <w:spacing w:after="0" w:line="240" w:lineRule="auto"/>
              <w:rPr>
                <w:szCs w:val="18"/>
                <w:lang w:val="nl-NL"/>
              </w:rPr>
            </w:pPr>
            <w:r w:rsidRPr="00FD1605">
              <w:rPr>
                <w:szCs w:val="18"/>
                <w:lang w:val="nl-NL"/>
              </w:rPr>
              <w:t>Het bedrag voor alleenstaanden vanaf 21 jaar is gebaseerd op 70% van het nettominimumloon.</w:t>
            </w:r>
          </w:p>
          <w:p w:rsidRPr="00FD1605" w:rsidR="00274420" w:rsidP="00274420" w:rsidRDefault="00274420" w14:paraId="4DB986C4" w14:textId="77777777">
            <w:pPr>
              <w:pStyle w:val="Lijstalinea"/>
              <w:numPr>
                <w:ilvl w:val="0"/>
                <w:numId w:val="1"/>
              </w:numPr>
              <w:spacing w:after="0" w:line="240" w:lineRule="auto"/>
              <w:rPr>
                <w:szCs w:val="18"/>
                <w:lang w:val="nl-NL"/>
              </w:rPr>
            </w:pPr>
            <w:r w:rsidRPr="00FD1605">
              <w:rPr>
                <w:szCs w:val="18"/>
                <w:lang w:val="nl-NL"/>
              </w:rPr>
              <w:lastRenderedPageBreak/>
              <w:t xml:space="preserve">De bedragen voor 18 t/m 20-jarigen zijn gebaseerd op 75% van het corresponderende netto minimumjeugdloon. </w:t>
            </w:r>
          </w:p>
          <w:p w:rsidRPr="00FD1605" w:rsidR="00274420" w:rsidP="00274420" w:rsidRDefault="00274420" w14:paraId="6173F26E" w14:textId="77777777">
            <w:pPr>
              <w:pStyle w:val="Lijstalinea"/>
              <w:numPr>
                <w:ilvl w:val="0"/>
                <w:numId w:val="1"/>
              </w:numPr>
              <w:spacing w:after="0" w:line="240" w:lineRule="auto"/>
              <w:rPr>
                <w:szCs w:val="18"/>
                <w:lang w:val="nl-NL"/>
              </w:rPr>
            </w:pPr>
            <w:r w:rsidRPr="00FD1605">
              <w:rPr>
                <w:szCs w:val="18"/>
                <w:lang w:val="nl-NL"/>
              </w:rPr>
              <w:t>Daarnaast geldt een kostendelersnorm van 50% in de TW voor alleenstaanden vanaf 21 jaar, waarbij alleen medebewoners van 27 jaar of ouder meetellen als kostendeler.</w:t>
            </w:r>
          </w:p>
          <w:p w:rsidRPr="00FD1605" w:rsidR="00274420" w:rsidP="00274420" w:rsidRDefault="00274420" w14:paraId="3151F5A3" w14:textId="77777777">
            <w:pPr>
              <w:spacing w:after="0" w:line="240" w:lineRule="auto"/>
              <w:contextualSpacing/>
              <w:rPr>
                <w:szCs w:val="18"/>
                <w:lang w:val="nl-NL"/>
              </w:rPr>
            </w:pPr>
          </w:p>
          <w:p w:rsidR="00B93782" w:rsidP="00B93782" w:rsidRDefault="00573867" w14:paraId="09F05BBB" w14:textId="7E668711">
            <w:pPr>
              <w:spacing w:after="0" w:line="240" w:lineRule="auto"/>
              <w:contextualSpacing/>
              <w:rPr>
                <w:szCs w:val="18"/>
                <w:lang w:val="nl-NL"/>
              </w:rPr>
            </w:pPr>
            <w:r w:rsidRPr="00FD1605">
              <w:rPr>
                <w:szCs w:val="18"/>
                <w:lang w:val="nl-NL"/>
              </w:rPr>
              <w:t>Het verschil met de basisuitkeringen die UWV uitvoert, wordt kleiner</w:t>
            </w:r>
            <w:r w:rsidR="0065561D">
              <w:rPr>
                <w:szCs w:val="18"/>
                <w:lang w:val="nl-NL"/>
              </w:rPr>
              <w:t>.</w:t>
            </w:r>
            <w:r w:rsidRPr="00FD1605">
              <w:rPr>
                <w:szCs w:val="18"/>
                <w:lang w:val="nl-NL"/>
              </w:rPr>
              <w:t xml:space="preserve"> </w:t>
            </w:r>
            <w:r w:rsidR="0065561D">
              <w:rPr>
                <w:szCs w:val="18"/>
                <w:lang w:val="nl-NL"/>
              </w:rPr>
              <w:t>D</w:t>
            </w:r>
            <w:r w:rsidRPr="00FD1605">
              <w:rPr>
                <w:szCs w:val="18"/>
                <w:lang w:val="nl-NL"/>
              </w:rPr>
              <w:t xml:space="preserve">it leidt tot meer duidelijkheid voor </w:t>
            </w:r>
            <w:r w:rsidRPr="00FD1605" w:rsidR="00851ACA">
              <w:rPr>
                <w:szCs w:val="18"/>
                <w:lang w:val="nl-NL"/>
              </w:rPr>
              <w:t>uitkeringsgerechtigden</w:t>
            </w:r>
            <w:r w:rsidRPr="00FD1605">
              <w:rPr>
                <w:szCs w:val="18"/>
                <w:lang w:val="nl-NL"/>
              </w:rPr>
              <w:t xml:space="preserve"> en UWV. </w:t>
            </w:r>
            <w:r w:rsidRPr="00FD1605" w:rsidR="00274420">
              <w:rPr>
                <w:szCs w:val="18"/>
                <w:lang w:val="nl-NL"/>
              </w:rPr>
              <w:t>Het verschil met de Participatiewet wordt groter</w:t>
            </w:r>
            <w:r w:rsidRPr="00FD1605" w:rsidR="00B93782">
              <w:rPr>
                <w:szCs w:val="18"/>
                <w:lang w:val="nl-NL"/>
              </w:rPr>
              <w:t>, terwijl het hier allebei om minimaregelingen gaat</w:t>
            </w:r>
            <w:r w:rsidRPr="00FD1605" w:rsidR="00274420">
              <w:rPr>
                <w:szCs w:val="18"/>
                <w:lang w:val="nl-NL"/>
              </w:rPr>
              <w:t xml:space="preserve">. </w:t>
            </w:r>
            <w:r w:rsidRPr="00FD1605" w:rsidR="00B93782">
              <w:rPr>
                <w:szCs w:val="18"/>
                <w:lang w:val="nl-NL"/>
              </w:rPr>
              <w:t xml:space="preserve">Ook beoogt de </w:t>
            </w:r>
            <w:r w:rsidR="003B4296">
              <w:rPr>
                <w:szCs w:val="18"/>
                <w:lang w:val="nl-NL"/>
              </w:rPr>
              <w:t xml:space="preserve">huidige </w:t>
            </w:r>
            <w:r w:rsidRPr="00FD1605" w:rsidR="00B93782">
              <w:rPr>
                <w:szCs w:val="18"/>
                <w:lang w:val="nl-NL"/>
              </w:rPr>
              <w:t>kostendelersnorm</w:t>
            </w:r>
            <w:r w:rsidR="003B4296">
              <w:rPr>
                <w:szCs w:val="18"/>
                <w:lang w:val="nl-NL"/>
              </w:rPr>
              <w:t xml:space="preserve"> in de TW</w:t>
            </w:r>
            <w:r w:rsidRPr="00FD1605" w:rsidR="00B93782">
              <w:rPr>
                <w:szCs w:val="18"/>
                <w:lang w:val="nl-NL"/>
              </w:rPr>
              <w:t xml:space="preserve"> het tegengaan van stapeling van minima</w:t>
            </w:r>
            <w:r w:rsidR="00ED06FE">
              <w:rPr>
                <w:szCs w:val="18"/>
                <w:lang w:val="nl-NL"/>
              </w:rPr>
              <w:t>regelingen</w:t>
            </w:r>
            <w:r w:rsidRPr="00FD1605" w:rsidR="00B93782">
              <w:rPr>
                <w:szCs w:val="18"/>
                <w:lang w:val="nl-NL"/>
              </w:rPr>
              <w:t xml:space="preserve"> op één woonadres.</w:t>
            </w:r>
            <w:r w:rsidR="00ED06FE">
              <w:rPr>
                <w:szCs w:val="18"/>
                <w:lang w:val="nl-NL"/>
              </w:rPr>
              <w:t xml:space="preserve"> Individualiseren van de TW maakt deze stapeling wel mogelijk.</w:t>
            </w:r>
          </w:p>
          <w:p w:rsidRPr="00FD1605" w:rsidR="003F0A09" w:rsidP="00B93782" w:rsidRDefault="003F0A09" w14:paraId="36DAFACB" w14:textId="77777777">
            <w:pPr>
              <w:spacing w:after="0" w:line="240" w:lineRule="auto"/>
              <w:contextualSpacing/>
              <w:rPr>
                <w:szCs w:val="18"/>
                <w:lang w:val="nl-NL"/>
              </w:rPr>
            </w:pPr>
          </w:p>
          <w:p w:rsidR="00AE3DDF" w:rsidP="00B93782" w:rsidRDefault="00B93782" w14:paraId="7450F6D4" w14:textId="5CDC03D9">
            <w:pPr>
              <w:spacing w:after="0" w:line="240" w:lineRule="auto"/>
              <w:contextualSpacing/>
              <w:rPr>
                <w:rFonts w:eastAsia="Times New Roman" w:cs="Calibri"/>
                <w:color w:val="000000"/>
                <w:szCs w:val="18"/>
                <w:lang w:val="nl-NL" w:eastAsia="nl-NL"/>
              </w:rPr>
            </w:pPr>
            <w:r w:rsidRPr="00FD1605">
              <w:rPr>
                <w:rFonts w:eastAsia="Times New Roman" w:cs="Calibri"/>
                <w:color w:val="000000"/>
                <w:szCs w:val="18"/>
                <w:lang w:val="nl-NL" w:eastAsia="nl-NL"/>
              </w:rPr>
              <w:t xml:space="preserve">De huidige Toeslagenwet kent een afwijkende norm voor verzekerden onder de 21 jaar, omdat voor hen ook een afwijkend minimumloon geldt. Er </w:t>
            </w:r>
            <w:r w:rsidR="00DB6B6E">
              <w:rPr>
                <w:rFonts w:eastAsia="Times New Roman" w:cs="Calibri"/>
                <w:color w:val="000000"/>
                <w:szCs w:val="18"/>
                <w:lang w:val="nl-NL" w:eastAsia="nl-NL"/>
              </w:rPr>
              <w:t>kan</w:t>
            </w:r>
            <w:r w:rsidRPr="00FD1605" w:rsidR="00DB6B6E">
              <w:rPr>
                <w:rFonts w:eastAsia="Times New Roman" w:cs="Calibri"/>
                <w:color w:val="000000"/>
                <w:szCs w:val="18"/>
                <w:lang w:val="nl-NL" w:eastAsia="nl-NL"/>
              </w:rPr>
              <w:t xml:space="preserve"> </w:t>
            </w:r>
            <w:r w:rsidRPr="00FD1605">
              <w:rPr>
                <w:rFonts w:eastAsia="Times New Roman" w:cs="Calibri"/>
                <w:color w:val="000000"/>
                <w:szCs w:val="18"/>
                <w:lang w:val="nl-NL" w:eastAsia="nl-NL"/>
              </w:rPr>
              <w:t xml:space="preserve">gekozen worden </w:t>
            </w:r>
            <w:r w:rsidR="00AE3DDF">
              <w:rPr>
                <w:rFonts w:eastAsia="Times New Roman" w:cs="Calibri"/>
                <w:color w:val="000000"/>
                <w:szCs w:val="18"/>
                <w:lang w:val="nl-NL" w:eastAsia="nl-NL"/>
              </w:rPr>
              <w:t xml:space="preserve">om deze afwijkende norm bij individualisering van de Toeslagenwet over te nemen. Als deze afwijkende norm wordt overgenomen, </w:t>
            </w:r>
            <w:r w:rsidRPr="00FD1605" w:rsidR="00AE3DDF">
              <w:rPr>
                <w:rFonts w:eastAsia="Times New Roman" w:cs="Calibri"/>
                <w:color w:val="000000"/>
                <w:szCs w:val="18"/>
                <w:lang w:val="nl-NL" w:eastAsia="nl-NL"/>
              </w:rPr>
              <w:t xml:space="preserve">betekent dat </w:t>
            </w:r>
            <w:r w:rsidR="00DB6B6E">
              <w:rPr>
                <w:rFonts w:eastAsia="Times New Roman" w:cs="Calibri"/>
                <w:color w:val="000000"/>
                <w:szCs w:val="18"/>
                <w:lang w:val="nl-NL" w:eastAsia="nl-NL"/>
              </w:rPr>
              <w:t xml:space="preserve">dat </w:t>
            </w:r>
            <w:r w:rsidRPr="00FD1605" w:rsidR="00AE3DDF">
              <w:rPr>
                <w:rFonts w:eastAsia="Times New Roman" w:cs="Calibri"/>
                <w:color w:val="000000"/>
                <w:szCs w:val="18"/>
                <w:lang w:val="nl-NL" w:eastAsia="nl-NL"/>
              </w:rPr>
              <w:t xml:space="preserve">uitkeringsgerechtigden onder de 21 jaar een lager bedrag aan aanvullende toeslag krijgen dan oudere uitkeringsgerechtigden, omdat het minimumloon voor hen ook verschilt. </w:t>
            </w:r>
          </w:p>
          <w:p w:rsidRPr="00704454" w:rsidR="00274420" w:rsidP="00B93782" w:rsidRDefault="00274420" w14:paraId="768D329E" w14:textId="709FC9AF">
            <w:pPr>
              <w:spacing w:after="0" w:line="240" w:lineRule="auto"/>
              <w:contextualSpacing/>
              <w:rPr>
                <w:szCs w:val="18"/>
                <w:lang w:val="nl-NL"/>
              </w:rPr>
            </w:pPr>
          </w:p>
        </w:tc>
      </w:tr>
    </w:tbl>
    <w:p w:rsidRPr="00FD1605" w:rsidR="00274420" w:rsidRDefault="00274420" w14:paraId="320270AD" w14:textId="77777777">
      <w:pPr>
        <w:rPr>
          <w:lang w:val="nl-NL"/>
        </w:rPr>
      </w:pPr>
    </w:p>
    <w:p w:rsidRPr="00FD1605" w:rsidR="00CF4437" w:rsidRDefault="00CF4437" w14:paraId="11DD0E45" w14:textId="68791A05">
      <w:pPr>
        <w:rPr>
          <w:lang w:val="nl-NL"/>
        </w:rPr>
      </w:pPr>
      <w:r w:rsidRPr="00FD1605">
        <w:rPr>
          <w:lang w:val="nl-NL"/>
        </w:rPr>
        <w:br w:type="page"/>
      </w:r>
    </w:p>
    <w:p w:rsidRPr="00FD1605" w:rsidR="00CF4437" w:rsidRDefault="00CF4437" w14:paraId="4561937A" w14:textId="469E5F4B">
      <w:pPr>
        <w:rPr>
          <w:lang w:val="nl-NL"/>
        </w:rPr>
      </w:pPr>
    </w:p>
    <w:tbl>
      <w:tblPr>
        <w:tblW w:w="10085" w:type="dxa"/>
        <w:tblInd w:w="-436" w:type="dxa"/>
        <w:tblCellMar>
          <w:left w:w="70" w:type="dxa"/>
          <w:right w:w="70" w:type="dxa"/>
        </w:tblCellMar>
        <w:tblLook w:val="04A0" w:firstRow="1" w:lastRow="0" w:firstColumn="1" w:lastColumn="0" w:noHBand="0" w:noVBand="1"/>
      </w:tblPr>
      <w:tblGrid>
        <w:gridCol w:w="2005"/>
        <w:gridCol w:w="8080"/>
      </w:tblGrid>
      <w:tr w:rsidRPr="00EB3835" w:rsidR="00836AF5" w:rsidTr="00836AF5" w14:paraId="245F04C2" w14:textId="77777777">
        <w:trPr>
          <w:trHeight w:val="300"/>
        </w:trPr>
        <w:tc>
          <w:tcPr>
            <w:tcW w:w="2005" w:type="dxa"/>
            <w:tcBorders>
              <w:top w:val="single" w:color="auto" w:sz="8" w:space="0"/>
              <w:left w:val="single" w:color="auto" w:sz="8" w:space="0"/>
              <w:bottom w:val="single" w:color="auto" w:sz="8" w:space="0"/>
              <w:right w:val="nil"/>
            </w:tcBorders>
            <w:shd w:val="clear" w:color="auto" w:fill="auto"/>
            <w:noWrap/>
          </w:tcPr>
          <w:p w:rsidRPr="00FD1605" w:rsidR="00E2272F" w:rsidP="00836AF5" w:rsidRDefault="00E2272F" w14:paraId="3ABF41B4" w14:textId="77777777">
            <w:pPr>
              <w:spacing w:after="0" w:line="240" w:lineRule="auto"/>
              <w:rPr>
                <w:rFonts w:eastAsia="Times New Roman" w:cs="Calibri"/>
                <w:b/>
                <w:bCs/>
                <w:color w:val="000000"/>
                <w:szCs w:val="18"/>
                <w:lang w:val="nl-NL" w:eastAsia="nl-NL"/>
              </w:rPr>
            </w:pPr>
          </w:p>
          <w:p w:rsidRPr="00704454" w:rsidR="00836AF5" w:rsidP="00836AF5" w:rsidRDefault="00836AF5" w14:paraId="5187820B" w14:textId="1F3E7946">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Maatregel</w:t>
            </w:r>
          </w:p>
        </w:tc>
        <w:tc>
          <w:tcPr>
            <w:tcW w:w="8080" w:type="dxa"/>
            <w:tcBorders>
              <w:top w:val="single" w:color="auto" w:sz="8" w:space="0"/>
              <w:left w:val="single" w:color="auto" w:sz="4" w:space="0"/>
              <w:bottom w:val="single" w:color="auto" w:sz="8" w:space="0"/>
              <w:right w:val="single" w:color="auto" w:sz="4" w:space="0"/>
            </w:tcBorders>
            <w:shd w:val="clear" w:color="auto" w:fill="auto"/>
            <w:noWrap/>
          </w:tcPr>
          <w:p w:rsidRPr="00FD1605" w:rsidR="00836AF5" w:rsidP="00E2272F" w:rsidRDefault="00756F6B" w14:paraId="5694C539" w14:textId="24C0E7B2">
            <w:pPr>
              <w:pStyle w:val="Kop1"/>
              <w:rPr>
                <w:rFonts w:ascii="Verdana" w:hAnsi="Verdana" w:eastAsia="Times New Roman"/>
                <w:b/>
                <w:bCs/>
                <w:color w:val="auto"/>
                <w:sz w:val="18"/>
                <w:szCs w:val="18"/>
                <w:lang w:val="nl-NL" w:eastAsia="nl-NL"/>
              </w:rPr>
            </w:pPr>
            <w:bookmarkStart w:name="_Toc223522228" w:id="6"/>
            <w:r>
              <w:rPr>
                <w:rFonts w:ascii="Verdana" w:hAnsi="Verdana" w:eastAsia="Times New Roman"/>
                <w:b/>
                <w:bCs/>
                <w:color w:val="auto"/>
                <w:sz w:val="18"/>
                <w:szCs w:val="18"/>
                <w:lang w:val="nl-NL" w:eastAsia="nl-NL"/>
              </w:rPr>
              <w:t>B</w:t>
            </w:r>
            <w:r w:rsidRPr="00913061" w:rsidR="00836AF5">
              <w:rPr>
                <w:rFonts w:ascii="Verdana" w:hAnsi="Verdana" w:eastAsia="Times New Roman"/>
                <w:b/>
                <w:bCs/>
                <w:color w:val="auto"/>
                <w:sz w:val="18"/>
                <w:szCs w:val="18"/>
                <w:lang w:val="nl-NL" w:eastAsia="nl-NL"/>
              </w:rPr>
              <w:t>.</w:t>
            </w:r>
            <w:r>
              <w:rPr>
                <w:rFonts w:ascii="Verdana" w:hAnsi="Verdana" w:eastAsia="Times New Roman"/>
                <w:b/>
                <w:bCs/>
                <w:color w:val="auto"/>
                <w:sz w:val="18"/>
                <w:szCs w:val="18"/>
                <w:lang w:val="nl-NL" w:eastAsia="nl-NL"/>
              </w:rPr>
              <w:t>3</w:t>
            </w:r>
            <w:r w:rsidRPr="00913061" w:rsidR="00836AF5">
              <w:rPr>
                <w:rFonts w:ascii="Verdana" w:hAnsi="Verdana" w:eastAsia="Times New Roman"/>
                <w:b/>
                <w:bCs/>
                <w:color w:val="auto"/>
                <w:sz w:val="18"/>
                <w:szCs w:val="18"/>
                <w:lang w:val="nl-NL" w:eastAsia="nl-NL"/>
              </w:rPr>
              <w:t xml:space="preserve"> Inkomensbegrip zelfde als de </w:t>
            </w:r>
            <w:r w:rsidRPr="00913061" w:rsidR="0087348C">
              <w:rPr>
                <w:rFonts w:ascii="Verdana" w:hAnsi="Verdana" w:eastAsia="Times New Roman"/>
                <w:b/>
                <w:bCs/>
                <w:color w:val="auto"/>
                <w:sz w:val="18"/>
                <w:szCs w:val="18"/>
                <w:lang w:val="nl-NL" w:eastAsia="nl-NL"/>
              </w:rPr>
              <w:t>basis</w:t>
            </w:r>
            <w:r w:rsidRPr="00913061" w:rsidR="00836AF5">
              <w:rPr>
                <w:rFonts w:ascii="Verdana" w:hAnsi="Verdana" w:eastAsia="Times New Roman"/>
                <w:b/>
                <w:bCs/>
                <w:color w:val="auto"/>
                <w:sz w:val="18"/>
                <w:szCs w:val="18"/>
                <w:lang w:val="nl-NL" w:eastAsia="nl-NL"/>
              </w:rPr>
              <w:t>wet</w:t>
            </w:r>
            <w:bookmarkEnd w:id="6"/>
          </w:p>
        </w:tc>
      </w:tr>
      <w:tr w:rsidRPr="00EB3835" w:rsidR="00836AF5" w:rsidTr="00D50797" w14:paraId="3DECEF5F" w14:textId="77777777">
        <w:trPr>
          <w:trHeight w:val="315"/>
        </w:trPr>
        <w:tc>
          <w:tcPr>
            <w:tcW w:w="2005" w:type="dxa"/>
            <w:tcBorders>
              <w:top w:val="nil"/>
              <w:left w:val="single" w:color="auto" w:sz="8" w:space="0"/>
              <w:bottom w:val="single" w:color="auto" w:sz="8" w:space="0"/>
              <w:right w:val="nil"/>
            </w:tcBorders>
            <w:shd w:val="clear" w:color="auto" w:fill="auto"/>
            <w:noWrap/>
          </w:tcPr>
          <w:p w:rsidRPr="00704454" w:rsidR="00836AF5" w:rsidP="00836AF5" w:rsidRDefault="00836AF5" w14:paraId="5AEEA547"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Korte uitleg maatregel</w:t>
            </w:r>
          </w:p>
        </w:tc>
        <w:tc>
          <w:tcPr>
            <w:tcW w:w="8080" w:type="dxa"/>
            <w:tcBorders>
              <w:top w:val="single" w:color="auto" w:sz="4" w:space="0"/>
              <w:left w:val="single" w:color="auto" w:sz="4" w:space="0"/>
              <w:bottom w:val="single" w:color="auto" w:sz="8" w:space="0"/>
              <w:right w:val="single" w:color="auto" w:sz="4" w:space="0"/>
            </w:tcBorders>
            <w:shd w:val="clear" w:color="auto" w:fill="auto"/>
            <w:noWrap/>
          </w:tcPr>
          <w:p w:rsidRPr="00FD1605" w:rsidR="00836AF5" w:rsidP="00836AF5" w:rsidRDefault="00836AF5" w14:paraId="10478A6F" w14:textId="7F8C8002">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 xml:space="preserve">Het inkomen is relevant voor het bepalen van het recht op en de hoogte van de toeslag. Wat onder inkomen voor de TW valt, is geregeld in hoofdstuk 2 van het Algemeen inkomensbesluit Socialezekerheidswetten (AIB). Bij de inkomstenverrekening wordt </w:t>
            </w:r>
            <w:r w:rsidRPr="00FD1605" w:rsidR="0016524D">
              <w:rPr>
                <w:rFonts w:eastAsia="Times New Roman" w:cs="Calibri"/>
                <w:color w:val="000000"/>
                <w:szCs w:val="18"/>
                <w:lang w:val="nl-NL" w:eastAsia="nl-NL"/>
              </w:rPr>
              <w:t xml:space="preserve">momenteel </w:t>
            </w:r>
            <w:r w:rsidRPr="00FD1605">
              <w:rPr>
                <w:rFonts w:eastAsia="Times New Roman" w:cs="Calibri"/>
                <w:color w:val="000000"/>
                <w:szCs w:val="18"/>
                <w:lang w:val="nl-NL" w:eastAsia="nl-NL"/>
              </w:rPr>
              <w:t xml:space="preserve">uitgegaan van ander type inkomsten dan bij de </w:t>
            </w:r>
            <w:r w:rsidRPr="00FD1605" w:rsidR="0087348C">
              <w:rPr>
                <w:rFonts w:eastAsia="Times New Roman" w:cs="Calibri"/>
                <w:color w:val="000000"/>
                <w:szCs w:val="18"/>
                <w:lang w:val="nl-NL" w:eastAsia="nl-NL"/>
              </w:rPr>
              <w:t>basis</w:t>
            </w:r>
            <w:r w:rsidRPr="00FD1605">
              <w:rPr>
                <w:rFonts w:eastAsia="Times New Roman" w:cs="Calibri"/>
                <w:color w:val="000000"/>
                <w:szCs w:val="18"/>
                <w:lang w:val="nl-NL" w:eastAsia="nl-NL"/>
              </w:rPr>
              <w:t xml:space="preserve">wetuitkeringen (overig inkomen), daarnaast wordt ook rekening gehouden met het totale gezinsinkomen (inkomsten van de partner). Wat onder inkomen wordt verstaan voor de </w:t>
            </w:r>
            <w:r w:rsidRPr="00FD1605" w:rsidR="0087348C">
              <w:rPr>
                <w:rFonts w:eastAsia="Times New Roman" w:cs="Calibri"/>
                <w:color w:val="000000"/>
                <w:szCs w:val="18"/>
                <w:lang w:val="nl-NL" w:eastAsia="nl-NL"/>
              </w:rPr>
              <w:t xml:space="preserve">basiswetuitkeringen </w:t>
            </w:r>
            <w:r w:rsidRPr="00FD1605">
              <w:rPr>
                <w:rFonts w:eastAsia="Times New Roman" w:cs="Calibri"/>
                <w:color w:val="000000"/>
                <w:szCs w:val="18"/>
                <w:lang w:val="nl-NL" w:eastAsia="nl-NL"/>
              </w:rPr>
              <w:t xml:space="preserve">is geregeld in hoofdstuk 3 van het AIB. </w:t>
            </w:r>
          </w:p>
          <w:p w:rsidRPr="00FD1605" w:rsidR="00836AF5" w:rsidP="00836AF5" w:rsidRDefault="00836AF5" w14:paraId="23967E8C" w14:textId="77777777">
            <w:pPr>
              <w:spacing w:after="0" w:line="240" w:lineRule="auto"/>
              <w:rPr>
                <w:rFonts w:eastAsia="Times New Roman" w:cs="Calibri"/>
                <w:color w:val="000000"/>
                <w:szCs w:val="18"/>
                <w:lang w:val="nl-NL" w:eastAsia="nl-NL"/>
              </w:rPr>
            </w:pPr>
          </w:p>
          <w:p w:rsidRPr="00FD1605" w:rsidR="00836AF5" w:rsidP="00836AF5" w:rsidRDefault="00836AF5" w14:paraId="5F817981" w14:textId="77777777">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 xml:space="preserve">Voor de Toeslagenwet wordt onderscheid gemaakt tussen inkomen uit arbeid en overig inkomen. De vrijlatingsregeling wordt in de regel alleen toegepast over inkomen uit arbeid. Overig inkomen wordt dus niet vrijgelaten. </w:t>
            </w:r>
          </w:p>
          <w:p w:rsidRPr="00FD1605" w:rsidR="00836AF5" w:rsidP="00836AF5" w:rsidRDefault="00836AF5" w14:paraId="051F2FFF" w14:textId="77777777">
            <w:pPr>
              <w:spacing w:after="0" w:line="240" w:lineRule="auto"/>
              <w:rPr>
                <w:rFonts w:eastAsia="Times New Roman" w:cs="Calibri"/>
                <w:color w:val="000000"/>
                <w:szCs w:val="18"/>
                <w:lang w:val="nl-NL" w:eastAsia="nl-NL"/>
              </w:rPr>
            </w:pPr>
          </w:p>
          <w:p w:rsidRPr="00FD1605" w:rsidR="00836AF5" w:rsidP="00836AF5" w:rsidRDefault="00836AF5" w14:paraId="250B4F46" w14:textId="1E3A9CAE">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 xml:space="preserve">Met deze maatregel wordt het inkomensbegrip van de </w:t>
            </w:r>
            <w:r w:rsidRPr="00FD1605" w:rsidR="0087348C">
              <w:rPr>
                <w:rFonts w:eastAsia="Times New Roman" w:cs="Calibri"/>
                <w:color w:val="000000"/>
                <w:szCs w:val="18"/>
                <w:lang w:val="nl-NL" w:eastAsia="nl-NL"/>
              </w:rPr>
              <w:t xml:space="preserve">basiswetuitkeringen </w:t>
            </w:r>
            <w:r w:rsidRPr="00FD1605">
              <w:rPr>
                <w:rFonts w:eastAsia="Times New Roman" w:cs="Calibri"/>
                <w:color w:val="000000"/>
                <w:szCs w:val="18"/>
                <w:lang w:val="nl-NL" w:eastAsia="nl-NL"/>
              </w:rPr>
              <w:t>gehanteerd, in plaats van het inkomensbegrip van de TW</w:t>
            </w:r>
            <w:r w:rsidRPr="00FD1605" w:rsidR="00B030C1">
              <w:rPr>
                <w:rFonts w:eastAsia="Times New Roman" w:cs="Calibri"/>
                <w:color w:val="000000"/>
                <w:szCs w:val="18"/>
                <w:lang w:val="nl-NL" w:eastAsia="nl-NL"/>
              </w:rPr>
              <w:t xml:space="preserve"> voor zowel de uitkeringsgerechtigde als de partner</w:t>
            </w:r>
            <w:r w:rsidRPr="00FD1605">
              <w:rPr>
                <w:rFonts w:eastAsia="Times New Roman" w:cs="Calibri"/>
                <w:color w:val="000000"/>
                <w:szCs w:val="18"/>
                <w:lang w:val="nl-NL" w:eastAsia="nl-NL"/>
              </w:rPr>
              <w:t xml:space="preserve">. </w:t>
            </w:r>
          </w:p>
        </w:tc>
      </w:tr>
      <w:tr w:rsidRPr="00EB3835" w:rsidR="00836AF5" w:rsidTr="00D50797" w14:paraId="258D6E90" w14:textId="77777777">
        <w:trPr>
          <w:trHeight w:val="315"/>
        </w:trPr>
        <w:tc>
          <w:tcPr>
            <w:tcW w:w="2005" w:type="dxa"/>
            <w:tcBorders>
              <w:top w:val="nil"/>
              <w:left w:val="single" w:color="auto" w:sz="8" w:space="0"/>
              <w:bottom w:val="single" w:color="auto" w:sz="8" w:space="0"/>
              <w:right w:val="nil"/>
            </w:tcBorders>
            <w:shd w:val="clear" w:color="auto" w:fill="auto"/>
            <w:noWrap/>
          </w:tcPr>
          <w:p w:rsidRPr="00704454" w:rsidR="00836AF5" w:rsidP="00836AF5" w:rsidRDefault="00836AF5" w14:paraId="45A7D92B"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Doel maatregel</w:t>
            </w:r>
          </w:p>
        </w:tc>
        <w:tc>
          <w:tcPr>
            <w:tcW w:w="8080" w:type="dxa"/>
            <w:tcBorders>
              <w:top w:val="single" w:color="auto" w:sz="4" w:space="0"/>
              <w:left w:val="single" w:color="auto" w:sz="4" w:space="0"/>
              <w:bottom w:val="single" w:color="auto" w:sz="8" w:space="0"/>
              <w:right w:val="single" w:color="auto" w:sz="4" w:space="0"/>
            </w:tcBorders>
            <w:shd w:val="clear" w:color="auto" w:fill="auto"/>
            <w:noWrap/>
          </w:tcPr>
          <w:p w:rsidRPr="00FD1605" w:rsidR="00836AF5" w:rsidP="00836AF5" w:rsidRDefault="00836AF5" w14:paraId="4EAEDE27" w14:textId="6279B69E">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 xml:space="preserve">Vereenvoudiging van de berekening van de hoogte van de TW-aanvulling en vergroten van de voorspelbaarheid van de inkomenssituatie van de uitkeringsgerechtigde. </w:t>
            </w:r>
          </w:p>
        </w:tc>
      </w:tr>
      <w:tr w:rsidRPr="00EB3835" w:rsidR="00836AF5" w:rsidTr="00D50797" w14:paraId="237F3067" w14:textId="77777777">
        <w:trPr>
          <w:trHeight w:val="315"/>
        </w:trPr>
        <w:tc>
          <w:tcPr>
            <w:tcW w:w="2005" w:type="dxa"/>
            <w:tcBorders>
              <w:top w:val="nil"/>
              <w:left w:val="single" w:color="auto" w:sz="8" w:space="0"/>
              <w:bottom w:val="single" w:color="auto" w:sz="8" w:space="0"/>
              <w:right w:val="nil"/>
            </w:tcBorders>
            <w:shd w:val="clear" w:color="auto" w:fill="auto"/>
            <w:noWrap/>
          </w:tcPr>
          <w:p w:rsidRPr="00FD1605" w:rsidR="00836AF5" w:rsidP="00836AF5" w:rsidRDefault="00836AF5" w14:paraId="3DD74F79" w14:textId="77777777">
            <w:pPr>
              <w:spacing w:after="0" w:line="240" w:lineRule="auto"/>
              <w:rPr>
                <w:rFonts w:eastAsia="Times New Roman" w:cs="Calibri"/>
                <w:b/>
                <w:bCs/>
                <w:color w:val="000000"/>
                <w:szCs w:val="18"/>
                <w:lang w:val="nl-NL" w:eastAsia="nl-NL"/>
              </w:rPr>
            </w:pPr>
            <w:r w:rsidRPr="00FD1605">
              <w:rPr>
                <w:rFonts w:eastAsia="Times New Roman" w:cs="Calibri"/>
                <w:b/>
                <w:bCs/>
                <w:color w:val="000000"/>
                <w:szCs w:val="18"/>
                <w:lang w:val="nl-NL" w:eastAsia="nl-NL"/>
              </w:rPr>
              <w:t xml:space="preserve">Vereenvoudiging vanuit burgerperspectief (begrijpelijkheid, zekerheid en </w:t>
            </w:r>
            <w:proofErr w:type="spellStart"/>
            <w:r w:rsidRPr="00FD1605">
              <w:rPr>
                <w:rFonts w:eastAsia="Times New Roman" w:cs="Calibri"/>
                <w:b/>
                <w:bCs/>
                <w:color w:val="000000"/>
                <w:szCs w:val="18"/>
                <w:lang w:val="nl-NL" w:eastAsia="nl-NL"/>
              </w:rPr>
              <w:t>doenlijkheid</w:t>
            </w:r>
            <w:proofErr w:type="spellEnd"/>
            <w:r w:rsidRPr="00FD1605">
              <w:rPr>
                <w:rFonts w:eastAsia="Times New Roman" w:cs="Calibri"/>
                <w:b/>
                <w:bCs/>
                <w:color w:val="000000"/>
                <w:szCs w:val="18"/>
                <w:lang w:val="nl-NL" w:eastAsia="nl-NL"/>
              </w:rPr>
              <w:t>)</w:t>
            </w:r>
          </w:p>
        </w:tc>
        <w:tc>
          <w:tcPr>
            <w:tcW w:w="8080" w:type="dxa"/>
            <w:tcBorders>
              <w:top w:val="single" w:color="auto" w:sz="4" w:space="0"/>
              <w:left w:val="single" w:color="auto" w:sz="4" w:space="0"/>
              <w:bottom w:val="single" w:color="auto" w:sz="8" w:space="0"/>
              <w:right w:val="single" w:color="auto" w:sz="4" w:space="0"/>
            </w:tcBorders>
            <w:shd w:val="clear" w:color="auto" w:fill="auto"/>
            <w:noWrap/>
          </w:tcPr>
          <w:p w:rsidRPr="00FD1605" w:rsidR="00836AF5" w:rsidP="00836AF5" w:rsidRDefault="00836AF5" w14:paraId="0111D0AD" w14:textId="70DFD6A2">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 xml:space="preserve">Berekeningen die UWV </w:t>
            </w:r>
            <w:r w:rsidRPr="00FD1605" w:rsidR="00675B3E">
              <w:rPr>
                <w:rFonts w:eastAsia="Times New Roman" w:cs="Calibri"/>
                <w:color w:val="000000"/>
                <w:szCs w:val="18"/>
                <w:lang w:val="nl-NL" w:eastAsia="nl-NL"/>
              </w:rPr>
              <w:t>maakt</w:t>
            </w:r>
            <w:r w:rsidRPr="00FD1605">
              <w:rPr>
                <w:rFonts w:eastAsia="Times New Roman" w:cs="Calibri"/>
                <w:color w:val="000000"/>
                <w:szCs w:val="18"/>
                <w:lang w:val="nl-NL" w:eastAsia="nl-NL"/>
              </w:rPr>
              <w:t xml:space="preserve"> worden eenvoudiger en daardoor ook begrijpelijker voor </w:t>
            </w:r>
            <w:r w:rsidRPr="00FD1605" w:rsidR="004F54F7">
              <w:rPr>
                <w:rFonts w:eastAsia="Times New Roman" w:cs="Calibri"/>
                <w:color w:val="000000"/>
                <w:szCs w:val="18"/>
                <w:lang w:val="nl-NL" w:eastAsia="nl-NL"/>
              </w:rPr>
              <w:t>mensen</w:t>
            </w:r>
            <w:r w:rsidRPr="00FD1605">
              <w:rPr>
                <w:rFonts w:eastAsia="Times New Roman" w:cs="Calibri"/>
                <w:color w:val="000000"/>
                <w:szCs w:val="18"/>
                <w:lang w:val="nl-NL" w:eastAsia="nl-NL"/>
              </w:rPr>
              <w:t xml:space="preserve">. De toeslag wordt </w:t>
            </w:r>
            <w:r w:rsidRPr="00FD1605" w:rsidR="001214CB">
              <w:rPr>
                <w:rFonts w:eastAsia="Times New Roman" w:cs="Calibri"/>
                <w:color w:val="000000"/>
                <w:szCs w:val="18"/>
                <w:lang w:val="nl-NL" w:eastAsia="nl-NL"/>
              </w:rPr>
              <w:t xml:space="preserve">in </w:t>
            </w:r>
            <w:r w:rsidRPr="00FD1605" w:rsidR="00B030C1">
              <w:rPr>
                <w:rFonts w:eastAsia="Times New Roman" w:cs="Calibri"/>
                <w:color w:val="000000"/>
                <w:szCs w:val="18"/>
                <w:lang w:val="nl-NL" w:eastAsia="nl-NL"/>
              </w:rPr>
              <w:t>individuele</w:t>
            </w:r>
            <w:r w:rsidRPr="00FD1605" w:rsidR="001214CB">
              <w:rPr>
                <w:rFonts w:eastAsia="Times New Roman" w:cs="Calibri"/>
                <w:color w:val="000000"/>
                <w:szCs w:val="18"/>
                <w:lang w:val="nl-NL" w:eastAsia="nl-NL"/>
              </w:rPr>
              <w:t xml:space="preserve"> gevallen </w:t>
            </w:r>
            <w:r w:rsidRPr="00FD1605">
              <w:rPr>
                <w:rFonts w:eastAsia="Times New Roman" w:cs="Calibri"/>
                <w:color w:val="000000"/>
                <w:szCs w:val="18"/>
                <w:lang w:val="nl-NL" w:eastAsia="nl-NL"/>
              </w:rPr>
              <w:t>hoger</w:t>
            </w:r>
            <w:r w:rsidRPr="00FD1605" w:rsidR="00972C62">
              <w:rPr>
                <w:rFonts w:eastAsia="Times New Roman" w:cs="Calibri"/>
                <w:color w:val="000000"/>
                <w:szCs w:val="18"/>
                <w:lang w:val="nl-NL" w:eastAsia="nl-NL"/>
              </w:rPr>
              <w:t>,</w:t>
            </w:r>
            <w:r w:rsidRPr="00FD1605">
              <w:rPr>
                <w:rFonts w:eastAsia="Times New Roman" w:cs="Calibri"/>
                <w:color w:val="000000"/>
                <w:szCs w:val="18"/>
                <w:lang w:val="nl-NL" w:eastAsia="nl-NL"/>
              </w:rPr>
              <w:t xml:space="preserve"> omdat minder </w:t>
            </w:r>
            <w:r w:rsidRPr="00FD1605" w:rsidR="00675B3E">
              <w:rPr>
                <w:rFonts w:eastAsia="Times New Roman" w:cs="Calibri"/>
                <w:color w:val="000000"/>
                <w:szCs w:val="18"/>
                <w:lang w:val="nl-NL" w:eastAsia="nl-NL"/>
              </w:rPr>
              <w:t xml:space="preserve">soorten </w:t>
            </w:r>
            <w:r w:rsidRPr="00FD1605">
              <w:rPr>
                <w:rFonts w:eastAsia="Times New Roman" w:cs="Calibri"/>
                <w:color w:val="000000"/>
                <w:szCs w:val="18"/>
                <w:lang w:val="nl-NL" w:eastAsia="nl-NL"/>
              </w:rPr>
              <w:t xml:space="preserve">inkomsten worden meegenomen voor de inkomstenverrekening. </w:t>
            </w:r>
            <w:r w:rsidRPr="00FD1605" w:rsidR="00DC58CD">
              <w:rPr>
                <w:rFonts w:eastAsia="Times New Roman" w:cs="Calibri"/>
                <w:color w:val="000000"/>
                <w:szCs w:val="18"/>
                <w:lang w:val="nl-NL" w:eastAsia="nl-NL"/>
              </w:rPr>
              <w:t xml:space="preserve">Doordat minder </w:t>
            </w:r>
            <w:r w:rsidRPr="00FD1605" w:rsidR="00675B3E">
              <w:rPr>
                <w:rFonts w:eastAsia="Times New Roman" w:cs="Calibri"/>
                <w:color w:val="000000"/>
                <w:szCs w:val="18"/>
                <w:lang w:val="nl-NL" w:eastAsia="nl-NL"/>
              </w:rPr>
              <w:t>soorten</w:t>
            </w:r>
            <w:r w:rsidRPr="00FD1605" w:rsidR="00DC58CD">
              <w:rPr>
                <w:rFonts w:eastAsia="Times New Roman" w:cs="Calibri"/>
                <w:color w:val="000000"/>
                <w:szCs w:val="18"/>
                <w:lang w:val="nl-NL" w:eastAsia="nl-NL"/>
              </w:rPr>
              <w:t xml:space="preserve"> inkomsten gemeld hoeven te worden en het om dezelfde </w:t>
            </w:r>
            <w:r w:rsidRPr="00FD1605" w:rsidR="00675B3E">
              <w:rPr>
                <w:rFonts w:eastAsia="Times New Roman" w:cs="Calibri"/>
                <w:color w:val="000000"/>
                <w:szCs w:val="18"/>
                <w:lang w:val="nl-NL" w:eastAsia="nl-NL"/>
              </w:rPr>
              <w:t>inkomsten</w:t>
            </w:r>
            <w:r w:rsidRPr="00FD1605" w:rsidR="00DC58CD">
              <w:rPr>
                <w:rFonts w:eastAsia="Times New Roman" w:cs="Calibri"/>
                <w:color w:val="000000"/>
                <w:szCs w:val="18"/>
                <w:lang w:val="nl-NL" w:eastAsia="nl-NL"/>
              </w:rPr>
              <w:t xml:space="preserve"> gaat </w:t>
            </w:r>
            <w:r w:rsidRPr="00FD1605" w:rsidR="00675B3E">
              <w:rPr>
                <w:rFonts w:eastAsia="Times New Roman" w:cs="Calibri"/>
                <w:color w:val="000000"/>
                <w:szCs w:val="18"/>
                <w:lang w:val="nl-NL" w:eastAsia="nl-NL"/>
              </w:rPr>
              <w:t xml:space="preserve">als </w:t>
            </w:r>
            <w:r w:rsidRPr="00FD1605" w:rsidR="00DC58CD">
              <w:rPr>
                <w:rFonts w:eastAsia="Times New Roman" w:cs="Calibri"/>
                <w:color w:val="000000"/>
                <w:szCs w:val="18"/>
                <w:lang w:val="nl-NL" w:eastAsia="nl-NL"/>
              </w:rPr>
              <w:t xml:space="preserve">voor de </w:t>
            </w:r>
            <w:r w:rsidRPr="00FD1605" w:rsidR="0087348C">
              <w:rPr>
                <w:rFonts w:eastAsia="Times New Roman" w:cs="Calibri"/>
                <w:color w:val="000000"/>
                <w:szCs w:val="18"/>
                <w:lang w:val="nl-NL" w:eastAsia="nl-NL"/>
              </w:rPr>
              <w:t>basis</w:t>
            </w:r>
            <w:r w:rsidRPr="00FD1605" w:rsidR="00DC58CD">
              <w:rPr>
                <w:rFonts w:eastAsia="Times New Roman" w:cs="Calibri"/>
                <w:color w:val="000000"/>
                <w:szCs w:val="18"/>
                <w:lang w:val="nl-NL" w:eastAsia="nl-NL"/>
              </w:rPr>
              <w:t xml:space="preserve">wet, kan de </w:t>
            </w:r>
            <w:r w:rsidRPr="00FD1605" w:rsidR="00851ACA">
              <w:rPr>
                <w:rFonts w:eastAsia="Times New Roman" w:cs="Calibri"/>
                <w:color w:val="000000"/>
                <w:szCs w:val="18"/>
                <w:lang w:val="nl-NL" w:eastAsia="nl-NL"/>
              </w:rPr>
              <w:t>uitkeringsgerechtigde</w:t>
            </w:r>
            <w:r w:rsidRPr="00FD1605" w:rsidR="00DC58CD">
              <w:rPr>
                <w:rFonts w:eastAsia="Times New Roman" w:cs="Calibri"/>
                <w:color w:val="000000"/>
                <w:szCs w:val="18"/>
                <w:lang w:val="nl-NL" w:eastAsia="nl-NL"/>
              </w:rPr>
              <w:t xml:space="preserve"> beter aan diens </w:t>
            </w:r>
            <w:r w:rsidRPr="00FD1605" w:rsidR="004F54F7">
              <w:rPr>
                <w:rFonts w:eastAsia="Times New Roman" w:cs="Calibri"/>
                <w:color w:val="000000"/>
                <w:szCs w:val="18"/>
                <w:lang w:val="nl-NL" w:eastAsia="nl-NL"/>
              </w:rPr>
              <w:t>verplichtingen voldoen.</w:t>
            </w:r>
            <w:r w:rsidR="00DB7B75">
              <w:rPr>
                <w:rFonts w:eastAsia="Times New Roman" w:cs="Calibri"/>
                <w:color w:val="000000"/>
                <w:szCs w:val="18"/>
                <w:lang w:val="nl-NL" w:eastAsia="nl-NL"/>
              </w:rPr>
              <w:t xml:space="preserve"> Voorbeeld hiervan </w:t>
            </w:r>
            <w:r w:rsidR="00143C98">
              <w:rPr>
                <w:rFonts w:eastAsia="Times New Roman" w:cs="Calibri"/>
                <w:color w:val="000000"/>
                <w:szCs w:val="18"/>
                <w:lang w:val="nl-NL" w:eastAsia="nl-NL"/>
              </w:rPr>
              <w:t>is</w:t>
            </w:r>
            <w:r w:rsidR="00DB7B75">
              <w:rPr>
                <w:rFonts w:eastAsia="Times New Roman" w:cs="Calibri"/>
                <w:color w:val="000000"/>
                <w:szCs w:val="18"/>
                <w:lang w:val="nl-NL" w:eastAsia="nl-NL"/>
              </w:rPr>
              <w:t xml:space="preserve"> de studiefinanciering</w:t>
            </w:r>
            <w:r w:rsidR="00E3211C">
              <w:rPr>
                <w:rFonts w:eastAsia="Times New Roman" w:cs="Calibri"/>
                <w:color w:val="000000"/>
                <w:szCs w:val="18"/>
                <w:lang w:val="nl-NL" w:eastAsia="nl-NL"/>
              </w:rPr>
              <w:t>.</w:t>
            </w:r>
            <w:r w:rsidRPr="00FD1605" w:rsidR="004F54F7">
              <w:rPr>
                <w:rFonts w:eastAsia="Times New Roman" w:cs="Calibri"/>
                <w:color w:val="000000"/>
                <w:szCs w:val="18"/>
                <w:lang w:val="nl-NL" w:eastAsia="nl-NL"/>
              </w:rPr>
              <w:t xml:space="preserve"> </w:t>
            </w:r>
            <w:r w:rsidRPr="00FD1605" w:rsidR="00B030C1">
              <w:rPr>
                <w:rFonts w:eastAsia="Times New Roman" w:cs="Calibri"/>
                <w:color w:val="000000"/>
                <w:szCs w:val="18"/>
                <w:lang w:val="nl-NL" w:eastAsia="nl-NL"/>
              </w:rPr>
              <w:t>Daarmee kunnen in individuele gevallen terugvorderingen worden voorkomen.</w:t>
            </w:r>
          </w:p>
        </w:tc>
      </w:tr>
      <w:tr w:rsidRPr="00EB3835" w:rsidR="00836AF5" w:rsidTr="00D50797" w14:paraId="5887CAEE" w14:textId="77777777">
        <w:trPr>
          <w:trHeight w:val="315"/>
        </w:trPr>
        <w:tc>
          <w:tcPr>
            <w:tcW w:w="2005" w:type="dxa"/>
            <w:tcBorders>
              <w:top w:val="nil"/>
              <w:left w:val="single" w:color="auto" w:sz="8" w:space="0"/>
              <w:bottom w:val="single" w:color="auto" w:sz="8" w:space="0"/>
              <w:right w:val="nil"/>
            </w:tcBorders>
            <w:shd w:val="clear" w:color="auto" w:fill="auto"/>
            <w:noWrap/>
          </w:tcPr>
          <w:p w:rsidRPr="00704454" w:rsidR="00836AF5" w:rsidP="00836AF5" w:rsidRDefault="00836AF5" w14:paraId="617091B2"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 xml:space="preserve">Keuzes binnen maatregel </w:t>
            </w:r>
          </w:p>
        </w:tc>
        <w:tc>
          <w:tcPr>
            <w:tcW w:w="8080" w:type="dxa"/>
            <w:tcBorders>
              <w:top w:val="single" w:color="auto" w:sz="4" w:space="0"/>
              <w:left w:val="single" w:color="auto" w:sz="4" w:space="0"/>
              <w:bottom w:val="single" w:color="auto" w:sz="8" w:space="0"/>
              <w:right w:val="single" w:color="auto" w:sz="4" w:space="0"/>
            </w:tcBorders>
            <w:shd w:val="clear" w:color="auto" w:fill="auto"/>
            <w:noWrap/>
          </w:tcPr>
          <w:p w:rsidRPr="00FD1605" w:rsidR="00836AF5" w:rsidP="00836AF5" w:rsidRDefault="00836AF5" w14:paraId="36923A6F" w14:textId="24A05AE4">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Er kan gekozen worden om de vrijlatingsregeling van de TW niet meer te hanteren, maar over te gaan op de vrijlating</w:t>
            </w:r>
            <w:r w:rsidR="00B575DB">
              <w:rPr>
                <w:rFonts w:eastAsia="Times New Roman" w:cs="Calibri"/>
                <w:color w:val="000000"/>
                <w:szCs w:val="18"/>
                <w:lang w:val="nl-NL" w:eastAsia="nl-NL"/>
              </w:rPr>
              <w:t>s</w:t>
            </w:r>
            <w:r w:rsidRPr="00FD1605" w:rsidR="00972C62">
              <w:rPr>
                <w:rFonts w:eastAsia="Times New Roman" w:cs="Calibri"/>
                <w:color w:val="000000"/>
                <w:szCs w:val="18"/>
                <w:lang w:val="nl-NL" w:eastAsia="nl-NL"/>
              </w:rPr>
              <w:t>s</w:t>
            </w:r>
            <w:r w:rsidRPr="00FD1605">
              <w:rPr>
                <w:rFonts w:eastAsia="Times New Roman" w:cs="Calibri"/>
                <w:color w:val="000000"/>
                <w:szCs w:val="18"/>
                <w:lang w:val="nl-NL" w:eastAsia="nl-NL"/>
              </w:rPr>
              <w:t xml:space="preserve">ystematiek van de </w:t>
            </w:r>
            <w:r w:rsidRPr="00FD1605" w:rsidR="0087348C">
              <w:rPr>
                <w:rFonts w:eastAsia="Times New Roman" w:cs="Calibri"/>
                <w:color w:val="000000"/>
                <w:szCs w:val="18"/>
                <w:lang w:val="nl-NL" w:eastAsia="nl-NL"/>
              </w:rPr>
              <w:t xml:space="preserve">basiswetuitkeringen </w:t>
            </w:r>
            <w:r w:rsidRPr="00FD1605">
              <w:rPr>
                <w:rFonts w:eastAsia="Times New Roman" w:cs="Calibri"/>
                <w:color w:val="000000"/>
                <w:szCs w:val="18"/>
                <w:lang w:val="nl-NL" w:eastAsia="nl-NL"/>
              </w:rPr>
              <w:t xml:space="preserve">(een gelijkluidend percentage). Dit is een nog verder gaande vereenvoudiging. </w:t>
            </w:r>
          </w:p>
          <w:p w:rsidRPr="00FD1605" w:rsidR="00836AF5" w:rsidP="00836AF5" w:rsidRDefault="00FC3003" w14:paraId="69540D1C" w14:textId="63C123F0">
            <w:pPr>
              <w:spacing w:after="0" w:line="240" w:lineRule="auto"/>
              <w:rPr>
                <w:rFonts w:eastAsia="Times New Roman" w:cs="Calibri"/>
                <w:color w:val="000000"/>
                <w:szCs w:val="18"/>
                <w:lang w:val="nl-NL" w:eastAsia="nl-NL"/>
              </w:rPr>
            </w:pPr>
            <w:r>
              <w:rPr>
                <w:rFonts w:eastAsia="Times New Roman" w:cs="Calibri"/>
                <w:color w:val="000000"/>
                <w:szCs w:val="18"/>
                <w:lang w:val="nl-NL" w:eastAsia="nl-NL"/>
              </w:rPr>
              <w:t>Z</w:t>
            </w:r>
            <w:r w:rsidRPr="00FD1605" w:rsidR="00836AF5">
              <w:rPr>
                <w:rFonts w:eastAsia="Times New Roman" w:cs="Calibri"/>
                <w:color w:val="000000"/>
                <w:szCs w:val="18"/>
                <w:lang w:val="nl-NL" w:eastAsia="nl-NL"/>
              </w:rPr>
              <w:t xml:space="preserve">ie fiche </w:t>
            </w:r>
            <w:r w:rsidR="00ED633E">
              <w:rPr>
                <w:rFonts w:eastAsia="Times New Roman" w:cs="Calibri"/>
                <w:color w:val="000000"/>
                <w:szCs w:val="18"/>
                <w:lang w:val="nl-NL" w:eastAsia="nl-NL"/>
              </w:rPr>
              <w:t>B.4</w:t>
            </w:r>
            <w:r w:rsidR="000E42AC">
              <w:rPr>
                <w:rFonts w:eastAsia="Times New Roman" w:cs="Calibri"/>
                <w:color w:val="000000"/>
                <w:szCs w:val="18"/>
                <w:lang w:val="nl-NL" w:eastAsia="nl-NL"/>
              </w:rPr>
              <w:t xml:space="preserve"> en</w:t>
            </w:r>
            <w:r w:rsidRPr="00FD1605" w:rsidR="00836AF5">
              <w:rPr>
                <w:rFonts w:eastAsia="Times New Roman" w:cs="Calibri"/>
                <w:color w:val="000000"/>
                <w:szCs w:val="18"/>
                <w:lang w:val="nl-NL" w:eastAsia="nl-NL"/>
              </w:rPr>
              <w:t xml:space="preserve"> </w:t>
            </w:r>
            <w:r w:rsidR="00ED633E">
              <w:rPr>
                <w:rFonts w:eastAsia="Times New Roman" w:cs="Calibri"/>
                <w:color w:val="000000"/>
                <w:szCs w:val="18"/>
                <w:lang w:val="nl-NL" w:eastAsia="nl-NL"/>
              </w:rPr>
              <w:t>B</w:t>
            </w:r>
            <w:r w:rsidRPr="00FD1605" w:rsidR="00836AF5">
              <w:rPr>
                <w:rFonts w:eastAsia="Times New Roman" w:cs="Calibri"/>
                <w:color w:val="000000"/>
                <w:szCs w:val="18"/>
                <w:lang w:val="nl-NL" w:eastAsia="nl-NL"/>
              </w:rPr>
              <w:t>.</w:t>
            </w:r>
            <w:r w:rsidR="00ED633E">
              <w:rPr>
                <w:rFonts w:eastAsia="Times New Roman" w:cs="Calibri"/>
                <w:color w:val="000000"/>
                <w:szCs w:val="18"/>
                <w:lang w:val="nl-NL" w:eastAsia="nl-NL"/>
              </w:rPr>
              <w:t>5</w:t>
            </w:r>
            <w:r w:rsidRPr="00FD1605" w:rsidR="00836AF5">
              <w:rPr>
                <w:rFonts w:eastAsia="Times New Roman" w:cs="Calibri"/>
                <w:color w:val="000000"/>
                <w:szCs w:val="18"/>
                <w:lang w:val="nl-NL" w:eastAsia="nl-NL"/>
              </w:rPr>
              <w:t xml:space="preserve"> voor mogelijke vereenvoudigingen op de vrijlatingsregeling.</w:t>
            </w:r>
          </w:p>
        </w:tc>
      </w:tr>
      <w:tr w:rsidRPr="00EB3835" w:rsidR="00836AF5" w:rsidTr="00D50797" w14:paraId="0A543265" w14:textId="77777777">
        <w:trPr>
          <w:trHeight w:val="315"/>
        </w:trPr>
        <w:tc>
          <w:tcPr>
            <w:tcW w:w="2005" w:type="dxa"/>
            <w:tcBorders>
              <w:top w:val="nil"/>
              <w:left w:val="single" w:color="auto" w:sz="8" w:space="0"/>
              <w:bottom w:val="single" w:color="auto" w:sz="8" w:space="0"/>
              <w:right w:val="nil"/>
            </w:tcBorders>
            <w:shd w:val="clear" w:color="auto" w:fill="auto"/>
            <w:noWrap/>
          </w:tcPr>
          <w:p w:rsidRPr="00704454" w:rsidR="00836AF5" w:rsidP="00836AF5" w:rsidRDefault="00836AF5" w14:paraId="6C80EB8B"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Tijdpad inwerkingtreding</w:t>
            </w:r>
          </w:p>
        </w:tc>
        <w:tc>
          <w:tcPr>
            <w:tcW w:w="8080" w:type="dxa"/>
            <w:tcBorders>
              <w:top w:val="single" w:color="auto" w:sz="4" w:space="0"/>
              <w:left w:val="single" w:color="auto" w:sz="4" w:space="0"/>
              <w:bottom w:val="single" w:color="auto" w:sz="8" w:space="0"/>
              <w:right w:val="single" w:color="auto" w:sz="4" w:space="0"/>
            </w:tcBorders>
            <w:shd w:val="clear" w:color="auto" w:fill="auto"/>
            <w:noWrap/>
          </w:tcPr>
          <w:p w:rsidRPr="00FD1605" w:rsidR="00836AF5" w:rsidP="00836AF5" w:rsidRDefault="00836AF5" w14:paraId="28D92098" w14:textId="038CAD0C">
            <w:pPr>
              <w:pStyle w:val="Lijstopsomteken2"/>
              <w:numPr>
                <w:ilvl w:val="0"/>
                <w:numId w:val="0"/>
              </w:numPr>
              <w:rPr>
                <w:rFonts w:eastAsia="Times New Roman"/>
              </w:rPr>
            </w:pPr>
            <w:r w:rsidRPr="00FD1605">
              <w:rPr>
                <w:rFonts w:eastAsia="Times New Roman"/>
              </w:rPr>
              <w:t xml:space="preserve">De TW (wet) en het AIB moet worden gewijzigd, waarbij de TW overgeheveld wordt van hoofdstuk 2 naar hoofdstuk 3 in het AIB of de definitiebepaling wordt aangepast. </w:t>
            </w:r>
          </w:p>
          <w:p w:rsidRPr="00FD1605" w:rsidR="00836AF5" w:rsidP="00836AF5" w:rsidRDefault="00836AF5" w14:paraId="7CF2D14B" w14:textId="269AC724">
            <w:pPr>
              <w:pStyle w:val="Lijstopsomteken2"/>
              <w:numPr>
                <w:ilvl w:val="0"/>
                <w:numId w:val="0"/>
              </w:numPr>
              <w:rPr>
                <w:iCs/>
              </w:rPr>
            </w:pPr>
            <w:r w:rsidRPr="00FD1605">
              <w:rPr>
                <w:rFonts w:eastAsia="Times New Roman"/>
              </w:rPr>
              <w:t xml:space="preserve">Als </w:t>
            </w:r>
            <w:r w:rsidRPr="00FD1605">
              <w:rPr>
                <w:iCs/>
              </w:rPr>
              <w:t xml:space="preserve">algemeen uitgangspunt wordt bij een wetswijziging uitgegaan van een wetgevingstraject dat gemiddeld 2 jaar duurt en </w:t>
            </w:r>
            <w:r w:rsidR="002426D8">
              <w:rPr>
                <w:iCs/>
              </w:rPr>
              <w:t>8</w:t>
            </w:r>
            <w:r w:rsidRPr="00FD1605" w:rsidR="002426D8">
              <w:rPr>
                <w:iCs/>
              </w:rPr>
              <w:t xml:space="preserve"> </w:t>
            </w:r>
            <w:r w:rsidRPr="00FD1605">
              <w:rPr>
                <w:iCs/>
              </w:rPr>
              <w:t xml:space="preserve">maanden voor lagere regelgeving. </w:t>
            </w:r>
          </w:p>
        </w:tc>
      </w:tr>
      <w:tr w:rsidRPr="00EB3835" w:rsidR="00836AF5" w:rsidTr="00D50797" w14:paraId="7DE4B8E6" w14:textId="77777777">
        <w:trPr>
          <w:trHeight w:val="315"/>
        </w:trPr>
        <w:tc>
          <w:tcPr>
            <w:tcW w:w="2005" w:type="dxa"/>
            <w:tcBorders>
              <w:top w:val="nil"/>
              <w:left w:val="single" w:color="auto" w:sz="8" w:space="0"/>
              <w:bottom w:val="single" w:color="auto" w:sz="8" w:space="0"/>
              <w:right w:val="nil"/>
            </w:tcBorders>
            <w:shd w:val="clear" w:color="auto" w:fill="auto"/>
            <w:noWrap/>
          </w:tcPr>
          <w:p w:rsidRPr="00704454" w:rsidR="00836AF5" w:rsidP="00836AF5" w:rsidRDefault="00836AF5" w14:paraId="5B1E01D0"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Juridische haalbaarheid</w:t>
            </w:r>
          </w:p>
        </w:tc>
        <w:tc>
          <w:tcPr>
            <w:tcW w:w="8080" w:type="dxa"/>
            <w:tcBorders>
              <w:top w:val="single" w:color="auto" w:sz="4" w:space="0"/>
              <w:left w:val="single" w:color="auto" w:sz="4" w:space="0"/>
              <w:bottom w:val="single" w:color="auto" w:sz="8" w:space="0"/>
              <w:right w:val="single" w:color="auto" w:sz="4" w:space="0"/>
            </w:tcBorders>
            <w:shd w:val="clear" w:color="auto" w:fill="auto"/>
            <w:noWrap/>
          </w:tcPr>
          <w:p w:rsidRPr="00FD1605" w:rsidR="00836AF5" w:rsidP="00836AF5" w:rsidRDefault="00836AF5" w14:paraId="77A4873A" w14:textId="59FF8B78">
            <w:pPr>
              <w:spacing w:after="0" w:line="240" w:lineRule="auto"/>
              <w:rPr>
                <w:rFonts w:eastAsia="Times New Roman" w:cs="Calibri"/>
                <w:color w:val="000000"/>
                <w:szCs w:val="18"/>
                <w:lang w:val="nl-NL" w:eastAsia="nl-NL"/>
              </w:rPr>
            </w:pPr>
            <w:r w:rsidRPr="00FD1605">
              <w:rPr>
                <w:color w:val="000000"/>
                <w:szCs w:val="18"/>
                <w:lang w:val="nl-NL" w:eastAsia="nl-NL"/>
              </w:rPr>
              <w:t xml:space="preserve">Er is aanpassing van zowel wetgeving als lagere regelgeving vereist. </w:t>
            </w:r>
            <w:r w:rsidR="007111C5">
              <w:rPr>
                <w:color w:val="000000"/>
                <w:szCs w:val="18"/>
                <w:lang w:val="nl-NL" w:eastAsia="nl-NL"/>
              </w:rPr>
              <w:t xml:space="preserve">Deze maatregel is juridisch uitlegbaar: de aansluiting bij het inkomensbegrip gaat voor alle basiswetten gelden en de maatregel heeft </w:t>
            </w:r>
            <w:r w:rsidR="00132616">
              <w:rPr>
                <w:color w:val="000000"/>
                <w:szCs w:val="18"/>
                <w:lang w:val="nl-NL" w:eastAsia="nl-NL"/>
              </w:rPr>
              <w:t>g</w:t>
            </w:r>
            <w:r w:rsidR="007111C5">
              <w:rPr>
                <w:color w:val="000000"/>
                <w:szCs w:val="18"/>
                <w:lang w:val="nl-NL" w:eastAsia="nl-NL"/>
              </w:rPr>
              <w:t xml:space="preserve">een </w:t>
            </w:r>
            <w:r w:rsidR="00132616">
              <w:rPr>
                <w:color w:val="000000"/>
                <w:szCs w:val="18"/>
                <w:lang w:val="nl-NL" w:eastAsia="nl-NL"/>
              </w:rPr>
              <w:t>negatieve</w:t>
            </w:r>
            <w:r w:rsidR="007111C5">
              <w:rPr>
                <w:color w:val="000000"/>
                <w:szCs w:val="18"/>
                <w:lang w:val="nl-NL" w:eastAsia="nl-NL"/>
              </w:rPr>
              <w:t xml:space="preserve"> inkomenseffect</w:t>
            </w:r>
            <w:r w:rsidR="00132616">
              <w:rPr>
                <w:color w:val="000000"/>
                <w:szCs w:val="18"/>
                <w:lang w:val="nl-NL" w:eastAsia="nl-NL"/>
              </w:rPr>
              <w:t>en.</w:t>
            </w:r>
          </w:p>
        </w:tc>
      </w:tr>
      <w:tr w:rsidRPr="00EB3835" w:rsidR="00836AF5" w:rsidTr="00D50797" w14:paraId="762B5C89" w14:textId="77777777">
        <w:trPr>
          <w:trHeight w:val="315"/>
        </w:trPr>
        <w:tc>
          <w:tcPr>
            <w:tcW w:w="2005" w:type="dxa"/>
            <w:tcBorders>
              <w:top w:val="nil"/>
              <w:left w:val="single" w:color="auto" w:sz="8" w:space="0"/>
              <w:bottom w:val="single" w:color="auto" w:sz="8" w:space="0"/>
              <w:right w:val="nil"/>
            </w:tcBorders>
            <w:shd w:val="clear" w:color="auto" w:fill="auto"/>
            <w:noWrap/>
          </w:tcPr>
          <w:p w:rsidRPr="00704454" w:rsidR="00836AF5" w:rsidP="00836AF5" w:rsidRDefault="00836AF5" w14:paraId="4A964112"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Uitvoerbaarheid</w:t>
            </w:r>
          </w:p>
        </w:tc>
        <w:tc>
          <w:tcPr>
            <w:tcW w:w="8080" w:type="dxa"/>
            <w:tcBorders>
              <w:top w:val="single" w:color="auto" w:sz="4" w:space="0"/>
              <w:left w:val="single" w:color="auto" w:sz="4" w:space="0"/>
              <w:bottom w:val="single" w:color="auto" w:sz="8" w:space="0"/>
              <w:right w:val="single" w:color="auto" w:sz="4" w:space="0"/>
            </w:tcBorders>
            <w:shd w:val="clear" w:color="auto" w:fill="auto"/>
            <w:noWrap/>
          </w:tcPr>
          <w:p w:rsidRPr="00FD1605" w:rsidR="00836AF5" w:rsidP="00836AF5" w:rsidRDefault="00836AF5" w14:paraId="3C93337F" w14:textId="35D147D7">
            <w:pPr>
              <w:spacing w:after="0" w:line="240" w:lineRule="auto"/>
              <w:rPr>
                <w:szCs w:val="18"/>
                <w:lang w:val="nl-NL"/>
              </w:rPr>
            </w:pPr>
            <w:r w:rsidRPr="00FD1605">
              <w:rPr>
                <w:szCs w:val="18"/>
                <w:lang w:val="nl-NL"/>
              </w:rPr>
              <w:t xml:space="preserve">Deze maatregel betreft een vereenvoudiging voor de uitvoering doordat er met minder soorten inkomsten (van zowel de uitkeringsgerechtigde als diens partner) rekening gehouden hoeft te worden.  </w:t>
            </w:r>
          </w:p>
        </w:tc>
      </w:tr>
      <w:tr w:rsidRPr="00FD1605" w:rsidR="00836AF5" w:rsidTr="00D50797" w14:paraId="0CC063AC" w14:textId="77777777">
        <w:trPr>
          <w:trHeight w:val="315"/>
        </w:trPr>
        <w:tc>
          <w:tcPr>
            <w:tcW w:w="2005" w:type="dxa"/>
            <w:tcBorders>
              <w:top w:val="nil"/>
              <w:left w:val="single" w:color="auto" w:sz="8" w:space="0"/>
              <w:bottom w:val="single" w:color="auto" w:sz="8" w:space="0"/>
              <w:right w:val="nil"/>
            </w:tcBorders>
            <w:shd w:val="clear" w:color="auto" w:fill="auto"/>
            <w:noWrap/>
          </w:tcPr>
          <w:p w:rsidRPr="00704454" w:rsidR="00836AF5" w:rsidP="00836AF5" w:rsidRDefault="00836AF5" w14:paraId="7889F16C"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Financiële effecten</w:t>
            </w:r>
          </w:p>
        </w:tc>
        <w:tc>
          <w:tcPr>
            <w:tcW w:w="8080" w:type="dxa"/>
            <w:tcBorders>
              <w:top w:val="single" w:color="auto" w:sz="4" w:space="0"/>
              <w:left w:val="single" w:color="auto" w:sz="4" w:space="0"/>
              <w:bottom w:val="single" w:color="auto" w:sz="8" w:space="0"/>
              <w:right w:val="single" w:color="auto" w:sz="4" w:space="0"/>
            </w:tcBorders>
            <w:shd w:val="clear" w:color="auto" w:fill="auto"/>
            <w:noWrap/>
          </w:tcPr>
          <w:p w:rsidRPr="00704454" w:rsidR="00836AF5" w:rsidP="00836AF5" w:rsidRDefault="00836AF5" w14:paraId="5EFFAD99" w14:textId="649DBEF6">
            <w:pPr>
              <w:spacing w:after="0" w:line="240" w:lineRule="auto"/>
              <w:rPr>
                <w:rFonts w:eastAsia="Times New Roman" w:cs="Calibri"/>
                <w:color w:val="000000"/>
                <w:szCs w:val="18"/>
                <w:lang w:val="nl-NL" w:eastAsia="nl-NL"/>
              </w:rPr>
            </w:pPr>
          </w:p>
          <w:tbl>
            <w:tblPr>
              <w:tblStyle w:val="Tabelraster"/>
              <w:tblpPr w:leftFromText="141" w:rightFromText="141" w:vertAnchor="page" w:horzAnchor="margin" w:tblpY="541"/>
              <w:tblOverlap w:val="never"/>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1E0" w:firstRow="1" w:lastRow="1" w:firstColumn="1" w:lastColumn="1" w:noHBand="0" w:noVBand="0"/>
            </w:tblPr>
            <w:tblGrid>
              <w:gridCol w:w="2055"/>
              <w:gridCol w:w="816"/>
              <w:gridCol w:w="812"/>
              <w:gridCol w:w="812"/>
              <w:gridCol w:w="812"/>
              <w:gridCol w:w="812"/>
              <w:gridCol w:w="812"/>
              <w:gridCol w:w="1001"/>
            </w:tblGrid>
            <w:tr w:rsidRPr="00FD1605" w:rsidR="00836AF5" w:rsidTr="00D50797" w14:paraId="2F5125A4" w14:textId="77777777">
              <w:tc>
                <w:tcPr>
                  <w:tcW w:w="1295" w:type="pct"/>
                  <w:tcBorders>
                    <w:top w:val="single" w:color="auto" w:sz="4" w:space="0"/>
                    <w:left w:val="single" w:color="auto" w:sz="4" w:space="0"/>
                  </w:tcBorders>
                </w:tcPr>
                <w:p w:rsidRPr="00FD1605" w:rsidR="00836AF5" w:rsidP="00836AF5" w:rsidRDefault="00AC215E" w14:paraId="11B3C00B" w14:textId="227556B7">
                  <w:pPr>
                    <w:rPr>
                      <w:rFonts w:ascii="Verdana" w:hAnsi="Verdana"/>
                      <w:b/>
                      <w:sz w:val="18"/>
                      <w:szCs w:val="18"/>
                    </w:rPr>
                  </w:pPr>
                  <w:r w:rsidRPr="00FD1605">
                    <w:rPr>
                      <w:rFonts w:ascii="Verdana" w:hAnsi="Verdana"/>
                      <w:bCs/>
                      <w:i/>
                      <w:iCs/>
                      <w:sz w:val="18"/>
                      <w:szCs w:val="18"/>
                    </w:rPr>
                    <w:t>In miljoenen euro’s</w:t>
                  </w:r>
                </w:p>
              </w:tc>
              <w:tc>
                <w:tcPr>
                  <w:tcW w:w="514" w:type="pct"/>
                  <w:tcBorders>
                    <w:top w:val="single" w:color="auto" w:sz="4" w:space="0"/>
                  </w:tcBorders>
                </w:tcPr>
                <w:p w:rsidRPr="00FD1605" w:rsidR="00836AF5" w:rsidP="00836AF5" w:rsidRDefault="00836AF5" w14:paraId="37DB2A55" w14:textId="4EB4EF69">
                  <w:pPr>
                    <w:jc w:val="right"/>
                    <w:rPr>
                      <w:rFonts w:ascii="Verdana" w:hAnsi="Verdana"/>
                      <w:b/>
                      <w:bCs/>
                      <w:sz w:val="18"/>
                      <w:szCs w:val="18"/>
                    </w:rPr>
                  </w:pPr>
                  <w:r w:rsidRPr="00FD1605">
                    <w:rPr>
                      <w:rFonts w:ascii="Verdana" w:hAnsi="Verdana"/>
                      <w:b/>
                      <w:bCs/>
                      <w:sz w:val="18"/>
                      <w:szCs w:val="18"/>
                    </w:rPr>
                    <w:t>202</w:t>
                  </w:r>
                  <w:r w:rsidR="00EF5ECD">
                    <w:rPr>
                      <w:rFonts w:ascii="Verdana" w:hAnsi="Verdana"/>
                      <w:b/>
                      <w:bCs/>
                      <w:sz w:val="18"/>
                      <w:szCs w:val="18"/>
                    </w:rPr>
                    <w:t>6</w:t>
                  </w:r>
                </w:p>
              </w:tc>
              <w:tc>
                <w:tcPr>
                  <w:tcW w:w="512" w:type="pct"/>
                  <w:tcBorders>
                    <w:top w:val="single" w:color="auto" w:sz="4" w:space="0"/>
                  </w:tcBorders>
                </w:tcPr>
                <w:p w:rsidRPr="00FD1605" w:rsidR="00836AF5" w:rsidP="00836AF5" w:rsidRDefault="00836AF5" w14:paraId="6DF3CB87" w14:textId="5D0A943C">
                  <w:pPr>
                    <w:jc w:val="right"/>
                    <w:rPr>
                      <w:rFonts w:ascii="Verdana" w:hAnsi="Verdana"/>
                      <w:b/>
                      <w:bCs/>
                      <w:sz w:val="18"/>
                      <w:szCs w:val="18"/>
                    </w:rPr>
                  </w:pPr>
                  <w:r w:rsidRPr="00FD1605">
                    <w:rPr>
                      <w:rFonts w:ascii="Verdana" w:hAnsi="Verdana"/>
                      <w:b/>
                      <w:bCs/>
                      <w:sz w:val="18"/>
                      <w:szCs w:val="18"/>
                    </w:rPr>
                    <w:t>202</w:t>
                  </w:r>
                  <w:r w:rsidR="00EF5ECD">
                    <w:rPr>
                      <w:rFonts w:ascii="Verdana" w:hAnsi="Verdana"/>
                      <w:b/>
                      <w:bCs/>
                      <w:sz w:val="18"/>
                      <w:szCs w:val="18"/>
                    </w:rPr>
                    <w:t>7</w:t>
                  </w:r>
                </w:p>
              </w:tc>
              <w:tc>
                <w:tcPr>
                  <w:tcW w:w="512" w:type="pct"/>
                  <w:tcBorders>
                    <w:top w:val="single" w:color="auto" w:sz="4" w:space="0"/>
                  </w:tcBorders>
                </w:tcPr>
                <w:p w:rsidRPr="00FD1605" w:rsidR="00836AF5" w:rsidP="00836AF5" w:rsidRDefault="00836AF5" w14:paraId="3CD3F347" w14:textId="24B87AC0">
                  <w:pPr>
                    <w:jc w:val="right"/>
                    <w:rPr>
                      <w:rFonts w:ascii="Verdana" w:hAnsi="Verdana"/>
                      <w:b/>
                      <w:bCs/>
                      <w:sz w:val="18"/>
                      <w:szCs w:val="18"/>
                    </w:rPr>
                  </w:pPr>
                  <w:r w:rsidRPr="00FD1605">
                    <w:rPr>
                      <w:rFonts w:ascii="Verdana" w:hAnsi="Verdana"/>
                      <w:b/>
                      <w:bCs/>
                      <w:sz w:val="18"/>
                      <w:szCs w:val="18"/>
                    </w:rPr>
                    <w:t>202</w:t>
                  </w:r>
                  <w:r w:rsidR="00EF5ECD">
                    <w:rPr>
                      <w:rFonts w:ascii="Verdana" w:hAnsi="Verdana"/>
                      <w:b/>
                      <w:bCs/>
                      <w:sz w:val="18"/>
                      <w:szCs w:val="18"/>
                    </w:rPr>
                    <w:t>8</w:t>
                  </w:r>
                </w:p>
              </w:tc>
              <w:tc>
                <w:tcPr>
                  <w:tcW w:w="512" w:type="pct"/>
                  <w:tcBorders>
                    <w:top w:val="single" w:color="auto" w:sz="4" w:space="0"/>
                  </w:tcBorders>
                </w:tcPr>
                <w:p w:rsidRPr="00FD1605" w:rsidR="00836AF5" w:rsidP="00836AF5" w:rsidRDefault="00836AF5" w14:paraId="2A28C0BD" w14:textId="31502CB3">
                  <w:pPr>
                    <w:jc w:val="right"/>
                    <w:rPr>
                      <w:rFonts w:ascii="Verdana" w:hAnsi="Verdana"/>
                      <w:b/>
                      <w:bCs/>
                      <w:sz w:val="18"/>
                      <w:szCs w:val="18"/>
                    </w:rPr>
                  </w:pPr>
                  <w:r w:rsidRPr="00FD1605">
                    <w:rPr>
                      <w:rFonts w:ascii="Verdana" w:hAnsi="Verdana"/>
                      <w:b/>
                      <w:bCs/>
                      <w:sz w:val="18"/>
                      <w:szCs w:val="18"/>
                    </w:rPr>
                    <w:t>202</w:t>
                  </w:r>
                  <w:r w:rsidR="00EF5ECD">
                    <w:rPr>
                      <w:rFonts w:ascii="Verdana" w:hAnsi="Verdana"/>
                      <w:b/>
                      <w:bCs/>
                      <w:sz w:val="18"/>
                      <w:szCs w:val="18"/>
                    </w:rPr>
                    <w:t>9</w:t>
                  </w:r>
                </w:p>
              </w:tc>
              <w:tc>
                <w:tcPr>
                  <w:tcW w:w="512" w:type="pct"/>
                  <w:tcBorders>
                    <w:top w:val="single" w:color="auto" w:sz="4" w:space="0"/>
                  </w:tcBorders>
                </w:tcPr>
                <w:p w:rsidRPr="00FD1605" w:rsidR="00836AF5" w:rsidP="00836AF5" w:rsidRDefault="00836AF5" w14:paraId="7876D33F" w14:textId="15E4E84F">
                  <w:pPr>
                    <w:jc w:val="right"/>
                    <w:rPr>
                      <w:rFonts w:ascii="Verdana" w:hAnsi="Verdana"/>
                      <w:b/>
                      <w:bCs/>
                      <w:sz w:val="18"/>
                      <w:szCs w:val="18"/>
                    </w:rPr>
                  </w:pPr>
                  <w:r w:rsidRPr="00FD1605">
                    <w:rPr>
                      <w:rFonts w:ascii="Verdana" w:hAnsi="Verdana"/>
                      <w:b/>
                      <w:bCs/>
                      <w:sz w:val="18"/>
                      <w:szCs w:val="18"/>
                    </w:rPr>
                    <w:t>20</w:t>
                  </w:r>
                  <w:r w:rsidR="00EF5ECD">
                    <w:rPr>
                      <w:rFonts w:ascii="Verdana" w:hAnsi="Verdana"/>
                      <w:b/>
                      <w:bCs/>
                      <w:sz w:val="18"/>
                      <w:szCs w:val="18"/>
                    </w:rPr>
                    <w:t>30</w:t>
                  </w:r>
                </w:p>
              </w:tc>
              <w:tc>
                <w:tcPr>
                  <w:tcW w:w="512" w:type="pct"/>
                  <w:tcBorders>
                    <w:top w:val="single" w:color="auto" w:sz="4" w:space="0"/>
                  </w:tcBorders>
                </w:tcPr>
                <w:p w:rsidRPr="00FD1605" w:rsidR="00836AF5" w:rsidP="00836AF5" w:rsidRDefault="00836AF5" w14:paraId="019307C2" w14:textId="6109C3E1">
                  <w:pPr>
                    <w:jc w:val="right"/>
                    <w:rPr>
                      <w:rFonts w:ascii="Verdana" w:hAnsi="Verdana"/>
                      <w:b/>
                      <w:bCs/>
                      <w:sz w:val="18"/>
                      <w:szCs w:val="18"/>
                    </w:rPr>
                  </w:pPr>
                  <w:r w:rsidRPr="00FD1605">
                    <w:rPr>
                      <w:rFonts w:ascii="Verdana" w:hAnsi="Verdana"/>
                      <w:b/>
                      <w:bCs/>
                      <w:sz w:val="18"/>
                      <w:szCs w:val="18"/>
                    </w:rPr>
                    <w:t>203</w:t>
                  </w:r>
                  <w:r w:rsidR="00EF5ECD">
                    <w:rPr>
                      <w:rFonts w:ascii="Verdana" w:hAnsi="Verdana"/>
                      <w:b/>
                      <w:bCs/>
                      <w:sz w:val="18"/>
                      <w:szCs w:val="18"/>
                    </w:rPr>
                    <w:t>1</w:t>
                  </w:r>
                </w:p>
              </w:tc>
              <w:tc>
                <w:tcPr>
                  <w:tcW w:w="631" w:type="pct"/>
                  <w:tcBorders>
                    <w:top w:val="single" w:color="auto" w:sz="4" w:space="0"/>
                  </w:tcBorders>
                </w:tcPr>
                <w:p w:rsidRPr="00FD1605" w:rsidR="00836AF5" w:rsidP="00836AF5" w:rsidRDefault="00836AF5" w14:paraId="009D584D" w14:textId="77777777">
                  <w:pPr>
                    <w:jc w:val="right"/>
                    <w:rPr>
                      <w:rFonts w:ascii="Verdana" w:hAnsi="Verdana"/>
                      <w:b/>
                      <w:bCs/>
                      <w:sz w:val="18"/>
                      <w:szCs w:val="18"/>
                    </w:rPr>
                  </w:pPr>
                  <w:proofErr w:type="spellStart"/>
                  <w:r w:rsidRPr="00FD1605">
                    <w:rPr>
                      <w:rFonts w:ascii="Verdana" w:hAnsi="Verdana"/>
                      <w:b/>
                      <w:bCs/>
                      <w:sz w:val="18"/>
                      <w:szCs w:val="18"/>
                    </w:rPr>
                    <w:t>Struc</w:t>
                  </w:r>
                  <w:proofErr w:type="spellEnd"/>
                  <w:r w:rsidRPr="00FD1605">
                    <w:rPr>
                      <w:rFonts w:ascii="Verdana" w:hAnsi="Verdana"/>
                      <w:b/>
                      <w:bCs/>
                      <w:sz w:val="18"/>
                      <w:szCs w:val="18"/>
                    </w:rPr>
                    <w:t>.</w:t>
                  </w:r>
                </w:p>
              </w:tc>
            </w:tr>
            <w:tr w:rsidRPr="00FD1605" w:rsidR="00836AF5" w:rsidTr="00D50797" w14:paraId="44FAF82B" w14:textId="77777777">
              <w:tc>
                <w:tcPr>
                  <w:tcW w:w="1295" w:type="pct"/>
                </w:tcPr>
                <w:p w:rsidRPr="00FD1605" w:rsidR="00836AF5" w:rsidP="00836AF5" w:rsidRDefault="00836AF5" w14:paraId="571DD53C" w14:textId="77777777">
                  <w:pPr>
                    <w:rPr>
                      <w:rFonts w:ascii="Verdana" w:hAnsi="Verdana"/>
                      <w:sz w:val="18"/>
                      <w:szCs w:val="18"/>
                    </w:rPr>
                  </w:pPr>
                  <w:r w:rsidRPr="00FD1605">
                    <w:rPr>
                      <w:rFonts w:ascii="Verdana" w:hAnsi="Verdana"/>
                      <w:sz w:val="18"/>
                      <w:szCs w:val="18"/>
                    </w:rPr>
                    <w:t>Algemene effecten</w:t>
                  </w:r>
                </w:p>
              </w:tc>
              <w:tc>
                <w:tcPr>
                  <w:tcW w:w="514" w:type="pct"/>
                </w:tcPr>
                <w:p w:rsidRPr="00FD1605" w:rsidR="00836AF5" w:rsidP="00836AF5" w:rsidRDefault="00836AF5" w14:paraId="2E8A4962" w14:textId="77777777">
                  <w:pPr>
                    <w:jc w:val="right"/>
                    <w:rPr>
                      <w:rFonts w:ascii="Verdana" w:hAnsi="Verdana"/>
                      <w:sz w:val="18"/>
                      <w:szCs w:val="18"/>
                    </w:rPr>
                  </w:pPr>
                </w:p>
              </w:tc>
              <w:tc>
                <w:tcPr>
                  <w:tcW w:w="512" w:type="pct"/>
                </w:tcPr>
                <w:p w:rsidRPr="00FD1605" w:rsidR="00836AF5" w:rsidP="00836AF5" w:rsidRDefault="00836AF5" w14:paraId="0A2E0A06" w14:textId="77777777">
                  <w:pPr>
                    <w:jc w:val="right"/>
                    <w:rPr>
                      <w:rFonts w:ascii="Verdana" w:hAnsi="Verdana"/>
                      <w:sz w:val="18"/>
                      <w:szCs w:val="18"/>
                    </w:rPr>
                  </w:pPr>
                </w:p>
              </w:tc>
              <w:tc>
                <w:tcPr>
                  <w:tcW w:w="512" w:type="pct"/>
                </w:tcPr>
                <w:p w:rsidRPr="00FD1605" w:rsidR="00836AF5" w:rsidP="00836AF5" w:rsidRDefault="00414EA4" w14:paraId="23433E5B" w14:textId="29BB45E1">
                  <w:pPr>
                    <w:jc w:val="right"/>
                    <w:rPr>
                      <w:rFonts w:ascii="Verdana" w:hAnsi="Verdana"/>
                      <w:sz w:val="18"/>
                      <w:szCs w:val="18"/>
                    </w:rPr>
                  </w:pPr>
                  <w:r w:rsidRPr="00FD1605">
                    <w:rPr>
                      <w:rFonts w:ascii="Verdana" w:hAnsi="Verdana"/>
                      <w:sz w:val="18"/>
                      <w:szCs w:val="18"/>
                    </w:rPr>
                    <w:t>-</w:t>
                  </w:r>
                </w:p>
              </w:tc>
              <w:tc>
                <w:tcPr>
                  <w:tcW w:w="512" w:type="pct"/>
                </w:tcPr>
                <w:p w:rsidRPr="00FD1605" w:rsidR="00836AF5" w:rsidP="00836AF5" w:rsidRDefault="00414EA4" w14:paraId="65BBE90C" w14:textId="086E523B">
                  <w:pPr>
                    <w:jc w:val="right"/>
                    <w:rPr>
                      <w:rFonts w:ascii="Verdana" w:hAnsi="Verdana"/>
                      <w:sz w:val="18"/>
                      <w:szCs w:val="18"/>
                    </w:rPr>
                  </w:pPr>
                  <w:r w:rsidRPr="00FD1605">
                    <w:rPr>
                      <w:rFonts w:ascii="Verdana" w:hAnsi="Verdana"/>
                      <w:sz w:val="18"/>
                      <w:szCs w:val="18"/>
                    </w:rPr>
                    <w:t>-</w:t>
                  </w:r>
                </w:p>
              </w:tc>
              <w:tc>
                <w:tcPr>
                  <w:tcW w:w="512" w:type="pct"/>
                </w:tcPr>
                <w:p w:rsidRPr="00FD1605" w:rsidR="00836AF5" w:rsidP="00836AF5" w:rsidRDefault="00414EA4" w14:paraId="74E84FD7" w14:textId="21DAD436">
                  <w:pPr>
                    <w:jc w:val="right"/>
                    <w:rPr>
                      <w:rFonts w:ascii="Verdana" w:hAnsi="Verdana"/>
                      <w:sz w:val="18"/>
                      <w:szCs w:val="18"/>
                    </w:rPr>
                  </w:pPr>
                  <w:r w:rsidRPr="00FD1605">
                    <w:rPr>
                      <w:rFonts w:ascii="Verdana" w:hAnsi="Verdana"/>
                      <w:sz w:val="18"/>
                      <w:szCs w:val="18"/>
                    </w:rPr>
                    <w:t>-</w:t>
                  </w:r>
                </w:p>
              </w:tc>
              <w:tc>
                <w:tcPr>
                  <w:tcW w:w="512" w:type="pct"/>
                </w:tcPr>
                <w:p w:rsidRPr="00FD1605" w:rsidR="00836AF5" w:rsidP="00836AF5" w:rsidRDefault="00414EA4" w14:paraId="0F4BED2F" w14:textId="7EA3FAAB">
                  <w:pPr>
                    <w:jc w:val="right"/>
                    <w:rPr>
                      <w:rFonts w:ascii="Verdana" w:hAnsi="Verdana"/>
                      <w:sz w:val="18"/>
                      <w:szCs w:val="18"/>
                    </w:rPr>
                  </w:pPr>
                  <w:r w:rsidRPr="00FD1605">
                    <w:rPr>
                      <w:rFonts w:ascii="Verdana" w:hAnsi="Verdana"/>
                      <w:sz w:val="18"/>
                      <w:szCs w:val="18"/>
                    </w:rPr>
                    <w:t>-</w:t>
                  </w:r>
                </w:p>
              </w:tc>
              <w:tc>
                <w:tcPr>
                  <w:tcW w:w="631" w:type="pct"/>
                </w:tcPr>
                <w:p w:rsidRPr="00FD1605" w:rsidR="00836AF5" w:rsidP="00836AF5" w:rsidRDefault="00414EA4" w14:paraId="6ED6E423" w14:textId="1A7AEAF1">
                  <w:pPr>
                    <w:jc w:val="right"/>
                    <w:rPr>
                      <w:rFonts w:ascii="Verdana" w:hAnsi="Verdana"/>
                      <w:sz w:val="18"/>
                      <w:szCs w:val="18"/>
                    </w:rPr>
                  </w:pPr>
                  <w:r w:rsidRPr="00FD1605">
                    <w:rPr>
                      <w:rFonts w:ascii="Verdana" w:hAnsi="Verdana"/>
                      <w:sz w:val="18"/>
                      <w:szCs w:val="18"/>
                    </w:rPr>
                    <w:t>-</w:t>
                  </w:r>
                </w:p>
              </w:tc>
            </w:tr>
            <w:tr w:rsidRPr="00FD1605" w:rsidR="00836AF5" w:rsidTr="00D50797" w14:paraId="68AD1F8C" w14:textId="77777777">
              <w:tc>
                <w:tcPr>
                  <w:tcW w:w="1295" w:type="pct"/>
                </w:tcPr>
                <w:p w:rsidRPr="00FD1605" w:rsidR="00836AF5" w:rsidP="00836AF5" w:rsidRDefault="00836AF5" w14:paraId="6B0F615C" w14:textId="77777777">
                  <w:pPr>
                    <w:rPr>
                      <w:rFonts w:ascii="Verdana" w:hAnsi="Verdana"/>
                      <w:sz w:val="18"/>
                      <w:szCs w:val="18"/>
                    </w:rPr>
                  </w:pPr>
                  <w:r w:rsidRPr="00FD1605">
                    <w:rPr>
                      <w:rFonts w:ascii="Verdana" w:hAnsi="Verdana"/>
                      <w:sz w:val="18"/>
                      <w:szCs w:val="18"/>
                    </w:rPr>
                    <w:t>Weglekeffecten</w:t>
                  </w:r>
                </w:p>
              </w:tc>
              <w:tc>
                <w:tcPr>
                  <w:tcW w:w="514" w:type="pct"/>
                </w:tcPr>
                <w:p w:rsidRPr="00FD1605" w:rsidR="00836AF5" w:rsidP="00836AF5" w:rsidRDefault="00836AF5" w14:paraId="4816FB29" w14:textId="77777777">
                  <w:pPr>
                    <w:jc w:val="right"/>
                    <w:rPr>
                      <w:rFonts w:ascii="Verdana" w:hAnsi="Verdana"/>
                      <w:sz w:val="18"/>
                      <w:szCs w:val="18"/>
                    </w:rPr>
                  </w:pPr>
                </w:p>
              </w:tc>
              <w:tc>
                <w:tcPr>
                  <w:tcW w:w="512" w:type="pct"/>
                </w:tcPr>
                <w:p w:rsidRPr="00FD1605" w:rsidR="00836AF5" w:rsidP="00836AF5" w:rsidRDefault="00836AF5" w14:paraId="34AE2DBC" w14:textId="77777777">
                  <w:pPr>
                    <w:jc w:val="right"/>
                    <w:rPr>
                      <w:rFonts w:ascii="Verdana" w:hAnsi="Verdana"/>
                      <w:sz w:val="18"/>
                      <w:szCs w:val="18"/>
                    </w:rPr>
                  </w:pPr>
                </w:p>
              </w:tc>
              <w:tc>
                <w:tcPr>
                  <w:tcW w:w="512" w:type="pct"/>
                </w:tcPr>
                <w:p w:rsidRPr="00FD1605" w:rsidR="00836AF5" w:rsidP="00836AF5" w:rsidRDefault="00836AF5" w14:paraId="191D56F9" w14:textId="77777777">
                  <w:pPr>
                    <w:jc w:val="right"/>
                    <w:rPr>
                      <w:rFonts w:ascii="Verdana" w:hAnsi="Verdana"/>
                      <w:sz w:val="18"/>
                      <w:szCs w:val="18"/>
                    </w:rPr>
                  </w:pPr>
                </w:p>
              </w:tc>
              <w:tc>
                <w:tcPr>
                  <w:tcW w:w="512" w:type="pct"/>
                </w:tcPr>
                <w:p w:rsidRPr="00FD1605" w:rsidR="00836AF5" w:rsidP="00836AF5" w:rsidRDefault="00836AF5" w14:paraId="159E417C" w14:textId="77777777">
                  <w:pPr>
                    <w:jc w:val="right"/>
                    <w:rPr>
                      <w:rFonts w:ascii="Verdana" w:hAnsi="Verdana"/>
                      <w:sz w:val="18"/>
                      <w:szCs w:val="18"/>
                    </w:rPr>
                  </w:pPr>
                </w:p>
              </w:tc>
              <w:tc>
                <w:tcPr>
                  <w:tcW w:w="512" w:type="pct"/>
                </w:tcPr>
                <w:p w:rsidRPr="00FD1605" w:rsidR="00836AF5" w:rsidP="00836AF5" w:rsidRDefault="00836AF5" w14:paraId="73430045" w14:textId="77777777">
                  <w:pPr>
                    <w:jc w:val="right"/>
                    <w:rPr>
                      <w:rFonts w:ascii="Verdana" w:hAnsi="Verdana"/>
                      <w:sz w:val="18"/>
                      <w:szCs w:val="18"/>
                    </w:rPr>
                  </w:pPr>
                </w:p>
              </w:tc>
              <w:tc>
                <w:tcPr>
                  <w:tcW w:w="512" w:type="pct"/>
                </w:tcPr>
                <w:p w:rsidRPr="00FD1605" w:rsidR="00836AF5" w:rsidP="00836AF5" w:rsidRDefault="00836AF5" w14:paraId="6C6E492E" w14:textId="77777777">
                  <w:pPr>
                    <w:jc w:val="right"/>
                    <w:rPr>
                      <w:rFonts w:ascii="Verdana" w:hAnsi="Verdana"/>
                      <w:sz w:val="18"/>
                      <w:szCs w:val="18"/>
                    </w:rPr>
                  </w:pPr>
                </w:p>
              </w:tc>
              <w:tc>
                <w:tcPr>
                  <w:tcW w:w="631" w:type="pct"/>
                </w:tcPr>
                <w:p w:rsidRPr="00FD1605" w:rsidR="00836AF5" w:rsidP="00836AF5" w:rsidRDefault="00836AF5" w14:paraId="5DFA5C20" w14:textId="77777777">
                  <w:pPr>
                    <w:jc w:val="right"/>
                    <w:rPr>
                      <w:rFonts w:ascii="Verdana" w:hAnsi="Verdana"/>
                      <w:sz w:val="18"/>
                      <w:szCs w:val="18"/>
                    </w:rPr>
                  </w:pPr>
                </w:p>
              </w:tc>
            </w:tr>
            <w:tr w:rsidRPr="00FD1605" w:rsidR="00836AF5" w:rsidTr="00D50797" w14:paraId="41668487" w14:textId="77777777">
              <w:tc>
                <w:tcPr>
                  <w:tcW w:w="1295" w:type="pct"/>
                </w:tcPr>
                <w:p w:rsidRPr="00FD1605" w:rsidR="00836AF5" w:rsidP="00836AF5" w:rsidRDefault="00836AF5" w14:paraId="54A03B97" w14:textId="77777777">
                  <w:pPr>
                    <w:rPr>
                      <w:rFonts w:ascii="Verdana" w:hAnsi="Verdana"/>
                      <w:sz w:val="18"/>
                      <w:szCs w:val="18"/>
                    </w:rPr>
                  </w:pPr>
                  <w:r w:rsidRPr="00FD1605">
                    <w:rPr>
                      <w:rFonts w:ascii="Verdana" w:hAnsi="Verdana"/>
                      <w:sz w:val="18"/>
                      <w:szCs w:val="18"/>
                    </w:rPr>
                    <w:t>Uitvoeringskosten</w:t>
                  </w:r>
                </w:p>
              </w:tc>
              <w:tc>
                <w:tcPr>
                  <w:tcW w:w="514" w:type="pct"/>
                </w:tcPr>
                <w:p w:rsidRPr="00FD1605" w:rsidR="00836AF5" w:rsidP="00836AF5" w:rsidRDefault="00836AF5" w14:paraId="221AE1C1" w14:textId="77777777">
                  <w:pPr>
                    <w:jc w:val="right"/>
                    <w:rPr>
                      <w:rFonts w:ascii="Verdana" w:hAnsi="Verdana"/>
                      <w:sz w:val="18"/>
                      <w:szCs w:val="18"/>
                    </w:rPr>
                  </w:pPr>
                </w:p>
              </w:tc>
              <w:tc>
                <w:tcPr>
                  <w:tcW w:w="512" w:type="pct"/>
                </w:tcPr>
                <w:p w:rsidRPr="00FD1605" w:rsidR="00836AF5" w:rsidP="00836AF5" w:rsidRDefault="00836AF5" w14:paraId="7C53710B" w14:textId="77777777">
                  <w:pPr>
                    <w:jc w:val="right"/>
                    <w:rPr>
                      <w:rFonts w:ascii="Verdana" w:hAnsi="Verdana"/>
                      <w:sz w:val="18"/>
                      <w:szCs w:val="18"/>
                    </w:rPr>
                  </w:pPr>
                </w:p>
              </w:tc>
              <w:tc>
                <w:tcPr>
                  <w:tcW w:w="512" w:type="pct"/>
                </w:tcPr>
                <w:p w:rsidRPr="00FD1605" w:rsidR="00836AF5" w:rsidP="00836AF5" w:rsidRDefault="00836AF5" w14:paraId="28249B39" w14:textId="77777777">
                  <w:pPr>
                    <w:jc w:val="right"/>
                    <w:rPr>
                      <w:rFonts w:ascii="Verdana" w:hAnsi="Verdana"/>
                      <w:sz w:val="18"/>
                      <w:szCs w:val="18"/>
                    </w:rPr>
                  </w:pPr>
                </w:p>
              </w:tc>
              <w:tc>
                <w:tcPr>
                  <w:tcW w:w="512" w:type="pct"/>
                </w:tcPr>
                <w:p w:rsidRPr="00FD1605" w:rsidR="00836AF5" w:rsidP="00836AF5" w:rsidRDefault="00836AF5" w14:paraId="1F63A6A9" w14:textId="77777777">
                  <w:pPr>
                    <w:jc w:val="right"/>
                    <w:rPr>
                      <w:rFonts w:ascii="Verdana" w:hAnsi="Verdana"/>
                      <w:sz w:val="18"/>
                      <w:szCs w:val="18"/>
                    </w:rPr>
                  </w:pPr>
                </w:p>
              </w:tc>
              <w:tc>
                <w:tcPr>
                  <w:tcW w:w="512" w:type="pct"/>
                </w:tcPr>
                <w:p w:rsidRPr="00FD1605" w:rsidR="00836AF5" w:rsidP="00836AF5" w:rsidRDefault="00836AF5" w14:paraId="4CFD69C6" w14:textId="77777777">
                  <w:pPr>
                    <w:jc w:val="right"/>
                    <w:rPr>
                      <w:rFonts w:ascii="Verdana" w:hAnsi="Verdana"/>
                      <w:sz w:val="18"/>
                      <w:szCs w:val="18"/>
                    </w:rPr>
                  </w:pPr>
                </w:p>
              </w:tc>
              <w:tc>
                <w:tcPr>
                  <w:tcW w:w="512" w:type="pct"/>
                </w:tcPr>
                <w:p w:rsidRPr="00FD1605" w:rsidR="00836AF5" w:rsidP="00836AF5" w:rsidRDefault="00836AF5" w14:paraId="30CFBC9A" w14:textId="77777777">
                  <w:pPr>
                    <w:jc w:val="right"/>
                    <w:rPr>
                      <w:rFonts w:ascii="Verdana" w:hAnsi="Verdana"/>
                      <w:sz w:val="18"/>
                      <w:szCs w:val="18"/>
                    </w:rPr>
                  </w:pPr>
                </w:p>
              </w:tc>
              <w:tc>
                <w:tcPr>
                  <w:tcW w:w="631" w:type="pct"/>
                </w:tcPr>
                <w:p w:rsidRPr="00FD1605" w:rsidR="00836AF5" w:rsidP="00836AF5" w:rsidRDefault="00836AF5" w14:paraId="2C833A76" w14:textId="77777777">
                  <w:pPr>
                    <w:jc w:val="right"/>
                    <w:rPr>
                      <w:rFonts w:ascii="Verdana" w:hAnsi="Verdana"/>
                      <w:sz w:val="18"/>
                      <w:szCs w:val="18"/>
                    </w:rPr>
                  </w:pPr>
                </w:p>
              </w:tc>
            </w:tr>
            <w:tr w:rsidRPr="00FD1605" w:rsidR="00836AF5" w:rsidTr="00D50797" w14:paraId="1416C1B5" w14:textId="77777777">
              <w:tc>
                <w:tcPr>
                  <w:tcW w:w="1295" w:type="pct"/>
                </w:tcPr>
                <w:p w:rsidRPr="00FD1605" w:rsidR="00836AF5" w:rsidP="00836AF5" w:rsidRDefault="00836AF5" w14:paraId="14F709B6" w14:textId="77777777">
                  <w:pPr>
                    <w:rPr>
                      <w:rFonts w:ascii="Verdana" w:hAnsi="Verdana"/>
                      <w:sz w:val="18"/>
                      <w:szCs w:val="18"/>
                    </w:rPr>
                  </w:pPr>
                </w:p>
              </w:tc>
              <w:tc>
                <w:tcPr>
                  <w:tcW w:w="514" w:type="pct"/>
                </w:tcPr>
                <w:p w:rsidRPr="00FD1605" w:rsidR="00836AF5" w:rsidP="00836AF5" w:rsidRDefault="00836AF5" w14:paraId="643C3659" w14:textId="77777777">
                  <w:pPr>
                    <w:jc w:val="right"/>
                    <w:rPr>
                      <w:rFonts w:ascii="Verdana" w:hAnsi="Verdana"/>
                      <w:sz w:val="18"/>
                      <w:szCs w:val="18"/>
                    </w:rPr>
                  </w:pPr>
                </w:p>
              </w:tc>
              <w:tc>
                <w:tcPr>
                  <w:tcW w:w="512" w:type="pct"/>
                </w:tcPr>
                <w:p w:rsidRPr="00FD1605" w:rsidR="00836AF5" w:rsidP="00836AF5" w:rsidRDefault="00836AF5" w14:paraId="74FDED1D" w14:textId="77777777">
                  <w:pPr>
                    <w:jc w:val="right"/>
                    <w:rPr>
                      <w:rFonts w:ascii="Verdana" w:hAnsi="Verdana"/>
                      <w:sz w:val="18"/>
                      <w:szCs w:val="18"/>
                    </w:rPr>
                  </w:pPr>
                </w:p>
              </w:tc>
              <w:tc>
                <w:tcPr>
                  <w:tcW w:w="512" w:type="pct"/>
                </w:tcPr>
                <w:p w:rsidRPr="00FD1605" w:rsidR="00836AF5" w:rsidP="00836AF5" w:rsidRDefault="00836AF5" w14:paraId="4C7E6A3F" w14:textId="77777777">
                  <w:pPr>
                    <w:jc w:val="right"/>
                    <w:rPr>
                      <w:rFonts w:ascii="Verdana" w:hAnsi="Verdana"/>
                      <w:sz w:val="18"/>
                      <w:szCs w:val="18"/>
                    </w:rPr>
                  </w:pPr>
                </w:p>
              </w:tc>
              <w:tc>
                <w:tcPr>
                  <w:tcW w:w="512" w:type="pct"/>
                </w:tcPr>
                <w:p w:rsidRPr="00FD1605" w:rsidR="00836AF5" w:rsidP="00836AF5" w:rsidRDefault="00836AF5" w14:paraId="28BEBE57" w14:textId="77777777">
                  <w:pPr>
                    <w:jc w:val="right"/>
                    <w:rPr>
                      <w:rFonts w:ascii="Verdana" w:hAnsi="Verdana"/>
                      <w:sz w:val="18"/>
                      <w:szCs w:val="18"/>
                    </w:rPr>
                  </w:pPr>
                </w:p>
              </w:tc>
              <w:tc>
                <w:tcPr>
                  <w:tcW w:w="512" w:type="pct"/>
                </w:tcPr>
                <w:p w:rsidRPr="00FD1605" w:rsidR="00836AF5" w:rsidP="00836AF5" w:rsidRDefault="00836AF5" w14:paraId="3898E613" w14:textId="77777777">
                  <w:pPr>
                    <w:jc w:val="right"/>
                    <w:rPr>
                      <w:rFonts w:ascii="Verdana" w:hAnsi="Verdana"/>
                      <w:sz w:val="18"/>
                      <w:szCs w:val="18"/>
                    </w:rPr>
                  </w:pPr>
                </w:p>
              </w:tc>
              <w:tc>
                <w:tcPr>
                  <w:tcW w:w="512" w:type="pct"/>
                </w:tcPr>
                <w:p w:rsidRPr="00FD1605" w:rsidR="00836AF5" w:rsidP="00836AF5" w:rsidRDefault="00836AF5" w14:paraId="5CBF31E7" w14:textId="77777777">
                  <w:pPr>
                    <w:jc w:val="right"/>
                    <w:rPr>
                      <w:rFonts w:ascii="Verdana" w:hAnsi="Verdana"/>
                      <w:sz w:val="18"/>
                      <w:szCs w:val="18"/>
                    </w:rPr>
                  </w:pPr>
                </w:p>
              </w:tc>
              <w:tc>
                <w:tcPr>
                  <w:tcW w:w="631" w:type="pct"/>
                </w:tcPr>
                <w:p w:rsidRPr="00FD1605" w:rsidR="00836AF5" w:rsidP="00836AF5" w:rsidRDefault="00836AF5" w14:paraId="2DEA644E" w14:textId="77777777">
                  <w:pPr>
                    <w:jc w:val="right"/>
                    <w:rPr>
                      <w:rFonts w:ascii="Verdana" w:hAnsi="Verdana"/>
                      <w:sz w:val="18"/>
                      <w:szCs w:val="18"/>
                    </w:rPr>
                  </w:pPr>
                </w:p>
              </w:tc>
            </w:tr>
            <w:tr w:rsidRPr="00FD1605" w:rsidR="00836AF5" w:rsidTr="00D50797" w14:paraId="138C2B91" w14:textId="77777777">
              <w:tc>
                <w:tcPr>
                  <w:tcW w:w="1295" w:type="pct"/>
                </w:tcPr>
                <w:p w:rsidRPr="00FD1605" w:rsidR="00836AF5" w:rsidP="00836AF5" w:rsidRDefault="00836AF5" w14:paraId="4811E72A" w14:textId="77777777">
                  <w:pPr>
                    <w:rPr>
                      <w:rFonts w:ascii="Verdana" w:hAnsi="Verdana"/>
                      <w:b/>
                      <w:bCs/>
                      <w:sz w:val="18"/>
                      <w:szCs w:val="18"/>
                    </w:rPr>
                  </w:pPr>
                  <w:r w:rsidRPr="00FD1605">
                    <w:rPr>
                      <w:rFonts w:ascii="Verdana" w:hAnsi="Verdana"/>
                      <w:b/>
                      <w:bCs/>
                      <w:sz w:val="18"/>
                      <w:szCs w:val="18"/>
                    </w:rPr>
                    <w:t>Totaal</w:t>
                  </w:r>
                </w:p>
              </w:tc>
              <w:tc>
                <w:tcPr>
                  <w:tcW w:w="514" w:type="pct"/>
                </w:tcPr>
                <w:p w:rsidRPr="00FD1605" w:rsidR="00836AF5" w:rsidP="00836AF5" w:rsidRDefault="00836AF5" w14:paraId="71DE08C0" w14:textId="77777777">
                  <w:pPr>
                    <w:jc w:val="right"/>
                    <w:rPr>
                      <w:rFonts w:ascii="Verdana" w:hAnsi="Verdana"/>
                      <w:b/>
                      <w:bCs/>
                      <w:sz w:val="18"/>
                      <w:szCs w:val="18"/>
                    </w:rPr>
                  </w:pPr>
                </w:p>
              </w:tc>
              <w:tc>
                <w:tcPr>
                  <w:tcW w:w="512" w:type="pct"/>
                </w:tcPr>
                <w:p w:rsidRPr="00FD1605" w:rsidR="00836AF5" w:rsidP="00836AF5" w:rsidRDefault="00836AF5" w14:paraId="6E02AD6D" w14:textId="77777777">
                  <w:pPr>
                    <w:jc w:val="right"/>
                    <w:rPr>
                      <w:rFonts w:ascii="Verdana" w:hAnsi="Verdana"/>
                      <w:b/>
                      <w:bCs/>
                      <w:sz w:val="18"/>
                      <w:szCs w:val="18"/>
                    </w:rPr>
                  </w:pPr>
                </w:p>
              </w:tc>
              <w:tc>
                <w:tcPr>
                  <w:tcW w:w="512" w:type="pct"/>
                </w:tcPr>
                <w:p w:rsidRPr="00FD1605" w:rsidR="00836AF5" w:rsidP="00836AF5" w:rsidRDefault="00414EA4" w14:paraId="77C41C37" w14:textId="3C840F24">
                  <w:pPr>
                    <w:jc w:val="right"/>
                    <w:rPr>
                      <w:rFonts w:ascii="Verdana" w:hAnsi="Verdana"/>
                      <w:b/>
                      <w:bCs/>
                      <w:sz w:val="18"/>
                      <w:szCs w:val="18"/>
                    </w:rPr>
                  </w:pPr>
                  <w:r w:rsidRPr="00FD1605">
                    <w:rPr>
                      <w:rFonts w:ascii="Verdana" w:hAnsi="Verdana"/>
                      <w:b/>
                      <w:bCs/>
                      <w:sz w:val="18"/>
                      <w:szCs w:val="18"/>
                    </w:rPr>
                    <w:t>-</w:t>
                  </w:r>
                </w:p>
              </w:tc>
              <w:tc>
                <w:tcPr>
                  <w:tcW w:w="512" w:type="pct"/>
                </w:tcPr>
                <w:p w:rsidRPr="00FD1605" w:rsidR="00836AF5" w:rsidP="00836AF5" w:rsidRDefault="00414EA4" w14:paraId="397B604B" w14:textId="7C41968E">
                  <w:pPr>
                    <w:jc w:val="right"/>
                    <w:rPr>
                      <w:rFonts w:ascii="Verdana" w:hAnsi="Verdana"/>
                      <w:b/>
                      <w:bCs/>
                      <w:sz w:val="18"/>
                      <w:szCs w:val="18"/>
                    </w:rPr>
                  </w:pPr>
                  <w:r w:rsidRPr="00FD1605">
                    <w:rPr>
                      <w:rFonts w:ascii="Verdana" w:hAnsi="Verdana"/>
                      <w:b/>
                      <w:bCs/>
                      <w:sz w:val="18"/>
                      <w:szCs w:val="18"/>
                    </w:rPr>
                    <w:t>-</w:t>
                  </w:r>
                </w:p>
              </w:tc>
              <w:tc>
                <w:tcPr>
                  <w:tcW w:w="512" w:type="pct"/>
                </w:tcPr>
                <w:p w:rsidRPr="00FD1605" w:rsidR="00836AF5" w:rsidP="00836AF5" w:rsidRDefault="00414EA4" w14:paraId="4D29EFE4" w14:textId="241EF21E">
                  <w:pPr>
                    <w:jc w:val="right"/>
                    <w:rPr>
                      <w:rFonts w:ascii="Verdana" w:hAnsi="Verdana"/>
                      <w:b/>
                      <w:bCs/>
                      <w:sz w:val="18"/>
                      <w:szCs w:val="18"/>
                    </w:rPr>
                  </w:pPr>
                  <w:r w:rsidRPr="00FD1605">
                    <w:rPr>
                      <w:rFonts w:ascii="Verdana" w:hAnsi="Verdana"/>
                      <w:b/>
                      <w:bCs/>
                      <w:sz w:val="18"/>
                      <w:szCs w:val="18"/>
                    </w:rPr>
                    <w:t>-</w:t>
                  </w:r>
                </w:p>
              </w:tc>
              <w:tc>
                <w:tcPr>
                  <w:tcW w:w="512" w:type="pct"/>
                </w:tcPr>
                <w:p w:rsidRPr="00FD1605" w:rsidR="00836AF5" w:rsidP="00836AF5" w:rsidRDefault="00414EA4" w14:paraId="5CE4E514" w14:textId="39E5C689">
                  <w:pPr>
                    <w:jc w:val="right"/>
                    <w:rPr>
                      <w:rFonts w:ascii="Verdana" w:hAnsi="Verdana"/>
                      <w:b/>
                      <w:bCs/>
                      <w:sz w:val="18"/>
                      <w:szCs w:val="18"/>
                    </w:rPr>
                  </w:pPr>
                  <w:r w:rsidRPr="00FD1605">
                    <w:rPr>
                      <w:rFonts w:ascii="Verdana" w:hAnsi="Verdana"/>
                      <w:b/>
                      <w:bCs/>
                      <w:sz w:val="18"/>
                      <w:szCs w:val="18"/>
                    </w:rPr>
                    <w:t>-</w:t>
                  </w:r>
                </w:p>
              </w:tc>
              <w:tc>
                <w:tcPr>
                  <w:tcW w:w="631" w:type="pct"/>
                </w:tcPr>
                <w:p w:rsidRPr="00FD1605" w:rsidR="00836AF5" w:rsidP="00836AF5" w:rsidRDefault="00414EA4" w14:paraId="543515A5" w14:textId="594D603D">
                  <w:pPr>
                    <w:jc w:val="right"/>
                    <w:rPr>
                      <w:rFonts w:ascii="Verdana" w:hAnsi="Verdana"/>
                      <w:b/>
                      <w:bCs/>
                      <w:sz w:val="18"/>
                      <w:szCs w:val="18"/>
                    </w:rPr>
                  </w:pPr>
                  <w:r w:rsidRPr="00FD1605">
                    <w:rPr>
                      <w:rFonts w:ascii="Verdana" w:hAnsi="Verdana"/>
                      <w:b/>
                      <w:bCs/>
                      <w:sz w:val="18"/>
                      <w:szCs w:val="18"/>
                    </w:rPr>
                    <w:t>-</w:t>
                  </w:r>
                </w:p>
              </w:tc>
            </w:tr>
          </w:tbl>
          <w:p w:rsidRPr="00704454" w:rsidR="00836AF5" w:rsidP="00836AF5" w:rsidRDefault="00836AF5" w14:paraId="0C53FA92" w14:textId="77777777">
            <w:pPr>
              <w:spacing w:after="0" w:line="240" w:lineRule="auto"/>
              <w:rPr>
                <w:rFonts w:eastAsia="Times New Roman" w:cs="Calibri"/>
                <w:color w:val="000000"/>
                <w:szCs w:val="18"/>
                <w:lang w:val="nl-NL" w:eastAsia="nl-NL"/>
              </w:rPr>
            </w:pPr>
          </w:p>
        </w:tc>
      </w:tr>
      <w:tr w:rsidRPr="00FD1605" w:rsidR="00836AF5" w:rsidTr="00D50797" w14:paraId="694DDEC3" w14:textId="77777777">
        <w:trPr>
          <w:trHeight w:val="315"/>
        </w:trPr>
        <w:tc>
          <w:tcPr>
            <w:tcW w:w="2005" w:type="dxa"/>
            <w:tcBorders>
              <w:top w:val="nil"/>
              <w:left w:val="single" w:color="auto" w:sz="8" w:space="0"/>
              <w:bottom w:val="single" w:color="auto" w:sz="8" w:space="0"/>
              <w:right w:val="nil"/>
            </w:tcBorders>
            <w:shd w:val="clear" w:color="auto" w:fill="auto"/>
            <w:noWrap/>
          </w:tcPr>
          <w:p w:rsidRPr="00704454" w:rsidR="00836AF5" w:rsidP="00836AF5" w:rsidRDefault="00836AF5" w14:paraId="4BBC6C8A"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Toelichting raming</w:t>
            </w:r>
          </w:p>
        </w:tc>
        <w:tc>
          <w:tcPr>
            <w:tcW w:w="8080" w:type="dxa"/>
            <w:tcBorders>
              <w:top w:val="single" w:color="auto" w:sz="4" w:space="0"/>
              <w:left w:val="single" w:color="auto" w:sz="4" w:space="0"/>
              <w:bottom w:val="single" w:color="auto" w:sz="8" w:space="0"/>
              <w:right w:val="single" w:color="auto" w:sz="4" w:space="0"/>
            </w:tcBorders>
            <w:shd w:val="clear" w:color="auto" w:fill="auto"/>
            <w:noWrap/>
          </w:tcPr>
          <w:p w:rsidRPr="00FD1605" w:rsidR="00836AF5" w:rsidP="004A4AD1" w:rsidRDefault="00414EA4" w14:paraId="69472470" w14:textId="2D08490A">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 xml:space="preserve">Met deze maatregel worden minder inkomstenbronnen meegerekend voor de hoogte van de TW. Hierdoor nemen de uitkeringslasten van de TW in principe toe. De verwachting is echter dat de inkomstenbronnen die niet meer verrekend worden weinig voorkomen bij deze groep. Ook de Nederlandse Arbeidsinspectie trekt </w:t>
            </w:r>
            <w:r w:rsidRPr="00FD1605" w:rsidR="00700331">
              <w:rPr>
                <w:rFonts w:eastAsia="Times New Roman" w:cs="Calibri"/>
                <w:color w:val="000000"/>
                <w:szCs w:val="18"/>
                <w:lang w:val="nl-NL" w:eastAsia="nl-NL"/>
              </w:rPr>
              <w:t xml:space="preserve">na overleg met UWV </w:t>
            </w:r>
            <w:r w:rsidRPr="00FD1605">
              <w:rPr>
                <w:rFonts w:eastAsia="Times New Roman" w:cs="Calibri"/>
                <w:color w:val="000000"/>
                <w:szCs w:val="18"/>
                <w:lang w:val="nl-NL" w:eastAsia="nl-NL"/>
              </w:rPr>
              <w:t xml:space="preserve">deze conclusie in het rapport </w:t>
            </w:r>
            <w:r w:rsidRPr="00FD1605">
              <w:rPr>
                <w:rFonts w:eastAsia="Times New Roman" w:cs="Calibri"/>
                <w:i/>
                <w:iCs/>
                <w:color w:val="000000"/>
                <w:szCs w:val="18"/>
                <w:lang w:val="nl-NL" w:eastAsia="nl-NL"/>
              </w:rPr>
              <w:t xml:space="preserve">‘Onderzoeksrapport niet-gebruik van de Toeslagenwet’ </w:t>
            </w:r>
            <w:r w:rsidRPr="00FD1605">
              <w:rPr>
                <w:rFonts w:eastAsia="Times New Roman" w:cs="Calibri"/>
                <w:color w:val="000000"/>
                <w:szCs w:val="18"/>
                <w:lang w:val="nl-NL" w:eastAsia="nl-NL"/>
              </w:rPr>
              <w:t>(2023).</w:t>
            </w:r>
            <w:r w:rsidRPr="00FD1605" w:rsidR="00700331">
              <w:rPr>
                <w:rFonts w:eastAsia="Times New Roman" w:cs="Calibri"/>
                <w:color w:val="000000"/>
                <w:szCs w:val="18"/>
                <w:lang w:val="nl-NL" w:eastAsia="nl-NL"/>
              </w:rPr>
              <w:t xml:space="preserve"> De verwachting is daarom </w:t>
            </w:r>
            <w:r w:rsidRPr="00FD1605" w:rsidR="00E85278">
              <w:rPr>
                <w:rFonts w:eastAsia="Times New Roman" w:cs="Calibri"/>
                <w:color w:val="000000"/>
                <w:szCs w:val="18"/>
                <w:lang w:val="nl-NL" w:eastAsia="nl-NL"/>
              </w:rPr>
              <w:t xml:space="preserve">dat </w:t>
            </w:r>
            <w:r w:rsidRPr="00FD1605" w:rsidR="00700331">
              <w:rPr>
                <w:rFonts w:eastAsia="Times New Roman" w:cs="Calibri"/>
                <w:color w:val="000000"/>
                <w:szCs w:val="18"/>
                <w:lang w:val="nl-NL" w:eastAsia="nl-NL"/>
              </w:rPr>
              <w:t>de extra uitkeringslasten als gevolg van deze maatregel zeer klein tot nihil zijn. Deze maatregel leidt mogelijk tot minder uitvoeringskosten.</w:t>
            </w:r>
            <w:r w:rsidRPr="00FD1605">
              <w:rPr>
                <w:rFonts w:eastAsia="Times New Roman" w:cs="Calibri"/>
                <w:color w:val="000000"/>
                <w:szCs w:val="18"/>
                <w:lang w:val="nl-NL" w:eastAsia="nl-NL"/>
              </w:rPr>
              <w:t xml:space="preserve">  </w:t>
            </w:r>
          </w:p>
        </w:tc>
      </w:tr>
      <w:tr w:rsidRPr="00EB3835" w:rsidR="00836AF5" w:rsidTr="00D50797" w14:paraId="7E2A4086" w14:textId="77777777">
        <w:trPr>
          <w:trHeight w:val="315"/>
        </w:trPr>
        <w:tc>
          <w:tcPr>
            <w:tcW w:w="2005" w:type="dxa"/>
            <w:tcBorders>
              <w:top w:val="nil"/>
              <w:left w:val="single" w:color="auto" w:sz="8" w:space="0"/>
              <w:bottom w:val="single" w:color="auto" w:sz="8" w:space="0"/>
              <w:right w:val="nil"/>
            </w:tcBorders>
            <w:shd w:val="clear" w:color="auto" w:fill="auto"/>
            <w:noWrap/>
          </w:tcPr>
          <w:p w:rsidRPr="00704454" w:rsidR="00836AF5" w:rsidP="00836AF5" w:rsidRDefault="00836AF5" w14:paraId="6B67C544"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Inkomens-</w:t>
            </w:r>
          </w:p>
          <w:p w:rsidRPr="00704454" w:rsidR="00836AF5" w:rsidP="00836AF5" w:rsidRDefault="00836AF5" w14:paraId="0707A729"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effecten</w:t>
            </w:r>
          </w:p>
        </w:tc>
        <w:tc>
          <w:tcPr>
            <w:tcW w:w="8080" w:type="dxa"/>
            <w:tcBorders>
              <w:top w:val="single" w:color="auto" w:sz="4" w:space="0"/>
              <w:left w:val="single" w:color="auto" w:sz="4" w:space="0"/>
              <w:bottom w:val="single" w:color="auto" w:sz="8" w:space="0"/>
              <w:right w:val="single" w:color="auto" w:sz="4" w:space="0"/>
            </w:tcBorders>
            <w:shd w:val="clear" w:color="auto" w:fill="auto"/>
            <w:noWrap/>
          </w:tcPr>
          <w:p w:rsidRPr="00FD1605" w:rsidR="00836AF5" w:rsidP="00836AF5" w:rsidRDefault="00836AF5" w14:paraId="010028CF" w14:textId="09E9FB10">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 xml:space="preserve">De maatregel </w:t>
            </w:r>
            <w:r w:rsidRPr="00FD1605" w:rsidR="007A6B40">
              <w:rPr>
                <w:rFonts w:eastAsia="Times New Roman" w:cs="Calibri"/>
                <w:color w:val="000000"/>
                <w:szCs w:val="18"/>
                <w:lang w:val="nl-NL" w:eastAsia="nl-NL"/>
              </w:rPr>
              <w:t xml:space="preserve">kan in individuele gevallen </w:t>
            </w:r>
            <w:r w:rsidRPr="00FD1605">
              <w:rPr>
                <w:rFonts w:eastAsia="Times New Roman" w:cs="Calibri"/>
                <w:color w:val="000000"/>
                <w:szCs w:val="18"/>
                <w:lang w:val="nl-NL" w:eastAsia="nl-NL"/>
              </w:rPr>
              <w:t>een positief inkomenseffect</w:t>
            </w:r>
            <w:r w:rsidRPr="00FD1605" w:rsidR="007A6B40">
              <w:rPr>
                <w:rFonts w:eastAsia="Times New Roman" w:cs="Calibri"/>
                <w:color w:val="000000"/>
                <w:szCs w:val="18"/>
                <w:lang w:val="nl-NL" w:eastAsia="nl-NL"/>
              </w:rPr>
              <w:t xml:space="preserve"> hebben</w:t>
            </w:r>
            <w:r w:rsidRPr="00FD1605" w:rsidR="00F6153B">
              <w:rPr>
                <w:rFonts w:eastAsia="Times New Roman" w:cs="Calibri"/>
                <w:color w:val="000000"/>
                <w:szCs w:val="18"/>
                <w:lang w:val="nl-NL" w:eastAsia="nl-NL"/>
              </w:rPr>
              <w:t>,</w:t>
            </w:r>
            <w:r w:rsidR="00244A27">
              <w:rPr>
                <w:rFonts w:eastAsia="Times New Roman" w:cs="Calibri"/>
                <w:color w:val="000000"/>
                <w:szCs w:val="18"/>
                <w:lang w:val="nl-NL" w:eastAsia="nl-NL"/>
              </w:rPr>
              <w:t xml:space="preserve"> </w:t>
            </w:r>
            <w:r w:rsidRPr="00FD1605">
              <w:rPr>
                <w:rFonts w:eastAsia="Times New Roman" w:cs="Calibri"/>
                <w:color w:val="000000"/>
                <w:szCs w:val="18"/>
                <w:lang w:val="nl-NL" w:eastAsia="nl-NL"/>
              </w:rPr>
              <w:t xml:space="preserve">doordat minder inkomsten meetellen voor de inkomstenkorting. </w:t>
            </w:r>
            <w:r w:rsidRPr="00FD1605" w:rsidR="004F54F7">
              <w:rPr>
                <w:rFonts w:eastAsia="Times New Roman" w:cs="Calibri"/>
                <w:color w:val="000000"/>
                <w:szCs w:val="18"/>
                <w:lang w:val="nl-NL" w:eastAsia="nl-NL"/>
              </w:rPr>
              <w:t xml:space="preserve">Daarnaast kunnen er minder </w:t>
            </w:r>
            <w:r w:rsidRPr="00FD1605" w:rsidR="004F54F7">
              <w:rPr>
                <w:rFonts w:eastAsia="Times New Roman" w:cs="Calibri"/>
                <w:color w:val="000000"/>
                <w:szCs w:val="18"/>
                <w:lang w:val="nl-NL" w:eastAsia="nl-NL"/>
              </w:rPr>
              <w:lastRenderedPageBreak/>
              <w:t>(hoge) terugvorderingen ontstaan omdat mensen alleen nog de inkomsten hoeven door te geven die al relevant zijn voor de basisuitkering.</w:t>
            </w:r>
            <w:r w:rsidRPr="00FD1605" w:rsidR="007A6B40">
              <w:rPr>
                <w:rFonts w:eastAsia="Times New Roman" w:cs="Calibri"/>
                <w:color w:val="000000"/>
                <w:szCs w:val="18"/>
                <w:lang w:val="nl-NL" w:eastAsia="nl-NL"/>
              </w:rPr>
              <w:t xml:space="preserve"> Zoals in de raming echter is geschetst, is de verwachting dat de </w:t>
            </w:r>
            <w:r w:rsidRPr="00FD1605" w:rsidR="00AA7B48">
              <w:rPr>
                <w:rFonts w:eastAsia="Times New Roman" w:cs="Calibri"/>
                <w:color w:val="000000"/>
                <w:szCs w:val="18"/>
                <w:lang w:val="nl-NL" w:eastAsia="nl-NL"/>
              </w:rPr>
              <w:t xml:space="preserve">financiële </w:t>
            </w:r>
            <w:r w:rsidRPr="00FD1605" w:rsidR="007A6B40">
              <w:rPr>
                <w:rFonts w:eastAsia="Times New Roman" w:cs="Calibri"/>
                <w:color w:val="000000"/>
                <w:szCs w:val="18"/>
                <w:lang w:val="nl-NL" w:eastAsia="nl-NL"/>
              </w:rPr>
              <w:t>gevolgen van deze maatregelen zeer klein zijn.</w:t>
            </w:r>
          </w:p>
        </w:tc>
      </w:tr>
      <w:tr w:rsidRPr="00EB3835" w:rsidR="00836AF5" w:rsidTr="00D50797" w14:paraId="7FAA9A93" w14:textId="77777777">
        <w:trPr>
          <w:trHeight w:val="315"/>
        </w:trPr>
        <w:tc>
          <w:tcPr>
            <w:tcW w:w="2005" w:type="dxa"/>
            <w:tcBorders>
              <w:top w:val="nil"/>
              <w:left w:val="single" w:color="auto" w:sz="8" w:space="0"/>
              <w:bottom w:val="single" w:color="auto" w:sz="8" w:space="0"/>
              <w:right w:val="nil"/>
            </w:tcBorders>
            <w:shd w:val="clear" w:color="auto" w:fill="auto"/>
            <w:noWrap/>
          </w:tcPr>
          <w:p w:rsidRPr="00704454" w:rsidR="00836AF5" w:rsidP="00836AF5" w:rsidRDefault="00836AF5" w14:paraId="35FA3EC8"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lastRenderedPageBreak/>
              <w:t>Arbeidsmarkt-effecten</w:t>
            </w:r>
          </w:p>
        </w:tc>
        <w:tc>
          <w:tcPr>
            <w:tcW w:w="8080" w:type="dxa"/>
            <w:tcBorders>
              <w:top w:val="single" w:color="auto" w:sz="4" w:space="0"/>
              <w:left w:val="single" w:color="auto" w:sz="4" w:space="0"/>
              <w:bottom w:val="single" w:color="auto" w:sz="8" w:space="0"/>
              <w:right w:val="single" w:color="auto" w:sz="4" w:space="0"/>
            </w:tcBorders>
            <w:shd w:val="clear" w:color="auto" w:fill="auto"/>
            <w:noWrap/>
          </w:tcPr>
          <w:p w:rsidRPr="00FD1605" w:rsidR="00836AF5" w:rsidP="00836AF5" w:rsidRDefault="00244A27" w14:paraId="0E12BB5D" w14:textId="5B405262">
            <w:pPr>
              <w:spacing w:after="0" w:line="240" w:lineRule="auto"/>
              <w:rPr>
                <w:rFonts w:eastAsia="Times New Roman" w:cs="Calibri"/>
                <w:color w:val="000000"/>
                <w:szCs w:val="18"/>
                <w:lang w:val="nl-NL" w:eastAsia="nl-NL"/>
              </w:rPr>
            </w:pPr>
            <w:r>
              <w:rPr>
                <w:rFonts w:eastAsia="Times New Roman" w:cs="Calibri"/>
                <w:color w:val="000000"/>
                <w:szCs w:val="18"/>
                <w:lang w:val="nl-NL" w:eastAsia="nl-NL"/>
              </w:rPr>
              <w:t xml:space="preserve">Een vereenvoudiging van de TW en een in sommige gevallen hogere toeslag bieden meer zekerheid en dat kan een positief effect hebben op het zetten van de stap naar werk. </w:t>
            </w:r>
            <w:r w:rsidRPr="00FD1605" w:rsidR="00836AF5">
              <w:rPr>
                <w:rFonts w:eastAsia="Times New Roman" w:cs="Calibri"/>
                <w:color w:val="000000"/>
                <w:szCs w:val="18"/>
                <w:lang w:val="nl-NL" w:eastAsia="nl-NL"/>
              </w:rPr>
              <w:t xml:space="preserve">Aan de andere kant kan een hogere toeslag de </w:t>
            </w:r>
            <w:r>
              <w:rPr>
                <w:rFonts w:eastAsia="Times New Roman" w:cs="Calibri"/>
                <w:color w:val="000000"/>
                <w:szCs w:val="18"/>
                <w:lang w:val="nl-NL" w:eastAsia="nl-NL"/>
              </w:rPr>
              <w:t xml:space="preserve">financiële </w:t>
            </w:r>
            <w:r w:rsidRPr="00FD1605" w:rsidR="00836AF5">
              <w:rPr>
                <w:rFonts w:eastAsia="Times New Roman" w:cs="Calibri"/>
                <w:color w:val="000000"/>
                <w:szCs w:val="18"/>
                <w:lang w:val="nl-NL" w:eastAsia="nl-NL"/>
              </w:rPr>
              <w:t xml:space="preserve">prikkel tot werken verkleinen. </w:t>
            </w:r>
          </w:p>
        </w:tc>
      </w:tr>
      <w:tr w:rsidRPr="00EB3835" w:rsidR="00836AF5" w:rsidTr="00D50797" w14:paraId="7B52783E" w14:textId="77777777">
        <w:trPr>
          <w:trHeight w:val="315"/>
        </w:trPr>
        <w:tc>
          <w:tcPr>
            <w:tcW w:w="2005" w:type="dxa"/>
            <w:tcBorders>
              <w:top w:val="nil"/>
              <w:left w:val="single" w:color="auto" w:sz="8" w:space="0"/>
              <w:bottom w:val="single" w:color="auto" w:sz="8" w:space="0"/>
              <w:right w:val="nil"/>
            </w:tcBorders>
            <w:shd w:val="clear" w:color="auto" w:fill="auto"/>
            <w:noWrap/>
          </w:tcPr>
          <w:p w:rsidRPr="00704454" w:rsidR="00836AF5" w:rsidP="00836AF5" w:rsidRDefault="00836AF5" w14:paraId="4EF8F7A8"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Overige relevante aspecten</w:t>
            </w:r>
          </w:p>
        </w:tc>
        <w:tc>
          <w:tcPr>
            <w:tcW w:w="8080" w:type="dxa"/>
            <w:tcBorders>
              <w:top w:val="single" w:color="auto" w:sz="4" w:space="0"/>
              <w:left w:val="single" w:color="auto" w:sz="4" w:space="0"/>
              <w:bottom w:val="single" w:color="auto" w:sz="8" w:space="0"/>
              <w:right w:val="single" w:color="auto" w:sz="4" w:space="0"/>
            </w:tcBorders>
            <w:shd w:val="clear" w:color="auto" w:fill="auto"/>
            <w:noWrap/>
          </w:tcPr>
          <w:p w:rsidRPr="00FD1605" w:rsidR="00836AF5" w:rsidP="00836AF5" w:rsidRDefault="00836AF5" w14:paraId="4041C46B" w14:textId="680E19E4">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 xml:space="preserve">De Toeslagenwet is onderdeel van de minimaregelingen in Nederland. Voor deze regelingen geldt dat zij het (gezins-)inkomen aanvullen, wanneer er geen andere inkomstenbronnen zijn. Voor de TW alleen nog kijken naar de inkomsten uit arbeid, </w:t>
            </w:r>
            <w:r w:rsidRPr="00FD1605" w:rsidR="00F1332E">
              <w:rPr>
                <w:rFonts w:eastAsia="Times New Roman" w:cs="Calibri"/>
                <w:color w:val="000000"/>
                <w:szCs w:val="18"/>
                <w:lang w:val="nl-NL" w:eastAsia="nl-NL"/>
              </w:rPr>
              <w:t xml:space="preserve">is </w:t>
            </w:r>
            <w:r w:rsidRPr="00FD1605">
              <w:rPr>
                <w:rFonts w:eastAsia="Times New Roman" w:cs="Calibri"/>
                <w:color w:val="000000"/>
                <w:szCs w:val="18"/>
                <w:lang w:val="nl-NL" w:eastAsia="nl-NL"/>
              </w:rPr>
              <w:t>afwijkend</w:t>
            </w:r>
            <w:r w:rsidRPr="00FD1605" w:rsidR="004F54F7">
              <w:rPr>
                <w:rFonts w:eastAsia="Times New Roman" w:cs="Calibri"/>
                <w:color w:val="000000"/>
                <w:szCs w:val="18"/>
                <w:lang w:val="nl-NL" w:eastAsia="nl-NL"/>
              </w:rPr>
              <w:t xml:space="preserve"> </w:t>
            </w:r>
            <w:r w:rsidRPr="00FD1605">
              <w:rPr>
                <w:rFonts w:eastAsia="Times New Roman" w:cs="Calibri"/>
                <w:color w:val="000000"/>
                <w:szCs w:val="18"/>
                <w:lang w:val="nl-NL" w:eastAsia="nl-NL"/>
              </w:rPr>
              <w:t xml:space="preserve">van de criteria van de andere minimaregelingen. </w:t>
            </w:r>
          </w:p>
          <w:p w:rsidRPr="00FD1605" w:rsidR="00836AF5" w:rsidP="00836AF5" w:rsidRDefault="00836AF5" w14:paraId="3619154A" w14:textId="77777777">
            <w:pPr>
              <w:spacing w:after="0" w:line="240" w:lineRule="auto"/>
              <w:rPr>
                <w:rFonts w:eastAsia="Times New Roman" w:cs="Calibri"/>
                <w:color w:val="000000"/>
                <w:szCs w:val="18"/>
                <w:lang w:val="nl-NL" w:eastAsia="nl-NL"/>
              </w:rPr>
            </w:pPr>
          </w:p>
        </w:tc>
      </w:tr>
    </w:tbl>
    <w:p w:rsidRPr="00FD1605" w:rsidR="00CF4437" w:rsidRDefault="00CF4437" w14:paraId="427D977B" w14:textId="77777777">
      <w:pPr>
        <w:rPr>
          <w:lang w:val="nl-NL"/>
        </w:rPr>
      </w:pPr>
    </w:p>
    <w:p w:rsidRPr="00FD1605" w:rsidR="00836AF5" w:rsidRDefault="00836AF5" w14:paraId="2A46D14D" w14:textId="79D83E3A">
      <w:pPr>
        <w:rPr>
          <w:lang w:val="nl-NL"/>
        </w:rPr>
      </w:pPr>
      <w:r w:rsidRPr="00FD1605">
        <w:rPr>
          <w:lang w:val="nl-NL"/>
        </w:rPr>
        <w:br w:type="page"/>
      </w:r>
    </w:p>
    <w:tbl>
      <w:tblPr>
        <w:tblW w:w="10085" w:type="dxa"/>
        <w:tblInd w:w="-436" w:type="dxa"/>
        <w:tblCellMar>
          <w:left w:w="70" w:type="dxa"/>
          <w:right w:w="70" w:type="dxa"/>
        </w:tblCellMar>
        <w:tblLook w:val="04A0" w:firstRow="1" w:lastRow="0" w:firstColumn="1" w:lastColumn="0" w:noHBand="0" w:noVBand="1"/>
      </w:tblPr>
      <w:tblGrid>
        <w:gridCol w:w="2005"/>
        <w:gridCol w:w="8080"/>
      </w:tblGrid>
      <w:tr w:rsidRPr="00FD1605" w:rsidR="00836AF5" w:rsidTr="00836AF5" w14:paraId="3DF9F6DC" w14:textId="77777777">
        <w:trPr>
          <w:trHeight w:val="300"/>
        </w:trPr>
        <w:tc>
          <w:tcPr>
            <w:tcW w:w="2005" w:type="dxa"/>
            <w:tcBorders>
              <w:top w:val="single" w:color="auto" w:sz="8" w:space="0"/>
              <w:left w:val="single" w:color="auto" w:sz="8" w:space="0"/>
              <w:bottom w:val="single" w:color="auto" w:sz="4" w:space="0"/>
              <w:right w:val="nil"/>
            </w:tcBorders>
            <w:shd w:val="clear" w:color="auto" w:fill="auto"/>
            <w:noWrap/>
          </w:tcPr>
          <w:p w:rsidRPr="00FD1605" w:rsidR="00E2272F" w:rsidP="00836AF5" w:rsidRDefault="00E2272F" w14:paraId="6757CD1A" w14:textId="77777777">
            <w:pPr>
              <w:spacing w:after="0" w:line="240" w:lineRule="auto"/>
              <w:rPr>
                <w:rFonts w:eastAsia="Times New Roman" w:cs="Calibri"/>
                <w:b/>
                <w:bCs/>
                <w:color w:val="000000"/>
                <w:szCs w:val="18"/>
                <w:lang w:val="nl-NL" w:eastAsia="nl-NL"/>
              </w:rPr>
            </w:pPr>
          </w:p>
          <w:p w:rsidRPr="00704454" w:rsidR="00836AF5" w:rsidP="00836AF5" w:rsidRDefault="00836AF5" w14:paraId="6E429D16" w14:textId="4976A2FE">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Maatregel</w:t>
            </w:r>
          </w:p>
        </w:tc>
        <w:tc>
          <w:tcPr>
            <w:tcW w:w="8080" w:type="dxa"/>
            <w:tcBorders>
              <w:top w:val="single" w:color="auto" w:sz="8" w:space="0"/>
              <w:left w:val="single" w:color="auto" w:sz="4" w:space="0"/>
              <w:bottom w:val="single" w:color="auto" w:sz="4" w:space="0"/>
              <w:right w:val="single" w:color="auto" w:sz="4" w:space="0"/>
            </w:tcBorders>
            <w:shd w:val="clear" w:color="auto" w:fill="auto"/>
            <w:noWrap/>
          </w:tcPr>
          <w:p w:rsidRPr="00704454" w:rsidR="00836AF5" w:rsidP="00E2272F" w:rsidRDefault="00756F6B" w14:paraId="0C9151C0" w14:textId="66CBFBC0">
            <w:pPr>
              <w:pStyle w:val="Kop1"/>
              <w:rPr>
                <w:rFonts w:ascii="Verdana" w:hAnsi="Verdana" w:eastAsia="Times New Roman"/>
                <w:b/>
                <w:bCs/>
                <w:color w:val="auto"/>
                <w:sz w:val="18"/>
                <w:szCs w:val="18"/>
                <w:lang w:val="nl-NL" w:eastAsia="nl-NL"/>
              </w:rPr>
            </w:pPr>
            <w:bookmarkStart w:name="_Toc223522229" w:id="7"/>
            <w:r>
              <w:rPr>
                <w:rFonts w:ascii="Verdana" w:hAnsi="Verdana" w:eastAsia="Times New Roman"/>
                <w:b/>
                <w:bCs/>
                <w:color w:val="auto"/>
                <w:sz w:val="18"/>
                <w:szCs w:val="18"/>
                <w:lang w:val="nl-NL" w:eastAsia="nl-NL"/>
              </w:rPr>
              <w:t>B</w:t>
            </w:r>
            <w:r w:rsidRPr="00913061" w:rsidR="008F724C">
              <w:rPr>
                <w:rFonts w:ascii="Verdana" w:hAnsi="Verdana" w:eastAsia="Times New Roman"/>
                <w:b/>
                <w:bCs/>
                <w:color w:val="auto"/>
                <w:sz w:val="18"/>
                <w:szCs w:val="18"/>
                <w:lang w:val="nl-NL" w:eastAsia="nl-NL"/>
              </w:rPr>
              <w:t>.</w:t>
            </w:r>
            <w:r>
              <w:rPr>
                <w:rFonts w:ascii="Verdana" w:hAnsi="Verdana" w:eastAsia="Times New Roman"/>
                <w:b/>
                <w:bCs/>
                <w:color w:val="auto"/>
                <w:sz w:val="18"/>
                <w:szCs w:val="18"/>
                <w:lang w:val="nl-NL" w:eastAsia="nl-NL"/>
              </w:rPr>
              <w:t>4</w:t>
            </w:r>
            <w:r w:rsidRPr="00913061" w:rsidR="00836AF5">
              <w:rPr>
                <w:rFonts w:ascii="Verdana" w:hAnsi="Verdana" w:eastAsia="Times New Roman"/>
                <w:b/>
                <w:bCs/>
                <w:color w:val="auto"/>
                <w:sz w:val="18"/>
                <w:szCs w:val="18"/>
                <w:lang w:val="nl-NL" w:eastAsia="nl-NL"/>
              </w:rPr>
              <w:t xml:space="preserve"> Vrijlatingsregeling afschaffen</w:t>
            </w:r>
            <w:bookmarkEnd w:id="7"/>
          </w:p>
        </w:tc>
      </w:tr>
      <w:tr w:rsidRPr="00EB3835" w:rsidR="00836AF5" w:rsidTr="00D50797" w14:paraId="03D85F2A" w14:textId="77777777">
        <w:trPr>
          <w:trHeight w:val="315"/>
        </w:trPr>
        <w:tc>
          <w:tcPr>
            <w:tcW w:w="2005" w:type="dxa"/>
            <w:tcBorders>
              <w:top w:val="nil"/>
              <w:left w:val="single" w:color="auto" w:sz="8" w:space="0"/>
              <w:bottom w:val="single" w:color="auto" w:sz="8" w:space="0"/>
              <w:right w:val="nil"/>
            </w:tcBorders>
            <w:shd w:val="clear" w:color="auto" w:fill="auto"/>
            <w:noWrap/>
          </w:tcPr>
          <w:p w:rsidRPr="00704454" w:rsidR="00836AF5" w:rsidP="00836AF5" w:rsidRDefault="00836AF5" w14:paraId="0C13EB19"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Korte uitleg maatregel</w:t>
            </w:r>
          </w:p>
        </w:tc>
        <w:tc>
          <w:tcPr>
            <w:tcW w:w="8080" w:type="dxa"/>
            <w:tcBorders>
              <w:top w:val="single" w:color="auto" w:sz="4" w:space="0"/>
              <w:left w:val="single" w:color="auto" w:sz="4" w:space="0"/>
              <w:bottom w:val="single" w:color="auto" w:sz="8" w:space="0"/>
              <w:right w:val="single" w:color="auto" w:sz="4" w:space="0"/>
            </w:tcBorders>
            <w:shd w:val="clear" w:color="auto" w:fill="auto"/>
            <w:noWrap/>
          </w:tcPr>
          <w:p w:rsidRPr="00FD1605" w:rsidR="00836AF5" w:rsidP="00836AF5" w:rsidRDefault="00836AF5" w14:paraId="732EC604" w14:textId="30A986AC">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 xml:space="preserve">De Toeslagenwet kent een artikel voor een gedeeltelijke en tijdelijke vrijlating van inkomsten die worden verdiend ten tijde van het ontvangen van de aanvullende toeslag. Deze regeling is echter complex en moeilijk te begrijpen. Daardoor kan een uitkeringsgerechtigde moeilijk(er) vaststellen wat de inkomensgevolgen zijn (in ieder geval voor de uitkeringen van UWV) van werkhervatting. Deze inkomstenverrekening komt naast de inkomstenverrekening die al op de </w:t>
            </w:r>
            <w:r w:rsidRPr="00FD1605" w:rsidR="0087348C">
              <w:rPr>
                <w:rFonts w:eastAsia="Times New Roman" w:cs="Calibri"/>
                <w:color w:val="000000"/>
                <w:szCs w:val="18"/>
                <w:lang w:val="nl-NL" w:eastAsia="nl-NL"/>
              </w:rPr>
              <w:t>basis</w:t>
            </w:r>
            <w:r w:rsidRPr="00FD1605">
              <w:rPr>
                <w:rFonts w:eastAsia="Times New Roman" w:cs="Calibri"/>
                <w:color w:val="000000"/>
                <w:szCs w:val="18"/>
                <w:lang w:val="nl-NL" w:eastAsia="nl-NL"/>
              </w:rPr>
              <w:t xml:space="preserve">wet wordt toegepast. Dit kan ook verwarrend werken voor uitkeringsgerechtigden. </w:t>
            </w:r>
          </w:p>
          <w:p w:rsidRPr="00FD1605" w:rsidR="00836AF5" w:rsidP="00836AF5" w:rsidRDefault="00836AF5" w14:paraId="646F8089" w14:textId="46D74654">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 xml:space="preserve">Daarnaast kent de vrijlatingsregeling een tijdelijke duur van twee jaar. Als de uitkeringsgerechtigde na twee jaar nog steeds werkt, stopt de vrijlating en wordt het volledige inkomen verrekend met aanvullende toeslag. Wanneer de uitkeringsgerechtigde echter kortere periodes werkt, vangt de vrijlatingstermijn steeds opnieuw aan. Dit kan ook onduidelijkheid voor de uitkeringsgerechtigde opleveren en is een </w:t>
            </w:r>
            <w:r w:rsidR="000956B9">
              <w:rPr>
                <w:rFonts w:eastAsia="Times New Roman" w:cs="Calibri"/>
                <w:color w:val="000000"/>
                <w:szCs w:val="18"/>
                <w:lang w:val="nl-NL" w:eastAsia="nl-NL"/>
              </w:rPr>
              <w:t>ingewikkelde</w:t>
            </w:r>
            <w:r w:rsidRPr="00FD1605" w:rsidR="000956B9">
              <w:rPr>
                <w:rFonts w:eastAsia="Times New Roman" w:cs="Calibri"/>
                <w:color w:val="000000"/>
                <w:szCs w:val="18"/>
                <w:lang w:val="nl-NL" w:eastAsia="nl-NL"/>
              </w:rPr>
              <w:t xml:space="preserve"> </w:t>
            </w:r>
            <w:r w:rsidRPr="00FD1605">
              <w:rPr>
                <w:rFonts w:eastAsia="Times New Roman" w:cs="Calibri"/>
                <w:color w:val="000000"/>
                <w:szCs w:val="18"/>
                <w:lang w:val="nl-NL" w:eastAsia="nl-NL"/>
              </w:rPr>
              <w:t xml:space="preserve">administratieve taak voor de uitvoerder. </w:t>
            </w:r>
          </w:p>
          <w:p w:rsidRPr="00FD1605" w:rsidR="00836AF5" w:rsidP="00836AF5" w:rsidRDefault="00836AF5" w14:paraId="24A2F5FE" w14:textId="77777777">
            <w:pPr>
              <w:spacing w:after="0" w:line="240" w:lineRule="auto"/>
              <w:rPr>
                <w:rFonts w:eastAsia="Times New Roman" w:cs="Calibri"/>
                <w:color w:val="000000"/>
                <w:szCs w:val="18"/>
                <w:lang w:val="nl-NL" w:eastAsia="nl-NL"/>
              </w:rPr>
            </w:pPr>
          </w:p>
          <w:p w:rsidRPr="00FD1605" w:rsidR="00836AF5" w:rsidP="00836AF5" w:rsidRDefault="00836AF5" w14:paraId="1AC3CC2B" w14:textId="4BB1DB5B">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 xml:space="preserve">Het vrij te laten bedrag wordt </w:t>
            </w:r>
            <w:r w:rsidR="005B29C9">
              <w:rPr>
                <w:rFonts w:eastAsia="Times New Roman" w:cs="Calibri"/>
                <w:color w:val="000000"/>
                <w:szCs w:val="18"/>
                <w:lang w:val="nl-NL" w:eastAsia="nl-NL"/>
              </w:rPr>
              <w:t xml:space="preserve">momenteel </w:t>
            </w:r>
            <w:r w:rsidRPr="00FD1605">
              <w:rPr>
                <w:rFonts w:eastAsia="Times New Roman" w:cs="Calibri"/>
                <w:color w:val="000000"/>
                <w:szCs w:val="18"/>
                <w:lang w:val="nl-NL" w:eastAsia="nl-NL"/>
              </w:rPr>
              <w:t xml:space="preserve">opgebouwd via diverse stappen. Allereerst wordt er een bedrag van 5% van het minimumloon vrijgelaten. Als de uitkeringsgerechtigde meer dan dit bedrag verdient, dan wordt over het inkomen daarboven 30% vrijgelaten. Het totaal van 5% minimumloon plus 30% van het daarboven genoten inkomen, wordt vervolgens gemaximeerd op 15% van het minimumloon. </w:t>
            </w:r>
          </w:p>
          <w:p w:rsidRPr="00FD1605" w:rsidR="00836AF5" w:rsidP="00836AF5" w:rsidRDefault="00836AF5" w14:paraId="647C5E9E" w14:textId="0B0BC4A5">
            <w:pPr>
              <w:spacing w:after="0" w:line="240" w:lineRule="auto"/>
              <w:rPr>
                <w:rFonts w:eastAsia="Times New Roman" w:cs="Calibri"/>
                <w:color w:val="000000"/>
                <w:szCs w:val="18"/>
                <w:lang w:val="nl-NL" w:eastAsia="nl-NL"/>
              </w:rPr>
            </w:pPr>
            <w:r w:rsidRPr="00FD1605">
              <w:rPr>
                <w:rFonts w:eastAsia="Times New Roman" w:cs="Calibri"/>
                <w:i/>
                <w:iCs/>
                <w:color w:val="000000"/>
                <w:szCs w:val="18"/>
                <w:lang w:val="nl-NL" w:eastAsia="nl-NL"/>
              </w:rPr>
              <w:t>Rekenvoorbeeld</w:t>
            </w:r>
            <w:r w:rsidRPr="00FD1605">
              <w:rPr>
                <w:rFonts w:eastAsia="Times New Roman" w:cs="Calibri"/>
                <w:color w:val="000000"/>
                <w:szCs w:val="18"/>
                <w:lang w:val="nl-NL" w:eastAsia="nl-NL"/>
              </w:rPr>
              <w:t>: Stel iemand verdien</w:t>
            </w:r>
            <w:r w:rsidRPr="00FD1605" w:rsidR="00AA7B48">
              <w:rPr>
                <w:rFonts w:eastAsia="Times New Roman" w:cs="Calibri"/>
                <w:color w:val="000000"/>
                <w:szCs w:val="18"/>
                <w:lang w:val="nl-NL" w:eastAsia="nl-NL"/>
              </w:rPr>
              <w:t>t</w:t>
            </w:r>
            <w:r w:rsidRPr="00FD1605">
              <w:rPr>
                <w:rFonts w:eastAsia="Times New Roman" w:cs="Calibri"/>
                <w:color w:val="000000"/>
                <w:szCs w:val="18"/>
                <w:lang w:val="nl-NL" w:eastAsia="nl-NL"/>
              </w:rPr>
              <w:t xml:space="preserve"> €500 per maand. Welk deel van dat inkomen wordt vrijgelaten? WML per maand is 1/</w:t>
            </w:r>
            <w:r w:rsidR="00E6663F">
              <w:rPr>
                <w:rFonts w:eastAsia="Times New Roman" w:cs="Calibri"/>
                <w:color w:val="000000"/>
                <w:szCs w:val="18"/>
                <w:lang w:val="nl-NL" w:eastAsia="nl-NL"/>
              </w:rPr>
              <w:t>1</w:t>
            </w:r>
            <w:r w:rsidRPr="00FD1605">
              <w:rPr>
                <w:rFonts w:eastAsia="Times New Roman" w:cs="Calibri"/>
                <w:color w:val="000000"/>
                <w:szCs w:val="18"/>
                <w:lang w:val="nl-NL" w:eastAsia="nl-NL"/>
              </w:rPr>
              <w:t>/’2</w:t>
            </w:r>
            <w:r w:rsidR="00E6663F">
              <w:rPr>
                <w:rFonts w:eastAsia="Times New Roman" w:cs="Calibri"/>
                <w:color w:val="000000"/>
                <w:szCs w:val="18"/>
                <w:lang w:val="nl-NL" w:eastAsia="nl-NL"/>
              </w:rPr>
              <w:t>6</w:t>
            </w:r>
            <w:r w:rsidRPr="00FD1605">
              <w:rPr>
                <w:rFonts w:eastAsia="Times New Roman" w:cs="Calibri"/>
                <w:color w:val="000000"/>
                <w:szCs w:val="18"/>
                <w:lang w:val="nl-NL" w:eastAsia="nl-NL"/>
              </w:rPr>
              <w:t xml:space="preserve"> €</w:t>
            </w:r>
            <w:r w:rsidRPr="00656119" w:rsidR="00E6663F">
              <w:rPr>
                <w:rFonts w:eastAsia="Times New Roman" w:cs="Calibri"/>
                <w:color w:val="000000"/>
                <w:szCs w:val="18"/>
                <w:lang w:val="nl-NL" w:eastAsia="nl-NL"/>
              </w:rPr>
              <w:t>2.294,40</w:t>
            </w:r>
            <w:r w:rsidRPr="00FD1605">
              <w:rPr>
                <w:rFonts w:eastAsia="Times New Roman" w:cs="Calibri"/>
                <w:color w:val="000000"/>
                <w:szCs w:val="18"/>
                <w:lang w:val="nl-NL" w:eastAsia="nl-NL"/>
              </w:rPr>
              <w:t>. 5% daarvan is €</w:t>
            </w:r>
            <w:r w:rsidR="00E6663F">
              <w:rPr>
                <w:rFonts w:eastAsia="Times New Roman" w:cs="Calibri"/>
                <w:color w:val="000000"/>
                <w:szCs w:val="18"/>
                <w:lang w:val="nl-NL" w:eastAsia="nl-NL"/>
              </w:rPr>
              <w:t>114,72</w:t>
            </w:r>
            <w:r w:rsidRPr="00FD1605">
              <w:rPr>
                <w:rFonts w:eastAsia="Times New Roman" w:cs="Calibri"/>
                <w:color w:val="000000"/>
                <w:szCs w:val="18"/>
                <w:lang w:val="nl-NL" w:eastAsia="nl-NL"/>
              </w:rPr>
              <w:t xml:space="preserve">. </w:t>
            </w:r>
          </w:p>
          <w:p w:rsidRPr="00FD1605" w:rsidR="00836AF5" w:rsidP="00836AF5" w:rsidRDefault="00836AF5" w14:paraId="1246BACD" w14:textId="6BD308D1">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€500 - €</w:t>
            </w:r>
            <w:r w:rsidR="00E6663F">
              <w:rPr>
                <w:rFonts w:eastAsia="Times New Roman" w:cs="Calibri"/>
                <w:color w:val="000000"/>
                <w:szCs w:val="18"/>
                <w:lang w:val="nl-NL" w:eastAsia="nl-NL"/>
              </w:rPr>
              <w:t>114,72</w:t>
            </w:r>
            <w:r w:rsidRPr="00FD1605">
              <w:rPr>
                <w:rFonts w:eastAsia="Times New Roman" w:cs="Calibri"/>
                <w:color w:val="000000"/>
                <w:szCs w:val="18"/>
                <w:lang w:val="nl-NL" w:eastAsia="nl-NL"/>
              </w:rPr>
              <w:t xml:space="preserve"> = €</w:t>
            </w:r>
            <w:r w:rsidR="00E6663F">
              <w:rPr>
                <w:rFonts w:eastAsia="Times New Roman" w:cs="Calibri"/>
                <w:color w:val="000000"/>
                <w:szCs w:val="18"/>
                <w:lang w:val="nl-NL" w:eastAsia="nl-NL"/>
              </w:rPr>
              <w:t>385,28</w:t>
            </w:r>
            <w:r w:rsidRPr="00FD1605">
              <w:rPr>
                <w:rFonts w:eastAsia="Times New Roman" w:cs="Calibri"/>
                <w:color w:val="000000"/>
                <w:szCs w:val="18"/>
                <w:lang w:val="nl-NL" w:eastAsia="nl-NL"/>
              </w:rPr>
              <w:t>. Hiervan wordt 30% vrijgelaten, zijnde €</w:t>
            </w:r>
            <w:r w:rsidR="00E6663F">
              <w:rPr>
                <w:rFonts w:eastAsia="Times New Roman" w:cs="Calibri"/>
                <w:color w:val="000000"/>
                <w:szCs w:val="18"/>
                <w:lang w:val="nl-NL" w:eastAsia="nl-NL"/>
              </w:rPr>
              <w:t>115,58</w:t>
            </w:r>
            <w:r w:rsidRPr="00FD1605">
              <w:rPr>
                <w:rFonts w:eastAsia="Times New Roman" w:cs="Calibri"/>
                <w:color w:val="000000"/>
                <w:szCs w:val="18"/>
                <w:lang w:val="nl-NL" w:eastAsia="nl-NL"/>
              </w:rPr>
              <w:t xml:space="preserve">. </w:t>
            </w:r>
          </w:p>
          <w:p w:rsidRPr="00FD1605" w:rsidR="00836AF5" w:rsidP="00836AF5" w:rsidRDefault="00836AF5" w14:paraId="3E79176D" w14:textId="06FC9037">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€11</w:t>
            </w:r>
            <w:r w:rsidR="00E6663F">
              <w:rPr>
                <w:rFonts w:eastAsia="Times New Roman" w:cs="Calibri"/>
                <w:color w:val="000000"/>
                <w:szCs w:val="18"/>
                <w:lang w:val="nl-NL" w:eastAsia="nl-NL"/>
              </w:rPr>
              <w:t>5,58</w:t>
            </w:r>
            <w:r w:rsidRPr="00FD1605">
              <w:rPr>
                <w:rFonts w:eastAsia="Times New Roman" w:cs="Calibri"/>
                <w:color w:val="000000"/>
                <w:szCs w:val="18"/>
                <w:lang w:val="nl-NL" w:eastAsia="nl-NL"/>
              </w:rPr>
              <w:t xml:space="preserve"> + €</w:t>
            </w:r>
            <w:r w:rsidR="00E6663F">
              <w:rPr>
                <w:rFonts w:eastAsia="Times New Roman" w:cs="Calibri"/>
                <w:color w:val="000000"/>
                <w:szCs w:val="18"/>
                <w:lang w:val="nl-NL" w:eastAsia="nl-NL"/>
              </w:rPr>
              <w:t>114,72</w:t>
            </w:r>
            <w:r w:rsidRPr="00FD1605">
              <w:rPr>
                <w:rFonts w:eastAsia="Times New Roman" w:cs="Calibri"/>
                <w:color w:val="000000"/>
                <w:szCs w:val="18"/>
                <w:lang w:val="nl-NL" w:eastAsia="nl-NL"/>
              </w:rPr>
              <w:t xml:space="preserve"> = €</w:t>
            </w:r>
            <w:r w:rsidR="00E6663F">
              <w:rPr>
                <w:rFonts w:eastAsia="Times New Roman" w:cs="Calibri"/>
                <w:color w:val="000000"/>
                <w:szCs w:val="18"/>
                <w:lang w:val="nl-NL" w:eastAsia="nl-NL"/>
              </w:rPr>
              <w:t>230,30</w:t>
            </w:r>
            <w:r w:rsidRPr="00FD1605">
              <w:rPr>
                <w:rFonts w:eastAsia="Times New Roman" w:cs="Calibri"/>
                <w:color w:val="000000"/>
                <w:szCs w:val="18"/>
                <w:lang w:val="nl-NL" w:eastAsia="nl-NL"/>
              </w:rPr>
              <w:t>. Getoetst moet worden of dit minder is dan 15% van het minimumloon, zijnde €</w:t>
            </w:r>
            <w:r w:rsidR="00E6663F">
              <w:rPr>
                <w:rFonts w:eastAsia="Times New Roman" w:cs="Calibri"/>
                <w:color w:val="000000"/>
                <w:szCs w:val="18"/>
                <w:lang w:val="nl-NL" w:eastAsia="nl-NL"/>
              </w:rPr>
              <w:t>344,16.</w:t>
            </w:r>
            <w:r w:rsidRPr="00FD1605">
              <w:rPr>
                <w:rFonts w:eastAsia="Times New Roman" w:cs="Calibri"/>
                <w:color w:val="000000"/>
                <w:szCs w:val="18"/>
                <w:lang w:val="nl-NL" w:eastAsia="nl-NL"/>
              </w:rPr>
              <w:t xml:space="preserve"> Dat is zo, dus is er geen sprake van maximering. </w:t>
            </w:r>
          </w:p>
          <w:p w:rsidRPr="00FD1605" w:rsidR="00836AF5" w:rsidP="00836AF5" w:rsidRDefault="00836AF5" w14:paraId="468478FA" w14:textId="223541FC">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Het vrij te laten bedrag aan inkomen is in dit geval €</w:t>
            </w:r>
            <w:r w:rsidR="002663E5">
              <w:rPr>
                <w:rFonts w:eastAsia="Times New Roman" w:cs="Calibri"/>
                <w:color w:val="000000"/>
                <w:szCs w:val="18"/>
                <w:lang w:val="nl-NL" w:eastAsia="nl-NL"/>
              </w:rPr>
              <w:t>230,30</w:t>
            </w:r>
            <w:r w:rsidRPr="00FD1605">
              <w:rPr>
                <w:rFonts w:eastAsia="Times New Roman" w:cs="Calibri"/>
                <w:color w:val="000000"/>
                <w:szCs w:val="18"/>
                <w:lang w:val="nl-NL" w:eastAsia="nl-NL"/>
              </w:rPr>
              <w:t xml:space="preserve">. </w:t>
            </w:r>
          </w:p>
          <w:p w:rsidRPr="00FD1605" w:rsidR="00836AF5" w:rsidP="00836AF5" w:rsidRDefault="00836AF5" w14:paraId="6321FA7E" w14:textId="77777777">
            <w:pPr>
              <w:spacing w:after="0" w:line="240" w:lineRule="auto"/>
              <w:rPr>
                <w:rFonts w:eastAsia="Times New Roman" w:cs="Calibri"/>
                <w:color w:val="000000"/>
                <w:szCs w:val="18"/>
                <w:lang w:val="nl-NL" w:eastAsia="nl-NL"/>
              </w:rPr>
            </w:pPr>
          </w:p>
          <w:p w:rsidRPr="00FD1605" w:rsidR="00836AF5" w:rsidP="00836AF5" w:rsidRDefault="00836AF5" w14:paraId="1CC6708C" w14:textId="4F05C5D9">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 xml:space="preserve">Door afschaffing van de vrijlatingsregeling wordt dus een complexiteit (voor zowel de uitkeringsgerechtigde als de uitvoerder) weggenomen uit de Toeslagenwet en neemt de voorspelbaarheid van de hoogte van de te ontvangen uitkeringen toe. Iedere euro die wordt verdiend, wordt namelijk minder aan aanvullende toeslag ontvangen. </w:t>
            </w:r>
          </w:p>
        </w:tc>
      </w:tr>
      <w:tr w:rsidRPr="00EB3835" w:rsidR="00836AF5" w:rsidTr="00D50797" w14:paraId="20972DF8" w14:textId="77777777">
        <w:trPr>
          <w:trHeight w:val="315"/>
        </w:trPr>
        <w:tc>
          <w:tcPr>
            <w:tcW w:w="2005" w:type="dxa"/>
            <w:tcBorders>
              <w:top w:val="nil"/>
              <w:left w:val="single" w:color="auto" w:sz="8" w:space="0"/>
              <w:bottom w:val="single" w:color="auto" w:sz="8" w:space="0"/>
              <w:right w:val="nil"/>
            </w:tcBorders>
            <w:shd w:val="clear" w:color="auto" w:fill="auto"/>
            <w:noWrap/>
          </w:tcPr>
          <w:p w:rsidRPr="00704454" w:rsidR="00836AF5" w:rsidP="00836AF5" w:rsidRDefault="00836AF5" w14:paraId="1EC7797E"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Doel maatregel</w:t>
            </w:r>
          </w:p>
        </w:tc>
        <w:tc>
          <w:tcPr>
            <w:tcW w:w="8080" w:type="dxa"/>
            <w:tcBorders>
              <w:top w:val="single" w:color="auto" w:sz="4" w:space="0"/>
              <w:left w:val="single" w:color="auto" w:sz="4" w:space="0"/>
              <w:bottom w:val="single" w:color="auto" w:sz="8" w:space="0"/>
              <w:right w:val="single" w:color="auto" w:sz="4" w:space="0"/>
            </w:tcBorders>
            <w:shd w:val="clear" w:color="auto" w:fill="auto"/>
            <w:noWrap/>
          </w:tcPr>
          <w:p w:rsidRPr="00FD1605" w:rsidR="00836AF5" w:rsidP="00836AF5" w:rsidRDefault="00836AF5" w14:paraId="6043B582" w14:textId="2B83EBB4">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 xml:space="preserve">Vereenvoudiging van de wetgeving, wegnemen van een complexiteit en vergroten van de voorspelbaarheid van de inkomenssituatie bij werkhervatting. </w:t>
            </w:r>
          </w:p>
        </w:tc>
      </w:tr>
      <w:tr w:rsidRPr="00EB3835" w:rsidR="00836AF5" w:rsidTr="00D50797" w14:paraId="056B3DE7" w14:textId="77777777">
        <w:trPr>
          <w:trHeight w:val="315"/>
        </w:trPr>
        <w:tc>
          <w:tcPr>
            <w:tcW w:w="2005" w:type="dxa"/>
            <w:tcBorders>
              <w:top w:val="nil"/>
              <w:left w:val="single" w:color="auto" w:sz="8" w:space="0"/>
              <w:bottom w:val="single" w:color="auto" w:sz="8" w:space="0"/>
              <w:right w:val="nil"/>
            </w:tcBorders>
            <w:shd w:val="clear" w:color="auto" w:fill="auto"/>
            <w:noWrap/>
          </w:tcPr>
          <w:p w:rsidRPr="00FD1605" w:rsidR="00836AF5" w:rsidP="00836AF5" w:rsidRDefault="00836AF5" w14:paraId="62CB5297" w14:textId="77777777">
            <w:pPr>
              <w:spacing w:after="0" w:line="240" w:lineRule="auto"/>
              <w:rPr>
                <w:rFonts w:eastAsia="Times New Roman" w:cs="Calibri"/>
                <w:b/>
                <w:bCs/>
                <w:color w:val="000000"/>
                <w:szCs w:val="18"/>
                <w:lang w:val="nl-NL" w:eastAsia="nl-NL"/>
              </w:rPr>
            </w:pPr>
            <w:r w:rsidRPr="00FD1605">
              <w:rPr>
                <w:rFonts w:eastAsia="Times New Roman" w:cs="Calibri"/>
                <w:b/>
                <w:bCs/>
                <w:color w:val="000000"/>
                <w:szCs w:val="18"/>
                <w:lang w:val="nl-NL" w:eastAsia="nl-NL"/>
              </w:rPr>
              <w:t xml:space="preserve">Vereenvoudiging vanuit burgerperspectief (begrijpelijkheid, zekerheid en </w:t>
            </w:r>
            <w:proofErr w:type="spellStart"/>
            <w:r w:rsidRPr="00FD1605">
              <w:rPr>
                <w:rFonts w:eastAsia="Times New Roman" w:cs="Calibri"/>
                <w:b/>
                <w:bCs/>
                <w:color w:val="000000"/>
                <w:szCs w:val="18"/>
                <w:lang w:val="nl-NL" w:eastAsia="nl-NL"/>
              </w:rPr>
              <w:t>doenlijkheid</w:t>
            </w:r>
            <w:proofErr w:type="spellEnd"/>
            <w:r w:rsidRPr="00FD1605">
              <w:rPr>
                <w:rFonts w:eastAsia="Times New Roman" w:cs="Calibri"/>
                <w:b/>
                <w:bCs/>
                <w:color w:val="000000"/>
                <w:szCs w:val="18"/>
                <w:lang w:val="nl-NL" w:eastAsia="nl-NL"/>
              </w:rPr>
              <w:t>)</w:t>
            </w:r>
          </w:p>
        </w:tc>
        <w:tc>
          <w:tcPr>
            <w:tcW w:w="8080" w:type="dxa"/>
            <w:tcBorders>
              <w:top w:val="single" w:color="auto" w:sz="4" w:space="0"/>
              <w:left w:val="single" w:color="auto" w:sz="4" w:space="0"/>
              <w:bottom w:val="single" w:color="auto" w:sz="8" w:space="0"/>
              <w:right w:val="single" w:color="auto" w:sz="4" w:space="0"/>
            </w:tcBorders>
            <w:shd w:val="clear" w:color="auto" w:fill="auto"/>
            <w:noWrap/>
          </w:tcPr>
          <w:p w:rsidRPr="00FD1605" w:rsidR="00836AF5" w:rsidP="00836AF5" w:rsidRDefault="00836AF5" w14:paraId="2A9A884A" w14:textId="0789C5B3">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 xml:space="preserve">Uitkeringsgerechtigden krijgen meer duidelijkheid over de financiële gevolgen van werkhervatting voor de hoogte van de aanvullende toeslag op de </w:t>
            </w:r>
            <w:r w:rsidRPr="00FD1605" w:rsidR="0087348C">
              <w:rPr>
                <w:rFonts w:eastAsia="Times New Roman" w:cs="Calibri"/>
                <w:color w:val="000000"/>
                <w:szCs w:val="18"/>
                <w:lang w:val="nl-NL" w:eastAsia="nl-NL"/>
              </w:rPr>
              <w:t>basiswetuitkering</w:t>
            </w:r>
            <w:r w:rsidRPr="00FD1605">
              <w:rPr>
                <w:rFonts w:eastAsia="Times New Roman" w:cs="Calibri"/>
                <w:color w:val="000000"/>
                <w:szCs w:val="18"/>
                <w:lang w:val="nl-NL" w:eastAsia="nl-NL"/>
              </w:rPr>
              <w:t xml:space="preserve">. Daardoor krijgen zij een beter inzicht in wat dit betekent voor hun </w:t>
            </w:r>
            <w:r w:rsidR="005B29C9">
              <w:rPr>
                <w:rFonts w:eastAsia="Times New Roman" w:cs="Calibri"/>
                <w:color w:val="000000"/>
                <w:szCs w:val="18"/>
                <w:lang w:val="nl-NL" w:eastAsia="nl-NL"/>
              </w:rPr>
              <w:t>inkomen</w:t>
            </w:r>
            <w:r w:rsidRPr="00FD1605">
              <w:rPr>
                <w:rFonts w:eastAsia="Times New Roman" w:cs="Calibri"/>
                <w:color w:val="000000"/>
                <w:szCs w:val="18"/>
                <w:lang w:val="nl-NL" w:eastAsia="nl-NL"/>
              </w:rPr>
              <w:t xml:space="preserve">. Daarentegen wordt het volledige </w:t>
            </w:r>
            <w:r w:rsidR="005B29C9">
              <w:rPr>
                <w:rFonts w:eastAsia="Times New Roman" w:cs="Calibri"/>
                <w:color w:val="000000"/>
                <w:szCs w:val="18"/>
                <w:lang w:val="nl-NL" w:eastAsia="nl-NL"/>
              </w:rPr>
              <w:t>arbeids</w:t>
            </w:r>
            <w:r w:rsidRPr="00FD1605">
              <w:rPr>
                <w:rFonts w:eastAsia="Times New Roman" w:cs="Calibri"/>
                <w:color w:val="000000"/>
                <w:szCs w:val="18"/>
                <w:lang w:val="nl-NL" w:eastAsia="nl-NL"/>
              </w:rPr>
              <w:t xml:space="preserve">inkomen </w:t>
            </w:r>
            <w:r w:rsidR="005B29C9">
              <w:rPr>
                <w:rFonts w:eastAsia="Times New Roman" w:cs="Calibri"/>
                <w:color w:val="000000"/>
                <w:szCs w:val="18"/>
                <w:lang w:val="nl-NL" w:eastAsia="nl-NL"/>
              </w:rPr>
              <w:t>in mindering gebracht op</w:t>
            </w:r>
            <w:r w:rsidRPr="00FD1605">
              <w:rPr>
                <w:rFonts w:eastAsia="Times New Roman" w:cs="Calibri"/>
                <w:color w:val="000000"/>
                <w:szCs w:val="18"/>
                <w:lang w:val="nl-NL" w:eastAsia="nl-NL"/>
              </w:rPr>
              <w:t xml:space="preserve"> de toeslag, waardoor mensen die werken naast de toeslag minder inkomsten overhouden ten opzichte van de huidige situatie.</w:t>
            </w:r>
          </w:p>
        </w:tc>
      </w:tr>
      <w:tr w:rsidRPr="00EB3835" w:rsidR="00836AF5" w:rsidTr="00D50797" w14:paraId="445FDE94" w14:textId="77777777">
        <w:trPr>
          <w:trHeight w:val="315"/>
        </w:trPr>
        <w:tc>
          <w:tcPr>
            <w:tcW w:w="2005" w:type="dxa"/>
            <w:tcBorders>
              <w:top w:val="nil"/>
              <w:left w:val="single" w:color="auto" w:sz="8" w:space="0"/>
              <w:bottom w:val="single" w:color="auto" w:sz="8" w:space="0"/>
              <w:right w:val="nil"/>
            </w:tcBorders>
            <w:shd w:val="clear" w:color="auto" w:fill="auto"/>
            <w:noWrap/>
          </w:tcPr>
          <w:p w:rsidRPr="00704454" w:rsidR="00836AF5" w:rsidP="00836AF5" w:rsidRDefault="00836AF5" w14:paraId="7E32712D"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 xml:space="preserve">Keuzes binnen maatregel </w:t>
            </w:r>
          </w:p>
        </w:tc>
        <w:tc>
          <w:tcPr>
            <w:tcW w:w="8080" w:type="dxa"/>
            <w:tcBorders>
              <w:top w:val="single" w:color="auto" w:sz="4" w:space="0"/>
              <w:left w:val="single" w:color="auto" w:sz="4" w:space="0"/>
              <w:bottom w:val="single" w:color="auto" w:sz="8" w:space="0"/>
              <w:right w:val="single" w:color="auto" w:sz="4" w:space="0"/>
            </w:tcBorders>
            <w:shd w:val="clear" w:color="auto" w:fill="auto"/>
            <w:noWrap/>
          </w:tcPr>
          <w:p w:rsidRPr="00FD1605" w:rsidR="00836AF5" w:rsidP="00836AF5" w:rsidRDefault="00836AF5" w14:paraId="7E5956B2" w14:textId="021E9743">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Er dienen keuzes gemaakt te worden rondom overgangsrecht.</w:t>
            </w:r>
            <w:r w:rsidR="005B29C9">
              <w:rPr>
                <w:rFonts w:eastAsia="Times New Roman" w:cs="Calibri"/>
                <w:color w:val="000000"/>
                <w:szCs w:val="18"/>
                <w:lang w:val="nl-NL" w:eastAsia="nl-NL"/>
              </w:rPr>
              <w:t xml:space="preserve"> Zie ook de juridische haalbaarheid.</w:t>
            </w:r>
            <w:r w:rsidRPr="00FD1605">
              <w:rPr>
                <w:rFonts w:eastAsia="Times New Roman" w:cs="Calibri"/>
                <w:color w:val="000000"/>
                <w:szCs w:val="18"/>
                <w:lang w:val="nl-NL" w:eastAsia="nl-NL"/>
              </w:rPr>
              <w:t xml:space="preserve"> </w:t>
            </w:r>
          </w:p>
        </w:tc>
      </w:tr>
      <w:tr w:rsidRPr="00EB3835" w:rsidR="00836AF5" w:rsidTr="00D50797" w14:paraId="6924B7A0" w14:textId="77777777">
        <w:trPr>
          <w:trHeight w:val="315"/>
        </w:trPr>
        <w:tc>
          <w:tcPr>
            <w:tcW w:w="2005" w:type="dxa"/>
            <w:tcBorders>
              <w:top w:val="nil"/>
              <w:left w:val="single" w:color="auto" w:sz="8" w:space="0"/>
              <w:bottom w:val="single" w:color="auto" w:sz="8" w:space="0"/>
              <w:right w:val="nil"/>
            </w:tcBorders>
            <w:shd w:val="clear" w:color="auto" w:fill="auto"/>
            <w:noWrap/>
          </w:tcPr>
          <w:p w:rsidRPr="00704454" w:rsidR="00836AF5" w:rsidP="00836AF5" w:rsidRDefault="00836AF5" w14:paraId="2CEAAD9B"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Tijdpad inwerkingtreding</w:t>
            </w:r>
          </w:p>
        </w:tc>
        <w:tc>
          <w:tcPr>
            <w:tcW w:w="8080" w:type="dxa"/>
            <w:tcBorders>
              <w:top w:val="single" w:color="auto" w:sz="4" w:space="0"/>
              <w:left w:val="single" w:color="auto" w:sz="4" w:space="0"/>
              <w:bottom w:val="single" w:color="auto" w:sz="8" w:space="0"/>
              <w:right w:val="single" w:color="auto" w:sz="4" w:space="0"/>
            </w:tcBorders>
            <w:shd w:val="clear" w:color="auto" w:fill="auto"/>
            <w:noWrap/>
          </w:tcPr>
          <w:p w:rsidRPr="00FD1605" w:rsidR="00836AF5" w:rsidP="00836AF5" w:rsidRDefault="00836AF5" w14:paraId="69E74A92" w14:textId="1CDF146A">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 xml:space="preserve">Voor afschaffing van de vrijlatingsregeling is een wetswijziging in de Toeslagenwet nodig. </w:t>
            </w:r>
            <w:r w:rsidR="00973998">
              <w:rPr>
                <w:rFonts w:eastAsia="Times New Roman" w:cs="Calibri"/>
                <w:color w:val="000000"/>
                <w:szCs w:val="18"/>
                <w:lang w:val="nl-NL" w:eastAsia="nl-NL"/>
              </w:rPr>
              <w:t>Een wetswijziging</w:t>
            </w:r>
            <w:r w:rsidRPr="00FD1605">
              <w:rPr>
                <w:rFonts w:eastAsia="Times New Roman" w:cs="Calibri"/>
                <w:color w:val="000000"/>
                <w:szCs w:val="18"/>
                <w:lang w:val="nl-NL" w:eastAsia="nl-NL"/>
              </w:rPr>
              <w:t xml:space="preserve"> duurt gemiddeld twee jaar. Ook dient rekening te worden gehouden met eventuele extra tijd voor de implementatie door de uitvoerder. Hierbij kan worden gedacht aan aanpassingen van systemen en communicatie aan uitkeringsgerechtigden. </w:t>
            </w:r>
          </w:p>
        </w:tc>
      </w:tr>
      <w:tr w:rsidRPr="00EB3835" w:rsidR="00836AF5" w:rsidTr="00D50797" w14:paraId="4FFFBAE7" w14:textId="77777777">
        <w:trPr>
          <w:trHeight w:val="315"/>
        </w:trPr>
        <w:tc>
          <w:tcPr>
            <w:tcW w:w="2005" w:type="dxa"/>
            <w:tcBorders>
              <w:top w:val="nil"/>
              <w:left w:val="single" w:color="auto" w:sz="8" w:space="0"/>
              <w:bottom w:val="single" w:color="auto" w:sz="8" w:space="0"/>
              <w:right w:val="nil"/>
            </w:tcBorders>
            <w:shd w:val="clear" w:color="auto" w:fill="auto"/>
            <w:noWrap/>
          </w:tcPr>
          <w:p w:rsidRPr="00704454" w:rsidR="00836AF5" w:rsidP="00836AF5" w:rsidRDefault="00836AF5" w14:paraId="40A5673E"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Juridische haalbaarheid</w:t>
            </w:r>
          </w:p>
        </w:tc>
        <w:tc>
          <w:tcPr>
            <w:tcW w:w="8080" w:type="dxa"/>
            <w:tcBorders>
              <w:top w:val="single" w:color="auto" w:sz="4" w:space="0"/>
              <w:left w:val="single" w:color="auto" w:sz="4" w:space="0"/>
              <w:bottom w:val="single" w:color="auto" w:sz="8" w:space="0"/>
              <w:right w:val="single" w:color="auto" w:sz="4" w:space="0"/>
            </w:tcBorders>
            <w:shd w:val="clear" w:color="auto" w:fill="auto"/>
            <w:noWrap/>
          </w:tcPr>
          <w:p w:rsidRPr="00FD1605" w:rsidR="00836AF5" w:rsidP="00836AF5" w:rsidRDefault="00836AF5" w14:paraId="24768181" w14:textId="77777777">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 xml:space="preserve">Er is een wetswijziging nodig van artikel 7 van de Toeslagenwet. Hierbij dient ook aandacht te worden besteed aan samenloop met andere wetten. </w:t>
            </w:r>
          </w:p>
          <w:p w:rsidR="005B29C9" w:rsidP="00836AF5" w:rsidRDefault="00836AF5" w14:paraId="34035E4B" w14:textId="6A9D86D5">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Ook dient nadere besluitvorming plaats te vinden rondom overgangsrecht.</w:t>
            </w:r>
            <w:r w:rsidR="005B29C9">
              <w:rPr>
                <w:rFonts w:eastAsia="Times New Roman" w:cs="Calibri"/>
                <w:color w:val="000000"/>
                <w:szCs w:val="18"/>
                <w:lang w:val="nl-NL" w:eastAsia="nl-NL"/>
              </w:rPr>
              <w:t xml:space="preserve"> </w:t>
            </w:r>
            <w:r w:rsidRPr="00FD1605" w:rsidR="005B29C9">
              <w:rPr>
                <w:rFonts w:eastAsia="Times New Roman" w:cs="Calibri"/>
                <w:color w:val="000000"/>
                <w:szCs w:val="18"/>
                <w:lang w:val="nl-NL" w:eastAsia="nl-NL"/>
              </w:rPr>
              <w:t xml:space="preserve">Bij uitkeringsgerechtigden bij wie de termijn van twee jaar van de vrijlatingsregeling al is gestart, kan de vrijlatingsregeling voor de resterende termijn gerespecteerd worden. De nieuwe vrijlatingsregeling direct per inwerkingtreding toepassen op deze doelgroep zal waarschijnlijk op juridische bezwaren stuiten, omdat deze berekeningswijze kan leiden tot een verlaging van de aanvullende toeslag. </w:t>
            </w:r>
          </w:p>
          <w:p w:rsidRPr="00FD1605" w:rsidR="00836AF5" w:rsidP="00836AF5" w:rsidRDefault="00836AF5" w14:paraId="15434020" w14:textId="10BC80DB">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Voor andere uitkeringsgerechtigden die al een lopende aanvullende toeslag hebben, maar nog niet werken</w:t>
            </w:r>
            <w:r w:rsidRPr="00FD1605" w:rsidR="00972C62">
              <w:rPr>
                <w:rFonts w:eastAsia="Times New Roman" w:cs="Calibri"/>
                <w:color w:val="000000"/>
                <w:szCs w:val="18"/>
                <w:lang w:val="nl-NL" w:eastAsia="nl-NL"/>
              </w:rPr>
              <w:t>,</w:t>
            </w:r>
            <w:r w:rsidRPr="00FD1605">
              <w:rPr>
                <w:rFonts w:eastAsia="Times New Roman" w:cs="Calibri"/>
                <w:color w:val="000000"/>
                <w:szCs w:val="18"/>
                <w:lang w:val="nl-NL" w:eastAsia="nl-NL"/>
              </w:rPr>
              <w:t xml:space="preserve"> dient nader onderzocht te worden of er sprake is van eigendomsrechten o</w:t>
            </w:r>
            <w:r w:rsidR="00B575DB">
              <w:rPr>
                <w:rFonts w:eastAsia="Times New Roman" w:cs="Calibri"/>
                <w:color w:val="000000"/>
                <w:szCs w:val="18"/>
                <w:lang w:val="nl-NL" w:eastAsia="nl-NL"/>
              </w:rPr>
              <w:t>.</w:t>
            </w:r>
            <w:r w:rsidRPr="00FD1605">
              <w:rPr>
                <w:rFonts w:eastAsia="Times New Roman" w:cs="Calibri"/>
                <w:color w:val="000000"/>
                <w:szCs w:val="18"/>
                <w:lang w:val="nl-NL" w:eastAsia="nl-NL"/>
              </w:rPr>
              <w:t>b</w:t>
            </w:r>
            <w:r w:rsidR="00B575DB">
              <w:rPr>
                <w:rFonts w:eastAsia="Times New Roman" w:cs="Calibri"/>
                <w:color w:val="000000"/>
                <w:szCs w:val="18"/>
                <w:lang w:val="nl-NL" w:eastAsia="nl-NL"/>
              </w:rPr>
              <w:t>.</w:t>
            </w:r>
            <w:r w:rsidRPr="00FD1605">
              <w:rPr>
                <w:rFonts w:eastAsia="Times New Roman" w:cs="Calibri"/>
                <w:color w:val="000000"/>
                <w:szCs w:val="18"/>
                <w:lang w:val="nl-NL" w:eastAsia="nl-NL"/>
              </w:rPr>
              <w:t>v</w:t>
            </w:r>
            <w:r w:rsidR="00B575DB">
              <w:rPr>
                <w:rFonts w:eastAsia="Times New Roman" w:cs="Calibri"/>
                <w:color w:val="000000"/>
                <w:szCs w:val="18"/>
                <w:lang w:val="nl-NL" w:eastAsia="nl-NL"/>
              </w:rPr>
              <w:t>.</w:t>
            </w:r>
            <w:r w:rsidRPr="00FD1605">
              <w:rPr>
                <w:rFonts w:eastAsia="Times New Roman" w:cs="Calibri"/>
                <w:color w:val="000000"/>
                <w:szCs w:val="18"/>
                <w:lang w:val="nl-NL" w:eastAsia="nl-NL"/>
              </w:rPr>
              <w:t xml:space="preserve"> 1e Protocol bij EVRM die gerespecteerd moeten worden</w:t>
            </w:r>
            <w:r w:rsidRPr="00FD1605" w:rsidR="00972C62">
              <w:rPr>
                <w:rFonts w:eastAsia="Times New Roman" w:cs="Calibri"/>
                <w:color w:val="000000"/>
                <w:szCs w:val="18"/>
                <w:lang w:val="nl-NL" w:eastAsia="nl-NL"/>
              </w:rPr>
              <w:t>.</w:t>
            </w:r>
          </w:p>
        </w:tc>
      </w:tr>
      <w:tr w:rsidRPr="00EB3835" w:rsidR="00836AF5" w:rsidTr="00D50797" w14:paraId="4313AC43" w14:textId="77777777">
        <w:trPr>
          <w:trHeight w:val="315"/>
        </w:trPr>
        <w:tc>
          <w:tcPr>
            <w:tcW w:w="2005" w:type="dxa"/>
            <w:tcBorders>
              <w:top w:val="nil"/>
              <w:left w:val="single" w:color="auto" w:sz="8" w:space="0"/>
              <w:bottom w:val="single" w:color="auto" w:sz="8" w:space="0"/>
              <w:right w:val="nil"/>
            </w:tcBorders>
            <w:shd w:val="clear" w:color="auto" w:fill="auto"/>
            <w:noWrap/>
          </w:tcPr>
          <w:p w:rsidRPr="00704454" w:rsidR="00836AF5" w:rsidP="00836AF5" w:rsidRDefault="00836AF5" w14:paraId="20B2215D"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Uitvoerbaarheid</w:t>
            </w:r>
          </w:p>
        </w:tc>
        <w:tc>
          <w:tcPr>
            <w:tcW w:w="8080" w:type="dxa"/>
            <w:tcBorders>
              <w:top w:val="single" w:color="auto" w:sz="4" w:space="0"/>
              <w:left w:val="single" w:color="auto" w:sz="4" w:space="0"/>
              <w:bottom w:val="single" w:color="auto" w:sz="8" w:space="0"/>
              <w:right w:val="single" w:color="auto" w:sz="4" w:space="0"/>
            </w:tcBorders>
            <w:shd w:val="clear" w:color="auto" w:fill="auto"/>
            <w:noWrap/>
          </w:tcPr>
          <w:p w:rsidRPr="00FD1605" w:rsidR="00836AF5" w:rsidP="00836AF5" w:rsidRDefault="00836AF5" w14:paraId="3534BBC1" w14:textId="203F4D33">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H</w:t>
            </w:r>
            <w:r w:rsidRPr="00FD1605">
              <w:rPr>
                <w:rFonts w:eastAsia="Times New Roman"/>
                <w:color w:val="000000"/>
                <w:szCs w:val="18"/>
                <w:lang w:val="nl-NL" w:eastAsia="nl-NL"/>
              </w:rPr>
              <w:t xml:space="preserve">et afschaffen van de vrijlatingsregeling vermindert complexiteit in de uitvoering. </w:t>
            </w:r>
            <w:r w:rsidRPr="00FD1605">
              <w:rPr>
                <w:rFonts w:eastAsia="Times New Roman" w:cs="Calibri"/>
                <w:color w:val="000000"/>
                <w:szCs w:val="18"/>
                <w:lang w:val="nl-NL" w:eastAsia="nl-NL"/>
              </w:rPr>
              <w:t xml:space="preserve">De uitvoerder zal diverse wijzigingen in de werkwijze moeten aanbrengen. Gedacht dient </w:t>
            </w:r>
            <w:r w:rsidRPr="00FD1605">
              <w:rPr>
                <w:rFonts w:eastAsia="Times New Roman" w:cs="Calibri"/>
                <w:color w:val="000000"/>
                <w:szCs w:val="18"/>
                <w:lang w:val="nl-NL" w:eastAsia="nl-NL"/>
              </w:rPr>
              <w:lastRenderedPageBreak/>
              <w:t xml:space="preserve">te worden aan aanpassingen aan systemen en communicatie aan uitkeringsgerechtigden. Nog te maken keuzes rondom overgangsrecht c.q. de omgang met uitkeringsgerechtigden met al lopende toeslagen, spelen daarnaast een rol in de vraag of de maatregel uitvoerbaar is. </w:t>
            </w:r>
          </w:p>
        </w:tc>
      </w:tr>
      <w:tr w:rsidRPr="00EB3835" w:rsidR="00836AF5" w:rsidTr="00D50797" w14:paraId="74B18507" w14:textId="77777777">
        <w:trPr>
          <w:trHeight w:val="315"/>
        </w:trPr>
        <w:tc>
          <w:tcPr>
            <w:tcW w:w="2005" w:type="dxa"/>
            <w:tcBorders>
              <w:top w:val="nil"/>
              <w:left w:val="single" w:color="auto" w:sz="8" w:space="0"/>
              <w:bottom w:val="single" w:color="auto" w:sz="8" w:space="0"/>
              <w:right w:val="nil"/>
            </w:tcBorders>
            <w:shd w:val="clear" w:color="auto" w:fill="auto"/>
            <w:noWrap/>
          </w:tcPr>
          <w:p w:rsidRPr="00704454" w:rsidR="00836AF5" w:rsidP="00836AF5" w:rsidRDefault="00836AF5" w14:paraId="64C45550"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lastRenderedPageBreak/>
              <w:t>Financiële effecten</w:t>
            </w:r>
          </w:p>
        </w:tc>
        <w:tc>
          <w:tcPr>
            <w:tcW w:w="8080" w:type="dxa"/>
            <w:tcBorders>
              <w:top w:val="single" w:color="auto" w:sz="4" w:space="0"/>
              <w:left w:val="single" w:color="auto" w:sz="4" w:space="0"/>
              <w:bottom w:val="single" w:color="auto" w:sz="8" w:space="0"/>
              <w:right w:val="single" w:color="auto" w:sz="4" w:space="0"/>
            </w:tcBorders>
            <w:shd w:val="clear" w:color="auto" w:fill="auto"/>
            <w:noWrap/>
          </w:tcPr>
          <w:p w:rsidRPr="00FD1605" w:rsidR="00836AF5" w:rsidP="00836AF5" w:rsidRDefault="00836AF5" w14:paraId="5B09C922" w14:textId="77777777">
            <w:pPr>
              <w:spacing w:after="0" w:line="240" w:lineRule="auto"/>
              <w:rPr>
                <w:rFonts w:eastAsia="Times New Roman" w:cs="Calibri"/>
                <w:color w:val="000000"/>
                <w:szCs w:val="18"/>
                <w:lang w:val="nl-NL" w:eastAsia="nl-NL"/>
              </w:rPr>
            </w:pPr>
          </w:p>
          <w:tbl>
            <w:tblPr>
              <w:tblStyle w:val="Tabelraster"/>
              <w:tblpPr w:leftFromText="141" w:rightFromText="141" w:vertAnchor="page" w:horzAnchor="margin" w:tblpY="541"/>
              <w:tblOverlap w:val="never"/>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1E0" w:firstRow="1" w:lastRow="1" w:firstColumn="1" w:lastColumn="1" w:noHBand="0" w:noVBand="0"/>
            </w:tblPr>
            <w:tblGrid>
              <w:gridCol w:w="2588"/>
              <w:gridCol w:w="728"/>
              <w:gridCol w:w="728"/>
              <w:gridCol w:w="808"/>
              <w:gridCol w:w="728"/>
              <w:gridCol w:w="728"/>
              <w:gridCol w:w="809"/>
              <w:gridCol w:w="815"/>
            </w:tblGrid>
            <w:tr w:rsidRPr="00EB3835" w:rsidR="00DF5517" w:rsidTr="00D50265" w14:paraId="4FFB67B4" w14:textId="77777777">
              <w:tc>
                <w:tcPr>
                  <w:tcW w:w="1650" w:type="pct"/>
                  <w:tcBorders>
                    <w:top w:val="single" w:color="auto" w:sz="4" w:space="0"/>
                    <w:left w:val="single" w:color="auto" w:sz="4" w:space="0"/>
                  </w:tcBorders>
                </w:tcPr>
                <w:p w:rsidRPr="00DF5517" w:rsidR="00DF5517" w:rsidP="00836AF5" w:rsidRDefault="00DF5517" w14:paraId="21760CD9" w14:textId="56D33030">
                  <w:pPr>
                    <w:rPr>
                      <w:rFonts w:ascii="Verdana" w:hAnsi="Verdana"/>
                      <w:b/>
                      <w:sz w:val="18"/>
                      <w:szCs w:val="18"/>
                    </w:rPr>
                  </w:pPr>
                  <w:r w:rsidRPr="00DF5517">
                    <w:rPr>
                      <w:rFonts w:ascii="Verdana" w:hAnsi="Verdana"/>
                      <w:bCs/>
                      <w:i/>
                      <w:iCs/>
                      <w:sz w:val="18"/>
                      <w:szCs w:val="18"/>
                    </w:rPr>
                    <w:t>In miljoenen euro’s</w:t>
                  </w:r>
                </w:p>
              </w:tc>
              <w:tc>
                <w:tcPr>
                  <w:tcW w:w="459" w:type="pct"/>
                  <w:tcBorders>
                    <w:top w:val="single" w:color="auto" w:sz="4" w:space="0"/>
                  </w:tcBorders>
                </w:tcPr>
                <w:p w:rsidRPr="00DF5517" w:rsidR="00DF5517" w:rsidP="00836AF5" w:rsidRDefault="00DF5517" w14:paraId="12FF59C0" w14:textId="77777777">
                  <w:pPr>
                    <w:jc w:val="right"/>
                    <w:rPr>
                      <w:rFonts w:ascii="Verdana" w:hAnsi="Verdana"/>
                      <w:b/>
                      <w:bCs/>
                      <w:sz w:val="18"/>
                      <w:szCs w:val="18"/>
                    </w:rPr>
                  </w:pPr>
                  <w:r w:rsidRPr="00DF5517">
                    <w:rPr>
                      <w:rFonts w:ascii="Verdana" w:hAnsi="Verdana"/>
                      <w:b/>
                      <w:bCs/>
                      <w:sz w:val="18"/>
                      <w:szCs w:val="18"/>
                    </w:rPr>
                    <w:t>2026</w:t>
                  </w:r>
                </w:p>
              </w:tc>
              <w:tc>
                <w:tcPr>
                  <w:tcW w:w="390" w:type="pct"/>
                  <w:tcBorders>
                    <w:top w:val="single" w:color="auto" w:sz="4" w:space="0"/>
                  </w:tcBorders>
                </w:tcPr>
                <w:p w:rsidRPr="00DF5517" w:rsidR="00DF5517" w:rsidP="00836AF5" w:rsidRDefault="00DF5517" w14:paraId="6922E228" w14:textId="77777777">
                  <w:pPr>
                    <w:jc w:val="right"/>
                    <w:rPr>
                      <w:rFonts w:ascii="Verdana" w:hAnsi="Verdana"/>
                      <w:b/>
                      <w:bCs/>
                      <w:sz w:val="18"/>
                      <w:szCs w:val="18"/>
                    </w:rPr>
                  </w:pPr>
                  <w:r w:rsidRPr="00DF5517">
                    <w:rPr>
                      <w:rFonts w:ascii="Verdana" w:hAnsi="Verdana"/>
                      <w:b/>
                      <w:bCs/>
                      <w:sz w:val="18"/>
                      <w:szCs w:val="18"/>
                    </w:rPr>
                    <w:t>2027</w:t>
                  </w:r>
                </w:p>
              </w:tc>
              <w:tc>
                <w:tcPr>
                  <w:tcW w:w="528" w:type="pct"/>
                  <w:tcBorders>
                    <w:top w:val="single" w:color="auto" w:sz="4" w:space="0"/>
                  </w:tcBorders>
                </w:tcPr>
                <w:p w:rsidRPr="00DF5517" w:rsidR="00DF5517" w:rsidP="00836AF5" w:rsidRDefault="00DF5517" w14:paraId="7A4AF657" w14:textId="77777777">
                  <w:pPr>
                    <w:jc w:val="right"/>
                    <w:rPr>
                      <w:rFonts w:ascii="Verdana" w:hAnsi="Verdana"/>
                      <w:b/>
                      <w:bCs/>
                      <w:sz w:val="18"/>
                      <w:szCs w:val="18"/>
                    </w:rPr>
                  </w:pPr>
                  <w:r w:rsidRPr="00DF5517">
                    <w:rPr>
                      <w:rFonts w:ascii="Verdana" w:hAnsi="Verdana"/>
                      <w:b/>
                      <w:bCs/>
                      <w:sz w:val="18"/>
                      <w:szCs w:val="18"/>
                    </w:rPr>
                    <w:t>2028</w:t>
                  </w:r>
                </w:p>
              </w:tc>
              <w:tc>
                <w:tcPr>
                  <w:tcW w:w="459" w:type="pct"/>
                  <w:tcBorders>
                    <w:top w:val="single" w:color="auto" w:sz="4" w:space="0"/>
                  </w:tcBorders>
                </w:tcPr>
                <w:p w:rsidRPr="00DF5517" w:rsidR="00DF5517" w:rsidP="00836AF5" w:rsidRDefault="00DF5517" w14:paraId="28D95155" w14:textId="77777777">
                  <w:pPr>
                    <w:jc w:val="right"/>
                    <w:rPr>
                      <w:rFonts w:ascii="Verdana" w:hAnsi="Verdana"/>
                      <w:b/>
                      <w:bCs/>
                      <w:sz w:val="18"/>
                      <w:szCs w:val="18"/>
                    </w:rPr>
                  </w:pPr>
                  <w:r w:rsidRPr="00DF5517">
                    <w:rPr>
                      <w:rFonts w:ascii="Verdana" w:hAnsi="Verdana"/>
                      <w:b/>
                      <w:bCs/>
                      <w:sz w:val="18"/>
                      <w:szCs w:val="18"/>
                    </w:rPr>
                    <w:t>2029</w:t>
                  </w:r>
                </w:p>
              </w:tc>
              <w:tc>
                <w:tcPr>
                  <w:tcW w:w="459" w:type="pct"/>
                  <w:tcBorders>
                    <w:top w:val="single" w:color="auto" w:sz="4" w:space="0"/>
                  </w:tcBorders>
                </w:tcPr>
                <w:p w:rsidRPr="00DF5517" w:rsidR="00DF5517" w:rsidP="00836AF5" w:rsidRDefault="00DF5517" w14:paraId="3411E8BF" w14:textId="77777777">
                  <w:pPr>
                    <w:jc w:val="right"/>
                    <w:rPr>
                      <w:rFonts w:ascii="Verdana" w:hAnsi="Verdana"/>
                      <w:b/>
                      <w:bCs/>
                      <w:sz w:val="18"/>
                      <w:szCs w:val="18"/>
                    </w:rPr>
                  </w:pPr>
                  <w:r w:rsidRPr="00DF5517">
                    <w:rPr>
                      <w:rFonts w:ascii="Verdana" w:hAnsi="Verdana"/>
                      <w:b/>
                      <w:bCs/>
                      <w:sz w:val="18"/>
                      <w:szCs w:val="18"/>
                    </w:rPr>
                    <w:t>2030</w:t>
                  </w:r>
                </w:p>
              </w:tc>
              <w:tc>
                <w:tcPr>
                  <w:tcW w:w="528" w:type="pct"/>
                  <w:tcBorders>
                    <w:top w:val="single" w:color="auto" w:sz="4" w:space="0"/>
                  </w:tcBorders>
                </w:tcPr>
                <w:p w:rsidRPr="00DF5517" w:rsidR="00DF5517" w:rsidP="00836AF5" w:rsidRDefault="00DF5517" w14:paraId="2FACF1F1" w14:textId="6B687BE2">
                  <w:pPr>
                    <w:jc w:val="right"/>
                    <w:rPr>
                      <w:rFonts w:ascii="Verdana" w:hAnsi="Verdana"/>
                      <w:b/>
                      <w:bCs/>
                      <w:sz w:val="18"/>
                      <w:szCs w:val="18"/>
                    </w:rPr>
                  </w:pPr>
                  <w:r w:rsidRPr="00DF5517">
                    <w:rPr>
                      <w:rFonts w:ascii="Verdana" w:hAnsi="Verdana"/>
                      <w:b/>
                      <w:bCs/>
                      <w:sz w:val="18"/>
                      <w:szCs w:val="18"/>
                    </w:rPr>
                    <w:t>2031</w:t>
                  </w:r>
                </w:p>
              </w:tc>
              <w:tc>
                <w:tcPr>
                  <w:tcW w:w="527" w:type="pct"/>
                  <w:tcBorders>
                    <w:top w:val="single" w:color="auto" w:sz="4" w:space="0"/>
                  </w:tcBorders>
                </w:tcPr>
                <w:p w:rsidRPr="00DF5517" w:rsidR="00DF5517" w:rsidP="00836AF5" w:rsidRDefault="00DF5517" w14:paraId="2E1AAA13" w14:textId="0A8872E8">
                  <w:pPr>
                    <w:jc w:val="right"/>
                    <w:rPr>
                      <w:rFonts w:ascii="Verdana" w:hAnsi="Verdana"/>
                      <w:b/>
                      <w:bCs/>
                      <w:sz w:val="18"/>
                      <w:szCs w:val="18"/>
                    </w:rPr>
                  </w:pPr>
                  <w:proofErr w:type="spellStart"/>
                  <w:r w:rsidRPr="00DF5517">
                    <w:rPr>
                      <w:rFonts w:ascii="Verdana" w:hAnsi="Verdana"/>
                      <w:b/>
                      <w:bCs/>
                      <w:sz w:val="18"/>
                      <w:szCs w:val="18"/>
                    </w:rPr>
                    <w:t>Struc</w:t>
                  </w:r>
                  <w:proofErr w:type="spellEnd"/>
                  <w:r w:rsidRPr="00DF5517">
                    <w:rPr>
                      <w:rFonts w:ascii="Verdana" w:hAnsi="Verdana"/>
                      <w:b/>
                      <w:bCs/>
                      <w:sz w:val="18"/>
                      <w:szCs w:val="18"/>
                    </w:rPr>
                    <w:t>.</w:t>
                  </w:r>
                </w:p>
              </w:tc>
            </w:tr>
            <w:tr w:rsidRPr="00EB3835" w:rsidR="00DF5517" w:rsidTr="00D50265" w14:paraId="0590EAE3" w14:textId="77777777">
              <w:tc>
                <w:tcPr>
                  <w:tcW w:w="1650" w:type="pct"/>
                </w:tcPr>
                <w:p w:rsidRPr="00DF5517" w:rsidR="00DF5517" w:rsidP="00836AF5" w:rsidRDefault="00DF5517" w14:paraId="7AC64532" w14:textId="77777777">
                  <w:pPr>
                    <w:rPr>
                      <w:rFonts w:ascii="Verdana" w:hAnsi="Verdana"/>
                      <w:sz w:val="18"/>
                      <w:szCs w:val="18"/>
                    </w:rPr>
                  </w:pPr>
                  <w:r w:rsidRPr="00DF5517">
                    <w:rPr>
                      <w:rFonts w:ascii="Verdana" w:hAnsi="Verdana"/>
                      <w:sz w:val="18"/>
                      <w:szCs w:val="18"/>
                    </w:rPr>
                    <w:t>Algemene effecten</w:t>
                  </w:r>
                </w:p>
              </w:tc>
              <w:tc>
                <w:tcPr>
                  <w:tcW w:w="459" w:type="pct"/>
                </w:tcPr>
                <w:p w:rsidRPr="00DF5517" w:rsidR="00DF5517" w:rsidP="00836AF5" w:rsidRDefault="00DF5517" w14:paraId="3C06701B" w14:textId="77777777">
                  <w:pPr>
                    <w:jc w:val="right"/>
                    <w:rPr>
                      <w:rFonts w:ascii="Verdana" w:hAnsi="Verdana"/>
                      <w:sz w:val="18"/>
                      <w:szCs w:val="18"/>
                    </w:rPr>
                  </w:pPr>
                </w:p>
              </w:tc>
              <w:tc>
                <w:tcPr>
                  <w:tcW w:w="390" w:type="pct"/>
                </w:tcPr>
                <w:p w:rsidRPr="00DF5517" w:rsidR="00DF5517" w:rsidP="00836AF5" w:rsidRDefault="00DF5517" w14:paraId="5E078D7B" w14:textId="094908E3">
                  <w:pPr>
                    <w:jc w:val="right"/>
                    <w:rPr>
                      <w:rFonts w:ascii="Verdana" w:hAnsi="Verdana"/>
                      <w:sz w:val="18"/>
                      <w:szCs w:val="18"/>
                    </w:rPr>
                  </w:pPr>
                </w:p>
              </w:tc>
              <w:tc>
                <w:tcPr>
                  <w:tcW w:w="528" w:type="pct"/>
                </w:tcPr>
                <w:p w:rsidRPr="00DF5517" w:rsidR="00DF5517" w:rsidP="00836AF5" w:rsidRDefault="00DF5517" w14:paraId="62CB8112" w14:textId="51E6AC27">
                  <w:pPr>
                    <w:jc w:val="right"/>
                    <w:rPr>
                      <w:rFonts w:ascii="Verdana" w:hAnsi="Verdana"/>
                      <w:sz w:val="18"/>
                      <w:szCs w:val="18"/>
                    </w:rPr>
                  </w:pPr>
                </w:p>
              </w:tc>
              <w:tc>
                <w:tcPr>
                  <w:tcW w:w="459" w:type="pct"/>
                </w:tcPr>
                <w:p w:rsidRPr="00DF5517" w:rsidR="00DF5517" w:rsidP="00836AF5" w:rsidRDefault="00DF5517" w14:paraId="34238421" w14:textId="19673D25">
                  <w:pPr>
                    <w:jc w:val="right"/>
                    <w:rPr>
                      <w:rFonts w:ascii="Verdana" w:hAnsi="Verdana"/>
                      <w:sz w:val="18"/>
                      <w:szCs w:val="18"/>
                    </w:rPr>
                  </w:pPr>
                  <w:r w:rsidRPr="00DF5517">
                    <w:rPr>
                      <w:rFonts w:ascii="Verdana" w:hAnsi="Verdana"/>
                      <w:sz w:val="18"/>
                      <w:szCs w:val="18"/>
                    </w:rPr>
                    <w:t>-20,3</w:t>
                  </w:r>
                </w:p>
              </w:tc>
              <w:tc>
                <w:tcPr>
                  <w:tcW w:w="459" w:type="pct"/>
                </w:tcPr>
                <w:p w:rsidRPr="00DF5517" w:rsidR="00DF5517" w:rsidP="00836AF5" w:rsidRDefault="00DF5517" w14:paraId="5190B1BD" w14:textId="28A17A47">
                  <w:pPr>
                    <w:jc w:val="right"/>
                    <w:rPr>
                      <w:rFonts w:ascii="Verdana" w:hAnsi="Verdana"/>
                      <w:sz w:val="18"/>
                      <w:szCs w:val="18"/>
                    </w:rPr>
                  </w:pPr>
                  <w:r w:rsidRPr="00DF5517">
                    <w:rPr>
                      <w:rFonts w:ascii="Verdana" w:hAnsi="Verdana"/>
                      <w:sz w:val="18"/>
                      <w:szCs w:val="18"/>
                    </w:rPr>
                    <w:t>-20,6</w:t>
                  </w:r>
                </w:p>
              </w:tc>
              <w:tc>
                <w:tcPr>
                  <w:tcW w:w="528" w:type="pct"/>
                </w:tcPr>
                <w:p w:rsidRPr="00DF5517" w:rsidR="00DF5517" w:rsidP="00836AF5" w:rsidRDefault="00DF5517" w14:paraId="2C656094" w14:textId="7AC82877">
                  <w:pPr>
                    <w:jc w:val="right"/>
                    <w:rPr>
                      <w:rFonts w:ascii="Verdana" w:hAnsi="Verdana"/>
                      <w:sz w:val="18"/>
                      <w:szCs w:val="18"/>
                    </w:rPr>
                  </w:pPr>
                  <w:r w:rsidRPr="00DF5517">
                    <w:rPr>
                      <w:rFonts w:ascii="Verdana" w:hAnsi="Verdana"/>
                      <w:sz w:val="18"/>
                      <w:szCs w:val="18"/>
                    </w:rPr>
                    <w:t>-20,9</w:t>
                  </w:r>
                </w:p>
              </w:tc>
              <w:tc>
                <w:tcPr>
                  <w:tcW w:w="527" w:type="pct"/>
                </w:tcPr>
                <w:p w:rsidRPr="00DF5517" w:rsidR="00DF5517" w:rsidP="00836AF5" w:rsidRDefault="00DF5517" w14:paraId="36FF9200" w14:textId="55DCB45B">
                  <w:pPr>
                    <w:jc w:val="right"/>
                    <w:rPr>
                      <w:rFonts w:ascii="Verdana" w:hAnsi="Verdana"/>
                      <w:sz w:val="18"/>
                      <w:szCs w:val="18"/>
                    </w:rPr>
                  </w:pPr>
                  <w:r w:rsidRPr="00DF5517">
                    <w:rPr>
                      <w:rFonts w:ascii="Verdana" w:hAnsi="Verdana"/>
                      <w:sz w:val="18"/>
                      <w:szCs w:val="18"/>
                    </w:rPr>
                    <w:t>-23,5</w:t>
                  </w:r>
                </w:p>
              </w:tc>
            </w:tr>
            <w:tr w:rsidRPr="00EB3835" w:rsidR="00DF5517" w:rsidTr="00D50265" w14:paraId="109DBB63" w14:textId="77777777">
              <w:tc>
                <w:tcPr>
                  <w:tcW w:w="1650" w:type="pct"/>
                </w:tcPr>
                <w:p w:rsidRPr="00DF5517" w:rsidR="00DF5517" w:rsidP="00836AF5" w:rsidRDefault="00DF5517" w14:paraId="238FB49F" w14:textId="77777777">
                  <w:pPr>
                    <w:rPr>
                      <w:rFonts w:ascii="Verdana" w:hAnsi="Verdana"/>
                      <w:sz w:val="18"/>
                      <w:szCs w:val="18"/>
                    </w:rPr>
                  </w:pPr>
                  <w:r w:rsidRPr="00DF5517">
                    <w:rPr>
                      <w:rFonts w:ascii="Verdana" w:hAnsi="Verdana"/>
                      <w:sz w:val="18"/>
                      <w:szCs w:val="18"/>
                    </w:rPr>
                    <w:t>Weglekeffecten</w:t>
                  </w:r>
                </w:p>
              </w:tc>
              <w:tc>
                <w:tcPr>
                  <w:tcW w:w="459" w:type="pct"/>
                </w:tcPr>
                <w:p w:rsidRPr="00DF5517" w:rsidR="00DF5517" w:rsidP="00836AF5" w:rsidRDefault="00DF5517" w14:paraId="383C19DC" w14:textId="77777777">
                  <w:pPr>
                    <w:jc w:val="right"/>
                    <w:rPr>
                      <w:rFonts w:ascii="Verdana" w:hAnsi="Verdana"/>
                      <w:sz w:val="18"/>
                      <w:szCs w:val="18"/>
                    </w:rPr>
                  </w:pPr>
                </w:p>
              </w:tc>
              <w:tc>
                <w:tcPr>
                  <w:tcW w:w="390" w:type="pct"/>
                </w:tcPr>
                <w:p w:rsidRPr="00DF5517" w:rsidR="00DF5517" w:rsidP="00836AF5" w:rsidRDefault="00DF5517" w14:paraId="74B8E6E8" w14:textId="77777777">
                  <w:pPr>
                    <w:jc w:val="right"/>
                    <w:rPr>
                      <w:rFonts w:ascii="Verdana" w:hAnsi="Verdana"/>
                      <w:sz w:val="18"/>
                      <w:szCs w:val="18"/>
                    </w:rPr>
                  </w:pPr>
                </w:p>
              </w:tc>
              <w:tc>
                <w:tcPr>
                  <w:tcW w:w="528" w:type="pct"/>
                </w:tcPr>
                <w:p w:rsidRPr="00DF5517" w:rsidR="00DF5517" w:rsidP="00836AF5" w:rsidRDefault="00DF5517" w14:paraId="747F5840" w14:textId="77777777">
                  <w:pPr>
                    <w:jc w:val="right"/>
                    <w:rPr>
                      <w:rFonts w:ascii="Verdana" w:hAnsi="Verdana"/>
                      <w:sz w:val="18"/>
                      <w:szCs w:val="18"/>
                    </w:rPr>
                  </w:pPr>
                </w:p>
              </w:tc>
              <w:tc>
                <w:tcPr>
                  <w:tcW w:w="459" w:type="pct"/>
                </w:tcPr>
                <w:p w:rsidRPr="00DF5517" w:rsidR="00DF5517" w:rsidP="00836AF5" w:rsidRDefault="00DF5517" w14:paraId="546986C2" w14:textId="77777777">
                  <w:pPr>
                    <w:jc w:val="right"/>
                    <w:rPr>
                      <w:rFonts w:ascii="Verdana" w:hAnsi="Verdana"/>
                      <w:sz w:val="18"/>
                      <w:szCs w:val="18"/>
                    </w:rPr>
                  </w:pPr>
                </w:p>
              </w:tc>
              <w:tc>
                <w:tcPr>
                  <w:tcW w:w="459" w:type="pct"/>
                </w:tcPr>
                <w:p w:rsidRPr="00DF5517" w:rsidR="00DF5517" w:rsidP="00836AF5" w:rsidRDefault="00DF5517" w14:paraId="6F63B5E3" w14:textId="77777777">
                  <w:pPr>
                    <w:jc w:val="right"/>
                    <w:rPr>
                      <w:rFonts w:ascii="Verdana" w:hAnsi="Verdana"/>
                      <w:sz w:val="18"/>
                      <w:szCs w:val="18"/>
                    </w:rPr>
                  </w:pPr>
                </w:p>
              </w:tc>
              <w:tc>
                <w:tcPr>
                  <w:tcW w:w="528" w:type="pct"/>
                </w:tcPr>
                <w:p w:rsidRPr="00DF5517" w:rsidR="00DF5517" w:rsidP="00836AF5" w:rsidRDefault="00DF5517" w14:paraId="7C4363C8" w14:textId="77777777">
                  <w:pPr>
                    <w:jc w:val="right"/>
                    <w:rPr>
                      <w:rFonts w:ascii="Verdana" w:hAnsi="Verdana"/>
                      <w:sz w:val="18"/>
                      <w:szCs w:val="18"/>
                    </w:rPr>
                  </w:pPr>
                </w:p>
              </w:tc>
              <w:tc>
                <w:tcPr>
                  <w:tcW w:w="527" w:type="pct"/>
                </w:tcPr>
                <w:p w:rsidRPr="00DF5517" w:rsidR="00DF5517" w:rsidP="00836AF5" w:rsidRDefault="00DF5517" w14:paraId="5F45B781" w14:textId="4836E030">
                  <w:pPr>
                    <w:jc w:val="right"/>
                    <w:rPr>
                      <w:rFonts w:ascii="Verdana" w:hAnsi="Verdana"/>
                      <w:sz w:val="18"/>
                      <w:szCs w:val="18"/>
                    </w:rPr>
                  </w:pPr>
                </w:p>
              </w:tc>
            </w:tr>
            <w:tr w:rsidRPr="00EB3835" w:rsidR="00DF5517" w:rsidTr="00D50265" w14:paraId="1C3991C4" w14:textId="77777777">
              <w:tc>
                <w:tcPr>
                  <w:tcW w:w="1650" w:type="pct"/>
                </w:tcPr>
                <w:p w:rsidRPr="00DF5517" w:rsidR="00DF5517" w:rsidP="00836AF5" w:rsidRDefault="00DF5517" w14:paraId="0E2A918C" w14:textId="77777777">
                  <w:pPr>
                    <w:rPr>
                      <w:rFonts w:ascii="Verdana" w:hAnsi="Verdana"/>
                      <w:sz w:val="18"/>
                      <w:szCs w:val="18"/>
                    </w:rPr>
                  </w:pPr>
                  <w:r w:rsidRPr="00DF5517">
                    <w:rPr>
                      <w:rFonts w:ascii="Verdana" w:hAnsi="Verdana"/>
                      <w:sz w:val="18"/>
                      <w:szCs w:val="18"/>
                    </w:rPr>
                    <w:t>Uitvoeringskosten</w:t>
                  </w:r>
                </w:p>
              </w:tc>
              <w:tc>
                <w:tcPr>
                  <w:tcW w:w="459" w:type="pct"/>
                </w:tcPr>
                <w:p w:rsidRPr="00DF5517" w:rsidR="00DF5517" w:rsidP="00836AF5" w:rsidRDefault="00DF5517" w14:paraId="2F8C1BF8" w14:textId="77777777">
                  <w:pPr>
                    <w:jc w:val="right"/>
                    <w:rPr>
                      <w:rFonts w:ascii="Verdana" w:hAnsi="Verdana"/>
                      <w:sz w:val="18"/>
                      <w:szCs w:val="18"/>
                    </w:rPr>
                  </w:pPr>
                </w:p>
              </w:tc>
              <w:tc>
                <w:tcPr>
                  <w:tcW w:w="390" w:type="pct"/>
                </w:tcPr>
                <w:p w:rsidRPr="00DF5517" w:rsidR="00DF5517" w:rsidP="00836AF5" w:rsidRDefault="00DF5517" w14:paraId="2D19D1BC" w14:textId="77777777">
                  <w:pPr>
                    <w:jc w:val="right"/>
                    <w:rPr>
                      <w:rFonts w:ascii="Verdana" w:hAnsi="Verdana"/>
                      <w:sz w:val="18"/>
                      <w:szCs w:val="18"/>
                    </w:rPr>
                  </w:pPr>
                </w:p>
              </w:tc>
              <w:tc>
                <w:tcPr>
                  <w:tcW w:w="528" w:type="pct"/>
                </w:tcPr>
                <w:p w:rsidRPr="00DF5517" w:rsidR="00DF5517" w:rsidP="00836AF5" w:rsidRDefault="00DF5517" w14:paraId="528FEE91" w14:textId="77777777">
                  <w:pPr>
                    <w:jc w:val="right"/>
                    <w:rPr>
                      <w:rFonts w:ascii="Verdana" w:hAnsi="Verdana"/>
                      <w:sz w:val="18"/>
                      <w:szCs w:val="18"/>
                    </w:rPr>
                  </w:pPr>
                </w:p>
              </w:tc>
              <w:tc>
                <w:tcPr>
                  <w:tcW w:w="459" w:type="pct"/>
                </w:tcPr>
                <w:p w:rsidRPr="00DF5517" w:rsidR="00DF5517" w:rsidP="00836AF5" w:rsidRDefault="00DF5517" w14:paraId="76BFFF46" w14:textId="77777777">
                  <w:pPr>
                    <w:jc w:val="right"/>
                    <w:rPr>
                      <w:rFonts w:ascii="Verdana" w:hAnsi="Verdana"/>
                      <w:sz w:val="18"/>
                      <w:szCs w:val="18"/>
                    </w:rPr>
                  </w:pPr>
                </w:p>
              </w:tc>
              <w:tc>
                <w:tcPr>
                  <w:tcW w:w="459" w:type="pct"/>
                </w:tcPr>
                <w:p w:rsidRPr="00DF5517" w:rsidR="00DF5517" w:rsidP="00836AF5" w:rsidRDefault="00DF5517" w14:paraId="3EB10F06" w14:textId="77777777">
                  <w:pPr>
                    <w:jc w:val="right"/>
                    <w:rPr>
                      <w:rFonts w:ascii="Verdana" w:hAnsi="Verdana"/>
                      <w:sz w:val="18"/>
                      <w:szCs w:val="18"/>
                    </w:rPr>
                  </w:pPr>
                </w:p>
              </w:tc>
              <w:tc>
                <w:tcPr>
                  <w:tcW w:w="528" w:type="pct"/>
                </w:tcPr>
                <w:p w:rsidRPr="00DF5517" w:rsidR="00DF5517" w:rsidP="00836AF5" w:rsidRDefault="00DF5517" w14:paraId="066ED5B5" w14:textId="77777777">
                  <w:pPr>
                    <w:jc w:val="right"/>
                    <w:rPr>
                      <w:rFonts w:ascii="Verdana" w:hAnsi="Verdana"/>
                      <w:sz w:val="18"/>
                      <w:szCs w:val="18"/>
                    </w:rPr>
                  </w:pPr>
                </w:p>
              </w:tc>
              <w:tc>
                <w:tcPr>
                  <w:tcW w:w="527" w:type="pct"/>
                </w:tcPr>
                <w:p w:rsidRPr="00DF5517" w:rsidR="00DF5517" w:rsidP="00836AF5" w:rsidRDefault="00DF5517" w14:paraId="299A36EB" w14:textId="4057E166">
                  <w:pPr>
                    <w:jc w:val="right"/>
                    <w:rPr>
                      <w:rFonts w:ascii="Verdana" w:hAnsi="Verdana"/>
                      <w:sz w:val="18"/>
                      <w:szCs w:val="18"/>
                    </w:rPr>
                  </w:pPr>
                </w:p>
              </w:tc>
            </w:tr>
            <w:tr w:rsidRPr="00EB3835" w:rsidR="00DF5517" w:rsidTr="00D50265" w14:paraId="23288395" w14:textId="77777777">
              <w:tc>
                <w:tcPr>
                  <w:tcW w:w="1650" w:type="pct"/>
                </w:tcPr>
                <w:p w:rsidRPr="00DF5517" w:rsidR="00DF5517" w:rsidP="00836AF5" w:rsidRDefault="00DF5517" w14:paraId="6799CF1D" w14:textId="77777777">
                  <w:pPr>
                    <w:rPr>
                      <w:rFonts w:ascii="Verdana" w:hAnsi="Verdana"/>
                      <w:sz w:val="18"/>
                      <w:szCs w:val="18"/>
                    </w:rPr>
                  </w:pPr>
                </w:p>
              </w:tc>
              <w:tc>
                <w:tcPr>
                  <w:tcW w:w="459" w:type="pct"/>
                </w:tcPr>
                <w:p w:rsidRPr="00DF5517" w:rsidR="00DF5517" w:rsidP="00836AF5" w:rsidRDefault="00DF5517" w14:paraId="558AB7F7" w14:textId="77777777">
                  <w:pPr>
                    <w:jc w:val="right"/>
                    <w:rPr>
                      <w:rFonts w:ascii="Verdana" w:hAnsi="Verdana"/>
                      <w:sz w:val="18"/>
                      <w:szCs w:val="18"/>
                    </w:rPr>
                  </w:pPr>
                </w:p>
              </w:tc>
              <w:tc>
                <w:tcPr>
                  <w:tcW w:w="390" w:type="pct"/>
                </w:tcPr>
                <w:p w:rsidRPr="00DF5517" w:rsidR="00DF5517" w:rsidP="00836AF5" w:rsidRDefault="00DF5517" w14:paraId="45C073C5" w14:textId="77777777">
                  <w:pPr>
                    <w:jc w:val="right"/>
                    <w:rPr>
                      <w:rFonts w:ascii="Verdana" w:hAnsi="Verdana"/>
                      <w:sz w:val="18"/>
                      <w:szCs w:val="18"/>
                    </w:rPr>
                  </w:pPr>
                </w:p>
              </w:tc>
              <w:tc>
                <w:tcPr>
                  <w:tcW w:w="528" w:type="pct"/>
                </w:tcPr>
                <w:p w:rsidRPr="00DF5517" w:rsidR="00DF5517" w:rsidP="00836AF5" w:rsidRDefault="00DF5517" w14:paraId="03261BC5" w14:textId="77777777">
                  <w:pPr>
                    <w:jc w:val="right"/>
                    <w:rPr>
                      <w:rFonts w:ascii="Verdana" w:hAnsi="Verdana"/>
                      <w:sz w:val="18"/>
                      <w:szCs w:val="18"/>
                    </w:rPr>
                  </w:pPr>
                </w:p>
              </w:tc>
              <w:tc>
                <w:tcPr>
                  <w:tcW w:w="459" w:type="pct"/>
                </w:tcPr>
                <w:p w:rsidRPr="00DF5517" w:rsidR="00DF5517" w:rsidP="00836AF5" w:rsidRDefault="00DF5517" w14:paraId="680407D1" w14:textId="77777777">
                  <w:pPr>
                    <w:jc w:val="right"/>
                    <w:rPr>
                      <w:rFonts w:ascii="Verdana" w:hAnsi="Verdana"/>
                      <w:sz w:val="18"/>
                      <w:szCs w:val="18"/>
                    </w:rPr>
                  </w:pPr>
                </w:p>
              </w:tc>
              <w:tc>
                <w:tcPr>
                  <w:tcW w:w="459" w:type="pct"/>
                </w:tcPr>
                <w:p w:rsidRPr="00DF5517" w:rsidR="00DF5517" w:rsidP="00836AF5" w:rsidRDefault="00DF5517" w14:paraId="7DACC00E" w14:textId="77777777">
                  <w:pPr>
                    <w:jc w:val="right"/>
                    <w:rPr>
                      <w:rFonts w:ascii="Verdana" w:hAnsi="Verdana"/>
                      <w:sz w:val="18"/>
                      <w:szCs w:val="18"/>
                    </w:rPr>
                  </w:pPr>
                </w:p>
              </w:tc>
              <w:tc>
                <w:tcPr>
                  <w:tcW w:w="528" w:type="pct"/>
                </w:tcPr>
                <w:p w:rsidRPr="00DF5517" w:rsidR="00DF5517" w:rsidP="00836AF5" w:rsidRDefault="00DF5517" w14:paraId="2DA1278C" w14:textId="77777777">
                  <w:pPr>
                    <w:jc w:val="right"/>
                    <w:rPr>
                      <w:rFonts w:ascii="Verdana" w:hAnsi="Verdana"/>
                      <w:sz w:val="18"/>
                      <w:szCs w:val="18"/>
                    </w:rPr>
                  </w:pPr>
                </w:p>
              </w:tc>
              <w:tc>
                <w:tcPr>
                  <w:tcW w:w="527" w:type="pct"/>
                </w:tcPr>
                <w:p w:rsidRPr="00DF5517" w:rsidR="00DF5517" w:rsidP="00836AF5" w:rsidRDefault="00DF5517" w14:paraId="6750D5D7" w14:textId="65093773">
                  <w:pPr>
                    <w:jc w:val="right"/>
                    <w:rPr>
                      <w:rFonts w:ascii="Verdana" w:hAnsi="Verdana"/>
                      <w:sz w:val="18"/>
                      <w:szCs w:val="18"/>
                    </w:rPr>
                  </w:pPr>
                </w:p>
              </w:tc>
            </w:tr>
            <w:tr w:rsidRPr="00EB3835" w:rsidR="00DF5517" w:rsidTr="00D50265" w14:paraId="7CB26615" w14:textId="77777777">
              <w:tc>
                <w:tcPr>
                  <w:tcW w:w="1650" w:type="pct"/>
                </w:tcPr>
                <w:p w:rsidRPr="00DF5517" w:rsidR="00DF5517" w:rsidP="004A4AD1" w:rsidRDefault="00DF5517" w14:paraId="644CA2E0" w14:textId="77777777">
                  <w:pPr>
                    <w:rPr>
                      <w:rFonts w:ascii="Verdana" w:hAnsi="Verdana"/>
                      <w:b/>
                      <w:bCs/>
                      <w:sz w:val="18"/>
                      <w:szCs w:val="18"/>
                    </w:rPr>
                  </w:pPr>
                  <w:r w:rsidRPr="00DF5517">
                    <w:rPr>
                      <w:rFonts w:ascii="Verdana" w:hAnsi="Verdana"/>
                      <w:b/>
                      <w:bCs/>
                      <w:sz w:val="18"/>
                      <w:szCs w:val="18"/>
                    </w:rPr>
                    <w:t>Totaal</w:t>
                  </w:r>
                </w:p>
              </w:tc>
              <w:tc>
                <w:tcPr>
                  <w:tcW w:w="459" w:type="pct"/>
                </w:tcPr>
                <w:p w:rsidRPr="00DF5517" w:rsidR="00DF5517" w:rsidP="004A4AD1" w:rsidRDefault="00DF5517" w14:paraId="11681758" w14:textId="77777777">
                  <w:pPr>
                    <w:jc w:val="right"/>
                    <w:rPr>
                      <w:rFonts w:ascii="Verdana" w:hAnsi="Verdana"/>
                      <w:b/>
                      <w:bCs/>
                      <w:sz w:val="18"/>
                      <w:szCs w:val="18"/>
                    </w:rPr>
                  </w:pPr>
                </w:p>
              </w:tc>
              <w:tc>
                <w:tcPr>
                  <w:tcW w:w="390" w:type="pct"/>
                </w:tcPr>
                <w:p w:rsidRPr="00DF5517" w:rsidR="00DF5517" w:rsidP="004A4AD1" w:rsidRDefault="00DF5517" w14:paraId="61544855" w14:textId="0EFFFA9A">
                  <w:pPr>
                    <w:jc w:val="right"/>
                    <w:rPr>
                      <w:rFonts w:ascii="Verdana" w:hAnsi="Verdana"/>
                      <w:b/>
                      <w:bCs/>
                      <w:sz w:val="18"/>
                      <w:szCs w:val="18"/>
                    </w:rPr>
                  </w:pPr>
                </w:p>
              </w:tc>
              <w:tc>
                <w:tcPr>
                  <w:tcW w:w="528" w:type="pct"/>
                </w:tcPr>
                <w:p w:rsidRPr="00DF5517" w:rsidR="00DF5517" w:rsidP="004A4AD1" w:rsidRDefault="00DF5517" w14:paraId="7967DC03" w14:textId="0D3D9CDF">
                  <w:pPr>
                    <w:jc w:val="right"/>
                    <w:rPr>
                      <w:rFonts w:ascii="Verdana" w:hAnsi="Verdana"/>
                      <w:b/>
                      <w:bCs/>
                      <w:sz w:val="18"/>
                      <w:szCs w:val="18"/>
                    </w:rPr>
                  </w:pPr>
                </w:p>
              </w:tc>
              <w:tc>
                <w:tcPr>
                  <w:tcW w:w="459" w:type="pct"/>
                </w:tcPr>
                <w:p w:rsidRPr="00DF5517" w:rsidR="00DF5517" w:rsidP="004A4AD1" w:rsidRDefault="00DF5517" w14:paraId="207057F4" w14:textId="0FB7CFF6">
                  <w:pPr>
                    <w:jc w:val="right"/>
                    <w:rPr>
                      <w:rFonts w:ascii="Verdana" w:hAnsi="Verdana"/>
                      <w:b/>
                      <w:bCs/>
                      <w:sz w:val="18"/>
                      <w:szCs w:val="18"/>
                    </w:rPr>
                  </w:pPr>
                  <w:r w:rsidRPr="00DF5517">
                    <w:rPr>
                      <w:rFonts w:ascii="Verdana" w:hAnsi="Verdana"/>
                      <w:sz w:val="18"/>
                      <w:szCs w:val="18"/>
                    </w:rPr>
                    <w:t>-20,3</w:t>
                  </w:r>
                </w:p>
              </w:tc>
              <w:tc>
                <w:tcPr>
                  <w:tcW w:w="459" w:type="pct"/>
                </w:tcPr>
                <w:p w:rsidRPr="00DF5517" w:rsidR="00DF5517" w:rsidP="004A4AD1" w:rsidRDefault="00DF5517" w14:paraId="10EADEAC" w14:textId="19B1C5A5">
                  <w:pPr>
                    <w:jc w:val="right"/>
                    <w:rPr>
                      <w:rFonts w:ascii="Verdana" w:hAnsi="Verdana"/>
                      <w:b/>
                      <w:bCs/>
                      <w:sz w:val="18"/>
                      <w:szCs w:val="18"/>
                    </w:rPr>
                  </w:pPr>
                  <w:r w:rsidRPr="00DF5517">
                    <w:rPr>
                      <w:rFonts w:ascii="Verdana" w:hAnsi="Verdana"/>
                      <w:sz w:val="18"/>
                      <w:szCs w:val="18"/>
                    </w:rPr>
                    <w:t>-20,6</w:t>
                  </w:r>
                </w:p>
              </w:tc>
              <w:tc>
                <w:tcPr>
                  <w:tcW w:w="528" w:type="pct"/>
                </w:tcPr>
                <w:p w:rsidRPr="00DF5517" w:rsidR="00DF5517" w:rsidP="004A4AD1" w:rsidRDefault="00DF5517" w14:paraId="5E9BD178" w14:textId="4588FE02">
                  <w:pPr>
                    <w:jc w:val="right"/>
                    <w:rPr>
                      <w:rFonts w:ascii="Verdana" w:hAnsi="Verdana"/>
                      <w:sz w:val="18"/>
                      <w:szCs w:val="18"/>
                    </w:rPr>
                  </w:pPr>
                  <w:r w:rsidRPr="00DF5517">
                    <w:rPr>
                      <w:rFonts w:ascii="Verdana" w:hAnsi="Verdana"/>
                      <w:sz w:val="18"/>
                      <w:szCs w:val="18"/>
                    </w:rPr>
                    <w:t>-20,9</w:t>
                  </w:r>
                </w:p>
              </w:tc>
              <w:tc>
                <w:tcPr>
                  <w:tcW w:w="527" w:type="pct"/>
                </w:tcPr>
                <w:p w:rsidRPr="00DF5517" w:rsidR="00DF5517" w:rsidP="004A4AD1" w:rsidRDefault="00DF5517" w14:paraId="1D6D1459" w14:textId="53F80409">
                  <w:pPr>
                    <w:jc w:val="right"/>
                    <w:rPr>
                      <w:rFonts w:ascii="Verdana" w:hAnsi="Verdana"/>
                      <w:b/>
                      <w:bCs/>
                      <w:sz w:val="18"/>
                      <w:szCs w:val="18"/>
                    </w:rPr>
                  </w:pPr>
                  <w:r w:rsidRPr="00DF5517">
                    <w:rPr>
                      <w:rFonts w:ascii="Verdana" w:hAnsi="Verdana"/>
                      <w:sz w:val="18"/>
                      <w:szCs w:val="18"/>
                    </w:rPr>
                    <w:t>-23,5</w:t>
                  </w:r>
                </w:p>
              </w:tc>
            </w:tr>
          </w:tbl>
          <w:p w:rsidRPr="00FD1605" w:rsidR="00186478" w:rsidP="00836AF5" w:rsidRDefault="00186478" w14:paraId="39CE0C50" w14:textId="77777777">
            <w:pPr>
              <w:spacing w:after="0" w:line="240" w:lineRule="auto"/>
              <w:contextualSpacing/>
              <w:rPr>
                <w:rFonts w:eastAsia="Times New Roman" w:cs="Calibri"/>
                <w:color w:val="000000"/>
                <w:szCs w:val="18"/>
                <w:lang w:val="nl-NL" w:eastAsia="nl-NL"/>
              </w:rPr>
            </w:pPr>
          </w:p>
          <w:p w:rsidRPr="00FD1605" w:rsidR="00836AF5" w:rsidP="00836AF5" w:rsidRDefault="004A4AD1" w14:paraId="14AABA15" w14:textId="581414F7">
            <w:pPr>
              <w:spacing w:after="0" w:line="240" w:lineRule="auto"/>
              <w:contextualSpacing/>
              <w:rPr>
                <w:rFonts w:eastAsia="Times New Roman" w:cs="Calibri"/>
                <w:color w:val="000000"/>
                <w:szCs w:val="18"/>
                <w:lang w:val="nl-NL" w:eastAsia="nl-NL"/>
              </w:rPr>
            </w:pPr>
            <w:r w:rsidRPr="00FD1605">
              <w:rPr>
                <w:rFonts w:eastAsia="Times New Roman" w:cs="Calibri"/>
                <w:color w:val="000000"/>
                <w:szCs w:val="18"/>
                <w:lang w:val="nl-NL" w:eastAsia="nl-NL"/>
              </w:rPr>
              <w:t>Het budgettaire effect is exclusief uitvoeringskosten.</w:t>
            </w:r>
            <w:r w:rsidRPr="00FD1605" w:rsidR="00AA7B48">
              <w:rPr>
                <w:rFonts w:eastAsia="Times New Roman" w:cs="Calibri"/>
                <w:color w:val="000000"/>
                <w:szCs w:val="18"/>
                <w:lang w:val="nl-NL" w:eastAsia="nl-NL"/>
              </w:rPr>
              <w:t xml:space="preserve"> Die zouden in een uitvoeringstoets uitgezocht moeten worden.</w:t>
            </w:r>
          </w:p>
        </w:tc>
      </w:tr>
      <w:tr w:rsidRPr="00EB3835" w:rsidR="00836AF5" w:rsidTr="00D50797" w14:paraId="3587B290" w14:textId="77777777">
        <w:trPr>
          <w:trHeight w:val="315"/>
        </w:trPr>
        <w:tc>
          <w:tcPr>
            <w:tcW w:w="2005" w:type="dxa"/>
            <w:tcBorders>
              <w:top w:val="nil"/>
              <w:left w:val="single" w:color="auto" w:sz="8" w:space="0"/>
              <w:bottom w:val="single" w:color="auto" w:sz="8" w:space="0"/>
              <w:right w:val="nil"/>
            </w:tcBorders>
            <w:shd w:val="clear" w:color="auto" w:fill="auto"/>
            <w:noWrap/>
          </w:tcPr>
          <w:p w:rsidRPr="00704454" w:rsidR="00836AF5" w:rsidP="00836AF5" w:rsidRDefault="00836AF5" w14:paraId="59494FBC"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Toelichting raming</w:t>
            </w:r>
          </w:p>
        </w:tc>
        <w:tc>
          <w:tcPr>
            <w:tcW w:w="8080" w:type="dxa"/>
            <w:tcBorders>
              <w:top w:val="single" w:color="auto" w:sz="4" w:space="0"/>
              <w:left w:val="single" w:color="auto" w:sz="4" w:space="0"/>
              <w:bottom w:val="single" w:color="auto" w:sz="8" w:space="0"/>
              <w:right w:val="single" w:color="auto" w:sz="4" w:space="0"/>
            </w:tcBorders>
            <w:shd w:val="clear" w:color="auto" w:fill="auto"/>
            <w:noWrap/>
          </w:tcPr>
          <w:p w:rsidRPr="00FD1605" w:rsidR="00836AF5" w:rsidP="00836AF5" w:rsidRDefault="004A4AD1" w14:paraId="39B6D149" w14:textId="30BB269D">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Door het afschaffen van de vrijlatingsregeling wordt elke euro die een uitkeringsgerechtigde verdient volledig verrekend met de aanvullende toeslag. Dat leidt tot een lagere aanvullende toeslag en daarmee lagere uitkeringslasten. De raming houdt rekening met dat het minder aantrekkelijk wordt om met een TW-aanvulling aan het werk te gaan.</w:t>
            </w:r>
          </w:p>
        </w:tc>
      </w:tr>
      <w:tr w:rsidRPr="00EB3835" w:rsidR="00836AF5" w:rsidTr="00D50797" w14:paraId="78AAA658" w14:textId="77777777">
        <w:trPr>
          <w:trHeight w:val="315"/>
        </w:trPr>
        <w:tc>
          <w:tcPr>
            <w:tcW w:w="2005" w:type="dxa"/>
            <w:tcBorders>
              <w:top w:val="nil"/>
              <w:left w:val="single" w:color="auto" w:sz="8" w:space="0"/>
              <w:bottom w:val="single" w:color="auto" w:sz="8" w:space="0"/>
              <w:right w:val="nil"/>
            </w:tcBorders>
            <w:shd w:val="clear" w:color="auto" w:fill="auto"/>
            <w:noWrap/>
          </w:tcPr>
          <w:p w:rsidRPr="00704454" w:rsidR="00836AF5" w:rsidP="00836AF5" w:rsidRDefault="00836AF5" w14:paraId="31DA1E5F"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Inkomens-</w:t>
            </w:r>
          </w:p>
          <w:p w:rsidRPr="00704454" w:rsidR="00836AF5" w:rsidP="00836AF5" w:rsidRDefault="00836AF5" w14:paraId="17CBF71C"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effecten</w:t>
            </w:r>
          </w:p>
        </w:tc>
        <w:tc>
          <w:tcPr>
            <w:tcW w:w="8080" w:type="dxa"/>
            <w:tcBorders>
              <w:top w:val="single" w:color="auto" w:sz="4" w:space="0"/>
              <w:left w:val="single" w:color="auto" w:sz="4" w:space="0"/>
              <w:bottom w:val="single" w:color="auto" w:sz="8" w:space="0"/>
              <w:right w:val="single" w:color="auto" w:sz="4" w:space="0"/>
            </w:tcBorders>
            <w:shd w:val="clear" w:color="auto" w:fill="auto"/>
            <w:noWrap/>
          </w:tcPr>
          <w:p w:rsidRPr="00FD1605" w:rsidR="00836AF5" w:rsidP="00836AF5" w:rsidRDefault="00836AF5" w14:paraId="06D3A36C" w14:textId="10D3019A">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 xml:space="preserve">Door afschaffing van de vrijlatingsregeling wordt elke euro die een uitkeringsgerechtigde verdient volledig verrekend met de aanvullende toeslag. Dit betekent dat de uitkeringsgerechtigde een lagere aanvullende toeslag krijgt en het totale bedrag aan </w:t>
            </w:r>
            <w:r w:rsidRPr="00FD1605" w:rsidR="0087348C">
              <w:rPr>
                <w:rFonts w:eastAsia="Times New Roman" w:cs="Calibri"/>
                <w:color w:val="000000"/>
                <w:szCs w:val="18"/>
                <w:lang w:val="nl-NL" w:eastAsia="nl-NL"/>
              </w:rPr>
              <w:t xml:space="preserve">basiswetuitkeringen </w:t>
            </w:r>
            <w:r w:rsidRPr="00FD1605">
              <w:rPr>
                <w:rFonts w:eastAsia="Times New Roman" w:cs="Calibri"/>
                <w:color w:val="000000"/>
                <w:szCs w:val="18"/>
                <w:lang w:val="nl-NL" w:eastAsia="nl-NL"/>
              </w:rPr>
              <w:t xml:space="preserve">plus aanvullende toeslag + inkomen uit arbeid lager wordt dan in de huidige situatie. </w:t>
            </w:r>
          </w:p>
          <w:p w:rsidRPr="00FD1605" w:rsidR="00836AF5" w:rsidP="00836AF5" w:rsidRDefault="00836AF5" w14:paraId="799F8B29" w14:textId="16C52ECD">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 xml:space="preserve">De hoogte van het hiervoor genoemde inkomen wordt echter wel beter voorspelbaar voor de uitkeringsgerechtigde, doordat er geen sprake meer is van een complexe berekening van het bedrag aan aanvullende toeslag. </w:t>
            </w:r>
          </w:p>
        </w:tc>
      </w:tr>
      <w:tr w:rsidRPr="00EB3835" w:rsidR="00836AF5" w:rsidTr="00D50797" w14:paraId="64F27433" w14:textId="77777777">
        <w:trPr>
          <w:trHeight w:val="315"/>
        </w:trPr>
        <w:tc>
          <w:tcPr>
            <w:tcW w:w="2005" w:type="dxa"/>
            <w:tcBorders>
              <w:top w:val="nil"/>
              <w:left w:val="single" w:color="auto" w:sz="8" w:space="0"/>
              <w:bottom w:val="single" w:color="auto" w:sz="8" w:space="0"/>
              <w:right w:val="nil"/>
            </w:tcBorders>
            <w:shd w:val="clear" w:color="auto" w:fill="auto"/>
            <w:noWrap/>
          </w:tcPr>
          <w:p w:rsidRPr="00704454" w:rsidR="00836AF5" w:rsidP="00836AF5" w:rsidRDefault="00836AF5" w14:paraId="45BC6F56"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Arbeidsmarkt-effecten</w:t>
            </w:r>
          </w:p>
        </w:tc>
        <w:tc>
          <w:tcPr>
            <w:tcW w:w="8080" w:type="dxa"/>
            <w:tcBorders>
              <w:top w:val="single" w:color="auto" w:sz="4" w:space="0"/>
              <w:left w:val="single" w:color="auto" w:sz="4" w:space="0"/>
              <w:bottom w:val="single" w:color="auto" w:sz="8" w:space="0"/>
              <w:right w:val="single" w:color="auto" w:sz="4" w:space="0"/>
            </w:tcBorders>
            <w:shd w:val="clear" w:color="auto" w:fill="auto"/>
            <w:noWrap/>
          </w:tcPr>
          <w:p w:rsidRPr="00FD1605" w:rsidR="00836AF5" w:rsidP="00836AF5" w:rsidRDefault="00836AF5" w14:paraId="745B12F0" w14:textId="384A7AA4">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 xml:space="preserve">Door het afschaffen van de vrijlatingsregeling wordt een positieve prikkel tot werkhervatting uit de Toeslagenwet gehaald. Het doel van de vrijlatingsregeling is namelijk om de uitkeringsgerechtigde te stimuleren om aan het werk te gaan. Niet al het </w:t>
            </w:r>
            <w:r w:rsidR="005B29C9">
              <w:rPr>
                <w:rFonts w:eastAsia="Times New Roman" w:cs="Calibri"/>
                <w:color w:val="000000"/>
                <w:szCs w:val="18"/>
                <w:lang w:val="nl-NL" w:eastAsia="nl-NL"/>
              </w:rPr>
              <w:t>arbeids</w:t>
            </w:r>
            <w:r w:rsidRPr="00FD1605">
              <w:rPr>
                <w:rFonts w:eastAsia="Times New Roman" w:cs="Calibri"/>
                <w:color w:val="000000"/>
                <w:szCs w:val="18"/>
                <w:lang w:val="nl-NL" w:eastAsia="nl-NL"/>
              </w:rPr>
              <w:t>inkomen wordt namelijk verrekend. De uitkeringsgerechtigde houdt d</w:t>
            </w:r>
            <w:r w:rsidRPr="00FD1605">
              <w:rPr>
                <w:rFonts w:eastAsia="Times New Roman"/>
                <w:color w:val="000000"/>
                <w:szCs w:val="18"/>
                <w:lang w:val="nl-NL" w:eastAsia="nl-NL"/>
              </w:rPr>
              <w:t xml:space="preserve">an </w:t>
            </w:r>
            <w:r w:rsidRPr="00FD1605">
              <w:rPr>
                <w:rFonts w:eastAsia="Times New Roman" w:cs="Calibri"/>
                <w:color w:val="000000"/>
                <w:szCs w:val="18"/>
                <w:lang w:val="nl-NL" w:eastAsia="nl-NL"/>
              </w:rPr>
              <w:t>(tijdelijk) een hoger totaal inkomen. Met het afschaffen van de vrijlatingsregeling wordt het voor mensen wel duidelijker wat het effect van werken is.</w:t>
            </w:r>
            <w:r w:rsidRPr="006122F2" w:rsidR="00381516">
              <w:rPr>
                <w:rFonts w:eastAsia="Times New Roman" w:cs="Calibri"/>
                <w:color w:val="000000"/>
                <w:szCs w:val="18"/>
                <w:lang w:val="nl-NL" w:eastAsia="nl-NL"/>
              </w:rPr>
              <w:t xml:space="preserve"> </w:t>
            </w:r>
            <w:r w:rsidR="00381516">
              <w:rPr>
                <w:rFonts w:eastAsia="Times New Roman" w:cs="Calibri"/>
                <w:color w:val="000000"/>
                <w:szCs w:val="18"/>
                <w:lang w:val="nl-NL" w:eastAsia="nl-NL"/>
              </w:rPr>
              <w:t>Dat kan dan weer een positief effect hebben op het zetten van de stap naar werk.</w:t>
            </w:r>
            <w:r w:rsidRPr="00FD1605">
              <w:rPr>
                <w:rFonts w:eastAsia="Times New Roman" w:cs="Calibri"/>
                <w:color w:val="000000"/>
                <w:szCs w:val="18"/>
                <w:lang w:val="nl-NL" w:eastAsia="nl-NL"/>
              </w:rPr>
              <w:t xml:space="preserve"> </w:t>
            </w:r>
          </w:p>
        </w:tc>
      </w:tr>
      <w:tr w:rsidRPr="00EB3835" w:rsidR="00836AF5" w:rsidTr="00D50797" w14:paraId="4F976C99" w14:textId="77777777">
        <w:trPr>
          <w:trHeight w:val="315"/>
        </w:trPr>
        <w:tc>
          <w:tcPr>
            <w:tcW w:w="2005" w:type="dxa"/>
            <w:tcBorders>
              <w:top w:val="nil"/>
              <w:left w:val="single" w:color="auto" w:sz="8" w:space="0"/>
              <w:bottom w:val="single" w:color="auto" w:sz="8" w:space="0"/>
              <w:right w:val="nil"/>
            </w:tcBorders>
            <w:shd w:val="clear" w:color="auto" w:fill="auto"/>
            <w:noWrap/>
          </w:tcPr>
          <w:p w:rsidRPr="00704454" w:rsidR="00836AF5" w:rsidP="00836AF5" w:rsidRDefault="00836AF5" w14:paraId="4460C1D6"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Overige relevante aspecten</w:t>
            </w:r>
          </w:p>
        </w:tc>
        <w:tc>
          <w:tcPr>
            <w:tcW w:w="8080" w:type="dxa"/>
            <w:tcBorders>
              <w:top w:val="single" w:color="auto" w:sz="4" w:space="0"/>
              <w:left w:val="single" w:color="auto" w:sz="4" w:space="0"/>
              <w:bottom w:val="single" w:color="auto" w:sz="8" w:space="0"/>
              <w:right w:val="single" w:color="auto" w:sz="4" w:space="0"/>
            </w:tcBorders>
            <w:shd w:val="clear" w:color="auto" w:fill="auto"/>
            <w:noWrap/>
          </w:tcPr>
          <w:p w:rsidRPr="00FD1605" w:rsidR="00684E8C" w:rsidP="00684E8C" w:rsidRDefault="00836AF5" w14:paraId="3A1406DC" w14:textId="35C13C34">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De Toeslagenwet is een voorziening die aanvult tot aan het sociaal minimum. De Participatiewet is dit eveneens en kent een gelijk doel. De Participatiewet kent een vrijlatingsregeling met een percentage van 15% met een duur van 1 jaar</w:t>
            </w:r>
            <w:r w:rsidRPr="00FD1605" w:rsidR="00EA2A73">
              <w:rPr>
                <w:rFonts w:eastAsia="Times New Roman" w:cs="Calibri"/>
                <w:color w:val="000000"/>
                <w:szCs w:val="18"/>
                <w:lang w:val="nl-NL" w:eastAsia="nl-NL"/>
              </w:rPr>
              <w:t>.</w:t>
            </w:r>
            <w:r w:rsidRPr="00FD1605">
              <w:rPr>
                <w:rFonts w:eastAsia="Times New Roman" w:cs="Calibri"/>
                <w:color w:val="000000"/>
                <w:szCs w:val="18"/>
                <w:lang w:val="nl-NL" w:eastAsia="nl-NL"/>
              </w:rPr>
              <w:t xml:space="preserve"> </w:t>
            </w:r>
          </w:p>
          <w:p w:rsidRPr="00FD1605" w:rsidR="00684E8C" w:rsidP="00F34F26" w:rsidRDefault="00F34F26" w14:paraId="433B28C2" w14:textId="714127F9">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 xml:space="preserve">Alle socialezekerheidswetten waarin sprake is van inkomstenverrekening hebben een regeling voor vrijlating van een deel van de inkomsten. Hierdoor ontstaat een situatie waarin werken loont, omdat men er qua inkomen (in vergelijking met alleen de uitkering) op vooruit gaat. </w:t>
            </w:r>
            <w:r w:rsidRPr="00FD1605" w:rsidR="00684E8C">
              <w:rPr>
                <w:rFonts w:eastAsia="Times New Roman" w:cs="Calibri"/>
                <w:color w:val="000000"/>
                <w:szCs w:val="18"/>
                <w:lang w:val="nl-NL" w:eastAsia="nl-NL"/>
              </w:rPr>
              <w:t xml:space="preserve">Wanneer voor de aanvullende toeslag geen vrijlating zou gelden, zou werken voor deze doelgroep </w:t>
            </w:r>
            <w:r w:rsidRPr="00FD1605" w:rsidR="008D3098">
              <w:rPr>
                <w:rFonts w:eastAsia="Times New Roman" w:cs="Calibri"/>
                <w:color w:val="000000"/>
                <w:szCs w:val="18"/>
                <w:lang w:val="nl-NL" w:eastAsia="nl-NL"/>
              </w:rPr>
              <w:t>pas</w:t>
            </w:r>
            <w:r w:rsidRPr="00FD1605" w:rsidR="00684E8C">
              <w:rPr>
                <w:rFonts w:eastAsia="Times New Roman" w:cs="Calibri"/>
                <w:color w:val="000000"/>
                <w:szCs w:val="18"/>
                <w:lang w:val="nl-NL" w:eastAsia="nl-NL"/>
              </w:rPr>
              <w:t xml:space="preserve"> lonen </w:t>
            </w:r>
            <w:r w:rsidRPr="00FD1605" w:rsidR="008D3098">
              <w:rPr>
                <w:rFonts w:eastAsia="Times New Roman" w:cs="Calibri"/>
                <w:color w:val="000000"/>
                <w:szCs w:val="18"/>
                <w:lang w:val="nl-NL" w:eastAsia="nl-NL"/>
              </w:rPr>
              <w:t>zodra</w:t>
            </w:r>
            <w:r w:rsidRPr="00FD1605" w:rsidR="00684E8C">
              <w:rPr>
                <w:rFonts w:eastAsia="Times New Roman" w:cs="Calibri"/>
                <w:color w:val="000000"/>
                <w:szCs w:val="18"/>
                <w:lang w:val="nl-NL" w:eastAsia="nl-NL"/>
              </w:rPr>
              <w:t xml:space="preserve"> zij </w:t>
            </w:r>
            <w:r w:rsidRPr="00FD1605" w:rsidR="008D3098">
              <w:rPr>
                <w:rFonts w:eastAsia="Times New Roman" w:cs="Calibri"/>
                <w:color w:val="000000"/>
                <w:szCs w:val="18"/>
                <w:lang w:val="nl-NL" w:eastAsia="nl-NL"/>
              </w:rPr>
              <w:t>voldoende</w:t>
            </w:r>
            <w:r w:rsidRPr="00FD1605" w:rsidR="00684E8C">
              <w:rPr>
                <w:rFonts w:eastAsia="Times New Roman" w:cs="Calibri"/>
                <w:color w:val="000000"/>
                <w:szCs w:val="18"/>
                <w:lang w:val="nl-NL" w:eastAsia="nl-NL"/>
              </w:rPr>
              <w:t xml:space="preserve"> gaan verdienen dat het recht op de aanvullende toeslag vervalt. </w:t>
            </w:r>
          </w:p>
        </w:tc>
      </w:tr>
    </w:tbl>
    <w:p w:rsidRPr="00FD1605" w:rsidR="00836AF5" w:rsidRDefault="00836AF5" w14:paraId="77D82D4E" w14:textId="77777777">
      <w:pPr>
        <w:rPr>
          <w:lang w:val="nl-NL"/>
        </w:rPr>
      </w:pPr>
    </w:p>
    <w:p w:rsidRPr="00FD1605" w:rsidR="00836AF5" w:rsidRDefault="00836AF5" w14:paraId="7EE2A853" w14:textId="58607AFA">
      <w:pPr>
        <w:rPr>
          <w:lang w:val="nl-NL"/>
        </w:rPr>
      </w:pPr>
      <w:r w:rsidRPr="00FD1605">
        <w:rPr>
          <w:lang w:val="nl-NL"/>
        </w:rPr>
        <w:br w:type="page"/>
      </w:r>
    </w:p>
    <w:tbl>
      <w:tblPr>
        <w:tblW w:w="10572" w:type="dxa"/>
        <w:tblInd w:w="-436" w:type="dxa"/>
        <w:tblCellMar>
          <w:left w:w="70" w:type="dxa"/>
          <w:right w:w="70" w:type="dxa"/>
        </w:tblCellMar>
        <w:tblLook w:val="04A0" w:firstRow="1" w:lastRow="0" w:firstColumn="1" w:lastColumn="0" w:noHBand="0" w:noVBand="1"/>
      </w:tblPr>
      <w:tblGrid>
        <w:gridCol w:w="1986"/>
        <w:gridCol w:w="8586"/>
      </w:tblGrid>
      <w:tr w:rsidRPr="006524C9" w:rsidR="00836AF5" w:rsidTr="009C048F" w14:paraId="7D17AC09" w14:textId="77777777">
        <w:trPr>
          <w:trHeight w:val="300"/>
        </w:trPr>
        <w:tc>
          <w:tcPr>
            <w:tcW w:w="1986" w:type="dxa"/>
            <w:tcBorders>
              <w:top w:val="single" w:color="auto" w:sz="8" w:space="0"/>
              <w:left w:val="single" w:color="auto" w:sz="8" w:space="0"/>
              <w:bottom w:val="single" w:color="auto" w:sz="4" w:space="0"/>
              <w:right w:val="nil"/>
            </w:tcBorders>
            <w:shd w:val="clear" w:color="auto" w:fill="auto"/>
            <w:noWrap/>
          </w:tcPr>
          <w:p w:rsidRPr="00FD1605" w:rsidR="00E2272F" w:rsidP="00836AF5" w:rsidRDefault="00E2272F" w14:paraId="3870BE91" w14:textId="77777777">
            <w:pPr>
              <w:spacing w:after="0" w:line="240" w:lineRule="auto"/>
              <w:rPr>
                <w:rFonts w:eastAsia="Times New Roman" w:cs="Calibri"/>
                <w:b/>
                <w:bCs/>
                <w:color w:val="000000"/>
                <w:szCs w:val="18"/>
                <w:lang w:val="nl-NL" w:eastAsia="nl-NL"/>
              </w:rPr>
            </w:pPr>
          </w:p>
          <w:p w:rsidRPr="00704454" w:rsidR="00836AF5" w:rsidP="00836AF5" w:rsidRDefault="00836AF5" w14:paraId="65E284AF" w14:textId="4E76A3A5">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Maatregel</w:t>
            </w:r>
          </w:p>
        </w:tc>
        <w:tc>
          <w:tcPr>
            <w:tcW w:w="8586" w:type="dxa"/>
            <w:tcBorders>
              <w:top w:val="single" w:color="auto" w:sz="8" w:space="0"/>
              <w:left w:val="single" w:color="auto" w:sz="4" w:space="0"/>
              <w:bottom w:val="single" w:color="auto" w:sz="4" w:space="0"/>
              <w:right w:val="single" w:color="auto" w:sz="4" w:space="0"/>
            </w:tcBorders>
            <w:shd w:val="clear" w:color="auto" w:fill="auto"/>
            <w:noWrap/>
          </w:tcPr>
          <w:p w:rsidRPr="00FD1605" w:rsidR="00836AF5" w:rsidP="00E2272F" w:rsidRDefault="00756F6B" w14:paraId="3E091281" w14:textId="2DF9EE95">
            <w:pPr>
              <w:pStyle w:val="Kop1"/>
              <w:rPr>
                <w:rFonts w:ascii="Verdana" w:hAnsi="Verdana" w:eastAsia="Times New Roman"/>
                <w:b/>
                <w:bCs/>
                <w:color w:val="auto"/>
                <w:sz w:val="18"/>
                <w:szCs w:val="18"/>
                <w:lang w:val="nl-NL" w:eastAsia="nl-NL"/>
              </w:rPr>
            </w:pPr>
            <w:bookmarkStart w:name="_Toc223522230" w:id="8"/>
            <w:r>
              <w:rPr>
                <w:rFonts w:ascii="Verdana" w:hAnsi="Verdana" w:eastAsia="Times New Roman"/>
                <w:b/>
                <w:bCs/>
                <w:color w:val="auto"/>
                <w:sz w:val="18"/>
                <w:szCs w:val="18"/>
                <w:lang w:val="nl-NL" w:eastAsia="nl-NL"/>
              </w:rPr>
              <w:t>B</w:t>
            </w:r>
            <w:r w:rsidRPr="00FD1605" w:rsidR="00836AF5">
              <w:rPr>
                <w:rFonts w:ascii="Verdana" w:hAnsi="Verdana" w:eastAsia="Times New Roman"/>
                <w:b/>
                <w:bCs/>
                <w:color w:val="auto"/>
                <w:sz w:val="18"/>
                <w:szCs w:val="18"/>
                <w:lang w:val="nl-NL" w:eastAsia="nl-NL"/>
              </w:rPr>
              <w:t>.</w:t>
            </w:r>
            <w:r>
              <w:rPr>
                <w:rFonts w:ascii="Verdana" w:hAnsi="Verdana" w:eastAsia="Times New Roman"/>
                <w:b/>
                <w:bCs/>
                <w:color w:val="auto"/>
                <w:sz w:val="18"/>
                <w:szCs w:val="18"/>
                <w:lang w:val="nl-NL" w:eastAsia="nl-NL"/>
              </w:rPr>
              <w:t>5</w:t>
            </w:r>
            <w:r w:rsidRPr="00FD1605" w:rsidR="00836AF5">
              <w:rPr>
                <w:rFonts w:ascii="Verdana" w:hAnsi="Verdana" w:eastAsia="Times New Roman"/>
                <w:b/>
                <w:bCs/>
                <w:color w:val="auto"/>
                <w:sz w:val="18"/>
                <w:szCs w:val="18"/>
                <w:lang w:val="nl-NL" w:eastAsia="nl-NL"/>
              </w:rPr>
              <w:t xml:space="preserve"> </w:t>
            </w:r>
            <w:r w:rsidR="00167656">
              <w:rPr>
                <w:rFonts w:ascii="Verdana" w:hAnsi="Verdana" w:eastAsia="Times New Roman"/>
                <w:b/>
                <w:bCs/>
                <w:color w:val="auto"/>
                <w:sz w:val="18"/>
                <w:szCs w:val="18"/>
                <w:lang w:val="nl-NL" w:eastAsia="nl-NL"/>
              </w:rPr>
              <w:t>V</w:t>
            </w:r>
            <w:r w:rsidRPr="00FD1605" w:rsidR="00836AF5">
              <w:rPr>
                <w:rFonts w:ascii="Verdana" w:hAnsi="Verdana" w:eastAsia="Times New Roman"/>
                <w:b/>
                <w:bCs/>
                <w:color w:val="auto"/>
                <w:sz w:val="18"/>
                <w:szCs w:val="18"/>
                <w:lang w:val="nl-NL" w:eastAsia="nl-NL"/>
              </w:rPr>
              <w:t xml:space="preserve">rijlatingsregeling </w:t>
            </w:r>
            <w:r w:rsidR="00167656">
              <w:rPr>
                <w:rFonts w:ascii="Verdana" w:hAnsi="Verdana" w:eastAsia="Times New Roman"/>
                <w:b/>
                <w:bCs/>
                <w:color w:val="auto"/>
                <w:sz w:val="18"/>
                <w:szCs w:val="18"/>
                <w:lang w:val="nl-NL" w:eastAsia="nl-NL"/>
              </w:rPr>
              <w:t>vereenvoudigen</w:t>
            </w:r>
            <w:bookmarkEnd w:id="8"/>
          </w:p>
        </w:tc>
      </w:tr>
      <w:tr w:rsidRPr="00EB3835" w:rsidR="00836AF5" w:rsidTr="009C048F" w14:paraId="7079C3ED" w14:textId="77777777">
        <w:trPr>
          <w:trHeight w:val="315"/>
        </w:trPr>
        <w:tc>
          <w:tcPr>
            <w:tcW w:w="1986" w:type="dxa"/>
            <w:tcBorders>
              <w:top w:val="nil"/>
              <w:left w:val="single" w:color="auto" w:sz="8" w:space="0"/>
              <w:bottom w:val="single" w:color="auto" w:sz="8" w:space="0"/>
              <w:right w:val="nil"/>
            </w:tcBorders>
            <w:shd w:val="clear" w:color="auto" w:fill="auto"/>
            <w:noWrap/>
          </w:tcPr>
          <w:p w:rsidRPr="00704454" w:rsidR="00836AF5" w:rsidP="00836AF5" w:rsidRDefault="00836AF5" w14:paraId="57EEFB13"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Korte uitleg maatregel</w:t>
            </w:r>
          </w:p>
        </w:tc>
        <w:tc>
          <w:tcPr>
            <w:tcW w:w="8586" w:type="dxa"/>
            <w:tcBorders>
              <w:top w:val="single" w:color="auto" w:sz="4" w:space="0"/>
              <w:left w:val="single" w:color="auto" w:sz="4" w:space="0"/>
              <w:bottom w:val="single" w:color="auto" w:sz="8" w:space="0"/>
              <w:right w:val="single" w:color="auto" w:sz="4" w:space="0"/>
            </w:tcBorders>
            <w:shd w:val="clear" w:color="auto" w:fill="auto"/>
            <w:noWrap/>
          </w:tcPr>
          <w:p w:rsidRPr="00FD1605" w:rsidR="00836AF5" w:rsidP="00836AF5" w:rsidRDefault="00836AF5" w14:paraId="0622D9F4" w14:textId="1B1446E9">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De Toeslagenwet kent een artikel voor een gedeeltelijke en tijdelijke vrijlating van inkomsten die worden verdiend ten tijde van het ontvangen van de aanvullende toeslag. Deze regeling is echter complex en moeilijk te begrijpen</w:t>
            </w:r>
            <w:r w:rsidRPr="00FD1605" w:rsidR="009B64BC">
              <w:rPr>
                <w:rFonts w:eastAsia="Times New Roman" w:cs="Calibri"/>
                <w:color w:val="000000"/>
                <w:szCs w:val="18"/>
                <w:lang w:val="nl-NL" w:eastAsia="nl-NL"/>
              </w:rPr>
              <w:t>, mede door de getrapte berekeningswijze</w:t>
            </w:r>
            <w:r w:rsidRPr="00FD1605">
              <w:rPr>
                <w:rFonts w:eastAsia="Times New Roman" w:cs="Calibri"/>
                <w:color w:val="000000"/>
                <w:szCs w:val="18"/>
                <w:lang w:val="nl-NL" w:eastAsia="nl-NL"/>
              </w:rPr>
              <w:t xml:space="preserve">. Daardoor kan een uitkeringsgerechtigde moeilijk(er) vaststellen wat de inkomensgevolgen zijn (in ieder geval voor de uitkeringen van UWV) van werkhervatting. Deze </w:t>
            </w:r>
            <w:r w:rsidRPr="00FD1605" w:rsidR="009B64BC">
              <w:rPr>
                <w:rFonts w:eastAsia="Times New Roman" w:cs="Calibri"/>
                <w:color w:val="000000"/>
                <w:szCs w:val="18"/>
                <w:lang w:val="nl-NL" w:eastAsia="nl-NL"/>
              </w:rPr>
              <w:t xml:space="preserve">vrijlatingsregeling </w:t>
            </w:r>
            <w:r w:rsidRPr="00FD1605">
              <w:rPr>
                <w:rFonts w:eastAsia="Times New Roman" w:cs="Calibri"/>
                <w:color w:val="000000"/>
                <w:szCs w:val="18"/>
                <w:lang w:val="nl-NL" w:eastAsia="nl-NL"/>
              </w:rPr>
              <w:t xml:space="preserve">komt naast de inkomstenverrekening die al op de </w:t>
            </w:r>
            <w:r w:rsidRPr="00FD1605" w:rsidR="0087348C">
              <w:rPr>
                <w:rFonts w:eastAsia="Times New Roman" w:cs="Calibri"/>
                <w:color w:val="000000"/>
                <w:szCs w:val="18"/>
                <w:lang w:val="nl-NL" w:eastAsia="nl-NL"/>
              </w:rPr>
              <w:t>basiswet</w:t>
            </w:r>
            <w:r w:rsidRPr="00FD1605">
              <w:rPr>
                <w:rFonts w:eastAsia="Times New Roman" w:cs="Calibri"/>
                <w:color w:val="000000"/>
                <w:szCs w:val="18"/>
                <w:lang w:val="nl-NL" w:eastAsia="nl-NL"/>
              </w:rPr>
              <w:t xml:space="preserve"> wordt toegepast.</w:t>
            </w:r>
            <w:r w:rsidR="00D208F4">
              <w:rPr>
                <w:rFonts w:eastAsia="Times New Roman" w:cs="Calibri"/>
                <w:color w:val="000000"/>
                <w:szCs w:val="18"/>
                <w:lang w:val="nl-NL" w:eastAsia="nl-NL"/>
              </w:rPr>
              <w:t xml:space="preserve"> Ook vindt er een maximering plaats van het vrij te laten bedrag, gesteld op 15% van het WML.</w:t>
            </w:r>
            <w:r w:rsidRPr="00FD1605">
              <w:rPr>
                <w:rFonts w:eastAsia="Times New Roman" w:cs="Calibri"/>
                <w:color w:val="000000"/>
                <w:szCs w:val="18"/>
                <w:lang w:val="nl-NL" w:eastAsia="nl-NL"/>
              </w:rPr>
              <w:t xml:space="preserve"> Dit kan ook verwarrend werken voor uitkeringsgerechtigden. </w:t>
            </w:r>
          </w:p>
          <w:p w:rsidRPr="00FD1605" w:rsidR="00836AF5" w:rsidP="00836AF5" w:rsidRDefault="00836AF5" w14:paraId="02101526" w14:textId="512F5F32">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 xml:space="preserve">Daarnaast kent de vrijlatingsregeling een tijdelijke duur van twee jaar. Als de uitkeringsgerechtigde na twee jaar nog steeds werkt, stopt de vrijlating en wordt het volledige inkomen verrekend met aanvullende toeslag. Wanneer de uitkeringsgerechtigde echter kortere periodes werkt, vangt de vrijlatingstermijn steeds opnieuw aan. Dit kan ook onduidelijkheid voor de uitkeringsgerechtigde opleveren, onzekerheid over de hoogte van het inkomen en is een </w:t>
            </w:r>
            <w:r w:rsidR="005B29C9">
              <w:rPr>
                <w:rFonts w:eastAsia="Times New Roman" w:cs="Calibri"/>
                <w:color w:val="000000"/>
                <w:szCs w:val="18"/>
                <w:lang w:val="nl-NL" w:eastAsia="nl-NL"/>
              </w:rPr>
              <w:t>ingewikkelde</w:t>
            </w:r>
            <w:r w:rsidRPr="00FD1605" w:rsidR="005B29C9">
              <w:rPr>
                <w:rFonts w:eastAsia="Times New Roman" w:cs="Calibri"/>
                <w:color w:val="000000"/>
                <w:szCs w:val="18"/>
                <w:lang w:val="nl-NL" w:eastAsia="nl-NL"/>
              </w:rPr>
              <w:t xml:space="preserve"> </w:t>
            </w:r>
            <w:r w:rsidRPr="00FD1605">
              <w:rPr>
                <w:rFonts w:eastAsia="Times New Roman" w:cs="Calibri"/>
                <w:color w:val="000000"/>
                <w:szCs w:val="18"/>
                <w:lang w:val="nl-NL" w:eastAsia="nl-NL"/>
              </w:rPr>
              <w:t xml:space="preserve">administratieve taak voor de uitvoerder. Voor </w:t>
            </w:r>
            <w:r w:rsidRPr="00FD1605" w:rsidR="00BF0BF0">
              <w:rPr>
                <w:rFonts w:eastAsia="Times New Roman" w:cs="Calibri"/>
                <w:color w:val="000000"/>
                <w:szCs w:val="18"/>
                <w:lang w:val="nl-NL" w:eastAsia="nl-NL"/>
              </w:rPr>
              <w:t>de WW-</w:t>
            </w:r>
            <w:r w:rsidRPr="00FD1605">
              <w:rPr>
                <w:rFonts w:eastAsia="Times New Roman" w:cs="Calibri"/>
                <w:color w:val="000000"/>
                <w:szCs w:val="18"/>
                <w:lang w:val="nl-NL" w:eastAsia="nl-NL"/>
              </w:rPr>
              <w:t>uitkeringsgerechtigden van 57,5 jaar en ouder geldt de vrijlating onbeperkt tot aan beëindiging van de aanvullende toeslag</w:t>
            </w:r>
            <w:r w:rsidRPr="00FD1605" w:rsidR="00BF0BF0">
              <w:rPr>
                <w:rStyle w:val="Voetnootmarkering"/>
                <w:rFonts w:eastAsia="Times New Roman" w:cs="Calibri"/>
                <w:color w:val="000000"/>
                <w:szCs w:val="18"/>
                <w:lang w:val="nl-NL" w:eastAsia="nl-NL"/>
              </w:rPr>
              <w:footnoteReference w:id="7"/>
            </w:r>
            <w:r w:rsidRPr="00FD1605">
              <w:rPr>
                <w:rFonts w:eastAsia="Times New Roman" w:cs="Calibri"/>
                <w:color w:val="000000"/>
                <w:szCs w:val="18"/>
                <w:lang w:val="nl-NL" w:eastAsia="nl-NL"/>
              </w:rPr>
              <w:t xml:space="preserve">. </w:t>
            </w:r>
          </w:p>
          <w:p w:rsidRPr="00FD1605" w:rsidR="00836AF5" w:rsidP="00836AF5" w:rsidRDefault="00836AF5" w14:paraId="3E080C6D" w14:textId="77777777">
            <w:pPr>
              <w:spacing w:after="0" w:line="240" w:lineRule="auto"/>
              <w:rPr>
                <w:rFonts w:eastAsia="Times New Roman" w:cs="Calibri"/>
                <w:color w:val="000000"/>
                <w:szCs w:val="18"/>
                <w:lang w:val="nl-NL" w:eastAsia="nl-NL"/>
              </w:rPr>
            </w:pPr>
          </w:p>
          <w:p w:rsidR="00230F36" w:rsidP="00836AF5" w:rsidRDefault="009B64BC" w14:paraId="258AF969" w14:textId="565F04D4">
            <w:pPr>
              <w:spacing w:after="0" w:line="240" w:lineRule="auto"/>
              <w:rPr>
                <w:rFonts w:eastAsia="Times New Roman" w:cs="Calibri"/>
                <w:color w:val="000000"/>
                <w:szCs w:val="18"/>
                <w:lang w:val="nl-NL" w:eastAsia="nl-NL"/>
              </w:rPr>
            </w:pPr>
            <w:r w:rsidRPr="00FB4E90">
              <w:rPr>
                <w:rFonts w:eastAsia="Times New Roman" w:cs="Calibri"/>
                <w:color w:val="000000"/>
                <w:szCs w:val="18"/>
                <w:lang w:val="nl-NL" w:eastAsia="nl-NL"/>
              </w:rPr>
              <w:t>De bestaande vrijlatingsregeling kan vereenvoudigd worden</w:t>
            </w:r>
            <w:r w:rsidR="00230F36">
              <w:rPr>
                <w:rFonts w:eastAsia="Times New Roman" w:cs="Calibri"/>
                <w:color w:val="000000"/>
                <w:szCs w:val="18"/>
                <w:lang w:val="nl-NL" w:eastAsia="nl-NL"/>
              </w:rPr>
              <w:t xml:space="preserve"> door de berekeningswijze en duur van de vrijlatingsregeling aan te passen. Voor de berekeningswijze gelden de volgende opties:</w:t>
            </w:r>
          </w:p>
          <w:p w:rsidRPr="00FB4E90" w:rsidR="009F1B7D" w:rsidP="00FB4E90" w:rsidRDefault="009F1B7D" w14:paraId="5BE6B214" w14:textId="2163E5DF">
            <w:pPr>
              <w:spacing w:after="0" w:line="240" w:lineRule="auto"/>
              <w:ind w:left="360"/>
              <w:rPr>
                <w:rFonts w:eastAsia="Times New Roman" w:cs="Calibri"/>
                <w:color w:val="000000"/>
                <w:szCs w:val="18"/>
                <w:lang w:val="nl-NL" w:eastAsia="nl-NL"/>
              </w:rPr>
            </w:pPr>
            <w:r>
              <w:rPr>
                <w:rFonts w:eastAsia="Times New Roman" w:cs="Calibri"/>
                <w:color w:val="000000"/>
                <w:szCs w:val="18"/>
                <w:lang w:val="nl-NL" w:eastAsia="nl-NL"/>
              </w:rPr>
              <w:t xml:space="preserve">1a. </w:t>
            </w:r>
            <w:r w:rsidRPr="00FB4E90" w:rsidR="00230F36">
              <w:rPr>
                <w:rFonts w:eastAsia="Times New Roman" w:cs="Calibri"/>
                <w:color w:val="000000"/>
                <w:szCs w:val="18"/>
                <w:lang w:val="nl-NL" w:eastAsia="nl-NL"/>
              </w:rPr>
              <w:t>Er wordt e</w:t>
            </w:r>
            <w:r w:rsidRPr="00FB4E90" w:rsidR="0014572A">
              <w:rPr>
                <w:rFonts w:eastAsia="Times New Roman" w:cs="Calibri"/>
                <w:color w:val="000000"/>
                <w:szCs w:val="18"/>
                <w:lang w:val="nl-NL" w:eastAsia="nl-NL"/>
              </w:rPr>
              <w:t>en vast percentage aan inkomsten vri</w:t>
            </w:r>
            <w:r w:rsidRPr="00FB4E90" w:rsidR="00230F36">
              <w:rPr>
                <w:rFonts w:eastAsia="Times New Roman" w:cs="Calibri"/>
                <w:color w:val="000000"/>
                <w:szCs w:val="18"/>
                <w:lang w:val="nl-NL" w:eastAsia="nl-NL"/>
              </w:rPr>
              <w:t>jgelaten, waarbij de maximering op de vrijlating (nu 15% WML) wordt behouden</w:t>
            </w:r>
            <w:r w:rsidRPr="00FB4E90" w:rsidR="0014572A">
              <w:rPr>
                <w:rFonts w:eastAsia="Times New Roman" w:cs="Calibri"/>
                <w:color w:val="000000"/>
                <w:szCs w:val="18"/>
                <w:lang w:val="nl-NL" w:eastAsia="nl-NL"/>
              </w:rPr>
              <w:t xml:space="preserve">. Hierdoor wordt het voor de uitkeringsgerechtigde eenvoudiger om in te schatten wat de hoogte van de uitkering + aanvullende toeslag zal zijn. Voor de uitvoerder wordt de vaststelling van het recht op en de hoogte van de aanvullende toeslag </w:t>
            </w:r>
            <w:r w:rsidR="0008390D">
              <w:rPr>
                <w:rFonts w:eastAsia="Times New Roman" w:cs="Calibri"/>
                <w:color w:val="000000"/>
                <w:szCs w:val="18"/>
                <w:lang w:val="nl-NL" w:eastAsia="nl-NL"/>
              </w:rPr>
              <w:t xml:space="preserve">deels </w:t>
            </w:r>
            <w:r w:rsidRPr="00FB4E90" w:rsidR="0014572A">
              <w:rPr>
                <w:rFonts w:eastAsia="Times New Roman" w:cs="Calibri"/>
                <w:color w:val="000000"/>
                <w:szCs w:val="18"/>
                <w:lang w:val="nl-NL" w:eastAsia="nl-NL"/>
              </w:rPr>
              <w:t>minder complex. Voor de hoogte van het percentage kan worden aangesloten bij de basiswetten (30%) of bij de Participatiewet (</w:t>
            </w:r>
            <w:r w:rsidR="008650A4">
              <w:rPr>
                <w:rFonts w:eastAsia="Times New Roman" w:cs="Calibri"/>
                <w:color w:val="000000"/>
                <w:szCs w:val="18"/>
                <w:lang w:val="nl-NL" w:eastAsia="nl-NL"/>
              </w:rPr>
              <w:t>1</w:t>
            </w:r>
            <w:r w:rsidRPr="00FB4E90" w:rsidR="0014572A">
              <w:rPr>
                <w:rFonts w:eastAsia="Times New Roman" w:cs="Calibri"/>
                <w:color w:val="000000"/>
                <w:szCs w:val="18"/>
                <w:lang w:val="nl-NL" w:eastAsia="nl-NL"/>
              </w:rPr>
              <w:t xml:space="preserve">5%). </w:t>
            </w:r>
            <w:r w:rsidR="00D208F4">
              <w:rPr>
                <w:rFonts w:eastAsia="Times New Roman" w:cs="Calibri"/>
                <w:color w:val="000000"/>
                <w:szCs w:val="18"/>
                <w:lang w:val="nl-NL" w:eastAsia="nl-NL"/>
              </w:rPr>
              <w:t>Het deel van inkomsten</w:t>
            </w:r>
            <w:r w:rsidRPr="00FB4E90" w:rsidR="00230F36">
              <w:rPr>
                <w:rFonts w:eastAsia="Times New Roman" w:cs="Calibri"/>
                <w:color w:val="000000"/>
                <w:szCs w:val="18"/>
                <w:lang w:val="nl-NL" w:eastAsia="nl-NL"/>
              </w:rPr>
              <w:t xml:space="preserve"> boven 15% WML word</w:t>
            </w:r>
            <w:r w:rsidR="00D208F4">
              <w:rPr>
                <w:rFonts w:eastAsia="Times New Roman" w:cs="Calibri"/>
                <w:color w:val="000000"/>
                <w:szCs w:val="18"/>
                <w:lang w:val="nl-NL" w:eastAsia="nl-NL"/>
              </w:rPr>
              <w:t>t</w:t>
            </w:r>
            <w:r w:rsidRPr="00FB4E90" w:rsidR="00230F36">
              <w:rPr>
                <w:rFonts w:eastAsia="Times New Roman" w:cs="Calibri"/>
                <w:color w:val="000000"/>
                <w:szCs w:val="18"/>
                <w:lang w:val="nl-NL" w:eastAsia="nl-NL"/>
              </w:rPr>
              <w:t xml:space="preserve"> in deze optie volledig gekort op de</w:t>
            </w:r>
            <w:r w:rsidR="00FB4E90">
              <w:rPr>
                <w:rFonts w:eastAsia="Times New Roman" w:cs="Calibri"/>
                <w:color w:val="000000"/>
                <w:szCs w:val="18"/>
                <w:lang w:val="nl-NL" w:eastAsia="nl-NL"/>
              </w:rPr>
              <w:t xml:space="preserve"> aanvullende</w:t>
            </w:r>
            <w:r w:rsidRPr="00FB4E90" w:rsidR="00230F36">
              <w:rPr>
                <w:rFonts w:eastAsia="Times New Roman" w:cs="Calibri"/>
                <w:color w:val="000000"/>
                <w:szCs w:val="18"/>
                <w:lang w:val="nl-NL" w:eastAsia="nl-NL"/>
              </w:rPr>
              <w:t xml:space="preserve"> toeslag.</w:t>
            </w:r>
          </w:p>
          <w:p w:rsidR="009F1B7D" w:rsidP="00FB4E90" w:rsidRDefault="009F1B7D" w14:paraId="5611CE5C" w14:textId="77777777">
            <w:pPr>
              <w:pStyle w:val="Lijstalinea"/>
              <w:spacing w:after="0" w:line="240" w:lineRule="auto"/>
              <w:rPr>
                <w:rFonts w:eastAsia="Times New Roman" w:cs="Calibri"/>
                <w:color w:val="000000"/>
                <w:szCs w:val="18"/>
                <w:lang w:val="nl-NL" w:eastAsia="nl-NL"/>
              </w:rPr>
            </w:pPr>
          </w:p>
          <w:p w:rsidRPr="00FB4E90" w:rsidR="009F1B7D" w:rsidP="00FB4E90" w:rsidRDefault="009F1B7D" w14:paraId="20DD7B60" w14:textId="24B9ABBB">
            <w:pPr>
              <w:spacing w:after="0" w:line="240" w:lineRule="auto"/>
              <w:ind w:left="360"/>
              <w:rPr>
                <w:rFonts w:eastAsia="Times New Roman" w:cs="Calibri"/>
                <w:color w:val="000000"/>
                <w:szCs w:val="18"/>
                <w:lang w:val="nl-NL" w:eastAsia="nl-NL"/>
              </w:rPr>
            </w:pPr>
            <w:r>
              <w:rPr>
                <w:rFonts w:eastAsia="Times New Roman" w:cs="Calibri"/>
                <w:color w:val="000000"/>
                <w:szCs w:val="18"/>
                <w:lang w:val="nl-NL" w:eastAsia="nl-NL"/>
              </w:rPr>
              <w:t xml:space="preserve">1b. </w:t>
            </w:r>
            <w:r w:rsidRPr="00FB4E90">
              <w:rPr>
                <w:rFonts w:eastAsia="Times New Roman" w:cs="Calibri"/>
                <w:color w:val="000000"/>
                <w:szCs w:val="18"/>
                <w:lang w:val="nl-NL" w:eastAsia="nl-NL"/>
              </w:rPr>
              <w:t>Er wordt een vast percentage aan inkomsten vrijgelaten, waarbij de maximering wordt losgelaten. Hieruit volgt dat wanneer de uitkeringsgerechtigde meer gaat verdienen</w:t>
            </w:r>
            <w:r w:rsidR="00227DE6">
              <w:rPr>
                <w:rFonts w:eastAsia="Times New Roman" w:cs="Calibri"/>
                <w:color w:val="000000"/>
                <w:szCs w:val="18"/>
                <w:lang w:val="nl-NL" w:eastAsia="nl-NL"/>
              </w:rPr>
              <w:t xml:space="preserve"> dan 15% WML</w:t>
            </w:r>
            <w:r w:rsidRPr="00FB4E90">
              <w:rPr>
                <w:rFonts w:eastAsia="Times New Roman" w:cs="Calibri"/>
                <w:color w:val="000000"/>
                <w:szCs w:val="18"/>
                <w:lang w:val="nl-NL" w:eastAsia="nl-NL"/>
              </w:rPr>
              <w:t xml:space="preserve">, het totale inkomen </w:t>
            </w:r>
            <w:r w:rsidR="00227DE6">
              <w:rPr>
                <w:rFonts w:eastAsia="Times New Roman" w:cs="Calibri"/>
                <w:color w:val="000000"/>
                <w:szCs w:val="18"/>
                <w:lang w:val="nl-NL" w:eastAsia="nl-NL"/>
              </w:rPr>
              <w:t>ook</w:t>
            </w:r>
            <w:r w:rsidRPr="00FB4E90">
              <w:rPr>
                <w:rFonts w:eastAsia="Times New Roman" w:cs="Calibri"/>
                <w:color w:val="000000"/>
                <w:szCs w:val="18"/>
                <w:lang w:val="nl-NL" w:eastAsia="nl-NL"/>
              </w:rPr>
              <w:t xml:space="preserve"> stijg</w:t>
            </w:r>
            <w:r w:rsidR="00227DE6">
              <w:rPr>
                <w:rFonts w:eastAsia="Times New Roman" w:cs="Calibri"/>
                <w:color w:val="000000"/>
                <w:szCs w:val="18"/>
                <w:lang w:val="nl-NL" w:eastAsia="nl-NL"/>
              </w:rPr>
              <w:t>t</w:t>
            </w:r>
            <w:r w:rsidRPr="00FB4E90">
              <w:rPr>
                <w:rFonts w:eastAsia="Times New Roman" w:cs="Calibri"/>
                <w:color w:val="000000"/>
                <w:szCs w:val="18"/>
                <w:lang w:val="nl-NL" w:eastAsia="nl-NL"/>
              </w:rPr>
              <w:t xml:space="preserve">. </w:t>
            </w:r>
            <w:r w:rsidR="001871C7">
              <w:rPr>
                <w:rFonts w:eastAsia="Times New Roman" w:cs="Calibri"/>
                <w:color w:val="000000"/>
                <w:szCs w:val="18"/>
                <w:lang w:val="nl-NL" w:eastAsia="nl-NL"/>
              </w:rPr>
              <w:t xml:space="preserve">Dit maakt de hoogte van de </w:t>
            </w:r>
            <w:r w:rsidR="00227DE6">
              <w:rPr>
                <w:rFonts w:eastAsia="Times New Roman" w:cs="Calibri"/>
                <w:color w:val="000000"/>
                <w:szCs w:val="18"/>
                <w:lang w:val="nl-NL" w:eastAsia="nl-NL"/>
              </w:rPr>
              <w:t xml:space="preserve">aanvullende </w:t>
            </w:r>
            <w:r w:rsidR="001871C7">
              <w:rPr>
                <w:rFonts w:eastAsia="Times New Roman" w:cs="Calibri"/>
                <w:color w:val="000000"/>
                <w:szCs w:val="18"/>
                <w:lang w:val="nl-NL" w:eastAsia="nl-NL"/>
              </w:rPr>
              <w:t xml:space="preserve">toeslag voorspelbaarder voor uitkeringsgerechtigden en minder complex voor de uitvoering om vast te stellen. </w:t>
            </w:r>
            <w:r w:rsidRPr="00FB4E90">
              <w:rPr>
                <w:rFonts w:eastAsia="Times New Roman" w:cs="Calibri"/>
                <w:color w:val="000000"/>
                <w:szCs w:val="18"/>
                <w:lang w:val="nl-NL" w:eastAsia="nl-NL"/>
              </w:rPr>
              <w:t xml:space="preserve">Wanneer de grens voor het recht op de aanvullende toeslag wordt bereikt, ontstaat er dan wel een grotere inkomensval. </w:t>
            </w:r>
          </w:p>
          <w:p w:rsidRPr="00FB4E90" w:rsidR="009F1B7D" w:rsidP="00FB4E90" w:rsidRDefault="009F1B7D" w14:paraId="6BD2E5CB" w14:textId="77777777">
            <w:pPr>
              <w:pStyle w:val="Lijstalinea"/>
              <w:rPr>
                <w:rFonts w:eastAsia="Times New Roman" w:cs="Calibri"/>
                <w:color w:val="000000"/>
                <w:szCs w:val="18"/>
                <w:lang w:val="nl-NL" w:eastAsia="nl-NL"/>
              </w:rPr>
            </w:pPr>
          </w:p>
          <w:p w:rsidR="009F1B7D" w:rsidP="009F1B7D" w:rsidRDefault="009F1B7D" w14:paraId="6508A4BE" w14:textId="77777777">
            <w:pPr>
              <w:spacing w:after="0" w:line="240" w:lineRule="auto"/>
              <w:rPr>
                <w:rFonts w:eastAsia="Times New Roman" w:cs="Calibri"/>
                <w:color w:val="000000"/>
                <w:szCs w:val="18"/>
                <w:lang w:val="nl-NL" w:eastAsia="nl-NL"/>
              </w:rPr>
            </w:pPr>
            <w:r>
              <w:rPr>
                <w:rFonts w:eastAsia="Times New Roman" w:cs="Calibri"/>
                <w:color w:val="000000"/>
                <w:szCs w:val="18"/>
                <w:lang w:val="nl-NL" w:eastAsia="nl-NL"/>
              </w:rPr>
              <w:t>Voor de duur van de vrijlatingsregeling geldt de volgende optie:</w:t>
            </w:r>
          </w:p>
          <w:p w:rsidRPr="00FB4E90" w:rsidR="009F1B7D" w:rsidP="00FB4E90" w:rsidRDefault="009F1B7D" w14:paraId="3F210DD4" w14:textId="77777777">
            <w:pPr>
              <w:spacing w:after="0" w:line="240" w:lineRule="auto"/>
              <w:ind w:left="360"/>
              <w:rPr>
                <w:rFonts w:eastAsia="Times New Roman" w:cs="Calibri"/>
                <w:color w:val="000000"/>
                <w:szCs w:val="18"/>
                <w:lang w:val="nl-NL" w:eastAsia="nl-NL"/>
              </w:rPr>
            </w:pPr>
            <w:r w:rsidRPr="00FB4E90">
              <w:rPr>
                <w:rFonts w:eastAsia="Times New Roman" w:cs="Calibri"/>
                <w:color w:val="000000"/>
                <w:szCs w:val="18"/>
                <w:lang w:val="nl-NL" w:eastAsia="nl-NL"/>
              </w:rPr>
              <w:t xml:space="preserve">2.  De duur van de vrijlatingsregeling (nu maximaal twee jaar), wordt onbeperkt van duur. Dit betekent dat de vrijlatingsregeling wordt toegepast gedurende de gehele uitkeringsduur van de basiswet en zolang er inkomsten uit arbeid zijn. </w:t>
            </w:r>
          </w:p>
          <w:p w:rsidRPr="00FD1605" w:rsidR="00B75675" w:rsidP="0008390D" w:rsidRDefault="00B75675" w14:paraId="610AA571" w14:textId="31C2CA10">
            <w:pPr>
              <w:spacing w:after="0" w:line="240" w:lineRule="auto"/>
              <w:rPr>
                <w:lang w:val="nl-NL" w:eastAsia="nl-NL"/>
              </w:rPr>
            </w:pPr>
          </w:p>
        </w:tc>
      </w:tr>
      <w:tr w:rsidRPr="00EB3835" w:rsidR="00836AF5" w:rsidTr="009C048F" w14:paraId="050F828D" w14:textId="77777777">
        <w:trPr>
          <w:trHeight w:val="315"/>
        </w:trPr>
        <w:tc>
          <w:tcPr>
            <w:tcW w:w="1986" w:type="dxa"/>
            <w:tcBorders>
              <w:top w:val="nil"/>
              <w:left w:val="single" w:color="auto" w:sz="8" w:space="0"/>
              <w:bottom w:val="single" w:color="auto" w:sz="8" w:space="0"/>
              <w:right w:val="nil"/>
            </w:tcBorders>
            <w:shd w:val="clear" w:color="auto" w:fill="auto"/>
            <w:noWrap/>
          </w:tcPr>
          <w:p w:rsidRPr="00704454" w:rsidR="00836AF5" w:rsidP="00836AF5" w:rsidRDefault="00836AF5" w14:paraId="0A5E602D"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Doel maatregel</w:t>
            </w:r>
          </w:p>
        </w:tc>
        <w:tc>
          <w:tcPr>
            <w:tcW w:w="8586" w:type="dxa"/>
            <w:tcBorders>
              <w:top w:val="single" w:color="auto" w:sz="4" w:space="0"/>
              <w:left w:val="single" w:color="auto" w:sz="4" w:space="0"/>
              <w:bottom w:val="single" w:color="auto" w:sz="8" w:space="0"/>
              <w:right w:val="single" w:color="auto" w:sz="4" w:space="0"/>
            </w:tcBorders>
            <w:shd w:val="clear" w:color="auto" w:fill="auto"/>
            <w:noWrap/>
          </w:tcPr>
          <w:p w:rsidRPr="00FD1605" w:rsidR="00836AF5" w:rsidP="00836AF5" w:rsidRDefault="00836AF5" w14:paraId="74308948" w14:textId="38CA4538">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 xml:space="preserve">Vereenvoudiging van de wetgeving, vergroten van de voorspelbaarheid van de inkomenssituatie bij werkhervatting en stimuleren van duurzame arbeid.  </w:t>
            </w:r>
          </w:p>
        </w:tc>
      </w:tr>
      <w:tr w:rsidRPr="00EB3835" w:rsidR="00836AF5" w:rsidTr="009C048F" w14:paraId="6A448C2C" w14:textId="77777777">
        <w:trPr>
          <w:trHeight w:val="315"/>
        </w:trPr>
        <w:tc>
          <w:tcPr>
            <w:tcW w:w="1986" w:type="dxa"/>
            <w:tcBorders>
              <w:top w:val="nil"/>
              <w:left w:val="single" w:color="auto" w:sz="8" w:space="0"/>
              <w:bottom w:val="single" w:color="auto" w:sz="8" w:space="0"/>
              <w:right w:val="nil"/>
            </w:tcBorders>
            <w:shd w:val="clear" w:color="auto" w:fill="auto"/>
            <w:noWrap/>
          </w:tcPr>
          <w:p w:rsidRPr="00FD1605" w:rsidR="00836AF5" w:rsidP="00836AF5" w:rsidRDefault="00836AF5" w14:paraId="3F100435" w14:textId="77777777">
            <w:pPr>
              <w:spacing w:after="0" w:line="240" w:lineRule="auto"/>
              <w:rPr>
                <w:rFonts w:eastAsia="Times New Roman" w:cs="Calibri"/>
                <w:b/>
                <w:bCs/>
                <w:color w:val="000000"/>
                <w:szCs w:val="18"/>
                <w:lang w:val="nl-NL" w:eastAsia="nl-NL"/>
              </w:rPr>
            </w:pPr>
            <w:r w:rsidRPr="00FD1605">
              <w:rPr>
                <w:rFonts w:eastAsia="Times New Roman" w:cs="Calibri"/>
                <w:b/>
                <w:bCs/>
                <w:color w:val="000000"/>
                <w:szCs w:val="18"/>
                <w:lang w:val="nl-NL" w:eastAsia="nl-NL"/>
              </w:rPr>
              <w:t xml:space="preserve">Vereenvoudiging vanuit burgerperspectief (begrijpelijkheid, zekerheid en </w:t>
            </w:r>
            <w:proofErr w:type="spellStart"/>
            <w:r w:rsidRPr="00FD1605">
              <w:rPr>
                <w:rFonts w:eastAsia="Times New Roman" w:cs="Calibri"/>
                <w:b/>
                <w:bCs/>
                <w:color w:val="000000"/>
                <w:szCs w:val="18"/>
                <w:lang w:val="nl-NL" w:eastAsia="nl-NL"/>
              </w:rPr>
              <w:t>doenlijkheid</w:t>
            </w:r>
            <w:proofErr w:type="spellEnd"/>
            <w:r w:rsidRPr="00FD1605">
              <w:rPr>
                <w:rFonts w:eastAsia="Times New Roman" w:cs="Calibri"/>
                <w:b/>
                <w:bCs/>
                <w:color w:val="000000"/>
                <w:szCs w:val="18"/>
                <w:lang w:val="nl-NL" w:eastAsia="nl-NL"/>
              </w:rPr>
              <w:t>)</w:t>
            </w:r>
          </w:p>
        </w:tc>
        <w:tc>
          <w:tcPr>
            <w:tcW w:w="8586" w:type="dxa"/>
            <w:tcBorders>
              <w:top w:val="single" w:color="auto" w:sz="4" w:space="0"/>
              <w:left w:val="single" w:color="auto" w:sz="4" w:space="0"/>
              <w:bottom w:val="single" w:color="auto" w:sz="8" w:space="0"/>
              <w:right w:val="single" w:color="auto" w:sz="4" w:space="0"/>
            </w:tcBorders>
            <w:shd w:val="clear" w:color="auto" w:fill="auto"/>
            <w:noWrap/>
          </w:tcPr>
          <w:p w:rsidRPr="00FD1605" w:rsidR="00836AF5" w:rsidP="00836AF5" w:rsidRDefault="00836AF5" w14:paraId="50C680B5" w14:textId="4C7E2CEF">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 xml:space="preserve">Uitkeringsgerechtigden krijgen meer duidelijkheid over de financiële gevolgen van werkhervatting voor de hoogte van de aanvullende toeslag op de </w:t>
            </w:r>
            <w:r w:rsidRPr="00FD1605" w:rsidR="0087348C">
              <w:rPr>
                <w:rFonts w:eastAsia="Times New Roman" w:cs="Calibri"/>
                <w:color w:val="000000"/>
                <w:szCs w:val="18"/>
                <w:lang w:val="nl-NL" w:eastAsia="nl-NL"/>
              </w:rPr>
              <w:t>basiswetuitkeringen</w:t>
            </w:r>
            <w:r w:rsidRPr="00FD1605">
              <w:rPr>
                <w:rFonts w:eastAsia="Times New Roman" w:cs="Calibri"/>
                <w:color w:val="000000"/>
                <w:szCs w:val="18"/>
                <w:lang w:val="nl-NL" w:eastAsia="nl-NL"/>
              </w:rPr>
              <w:t xml:space="preserve">. Daardoor krijgen zij een beter inzicht in wat dit betekent voor hun bestedingsruimte. </w:t>
            </w:r>
          </w:p>
        </w:tc>
      </w:tr>
      <w:tr w:rsidRPr="00EB3835" w:rsidR="00836AF5" w:rsidTr="009C048F" w14:paraId="19F85F4E" w14:textId="77777777">
        <w:trPr>
          <w:trHeight w:val="315"/>
        </w:trPr>
        <w:tc>
          <w:tcPr>
            <w:tcW w:w="1986" w:type="dxa"/>
            <w:tcBorders>
              <w:top w:val="nil"/>
              <w:left w:val="single" w:color="auto" w:sz="8" w:space="0"/>
              <w:bottom w:val="single" w:color="auto" w:sz="8" w:space="0"/>
              <w:right w:val="nil"/>
            </w:tcBorders>
            <w:shd w:val="clear" w:color="auto" w:fill="auto"/>
            <w:noWrap/>
          </w:tcPr>
          <w:p w:rsidRPr="00704454" w:rsidR="00836AF5" w:rsidP="00836AF5" w:rsidRDefault="00836AF5" w14:paraId="62C26DD1"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 xml:space="preserve">Keuzes binnen maatregel </w:t>
            </w:r>
          </w:p>
        </w:tc>
        <w:tc>
          <w:tcPr>
            <w:tcW w:w="8586" w:type="dxa"/>
            <w:tcBorders>
              <w:top w:val="single" w:color="auto" w:sz="4" w:space="0"/>
              <w:left w:val="single" w:color="auto" w:sz="4" w:space="0"/>
              <w:bottom w:val="single" w:color="auto" w:sz="8" w:space="0"/>
              <w:right w:val="single" w:color="auto" w:sz="4" w:space="0"/>
            </w:tcBorders>
            <w:shd w:val="clear" w:color="auto" w:fill="auto"/>
            <w:noWrap/>
          </w:tcPr>
          <w:p w:rsidRPr="00FD1605" w:rsidR="00836AF5" w:rsidP="00836AF5" w:rsidRDefault="00355120" w14:paraId="72B80DDA" w14:textId="6CB9ACE2">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De genoemde maatregelen kunnen zowel los van elkaar als gezamenlijk worden ingevoerd.</w:t>
            </w:r>
          </w:p>
        </w:tc>
      </w:tr>
      <w:tr w:rsidRPr="00EB3835" w:rsidR="00836AF5" w:rsidTr="009C048F" w14:paraId="54D66B15" w14:textId="77777777">
        <w:trPr>
          <w:trHeight w:val="315"/>
        </w:trPr>
        <w:tc>
          <w:tcPr>
            <w:tcW w:w="1986" w:type="dxa"/>
            <w:tcBorders>
              <w:top w:val="nil"/>
              <w:left w:val="single" w:color="auto" w:sz="8" w:space="0"/>
              <w:bottom w:val="single" w:color="auto" w:sz="8" w:space="0"/>
              <w:right w:val="nil"/>
            </w:tcBorders>
            <w:shd w:val="clear" w:color="auto" w:fill="auto"/>
            <w:noWrap/>
          </w:tcPr>
          <w:p w:rsidRPr="00704454" w:rsidR="00836AF5" w:rsidP="00836AF5" w:rsidRDefault="00836AF5" w14:paraId="686CF798"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Tijdpad inwerkingtreding</w:t>
            </w:r>
          </w:p>
        </w:tc>
        <w:tc>
          <w:tcPr>
            <w:tcW w:w="8586" w:type="dxa"/>
            <w:tcBorders>
              <w:top w:val="single" w:color="auto" w:sz="4" w:space="0"/>
              <w:left w:val="single" w:color="auto" w:sz="4" w:space="0"/>
              <w:bottom w:val="single" w:color="auto" w:sz="8" w:space="0"/>
              <w:right w:val="single" w:color="auto" w:sz="4" w:space="0"/>
            </w:tcBorders>
            <w:shd w:val="clear" w:color="auto" w:fill="auto"/>
            <w:noWrap/>
          </w:tcPr>
          <w:p w:rsidRPr="00FD1605" w:rsidR="00836AF5" w:rsidP="00836AF5" w:rsidRDefault="00836AF5" w14:paraId="7C89FDB1" w14:textId="00BA58DD">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 xml:space="preserve">Voor </w:t>
            </w:r>
            <w:r w:rsidRPr="00FD1605" w:rsidR="00355120">
              <w:rPr>
                <w:rFonts w:eastAsia="Times New Roman" w:cs="Calibri"/>
                <w:color w:val="000000"/>
                <w:szCs w:val="18"/>
                <w:lang w:val="nl-NL" w:eastAsia="nl-NL"/>
              </w:rPr>
              <w:t xml:space="preserve">aanpassing </w:t>
            </w:r>
            <w:r w:rsidRPr="00FD1605">
              <w:rPr>
                <w:rFonts w:eastAsia="Times New Roman" w:cs="Calibri"/>
                <w:color w:val="000000"/>
                <w:szCs w:val="18"/>
                <w:lang w:val="nl-NL" w:eastAsia="nl-NL"/>
              </w:rPr>
              <w:t xml:space="preserve">van de vrijlatingsregeling is een wetswijziging in de Toeslagenwet nodig. </w:t>
            </w:r>
            <w:r w:rsidR="00380791">
              <w:rPr>
                <w:rFonts w:eastAsia="Times New Roman" w:cs="Calibri"/>
                <w:color w:val="000000"/>
                <w:szCs w:val="18"/>
                <w:lang w:val="nl-NL" w:eastAsia="nl-NL"/>
              </w:rPr>
              <w:t>Een wetswijziging</w:t>
            </w:r>
            <w:r w:rsidRPr="00FD1605">
              <w:rPr>
                <w:rFonts w:eastAsia="Times New Roman" w:cs="Calibri"/>
                <w:color w:val="000000"/>
                <w:szCs w:val="18"/>
                <w:lang w:val="nl-NL" w:eastAsia="nl-NL"/>
              </w:rPr>
              <w:t xml:space="preserve"> duurt gemiddeld twee jaar. Ook dient rekening te worden gehouden met eventuele extra tijd voor de implementatie door de uitvoerder. Hierbij kan worden gedacht aan aanpassingen van systemen en communicatie aan uitkeringsgerechtigden. </w:t>
            </w:r>
          </w:p>
        </w:tc>
      </w:tr>
      <w:tr w:rsidRPr="00EB3835" w:rsidR="00836AF5" w:rsidTr="009C048F" w14:paraId="3CE07FF3" w14:textId="77777777">
        <w:trPr>
          <w:trHeight w:val="315"/>
        </w:trPr>
        <w:tc>
          <w:tcPr>
            <w:tcW w:w="1986" w:type="dxa"/>
            <w:tcBorders>
              <w:top w:val="nil"/>
              <w:left w:val="single" w:color="auto" w:sz="8" w:space="0"/>
              <w:bottom w:val="single" w:color="auto" w:sz="8" w:space="0"/>
              <w:right w:val="nil"/>
            </w:tcBorders>
            <w:shd w:val="clear" w:color="auto" w:fill="auto"/>
            <w:noWrap/>
          </w:tcPr>
          <w:p w:rsidRPr="00704454" w:rsidR="00836AF5" w:rsidP="00836AF5" w:rsidRDefault="00836AF5" w14:paraId="40D6E12A"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lastRenderedPageBreak/>
              <w:t>Juridische haalbaarheid</w:t>
            </w:r>
          </w:p>
        </w:tc>
        <w:tc>
          <w:tcPr>
            <w:tcW w:w="8586" w:type="dxa"/>
            <w:tcBorders>
              <w:top w:val="single" w:color="auto" w:sz="4" w:space="0"/>
              <w:left w:val="single" w:color="auto" w:sz="4" w:space="0"/>
              <w:bottom w:val="single" w:color="auto" w:sz="8" w:space="0"/>
              <w:right w:val="single" w:color="auto" w:sz="4" w:space="0"/>
            </w:tcBorders>
            <w:shd w:val="clear" w:color="auto" w:fill="auto"/>
            <w:noWrap/>
          </w:tcPr>
          <w:p w:rsidRPr="00FD1605" w:rsidR="00836AF5" w:rsidP="00836AF5" w:rsidRDefault="00836AF5" w14:paraId="13D5F27F" w14:textId="26934424">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 xml:space="preserve">Er is een wetswijziging nodig van artikel 7 van de Toeslagenwet. </w:t>
            </w:r>
          </w:p>
          <w:p w:rsidRPr="00FD1605" w:rsidR="00355120" w:rsidP="00836AF5" w:rsidRDefault="00355120" w14:paraId="6BD09B3E" w14:textId="10765449">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 xml:space="preserve">Mogelijk is voor sommige doelgroepen overgangsrecht nodig. </w:t>
            </w:r>
            <w:r w:rsidRPr="00FD1605" w:rsidR="00515BAA">
              <w:rPr>
                <w:rFonts w:eastAsia="Times New Roman" w:cs="Calibri"/>
                <w:color w:val="000000"/>
                <w:szCs w:val="18"/>
                <w:lang w:val="nl-NL" w:eastAsia="nl-NL"/>
              </w:rPr>
              <w:t>Bij uitkeringsgerechtigden bij wie de termijn van twee jaar van de vrijlatingsregeling al is gestart, kan de vrijlatingsregeling voor de resterende termijn gerespecteerd worden</w:t>
            </w:r>
            <w:r w:rsidRPr="00FD1605">
              <w:rPr>
                <w:rFonts w:eastAsia="Times New Roman" w:cs="Calibri"/>
                <w:color w:val="000000"/>
                <w:szCs w:val="18"/>
                <w:lang w:val="nl-NL" w:eastAsia="nl-NL"/>
              </w:rPr>
              <w:t xml:space="preserve">, omdat deze (bij inkomsten onder de maximering van 15%) tot een gunstigere uitkomst leidt. Verlaging van de aanvullende toeslag per inwerkingtreding </w:t>
            </w:r>
            <w:r w:rsidRPr="00FD1605" w:rsidR="00FD1605">
              <w:rPr>
                <w:rFonts w:eastAsia="Times New Roman" w:cs="Calibri"/>
                <w:color w:val="000000"/>
                <w:szCs w:val="18"/>
                <w:lang w:val="nl-NL" w:eastAsia="nl-NL"/>
              </w:rPr>
              <w:t xml:space="preserve">kan </w:t>
            </w:r>
            <w:r w:rsidRPr="00FD1605">
              <w:rPr>
                <w:rFonts w:eastAsia="Times New Roman" w:cs="Calibri"/>
                <w:color w:val="000000"/>
                <w:szCs w:val="18"/>
                <w:lang w:val="nl-NL" w:eastAsia="nl-NL"/>
              </w:rPr>
              <w:t xml:space="preserve">bij deze groep </w:t>
            </w:r>
            <w:r w:rsidRPr="00FD1605" w:rsidR="00FD1605">
              <w:rPr>
                <w:rFonts w:eastAsia="Times New Roman" w:cs="Calibri"/>
                <w:color w:val="000000"/>
                <w:szCs w:val="18"/>
                <w:lang w:val="nl-NL" w:eastAsia="nl-NL"/>
              </w:rPr>
              <w:t>tot</w:t>
            </w:r>
            <w:r w:rsidRPr="00FD1605">
              <w:rPr>
                <w:rFonts w:eastAsia="Times New Roman" w:cs="Calibri"/>
                <w:color w:val="000000"/>
                <w:szCs w:val="18"/>
                <w:lang w:val="nl-NL" w:eastAsia="nl-NL"/>
              </w:rPr>
              <w:t xml:space="preserve"> juridische bezwaren leiden</w:t>
            </w:r>
            <w:r w:rsidR="007111C5">
              <w:rPr>
                <w:rFonts w:eastAsia="Times New Roman" w:cs="Calibri"/>
                <w:color w:val="000000"/>
                <w:szCs w:val="18"/>
                <w:lang w:val="nl-NL" w:eastAsia="nl-NL"/>
              </w:rPr>
              <w:t xml:space="preserve"> </w:t>
            </w:r>
            <w:r w:rsidRPr="00C6327F" w:rsidR="007111C5">
              <w:rPr>
                <w:rFonts w:eastAsia="Times New Roman" w:cs="Calibri"/>
                <w:color w:val="000000"/>
                <w:szCs w:val="18"/>
                <w:lang w:val="nl-NL" w:eastAsia="nl-NL"/>
              </w:rPr>
              <w:t xml:space="preserve">door </w:t>
            </w:r>
            <w:r w:rsidRPr="00EE31C1" w:rsidR="007111C5">
              <w:rPr>
                <w:rFonts w:eastAsia="Times New Roman" w:cs="Calibri"/>
                <w:color w:val="000000"/>
                <w:szCs w:val="18"/>
                <w:lang w:val="nl-NL" w:eastAsia="nl-NL"/>
              </w:rPr>
              <w:t>mogelijk ongerechtvaardigde inmenging in eigendomsrecht</w:t>
            </w:r>
            <w:r w:rsidRPr="00FD1605">
              <w:rPr>
                <w:rFonts w:eastAsia="Times New Roman" w:cs="Calibri"/>
                <w:color w:val="000000"/>
                <w:szCs w:val="18"/>
                <w:lang w:val="nl-NL" w:eastAsia="nl-NL"/>
              </w:rPr>
              <w:t xml:space="preserve">.   </w:t>
            </w:r>
          </w:p>
        </w:tc>
      </w:tr>
      <w:tr w:rsidRPr="00EB3835" w:rsidR="00836AF5" w:rsidTr="009C048F" w14:paraId="1DD1CDC1" w14:textId="77777777">
        <w:trPr>
          <w:trHeight w:val="315"/>
        </w:trPr>
        <w:tc>
          <w:tcPr>
            <w:tcW w:w="1986" w:type="dxa"/>
            <w:tcBorders>
              <w:top w:val="nil"/>
              <w:left w:val="single" w:color="auto" w:sz="8" w:space="0"/>
              <w:bottom w:val="single" w:color="auto" w:sz="8" w:space="0"/>
              <w:right w:val="nil"/>
            </w:tcBorders>
            <w:shd w:val="clear" w:color="auto" w:fill="auto"/>
            <w:noWrap/>
          </w:tcPr>
          <w:p w:rsidRPr="00704454" w:rsidR="00836AF5" w:rsidP="00836AF5" w:rsidRDefault="00836AF5" w14:paraId="0B9972CF"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Uitvoerbaarheid</w:t>
            </w:r>
          </w:p>
        </w:tc>
        <w:tc>
          <w:tcPr>
            <w:tcW w:w="8586" w:type="dxa"/>
            <w:tcBorders>
              <w:top w:val="single" w:color="auto" w:sz="4" w:space="0"/>
              <w:left w:val="single" w:color="auto" w:sz="4" w:space="0"/>
              <w:bottom w:val="single" w:color="auto" w:sz="8" w:space="0"/>
              <w:right w:val="single" w:color="auto" w:sz="4" w:space="0"/>
            </w:tcBorders>
            <w:shd w:val="clear" w:color="auto" w:fill="auto"/>
            <w:noWrap/>
          </w:tcPr>
          <w:p w:rsidRPr="00FD1605" w:rsidR="00FD1605" w:rsidP="00836AF5" w:rsidRDefault="00836AF5" w14:paraId="07329228" w14:textId="413D5720">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De wijziging betekent een vereenvoudiging voor de uitvoering.</w:t>
            </w:r>
            <w:r w:rsidR="0008390D">
              <w:rPr>
                <w:rFonts w:eastAsia="Times New Roman" w:cs="Calibri"/>
                <w:color w:val="000000"/>
                <w:szCs w:val="18"/>
                <w:lang w:val="nl-NL" w:eastAsia="nl-NL"/>
              </w:rPr>
              <w:t xml:space="preserve"> </w:t>
            </w:r>
            <w:r w:rsidRPr="0008390D" w:rsidR="0008390D">
              <w:rPr>
                <w:rFonts w:eastAsia="Times New Roman" w:cs="Calibri"/>
                <w:color w:val="000000"/>
                <w:szCs w:val="18"/>
                <w:lang w:val="nl-NL" w:eastAsia="nl-NL"/>
              </w:rPr>
              <w:t>Maatregel 1b gaat daar verder in dan maatregel 1a.</w:t>
            </w:r>
            <w:r w:rsidR="0008390D">
              <w:rPr>
                <w:rFonts w:eastAsia="Times New Roman" w:cs="Calibri"/>
                <w:color w:val="000000"/>
                <w:szCs w:val="18"/>
                <w:lang w:val="nl-NL" w:eastAsia="nl-NL"/>
              </w:rPr>
              <w:t xml:space="preserve"> </w:t>
            </w:r>
            <w:r w:rsidRPr="00FD1605">
              <w:rPr>
                <w:rFonts w:eastAsia="Times New Roman" w:cs="Calibri"/>
                <w:color w:val="000000"/>
                <w:szCs w:val="18"/>
                <w:lang w:val="nl-NL" w:eastAsia="nl-NL"/>
              </w:rPr>
              <w:t>De tijdelijkheid</w:t>
            </w:r>
            <w:r w:rsidR="006C2ACD">
              <w:rPr>
                <w:rFonts w:eastAsia="Times New Roman" w:cs="Calibri"/>
                <w:color w:val="000000"/>
                <w:szCs w:val="18"/>
                <w:lang w:val="nl-NL" w:eastAsia="nl-NL"/>
              </w:rPr>
              <w:t xml:space="preserve"> van de vrijlating</w:t>
            </w:r>
            <w:r w:rsidRPr="00FD1605">
              <w:rPr>
                <w:rFonts w:eastAsia="Times New Roman" w:cs="Calibri"/>
                <w:color w:val="000000"/>
                <w:szCs w:val="18"/>
                <w:lang w:val="nl-NL" w:eastAsia="nl-NL"/>
              </w:rPr>
              <w:t xml:space="preserve"> is moeilijk uit te voeren en te toetsen, in principe is een onderbreking van een dag al voldoende om de termijn opnieuw te laten starten. </w:t>
            </w:r>
            <w:r w:rsidRPr="00FD1605" w:rsidR="00FD1605">
              <w:rPr>
                <w:rFonts w:eastAsia="Times New Roman" w:cs="Calibri"/>
                <w:color w:val="000000"/>
                <w:szCs w:val="18"/>
                <w:lang w:val="nl-NL" w:eastAsia="nl-NL"/>
              </w:rPr>
              <w:t xml:space="preserve">Ook de vaststelling van de hoogte van de aanvullende toeslag kent nu meerdere stappen, die teruggebracht worden door deze maatregelen. </w:t>
            </w:r>
          </w:p>
          <w:p w:rsidRPr="00FD1605" w:rsidR="00836AF5" w:rsidP="00836AF5" w:rsidRDefault="00FD1605" w14:paraId="18D62766" w14:textId="31AF5CB3">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De uitvoerder zal diverse wijzigingen in de werkwijze moeten aanbrengen. Gedacht dient te worden aan aanpassingen aan systemen en communicatie aan uitkeringsgerechtigden. Nog te maken keuzes rondom overgangsrecht c.q. de omgang met uitkeringsgerechtigden met al lopende rechten op aanvullende toeslag, spelen daarnaast een rol in de vraag of de maatregel uitvoerbaar is.</w:t>
            </w:r>
          </w:p>
          <w:p w:rsidRPr="00FD1605" w:rsidR="00836AF5" w:rsidP="00836AF5" w:rsidRDefault="00836AF5" w14:paraId="50F68ED1" w14:textId="5543FA42">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De uitvoerder zal diverse wijzigingen in de werkwijze moeten aanbrengen. Gedacht dient te worden aan aanpassingen aan systemen en communicatie aan uitkeringsgerechtigden.</w:t>
            </w:r>
          </w:p>
        </w:tc>
      </w:tr>
      <w:tr w:rsidRPr="00EB3835" w:rsidR="00836AF5" w:rsidTr="009C048F" w14:paraId="58B65DAA" w14:textId="77777777">
        <w:trPr>
          <w:trHeight w:val="315"/>
        </w:trPr>
        <w:tc>
          <w:tcPr>
            <w:tcW w:w="1986" w:type="dxa"/>
            <w:tcBorders>
              <w:top w:val="nil"/>
              <w:left w:val="single" w:color="auto" w:sz="8" w:space="0"/>
              <w:bottom w:val="single" w:color="auto" w:sz="8" w:space="0"/>
              <w:right w:val="nil"/>
            </w:tcBorders>
            <w:shd w:val="clear" w:color="auto" w:fill="auto"/>
            <w:noWrap/>
          </w:tcPr>
          <w:p w:rsidRPr="00704454" w:rsidR="00836AF5" w:rsidP="00836AF5" w:rsidRDefault="00836AF5" w14:paraId="14CF3930"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Financiële effecten</w:t>
            </w:r>
          </w:p>
        </w:tc>
        <w:tc>
          <w:tcPr>
            <w:tcW w:w="8586" w:type="dxa"/>
            <w:tcBorders>
              <w:top w:val="single" w:color="auto" w:sz="4" w:space="0"/>
              <w:left w:val="single" w:color="auto" w:sz="4" w:space="0"/>
              <w:bottom w:val="single" w:color="auto" w:sz="8" w:space="0"/>
              <w:right w:val="single" w:color="auto" w:sz="4" w:space="0"/>
            </w:tcBorders>
            <w:shd w:val="clear" w:color="auto" w:fill="auto"/>
            <w:noWrap/>
          </w:tcPr>
          <w:p w:rsidRPr="00FD1605" w:rsidR="00836AF5" w:rsidP="00836AF5" w:rsidRDefault="00836AF5" w14:paraId="3EE544DF" w14:textId="1FD7B030">
            <w:pPr>
              <w:spacing w:after="0" w:line="240" w:lineRule="auto"/>
              <w:rPr>
                <w:rFonts w:eastAsia="Times New Roman" w:cs="Calibri"/>
                <w:color w:val="000000"/>
                <w:szCs w:val="18"/>
                <w:lang w:val="nl-NL" w:eastAsia="nl-NL"/>
              </w:rPr>
            </w:pPr>
          </w:p>
          <w:p w:rsidRPr="00FD1605" w:rsidR="00FD1605" w:rsidP="00836AF5" w:rsidRDefault="00FD1605" w14:paraId="72568A6B" w14:textId="77777777">
            <w:pPr>
              <w:spacing w:after="0" w:line="240" w:lineRule="auto"/>
              <w:contextualSpacing/>
              <w:rPr>
                <w:rFonts w:eastAsia="Times New Roman" w:cs="Calibri"/>
                <w:color w:val="000000"/>
                <w:szCs w:val="18"/>
                <w:lang w:val="nl-NL" w:eastAsia="nl-NL"/>
              </w:rPr>
            </w:pPr>
          </w:p>
          <w:tbl>
            <w:tblPr>
              <w:tblStyle w:val="Tabelraster"/>
              <w:tblpPr w:leftFromText="141" w:rightFromText="141" w:vertAnchor="page" w:horzAnchor="margin" w:tblpXSpec="right" w:tblpY="341"/>
              <w:tblOverlap w:val="never"/>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1E0" w:firstRow="1" w:lastRow="1" w:firstColumn="1" w:lastColumn="1" w:noHBand="0" w:noVBand="0"/>
            </w:tblPr>
            <w:tblGrid>
              <w:gridCol w:w="2463"/>
              <w:gridCol w:w="792"/>
              <w:gridCol w:w="791"/>
              <w:gridCol w:w="793"/>
              <w:gridCol w:w="793"/>
              <w:gridCol w:w="818"/>
              <w:gridCol w:w="994"/>
              <w:gridCol w:w="994"/>
            </w:tblGrid>
            <w:tr w:rsidRPr="00EB3835" w:rsidR="00376E4C" w:rsidTr="00376E4C" w14:paraId="64F1BE92" w14:textId="77777777">
              <w:tc>
                <w:tcPr>
                  <w:tcW w:w="5000" w:type="pct"/>
                  <w:gridSpan w:val="8"/>
                  <w:tcBorders>
                    <w:top w:val="single" w:color="auto" w:sz="4" w:space="0"/>
                    <w:left w:val="single" w:color="auto" w:sz="4" w:space="0"/>
                  </w:tcBorders>
                </w:tcPr>
                <w:p w:rsidRPr="00376E4C" w:rsidR="00376E4C" w:rsidP="00376E4C" w:rsidRDefault="00376E4C" w14:paraId="12A527BA" w14:textId="3E959634">
                  <w:pPr>
                    <w:tabs>
                      <w:tab w:val="left" w:pos="1215"/>
                    </w:tabs>
                    <w:rPr>
                      <w:rFonts w:ascii="Verdana" w:hAnsi="Verdana"/>
                      <w:b/>
                      <w:bCs/>
                      <w:sz w:val="18"/>
                      <w:szCs w:val="18"/>
                    </w:rPr>
                  </w:pPr>
                  <w:r w:rsidRPr="00376E4C">
                    <w:rPr>
                      <w:rFonts w:ascii="Verdana" w:hAnsi="Verdana"/>
                      <w:b/>
                      <w:bCs/>
                      <w:sz w:val="18"/>
                      <w:szCs w:val="18"/>
                    </w:rPr>
                    <w:t>1a. Standaard percentage vrijlating (30%) met behoud van maximering</w:t>
                  </w:r>
                </w:p>
              </w:tc>
            </w:tr>
            <w:tr w:rsidRPr="00EB3835" w:rsidR="00376E4C" w:rsidTr="00376E4C" w14:paraId="24AC57AB" w14:textId="77777777">
              <w:tc>
                <w:tcPr>
                  <w:tcW w:w="1459" w:type="pct"/>
                  <w:tcBorders>
                    <w:top w:val="single" w:color="auto" w:sz="4" w:space="0"/>
                    <w:left w:val="single" w:color="auto" w:sz="4" w:space="0"/>
                  </w:tcBorders>
                </w:tcPr>
                <w:p w:rsidRPr="00376E4C" w:rsidR="00376E4C" w:rsidP="00FD1605" w:rsidRDefault="00376E4C" w14:paraId="3BB0D24D" w14:textId="1DEFD55C">
                  <w:pPr>
                    <w:rPr>
                      <w:rFonts w:ascii="Verdana" w:hAnsi="Verdana"/>
                      <w:bCs/>
                      <w:i/>
                      <w:iCs/>
                      <w:sz w:val="18"/>
                      <w:szCs w:val="18"/>
                    </w:rPr>
                  </w:pPr>
                  <w:r w:rsidRPr="00376E4C">
                    <w:rPr>
                      <w:rFonts w:ascii="Verdana" w:hAnsi="Verdana"/>
                      <w:bCs/>
                      <w:i/>
                      <w:iCs/>
                      <w:sz w:val="18"/>
                      <w:szCs w:val="18"/>
                    </w:rPr>
                    <w:t>In miljoenen euro’s</w:t>
                  </w:r>
                </w:p>
              </w:tc>
              <w:tc>
                <w:tcPr>
                  <w:tcW w:w="469" w:type="pct"/>
                  <w:tcBorders>
                    <w:top w:val="single" w:color="auto" w:sz="4" w:space="0"/>
                  </w:tcBorders>
                </w:tcPr>
                <w:p w:rsidRPr="00376E4C" w:rsidR="00376E4C" w:rsidP="00FD1605" w:rsidRDefault="00376E4C" w14:paraId="26FDC8BB" w14:textId="015AAA99">
                  <w:pPr>
                    <w:jc w:val="right"/>
                    <w:rPr>
                      <w:rFonts w:ascii="Verdana" w:hAnsi="Verdana"/>
                      <w:b/>
                      <w:bCs/>
                      <w:sz w:val="18"/>
                      <w:szCs w:val="18"/>
                    </w:rPr>
                  </w:pPr>
                  <w:r w:rsidRPr="00376E4C">
                    <w:rPr>
                      <w:rFonts w:ascii="Verdana" w:hAnsi="Verdana"/>
                      <w:b/>
                      <w:bCs/>
                      <w:sz w:val="18"/>
                      <w:szCs w:val="18"/>
                    </w:rPr>
                    <w:t>2026</w:t>
                  </w:r>
                </w:p>
              </w:tc>
              <w:tc>
                <w:tcPr>
                  <w:tcW w:w="469" w:type="pct"/>
                  <w:tcBorders>
                    <w:top w:val="single" w:color="auto" w:sz="4" w:space="0"/>
                  </w:tcBorders>
                </w:tcPr>
                <w:p w:rsidRPr="00376E4C" w:rsidR="00376E4C" w:rsidP="00FD1605" w:rsidRDefault="00376E4C" w14:paraId="710A6ED2" w14:textId="12EB38BA">
                  <w:pPr>
                    <w:jc w:val="right"/>
                    <w:rPr>
                      <w:rFonts w:ascii="Verdana" w:hAnsi="Verdana"/>
                      <w:b/>
                      <w:bCs/>
                      <w:sz w:val="18"/>
                      <w:szCs w:val="18"/>
                    </w:rPr>
                  </w:pPr>
                  <w:r w:rsidRPr="00376E4C">
                    <w:rPr>
                      <w:rFonts w:ascii="Verdana" w:hAnsi="Verdana"/>
                      <w:b/>
                      <w:bCs/>
                      <w:sz w:val="18"/>
                      <w:szCs w:val="18"/>
                    </w:rPr>
                    <w:t>2027</w:t>
                  </w:r>
                </w:p>
              </w:tc>
              <w:tc>
                <w:tcPr>
                  <w:tcW w:w="470" w:type="pct"/>
                  <w:tcBorders>
                    <w:top w:val="single" w:color="auto" w:sz="4" w:space="0"/>
                  </w:tcBorders>
                </w:tcPr>
                <w:p w:rsidRPr="00376E4C" w:rsidR="00376E4C" w:rsidP="00FD1605" w:rsidRDefault="00376E4C" w14:paraId="384A53AB" w14:textId="5105EA6B">
                  <w:pPr>
                    <w:jc w:val="right"/>
                    <w:rPr>
                      <w:rFonts w:ascii="Verdana" w:hAnsi="Verdana"/>
                      <w:b/>
                      <w:bCs/>
                      <w:sz w:val="18"/>
                      <w:szCs w:val="18"/>
                    </w:rPr>
                  </w:pPr>
                  <w:r w:rsidRPr="00376E4C">
                    <w:rPr>
                      <w:rFonts w:ascii="Verdana" w:hAnsi="Verdana"/>
                      <w:b/>
                      <w:bCs/>
                      <w:sz w:val="18"/>
                      <w:szCs w:val="18"/>
                    </w:rPr>
                    <w:t>2028</w:t>
                  </w:r>
                </w:p>
              </w:tc>
              <w:tc>
                <w:tcPr>
                  <w:tcW w:w="470" w:type="pct"/>
                  <w:tcBorders>
                    <w:top w:val="single" w:color="auto" w:sz="4" w:space="0"/>
                  </w:tcBorders>
                </w:tcPr>
                <w:p w:rsidRPr="00376E4C" w:rsidR="00376E4C" w:rsidP="00FD1605" w:rsidRDefault="00376E4C" w14:paraId="167897D2" w14:textId="6B8EB107">
                  <w:pPr>
                    <w:jc w:val="right"/>
                    <w:rPr>
                      <w:rFonts w:ascii="Verdana" w:hAnsi="Verdana"/>
                      <w:b/>
                      <w:bCs/>
                      <w:sz w:val="18"/>
                      <w:szCs w:val="18"/>
                    </w:rPr>
                  </w:pPr>
                  <w:r w:rsidRPr="00376E4C">
                    <w:rPr>
                      <w:rFonts w:ascii="Verdana" w:hAnsi="Verdana"/>
                      <w:b/>
                      <w:bCs/>
                      <w:sz w:val="18"/>
                      <w:szCs w:val="18"/>
                    </w:rPr>
                    <w:t>2029</w:t>
                  </w:r>
                </w:p>
              </w:tc>
              <w:tc>
                <w:tcPr>
                  <w:tcW w:w="485" w:type="pct"/>
                  <w:tcBorders>
                    <w:top w:val="single" w:color="auto" w:sz="4" w:space="0"/>
                  </w:tcBorders>
                </w:tcPr>
                <w:p w:rsidRPr="00376E4C" w:rsidR="00376E4C" w:rsidP="00FD1605" w:rsidRDefault="00376E4C" w14:paraId="2B651ED2" w14:textId="3B1D3814">
                  <w:pPr>
                    <w:jc w:val="right"/>
                    <w:rPr>
                      <w:rFonts w:ascii="Verdana" w:hAnsi="Verdana"/>
                      <w:b/>
                      <w:bCs/>
                      <w:sz w:val="18"/>
                      <w:szCs w:val="18"/>
                    </w:rPr>
                  </w:pPr>
                  <w:r w:rsidRPr="00376E4C">
                    <w:rPr>
                      <w:rFonts w:ascii="Verdana" w:hAnsi="Verdana"/>
                      <w:b/>
                      <w:bCs/>
                      <w:sz w:val="18"/>
                      <w:szCs w:val="18"/>
                    </w:rPr>
                    <w:t>2030</w:t>
                  </w:r>
                </w:p>
              </w:tc>
              <w:tc>
                <w:tcPr>
                  <w:tcW w:w="589" w:type="pct"/>
                  <w:tcBorders>
                    <w:top w:val="single" w:color="auto" w:sz="4" w:space="0"/>
                  </w:tcBorders>
                </w:tcPr>
                <w:p w:rsidRPr="00376E4C" w:rsidR="00376E4C" w:rsidP="00FD1605" w:rsidRDefault="00376E4C" w14:paraId="70632365" w14:textId="70FEB349">
                  <w:pPr>
                    <w:jc w:val="right"/>
                    <w:rPr>
                      <w:rFonts w:ascii="Verdana" w:hAnsi="Verdana"/>
                      <w:b/>
                      <w:bCs/>
                      <w:sz w:val="18"/>
                      <w:szCs w:val="18"/>
                    </w:rPr>
                  </w:pPr>
                  <w:r w:rsidRPr="00376E4C">
                    <w:rPr>
                      <w:rFonts w:ascii="Verdana" w:hAnsi="Verdana"/>
                      <w:b/>
                      <w:bCs/>
                      <w:sz w:val="18"/>
                      <w:szCs w:val="18"/>
                    </w:rPr>
                    <w:t>2031</w:t>
                  </w:r>
                </w:p>
              </w:tc>
              <w:tc>
                <w:tcPr>
                  <w:tcW w:w="589" w:type="pct"/>
                  <w:tcBorders>
                    <w:top w:val="single" w:color="auto" w:sz="4" w:space="0"/>
                  </w:tcBorders>
                </w:tcPr>
                <w:p w:rsidRPr="00376E4C" w:rsidR="00376E4C" w:rsidP="00FD1605" w:rsidRDefault="00376E4C" w14:paraId="615C155C" w14:textId="311AE8D6">
                  <w:pPr>
                    <w:jc w:val="right"/>
                    <w:rPr>
                      <w:rFonts w:ascii="Verdana" w:hAnsi="Verdana"/>
                      <w:b/>
                      <w:bCs/>
                      <w:sz w:val="18"/>
                      <w:szCs w:val="18"/>
                    </w:rPr>
                  </w:pPr>
                  <w:proofErr w:type="spellStart"/>
                  <w:r w:rsidRPr="00376E4C">
                    <w:rPr>
                      <w:rFonts w:ascii="Verdana" w:hAnsi="Verdana"/>
                      <w:b/>
                      <w:bCs/>
                      <w:sz w:val="18"/>
                      <w:szCs w:val="18"/>
                    </w:rPr>
                    <w:t>Struc</w:t>
                  </w:r>
                  <w:proofErr w:type="spellEnd"/>
                  <w:r w:rsidRPr="00376E4C">
                    <w:rPr>
                      <w:rFonts w:ascii="Verdana" w:hAnsi="Verdana"/>
                      <w:b/>
                      <w:bCs/>
                      <w:sz w:val="18"/>
                      <w:szCs w:val="18"/>
                    </w:rPr>
                    <w:t>.</w:t>
                  </w:r>
                </w:p>
              </w:tc>
            </w:tr>
            <w:tr w:rsidRPr="00EB3835" w:rsidR="00376E4C" w:rsidTr="00376E4C" w14:paraId="38257C22" w14:textId="77777777">
              <w:tc>
                <w:tcPr>
                  <w:tcW w:w="1459" w:type="pct"/>
                </w:tcPr>
                <w:p w:rsidRPr="00376E4C" w:rsidR="00376E4C" w:rsidP="00FD1605" w:rsidRDefault="00376E4C" w14:paraId="69303C5E" w14:textId="77777777">
                  <w:pPr>
                    <w:rPr>
                      <w:rFonts w:ascii="Verdana" w:hAnsi="Verdana"/>
                      <w:sz w:val="18"/>
                      <w:szCs w:val="18"/>
                    </w:rPr>
                  </w:pPr>
                  <w:r w:rsidRPr="00376E4C">
                    <w:rPr>
                      <w:rFonts w:ascii="Verdana" w:hAnsi="Verdana"/>
                      <w:sz w:val="18"/>
                      <w:szCs w:val="18"/>
                    </w:rPr>
                    <w:t>Algemene effecten</w:t>
                  </w:r>
                </w:p>
              </w:tc>
              <w:tc>
                <w:tcPr>
                  <w:tcW w:w="469" w:type="pct"/>
                </w:tcPr>
                <w:p w:rsidRPr="00376E4C" w:rsidR="00376E4C" w:rsidP="00FD1605" w:rsidRDefault="00376E4C" w14:paraId="6EED990C" w14:textId="77777777">
                  <w:pPr>
                    <w:jc w:val="right"/>
                    <w:rPr>
                      <w:rFonts w:ascii="Verdana" w:hAnsi="Verdana"/>
                      <w:sz w:val="18"/>
                      <w:szCs w:val="18"/>
                    </w:rPr>
                  </w:pPr>
                </w:p>
              </w:tc>
              <w:tc>
                <w:tcPr>
                  <w:tcW w:w="469" w:type="pct"/>
                </w:tcPr>
                <w:p w:rsidRPr="00376E4C" w:rsidR="00376E4C" w:rsidP="00FD1605" w:rsidRDefault="00376E4C" w14:paraId="2C155BB8" w14:textId="3E9F351D">
                  <w:pPr>
                    <w:jc w:val="right"/>
                    <w:rPr>
                      <w:rFonts w:ascii="Verdana" w:hAnsi="Verdana"/>
                      <w:sz w:val="18"/>
                      <w:szCs w:val="18"/>
                    </w:rPr>
                  </w:pPr>
                </w:p>
              </w:tc>
              <w:tc>
                <w:tcPr>
                  <w:tcW w:w="470" w:type="pct"/>
                </w:tcPr>
                <w:p w:rsidRPr="00376E4C" w:rsidR="00376E4C" w:rsidP="00FD1605" w:rsidRDefault="00376E4C" w14:paraId="4A6C6D25" w14:textId="7CC56FB3">
                  <w:pPr>
                    <w:jc w:val="right"/>
                    <w:rPr>
                      <w:rFonts w:ascii="Verdana" w:hAnsi="Verdana"/>
                      <w:sz w:val="18"/>
                      <w:szCs w:val="18"/>
                    </w:rPr>
                  </w:pPr>
                </w:p>
              </w:tc>
              <w:tc>
                <w:tcPr>
                  <w:tcW w:w="470" w:type="pct"/>
                </w:tcPr>
                <w:p w:rsidRPr="00376E4C" w:rsidR="00376E4C" w:rsidP="00FD1605" w:rsidRDefault="00376E4C" w14:paraId="3CA41356" w14:textId="3D5B21E2">
                  <w:pPr>
                    <w:jc w:val="right"/>
                    <w:rPr>
                      <w:rFonts w:ascii="Verdana" w:hAnsi="Verdana"/>
                      <w:sz w:val="18"/>
                      <w:szCs w:val="18"/>
                    </w:rPr>
                  </w:pPr>
                  <w:r w:rsidRPr="00376E4C">
                    <w:rPr>
                      <w:rFonts w:ascii="Verdana" w:hAnsi="Verdana"/>
                      <w:sz w:val="18"/>
                      <w:szCs w:val="18"/>
                    </w:rPr>
                    <w:t>-10,6</w:t>
                  </w:r>
                </w:p>
              </w:tc>
              <w:tc>
                <w:tcPr>
                  <w:tcW w:w="485" w:type="pct"/>
                </w:tcPr>
                <w:p w:rsidRPr="00376E4C" w:rsidR="00376E4C" w:rsidP="00FD1605" w:rsidRDefault="00376E4C" w14:paraId="7D869D7C" w14:textId="6C2FBEAE">
                  <w:pPr>
                    <w:jc w:val="right"/>
                    <w:rPr>
                      <w:rFonts w:ascii="Verdana" w:hAnsi="Verdana"/>
                      <w:sz w:val="18"/>
                      <w:szCs w:val="18"/>
                    </w:rPr>
                  </w:pPr>
                  <w:r w:rsidRPr="00376E4C">
                    <w:rPr>
                      <w:rFonts w:ascii="Verdana" w:hAnsi="Verdana"/>
                      <w:sz w:val="18"/>
                      <w:szCs w:val="18"/>
                    </w:rPr>
                    <w:t>-10,8</w:t>
                  </w:r>
                </w:p>
              </w:tc>
              <w:tc>
                <w:tcPr>
                  <w:tcW w:w="589" w:type="pct"/>
                </w:tcPr>
                <w:p w:rsidRPr="00376E4C" w:rsidR="00376E4C" w:rsidP="00FD1605" w:rsidRDefault="00376E4C" w14:paraId="2A8EB5A1" w14:textId="3C55C429">
                  <w:pPr>
                    <w:jc w:val="right"/>
                    <w:rPr>
                      <w:rFonts w:ascii="Verdana" w:hAnsi="Verdana"/>
                      <w:sz w:val="18"/>
                      <w:szCs w:val="18"/>
                    </w:rPr>
                  </w:pPr>
                  <w:r w:rsidRPr="00376E4C">
                    <w:rPr>
                      <w:rFonts w:ascii="Verdana" w:hAnsi="Verdana"/>
                      <w:sz w:val="18"/>
                      <w:szCs w:val="18"/>
                    </w:rPr>
                    <w:t>-11,0</w:t>
                  </w:r>
                </w:p>
              </w:tc>
              <w:tc>
                <w:tcPr>
                  <w:tcW w:w="589" w:type="pct"/>
                </w:tcPr>
                <w:p w:rsidRPr="00376E4C" w:rsidR="00376E4C" w:rsidP="00FD1605" w:rsidRDefault="00376E4C" w14:paraId="305496AF" w14:textId="7EB30268">
                  <w:pPr>
                    <w:jc w:val="right"/>
                    <w:rPr>
                      <w:rFonts w:ascii="Verdana" w:hAnsi="Verdana"/>
                      <w:sz w:val="18"/>
                      <w:szCs w:val="18"/>
                    </w:rPr>
                  </w:pPr>
                  <w:r w:rsidRPr="00376E4C">
                    <w:rPr>
                      <w:rFonts w:ascii="Verdana" w:hAnsi="Verdana"/>
                      <w:sz w:val="18"/>
                      <w:szCs w:val="18"/>
                    </w:rPr>
                    <w:t>-12,3</w:t>
                  </w:r>
                </w:p>
              </w:tc>
            </w:tr>
            <w:tr w:rsidRPr="00EB3835" w:rsidR="00376E4C" w:rsidTr="00376E4C" w14:paraId="0EA545CA" w14:textId="77777777">
              <w:tc>
                <w:tcPr>
                  <w:tcW w:w="1459" w:type="pct"/>
                </w:tcPr>
                <w:p w:rsidRPr="00376E4C" w:rsidR="00376E4C" w:rsidP="00FD1605" w:rsidRDefault="00376E4C" w14:paraId="111805E9" w14:textId="77777777">
                  <w:pPr>
                    <w:rPr>
                      <w:rFonts w:ascii="Verdana" w:hAnsi="Verdana"/>
                      <w:sz w:val="18"/>
                      <w:szCs w:val="18"/>
                    </w:rPr>
                  </w:pPr>
                  <w:r w:rsidRPr="00376E4C">
                    <w:rPr>
                      <w:rFonts w:ascii="Verdana" w:hAnsi="Verdana"/>
                      <w:sz w:val="18"/>
                      <w:szCs w:val="18"/>
                    </w:rPr>
                    <w:t>Weglekeffecten</w:t>
                  </w:r>
                </w:p>
              </w:tc>
              <w:tc>
                <w:tcPr>
                  <w:tcW w:w="469" w:type="pct"/>
                </w:tcPr>
                <w:p w:rsidRPr="00376E4C" w:rsidR="00376E4C" w:rsidP="00FD1605" w:rsidRDefault="00376E4C" w14:paraId="7238E915" w14:textId="77777777">
                  <w:pPr>
                    <w:jc w:val="right"/>
                    <w:rPr>
                      <w:rFonts w:ascii="Verdana" w:hAnsi="Verdana"/>
                      <w:sz w:val="18"/>
                      <w:szCs w:val="18"/>
                    </w:rPr>
                  </w:pPr>
                </w:p>
              </w:tc>
              <w:tc>
                <w:tcPr>
                  <w:tcW w:w="469" w:type="pct"/>
                </w:tcPr>
                <w:p w:rsidRPr="00376E4C" w:rsidR="00376E4C" w:rsidP="00FD1605" w:rsidRDefault="00376E4C" w14:paraId="0C52BF72" w14:textId="77777777">
                  <w:pPr>
                    <w:jc w:val="right"/>
                    <w:rPr>
                      <w:rFonts w:ascii="Verdana" w:hAnsi="Verdana"/>
                      <w:sz w:val="18"/>
                      <w:szCs w:val="18"/>
                    </w:rPr>
                  </w:pPr>
                </w:p>
              </w:tc>
              <w:tc>
                <w:tcPr>
                  <w:tcW w:w="470" w:type="pct"/>
                </w:tcPr>
                <w:p w:rsidRPr="00376E4C" w:rsidR="00376E4C" w:rsidP="00FD1605" w:rsidRDefault="00376E4C" w14:paraId="5D8732C8" w14:textId="77777777">
                  <w:pPr>
                    <w:jc w:val="right"/>
                    <w:rPr>
                      <w:rFonts w:ascii="Verdana" w:hAnsi="Verdana"/>
                      <w:sz w:val="18"/>
                      <w:szCs w:val="18"/>
                    </w:rPr>
                  </w:pPr>
                </w:p>
              </w:tc>
              <w:tc>
                <w:tcPr>
                  <w:tcW w:w="470" w:type="pct"/>
                </w:tcPr>
                <w:p w:rsidRPr="00376E4C" w:rsidR="00376E4C" w:rsidP="00FD1605" w:rsidRDefault="00376E4C" w14:paraId="26B40F9B" w14:textId="77777777">
                  <w:pPr>
                    <w:jc w:val="right"/>
                    <w:rPr>
                      <w:rFonts w:ascii="Verdana" w:hAnsi="Verdana"/>
                      <w:sz w:val="18"/>
                      <w:szCs w:val="18"/>
                    </w:rPr>
                  </w:pPr>
                </w:p>
              </w:tc>
              <w:tc>
                <w:tcPr>
                  <w:tcW w:w="485" w:type="pct"/>
                </w:tcPr>
                <w:p w:rsidRPr="00376E4C" w:rsidR="00376E4C" w:rsidP="00FD1605" w:rsidRDefault="00376E4C" w14:paraId="64C764D4" w14:textId="77777777">
                  <w:pPr>
                    <w:jc w:val="right"/>
                    <w:rPr>
                      <w:rFonts w:ascii="Verdana" w:hAnsi="Verdana"/>
                      <w:sz w:val="18"/>
                      <w:szCs w:val="18"/>
                    </w:rPr>
                  </w:pPr>
                </w:p>
              </w:tc>
              <w:tc>
                <w:tcPr>
                  <w:tcW w:w="589" w:type="pct"/>
                </w:tcPr>
                <w:p w:rsidRPr="00376E4C" w:rsidR="00376E4C" w:rsidP="00FD1605" w:rsidRDefault="00376E4C" w14:paraId="45097A6C" w14:textId="77777777">
                  <w:pPr>
                    <w:jc w:val="right"/>
                    <w:rPr>
                      <w:rFonts w:ascii="Verdana" w:hAnsi="Verdana"/>
                      <w:sz w:val="18"/>
                      <w:szCs w:val="18"/>
                    </w:rPr>
                  </w:pPr>
                </w:p>
              </w:tc>
              <w:tc>
                <w:tcPr>
                  <w:tcW w:w="589" w:type="pct"/>
                </w:tcPr>
                <w:p w:rsidRPr="00376E4C" w:rsidR="00376E4C" w:rsidP="00FD1605" w:rsidRDefault="00376E4C" w14:paraId="507409B5" w14:textId="3FDAB974">
                  <w:pPr>
                    <w:jc w:val="right"/>
                    <w:rPr>
                      <w:rFonts w:ascii="Verdana" w:hAnsi="Verdana"/>
                      <w:sz w:val="18"/>
                      <w:szCs w:val="18"/>
                    </w:rPr>
                  </w:pPr>
                </w:p>
              </w:tc>
            </w:tr>
            <w:tr w:rsidRPr="00EB3835" w:rsidR="00376E4C" w:rsidTr="00376E4C" w14:paraId="4B944CC8" w14:textId="77777777">
              <w:tc>
                <w:tcPr>
                  <w:tcW w:w="1459" w:type="pct"/>
                </w:tcPr>
                <w:p w:rsidRPr="00376E4C" w:rsidR="00376E4C" w:rsidP="00FD1605" w:rsidRDefault="00376E4C" w14:paraId="75731279" w14:textId="77777777">
                  <w:pPr>
                    <w:rPr>
                      <w:rFonts w:ascii="Verdana" w:hAnsi="Verdana"/>
                      <w:sz w:val="18"/>
                      <w:szCs w:val="18"/>
                    </w:rPr>
                  </w:pPr>
                  <w:r w:rsidRPr="00376E4C">
                    <w:rPr>
                      <w:rFonts w:ascii="Verdana" w:hAnsi="Verdana"/>
                      <w:sz w:val="18"/>
                      <w:szCs w:val="18"/>
                    </w:rPr>
                    <w:t>Uitvoeringskosten</w:t>
                  </w:r>
                </w:p>
              </w:tc>
              <w:tc>
                <w:tcPr>
                  <w:tcW w:w="469" w:type="pct"/>
                </w:tcPr>
                <w:p w:rsidRPr="00376E4C" w:rsidR="00376E4C" w:rsidP="00FD1605" w:rsidRDefault="00376E4C" w14:paraId="2C34481C" w14:textId="77777777">
                  <w:pPr>
                    <w:jc w:val="right"/>
                    <w:rPr>
                      <w:rFonts w:ascii="Verdana" w:hAnsi="Verdana"/>
                      <w:sz w:val="18"/>
                      <w:szCs w:val="18"/>
                    </w:rPr>
                  </w:pPr>
                </w:p>
              </w:tc>
              <w:tc>
                <w:tcPr>
                  <w:tcW w:w="469" w:type="pct"/>
                </w:tcPr>
                <w:p w:rsidRPr="00376E4C" w:rsidR="00376E4C" w:rsidP="00FD1605" w:rsidRDefault="00376E4C" w14:paraId="6CBF3415" w14:textId="77777777">
                  <w:pPr>
                    <w:jc w:val="right"/>
                    <w:rPr>
                      <w:rFonts w:ascii="Verdana" w:hAnsi="Verdana"/>
                      <w:sz w:val="18"/>
                      <w:szCs w:val="18"/>
                    </w:rPr>
                  </w:pPr>
                </w:p>
              </w:tc>
              <w:tc>
                <w:tcPr>
                  <w:tcW w:w="470" w:type="pct"/>
                </w:tcPr>
                <w:p w:rsidRPr="00376E4C" w:rsidR="00376E4C" w:rsidP="00FD1605" w:rsidRDefault="00376E4C" w14:paraId="7E3E08A1" w14:textId="77777777">
                  <w:pPr>
                    <w:jc w:val="right"/>
                    <w:rPr>
                      <w:rFonts w:ascii="Verdana" w:hAnsi="Verdana"/>
                      <w:sz w:val="18"/>
                      <w:szCs w:val="18"/>
                    </w:rPr>
                  </w:pPr>
                </w:p>
              </w:tc>
              <w:tc>
                <w:tcPr>
                  <w:tcW w:w="470" w:type="pct"/>
                </w:tcPr>
                <w:p w:rsidRPr="00376E4C" w:rsidR="00376E4C" w:rsidP="00FD1605" w:rsidRDefault="00376E4C" w14:paraId="2CDE0432" w14:textId="77777777">
                  <w:pPr>
                    <w:jc w:val="right"/>
                    <w:rPr>
                      <w:rFonts w:ascii="Verdana" w:hAnsi="Verdana"/>
                      <w:sz w:val="18"/>
                      <w:szCs w:val="18"/>
                    </w:rPr>
                  </w:pPr>
                </w:p>
              </w:tc>
              <w:tc>
                <w:tcPr>
                  <w:tcW w:w="485" w:type="pct"/>
                </w:tcPr>
                <w:p w:rsidRPr="00376E4C" w:rsidR="00376E4C" w:rsidP="00FD1605" w:rsidRDefault="00376E4C" w14:paraId="5C53C7CE" w14:textId="77777777">
                  <w:pPr>
                    <w:jc w:val="right"/>
                    <w:rPr>
                      <w:rFonts w:ascii="Verdana" w:hAnsi="Verdana"/>
                      <w:sz w:val="18"/>
                      <w:szCs w:val="18"/>
                    </w:rPr>
                  </w:pPr>
                </w:p>
              </w:tc>
              <w:tc>
                <w:tcPr>
                  <w:tcW w:w="589" w:type="pct"/>
                </w:tcPr>
                <w:p w:rsidRPr="00376E4C" w:rsidR="00376E4C" w:rsidP="00FD1605" w:rsidRDefault="00376E4C" w14:paraId="7B94AF2B" w14:textId="77777777">
                  <w:pPr>
                    <w:jc w:val="right"/>
                    <w:rPr>
                      <w:rFonts w:ascii="Verdana" w:hAnsi="Verdana"/>
                      <w:sz w:val="18"/>
                      <w:szCs w:val="18"/>
                    </w:rPr>
                  </w:pPr>
                </w:p>
              </w:tc>
              <w:tc>
                <w:tcPr>
                  <w:tcW w:w="589" w:type="pct"/>
                </w:tcPr>
                <w:p w:rsidRPr="00376E4C" w:rsidR="00376E4C" w:rsidP="00FD1605" w:rsidRDefault="00376E4C" w14:paraId="15251B48" w14:textId="17AA4E90">
                  <w:pPr>
                    <w:jc w:val="right"/>
                    <w:rPr>
                      <w:rFonts w:ascii="Verdana" w:hAnsi="Verdana"/>
                      <w:sz w:val="18"/>
                      <w:szCs w:val="18"/>
                    </w:rPr>
                  </w:pPr>
                </w:p>
              </w:tc>
            </w:tr>
            <w:tr w:rsidRPr="00EB3835" w:rsidR="00376E4C" w:rsidTr="00376E4C" w14:paraId="47D66019" w14:textId="77777777">
              <w:tc>
                <w:tcPr>
                  <w:tcW w:w="1459" w:type="pct"/>
                </w:tcPr>
                <w:p w:rsidRPr="00376E4C" w:rsidR="00376E4C" w:rsidP="00FD1605" w:rsidRDefault="00376E4C" w14:paraId="13527445" w14:textId="77777777">
                  <w:pPr>
                    <w:rPr>
                      <w:rFonts w:ascii="Verdana" w:hAnsi="Verdana"/>
                      <w:sz w:val="18"/>
                      <w:szCs w:val="18"/>
                    </w:rPr>
                  </w:pPr>
                </w:p>
              </w:tc>
              <w:tc>
                <w:tcPr>
                  <w:tcW w:w="469" w:type="pct"/>
                </w:tcPr>
                <w:p w:rsidRPr="00376E4C" w:rsidR="00376E4C" w:rsidP="00FD1605" w:rsidRDefault="00376E4C" w14:paraId="740FEB2B" w14:textId="77777777">
                  <w:pPr>
                    <w:jc w:val="right"/>
                    <w:rPr>
                      <w:rFonts w:ascii="Verdana" w:hAnsi="Verdana"/>
                      <w:sz w:val="18"/>
                      <w:szCs w:val="18"/>
                    </w:rPr>
                  </w:pPr>
                </w:p>
              </w:tc>
              <w:tc>
                <w:tcPr>
                  <w:tcW w:w="469" w:type="pct"/>
                </w:tcPr>
                <w:p w:rsidRPr="00376E4C" w:rsidR="00376E4C" w:rsidP="00FD1605" w:rsidRDefault="00376E4C" w14:paraId="21BDBBB2" w14:textId="77777777">
                  <w:pPr>
                    <w:jc w:val="right"/>
                    <w:rPr>
                      <w:rFonts w:ascii="Verdana" w:hAnsi="Verdana"/>
                      <w:sz w:val="18"/>
                      <w:szCs w:val="18"/>
                    </w:rPr>
                  </w:pPr>
                </w:p>
              </w:tc>
              <w:tc>
                <w:tcPr>
                  <w:tcW w:w="470" w:type="pct"/>
                </w:tcPr>
                <w:p w:rsidRPr="00376E4C" w:rsidR="00376E4C" w:rsidP="00FD1605" w:rsidRDefault="00376E4C" w14:paraId="06D664DF" w14:textId="77777777">
                  <w:pPr>
                    <w:jc w:val="right"/>
                    <w:rPr>
                      <w:rFonts w:ascii="Verdana" w:hAnsi="Verdana"/>
                      <w:sz w:val="18"/>
                      <w:szCs w:val="18"/>
                    </w:rPr>
                  </w:pPr>
                </w:p>
              </w:tc>
              <w:tc>
                <w:tcPr>
                  <w:tcW w:w="470" w:type="pct"/>
                </w:tcPr>
                <w:p w:rsidRPr="00376E4C" w:rsidR="00376E4C" w:rsidP="00FD1605" w:rsidRDefault="00376E4C" w14:paraId="69E8843E" w14:textId="77777777">
                  <w:pPr>
                    <w:jc w:val="right"/>
                    <w:rPr>
                      <w:rFonts w:ascii="Verdana" w:hAnsi="Verdana"/>
                      <w:sz w:val="18"/>
                      <w:szCs w:val="18"/>
                    </w:rPr>
                  </w:pPr>
                </w:p>
              </w:tc>
              <w:tc>
                <w:tcPr>
                  <w:tcW w:w="485" w:type="pct"/>
                </w:tcPr>
                <w:p w:rsidRPr="00376E4C" w:rsidR="00376E4C" w:rsidP="00FD1605" w:rsidRDefault="00376E4C" w14:paraId="1826386F" w14:textId="77777777">
                  <w:pPr>
                    <w:jc w:val="right"/>
                    <w:rPr>
                      <w:rFonts w:ascii="Verdana" w:hAnsi="Verdana"/>
                      <w:sz w:val="18"/>
                      <w:szCs w:val="18"/>
                    </w:rPr>
                  </w:pPr>
                </w:p>
              </w:tc>
              <w:tc>
                <w:tcPr>
                  <w:tcW w:w="589" w:type="pct"/>
                </w:tcPr>
                <w:p w:rsidRPr="00376E4C" w:rsidR="00376E4C" w:rsidP="00FD1605" w:rsidRDefault="00376E4C" w14:paraId="31888943" w14:textId="77777777">
                  <w:pPr>
                    <w:jc w:val="right"/>
                    <w:rPr>
                      <w:rFonts w:ascii="Verdana" w:hAnsi="Verdana"/>
                      <w:sz w:val="18"/>
                      <w:szCs w:val="18"/>
                    </w:rPr>
                  </w:pPr>
                </w:p>
              </w:tc>
              <w:tc>
                <w:tcPr>
                  <w:tcW w:w="589" w:type="pct"/>
                </w:tcPr>
                <w:p w:rsidRPr="00376E4C" w:rsidR="00376E4C" w:rsidP="00FD1605" w:rsidRDefault="00376E4C" w14:paraId="0D4FC21C" w14:textId="1211020E">
                  <w:pPr>
                    <w:jc w:val="right"/>
                    <w:rPr>
                      <w:rFonts w:ascii="Verdana" w:hAnsi="Verdana"/>
                      <w:sz w:val="18"/>
                      <w:szCs w:val="18"/>
                    </w:rPr>
                  </w:pPr>
                </w:p>
              </w:tc>
            </w:tr>
            <w:tr w:rsidRPr="00EB3835" w:rsidR="00376E4C" w:rsidTr="00376E4C" w14:paraId="305E6396" w14:textId="77777777">
              <w:tc>
                <w:tcPr>
                  <w:tcW w:w="1459" w:type="pct"/>
                </w:tcPr>
                <w:p w:rsidRPr="00376E4C" w:rsidR="00376E4C" w:rsidP="00FD1605" w:rsidRDefault="00376E4C" w14:paraId="06317434" w14:textId="77777777">
                  <w:pPr>
                    <w:rPr>
                      <w:rFonts w:ascii="Verdana" w:hAnsi="Verdana"/>
                      <w:b/>
                      <w:bCs/>
                      <w:sz w:val="18"/>
                      <w:szCs w:val="18"/>
                    </w:rPr>
                  </w:pPr>
                  <w:r w:rsidRPr="00376E4C">
                    <w:rPr>
                      <w:rFonts w:ascii="Verdana" w:hAnsi="Verdana"/>
                      <w:b/>
                      <w:bCs/>
                      <w:sz w:val="18"/>
                      <w:szCs w:val="18"/>
                    </w:rPr>
                    <w:t>Totaal</w:t>
                  </w:r>
                </w:p>
              </w:tc>
              <w:tc>
                <w:tcPr>
                  <w:tcW w:w="469" w:type="pct"/>
                </w:tcPr>
                <w:p w:rsidRPr="00376E4C" w:rsidR="00376E4C" w:rsidP="00FD1605" w:rsidRDefault="00376E4C" w14:paraId="69B2AB0F" w14:textId="77777777">
                  <w:pPr>
                    <w:jc w:val="right"/>
                    <w:rPr>
                      <w:rFonts w:ascii="Verdana" w:hAnsi="Verdana"/>
                      <w:b/>
                      <w:bCs/>
                      <w:sz w:val="18"/>
                      <w:szCs w:val="18"/>
                    </w:rPr>
                  </w:pPr>
                </w:p>
              </w:tc>
              <w:tc>
                <w:tcPr>
                  <w:tcW w:w="469" w:type="pct"/>
                </w:tcPr>
                <w:p w:rsidRPr="00376E4C" w:rsidR="00376E4C" w:rsidP="00FD1605" w:rsidRDefault="00376E4C" w14:paraId="06593B70" w14:textId="347050E2">
                  <w:pPr>
                    <w:jc w:val="right"/>
                    <w:rPr>
                      <w:rFonts w:ascii="Verdana" w:hAnsi="Verdana"/>
                      <w:b/>
                      <w:bCs/>
                      <w:sz w:val="18"/>
                      <w:szCs w:val="18"/>
                    </w:rPr>
                  </w:pPr>
                </w:p>
              </w:tc>
              <w:tc>
                <w:tcPr>
                  <w:tcW w:w="470" w:type="pct"/>
                </w:tcPr>
                <w:p w:rsidRPr="00376E4C" w:rsidR="00376E4C" w:rsidP="00FD1605" w:rsidRDefault="00376E4C" w14:paraId="2849FB20" w14:textId="53DBC6BE">
                  <w:pPr>
                    <w:jc w:val="right"/>
                    <w:rPr>
                      <w:rFonts w:ascii="Verdana" w:hAnsi="Verdana"/>
                      <w:b/>
                      <w:bCs/>
                      <w:sz w:val="18"/>
                      <w:szCs w:val="18"/>
                    </w:rPr>
                  </w:pPr>
                </w:p>
              </w:tc>
              <w:tc>
                <w:tcPr>
                  <w:tcW w:w="470" w:type="pct"/>
                </w:tcPr>
                <w:p w:rsidRPr="00376E4C" w:rsidR="00376E4C" w:rsidP="00FD1605" w:rsidRDefault="00376E4C" w14:paraId="3933C062" w14:textId="31643C4B">
                  <w:pPr>
                    <w:jc w:val="right"/>
                    <w:rPr>
                      <w:rFonts w:ascii="Verdana" w:hAnsi="Verdana"/>
                      <w:b/>
                      <w:bCs/>
                      <w:sz w:val="18"/>
                      <w:szCs w:val="18"/>
                    </w:rPr>
                  </w:pPr>
                  <w:r w:rsidRPr="00376E4C">
                    <w:rPr>
                      <w:rFonts w:ascii="Verdana" w:hAnsi="Verdana"/>
                      <w:sz w:val="18"/>
                      <w:szCs w:val="18"/>
                    </w:rPr>
                    <w:t>-10,6</w:t>
                  </w:r>
                </w:p>
              </w:tc>
              <w:tc>
                <w:tcPr>
                  <w:tcW w:w="485" w:type="pct"/>
                </w:tcPr>
                <w:p w:rsidRPr="00376E4C" w:rsidR="00376E4C" w:rsidP="00FD1605" w:rsidRDefault="00376E4C" w14:paraId="11684D91" w14:textId="6D69D7D8">
                  <w:pPr>
                    <w:jc w:val="right"/>
                    <w:rPr>
                      <w:rFonts w:ascii="Verdana" w:hAnsi="Verdana"/>
                      <w:b/>
                      <w:bCs/>
                      <w:sz w:val="18"/>
                      <w:szCs w:val="18"/>
                    </w:rPr>
                  </w:pPr>
                  <w:r w:rsidRPr="00376E4C">
                    <w:rPr>
                      <w:rFonts w:ascii="Verdana" w:hAnsi="Verdana"/>
                      <w:sz w:val="18"/>
                      <w:szCs w:val="18"/>
                    </w:rPr>
                    <w:t>-10,8</w:t>
                  </w:r>
                </w:p>
              </w:tc>
              <w:tc>
                <w:tcPr>
                  <w:tcW w:w="589" w:type="pct"/>
                </w:tcPr>
                <w:p w:rsidRPr="00376E4C" w:rsidR="00376E4C" w:rsidP="00FD1605" w:rsidRDefault="00376E4C" w14:paraId="3CB56800" w14:textId="4DBA71E1">
                  <w:pPr>
                    <w:jc w:val="right"/>
                    <w:rPr>
                      <w:rFonts w:ascii="Verdana" w:hAnsi="Verdana"/>
                      <w:sz w:val="18"/>
                      <w:szCs w:val="18"/>
                    </w:rPr>
                  </w:pPr>
                  <w:r w:rsidRPr="00376E4C">
                    <w:rPr>
                      <w:rFonts w:ascii="Verdana" w:hAnsi="Verdana"/>
                      <w:sz w:val="18"/>
                      <w:szCs w:val="18"/>
                    </w:rPr>
                    <w:t>-11,0</w:t>
                  </w:r>
                </w:p>
              </w:tc>
              <w:tc>
                <w:tcPr>
                  <w:tcW w:w="589" w:type="pct"/>
                </w:tcPr>
                <w:p w:rsidRPr="00376E4C" w:rsidR="00376E4C" w:rsidP="00FD1605" w:rsidRDefault="00376E4C" w14:paraId="69745E9C" w14:textId="108A6811">
                  <w:pPr>
                    <w:jc w:val="right"/>
                    <w:rPr>
                      <w:rFonts w:ascii="Verdana" w:hAnsi="Verdana"/>
                      <w:b/>
                      <w:bCs/>
                      <w:sz w:val="18"/>
                      <w:szCs w:val="18"/>
                    </w:rPr>
                  </w:pPr>
                  <w:r w:rsidRPr="00376E4C">
                    <w:rPr>
                      <w:rFonts w:ascii="Verdana" w:hAnsi="Verdana"/>
                      <w:sz w:val="18"/>
                      <w:szCs w:val="18"/>
                    </w:rPr>
                    <w:t>-12,3</w:t>
                  </w:r>
                </w:p>
              </w:tc>
            </w:tr>
          </w:tbl>
          <w:p w:rsidRPr="00376E4C" w:rsidR="00FD1605" w:rsidP="00836AF5" w:rsidRDefault="00FD1605" w14:paraId="5F12511C" w14:textId="77777777">
            <w:pPr>
              <w:spacing w:after="0" w:line="240" w:lineRule="auto"/>
              <w:contextualSpacing/>
              <w:rPr>
                <w:rFonts w:eastAsia="Times New Roman" w:cs="Calibri"/>
                <w:color w:val="000000"/>
                <w:szCs w:val="18"/>
                <w:lang w:val="nl-NL" w:eastAsia="nl-NL"/>
              </w:rPr>
            </w:pPr>
          </w:p>
          <w:tbl>
            <w:tblPr>
              <w:tblStyle w:val="Tabelraster"/>
              <w:tblpPr w:leftFromText="141" w:rightFromText="141" w:vertAnchor="page" w:horzAnchor="margin" w:tblpY="2261"/>
              <w:tblOverlap w:val="never"/>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1E0" w:firstRow="1" w:lastRow="1" w:firstColumn="1" w:lastColumn="1" w:noHBand="0" w:noVBand="0"/>
            </w:tblPr>
            <w:tblGrid>
              <w:gridCol w:w="2139"/>
              <w:gridCol w:w="846"/>
              <w:gridCol w:w="846"/>
              <w:gridCol w:w="845"/>
              <w:gridCol w:w="845"/>
              <w:gridCol w:w="845"/>
              <w:gridCol w:w="1038"/>
              <w:gridCol w:w="1034"/>
            </w:tblGrid>
            <w:tr w:rsidRPr="00EB3835" w:rsidR="00376E4C" w:rsidTr="00376E4C" w14:paraId="3AD332B9" w14:textId="77777777">
              <w:tc>
                <w:tcPr>
                  <w:tcW w:w="5000" w:type="pct"/>
                  <w:gridSpan w:val="8"/>
                  <w:tcBorders>
                    <w:top w:val="single" w:color="auto" w:sz="4" w:space="0"/>
                    <w:left w:val="single" w:color="auto" w:sz="4" w:space="0"/>
                  </w:tcBorders>
                </w:tcPr>
                <w:p w:rsidRPr="00376E4C" w:rsidR="00376E4C" w:rsidP="00D50265" w:rsidRDefault="00376E4C" w14:paraId="7CB4B00F" w14:textId="02395DA0">
                  <w:pPr>
                    <w:tabs>
                      <w:tab w:val="left" w:pos="420"/>
                    </w:tabs>
                    <w:rPr>
                      <w:rFonts w:ascii="Verdana" w:hAnsi="Verdana"/>
                      <w:b/>
                      <w:bCs/>
                      <w:sz w:val="18"/>
                      <w:szCs w:val="18"/>
                    </w:rPr>
                  </w:pPr>
                  <w:r w:rsidRPr="00376E4C">
                    <w:rPr>
                      <w:rFonts w:ascii="Verdana" w:hAnsi="Verdana"/>
                      <w:b/>
                      <w:sz w:val="18"/>
                      <w:szCs w:val="18"/>
                    </w:rPr>
                    <w:t>2. Onbeperkte duur van vrijlatingstermijn</w:t>
                  </w:r>
                </w:p>
              </w:tc>
            </w:tr>
            <w:tr w:rsidRPr="00EB3835" w:rsidR="00376E4C" w:rsidTr="00376E4C" w14:paraId="06CA9CDA" w14:textId="77777777">
              <w:tc>
                <w:tcPr>
                  <w:tcW w:w="1267" w:type="pct"/>
                  <w:tcBorders>
                    <w:top w:val="single" w:color="auto" w:sz="4" w:space="0"/>
                    <w:left w:val="single" w:color="auto" w:sz="4" w:space="0"/>
                  </w:tcBorders>
                </w:tcPr>
                <w:p w:rsidRPr="00376E4C" w:rsidR="00376E4C" w:rsidP="0014572A" w:rsidRDefault="00376E4C" w14:paraId="20663CBF" w14:textId="77777777">
                  <w:pPr>
                    <w:rPr>
                      <w:rFonts w:ascii="Verdana" w:hAnsi="Verdana"/>
                      <w:bCs/>
                      <w:i/>
                      <w:iCs/>
                      <w:sz w:val="18"/>
                      <w:szCs w:val="18"/>
                    </w:rPr>
                  </w:pPr>
                  <w:r w:rsidRPr="00376E4C">
                    <w:rPr>
                      <w:rFonts w:ascii="Verdana" w:hAnsi="Verdana"/>
                      <w:bCs/>
                      <w:i/>
                      <w:iCs/>
                      <w:sz w:val="18"/>
                      <w:szCs w:val="18"/>
                    </w:rPr>
                    <w:t xml:space="preserve">In miljoenen euro’s </w:t>
                  </w:r>
                </w:p>
              </w:tc>
              <w:tc>
                <w:tcPr>
                  <w:tcW w:w="501" w:type="pct"/>
                  <w:tcBorders>
                    <w:top w:val="single" w:color="auto" w:sz="4" w:space="0"/>
                  </w:tcBorders>
                </w:tcPr>
                <w:p w:rsidRPr="00376E4C" w:rsidR="00376E4C" w:rsidP="0014572A" w:rsidRDefault="00376E4C" w14:paraId="4CF3132B" w14:textId="77777777">
                  <w:pPr>
                    <w:jc w:val="right"/>
                    <w:rPr>
                      <w:rFonts w:ascii="Verdana" w:hAnsi="Verdana"/>
                      <w:b/>
                      <w:bCs/>
                      <w:sz w:val="18"/>
                      <w:szCs w:val="18"/>
                    </w:rPr>
                  </w:pPr>
                  <w:r w:rsidRPr="00376E4C">
                    <w:rPr>
                      <w:rFonts w:ascii="Verdana" w:hAnsi="Verdana"/>
                      <w:b/>
                      <w:bCs/>
                      <w:sz w:val="18"/>
                      <w:szCs w:val="18"/>
                    </w:rPr>
                    <w:t>2026</w:t>
                  </w:r>
                </w:p>
              </w:tc>
              <w:tc>
                <w:tcPr>
                  <w:tcW w:w="501" w:type="pct"/>
                  <w:tcBorders>
                    <w:top w:val="single" w:color="auto" w:sz="4" w:space="0"/>
                  </w:tcBorders>
                </w:tcPr>
                <w:p w:rsidRPr="00376E4C" w:rsidR="00376E4C" w:rsidP="0014572A" w:rsidRDefault="00376E4C" w14:paraId="243335FC" w14:textId="77777777">
                  <w:pPr>
                    <w:jc w:val="right"/>
                    <w:rPr>
                      <w:rFonts w:ascii="Verdana" w:hAnsi="Verdana"/>
                      <w:b/>
                      <w:bCs/>
                      <w:sz w:val="18"/>
                      <w:szCs w:val="18"/>
                    </w:rPr>
                  </w:pPr>
                  <w:r w:rsidRPr="00376E4C">
                    <w:rPr>
                      <w:rFonts w:ascii="Verdana" w:hAnsi="Verdana"/>
                      <w:b/>
                      <w:bCs/>
                      <w:sz w:val="18"/>
                      <w:szCs w:val="18"/>
                    </w:rPr>
                    <w:t>2027</w:t>
                  </w:r>
                </w:p>
              </w:tc>
              <w:tc>
                <w:tcPr>
                  <w:tcW w:w="501" w:type="pct"/>
                  <w:tcBorders>
                    <w:top w:val="single" w:color="auto" w:sz="4" w:space="0"/>
                  </w:tcBorders>
                </w:tcPr>
                <w:p w:rsidRPr="00376E4C" w:rsidR="00376E4C" w:rsidP="0014572A" w:rsidRDefault="00376E4C" w14:paraId="5BAAC476" w14:textId="77777777">
                  <w:pPr>
                    <w:jc w:val="right"/>
                    <w:rPr>
                      <w:rFonts w:ascii="Verdana" w:hAnsi="Verdana"/>
                      <w:b/>
                      <w:bCs/>
                      <w:sz w:val="18"/>
                      <w:szCs w:val="18"/>
                    </w:rPr>
                  </w:pPr>
                  <w:r w:rsidRPr="00376E4C">
                    <w:rPr>
                      <w:rFonts w:ascii="Verdana" w:hAnsi="Verdana"/>
                      <w:b/>
                      <w:bCs/>
                      <w:sz w:val="18"/>
                      <w:szCs w:val="18"/>
                    </w:rPr>
                    <w:t>2028</w:t>
                  </w:r>
                </w:p>
              </w:tc>
              <w:tc>
                <w:tcPr>
                  <w:tcW w:w="501" w:type="pct"/>
                  <w:tcBorders>
                    <w:top w:val="single" w:color="auto" w:sz="4" w:space="0"/>
                  </w:tcBorders>
                </w:tcPr>
                <w:p w:rsidRPr="00376E4C" w:rsidR="00376E4C" w:rsidP="0014572A" w:rsidRDefault="00376E4C" w14:paraId="413FBA62" w14:textId="77777777">
                  <w:pPr>
                    <w:jc w:val="right"/>
                    <w:rPr>
                      <w:rFonts w:ascii="Verdana" w:hAnsi="Verdana"/>
                      <w:b/>
                      <w:bCs/>
                      <w:sz w:val="18"/>
                      <w:szCs w:val="18"/>
                    </w:rPr>
                  </w:pPr>
                  <w:r w:rsidRPr="00376E4C">
                    <w:rPr>
                      <w:rFonts w:ascii="Verdana" w:hAnsi="Verdana"/>
                      <w:b/>
                      <w:bCs/>
                      <w:sz w:val="18"/>
                      <w:szCs w:val="18"/>
                    </w:rPr>
                    <w:t>2029</w:t>
                  </w:r>
                </w:p>
              </w:tc>
              <w:tc>
                <w:tcPr>
                  <w:tcW w:w="501" w:type="pct"/>
                  <w:tcBorders>
                    <w:top w:val="single" w:color="auto" w:sz="4" w:space="0"/>
                  </w:tcBorders>
                </w:tcPr>
                <w:p w:rsidRPr="00376E4C" w:rsidR="00376E4C" w:rsidP="0014572A" w:rsidRDefault="00376E4C" w14:paraId="44DE216F" w14:textId="2F6E27F1">
                  <w:pPr>
                    <w:jc w:val="right"/>
                    <w:rPr>
                      <w:rFonts w:ascii="Verdana" w:hAnsi="Verdana"/>
                      <w:b/>
                      <w:bCs/>
                      <w:sz w:val="18"/>
                      <w:szCs w:val="18"/>
                    </w:rPr>
                  </w:pPr>
                  <w:r w:rsidRPr="00376E4C">
                    <w:rPr>
                      <w:rFonts w:ascii="Verdana" w:hAnsi="Verdana"/>
                      <w:b/>
                      <w:bCs/>
                      <w:sz w:val="18"/>
                      <w:szCs w:val="18"/>
                    </w:rPr>
                    <w:t>2030</w:t>
                  </w:r>
                </w:p>
              </w:tc>
              <w:tc>
                <w:tcPr>
                  <w:tcW w:w="615" w:type="pct"/>
                  <w:tcBorders>
                    <w:top w:val="single" w:color="auto" w:sz="4" w:space="0"/>
                  </w:tcBorders>
                </w:tcPr>
                <w:p w:rsidRPr="00376E4C" w:rsidR="00376E4C" w:rsidP="0014572A" w:rsidRDefault="00376E4C" w14:paraId="5B8CE5C5" w14:textId="1C491F9E">
                  <w:pPr>
                    <w:jc w:val="right"/>
                    <w:rPr>
                      <w:rFonts w:ascii="Verdana" w:hAnsi="Verdana"/>
                      <w:b/>
                      <w:bCs/>
                      <w:sz w:val="18"/>
                      <w:szCs w:val="18"/>
                    </w:rPr>
                  </w:pPr>
                  <w:r w:rsidRPr="00376E4C">
                    <w:rPr>
                      <w:rFonts w:ascii="Verdana" w:hAnsi="Verdana"/>
                      <w:b/>
                      <w:bCs/>
                      <w:sz w:val="18"/>
                      <w:szCs w:val="18"/>
                    </w:rPr>
                    <w:t>2031</w:t>
                  </w:r>
                </w:p>
              </w:tc>
              <w:tc>
                <w:tcPr>
                  <w:tcW w:w="613" w:type="pct"/>
                  <w:tcBorders>
                    <w:top w:val="single" w:color="auto" w:sz="4" w:space="0"/>
                  </w:tcBorders>
                </w:tcPr>
                <w:p w:rsidRPr="00376E4C" w:rsidR="00376E4C" w:rsidP="0014572A" w:rsidRDefault="00376E4C" w14:paraId="18B58561" w14:textId="4C0449B8">
                  <w:pPr>
                    <w:jc w:val="right"/>
                    <w:rPr>
                      <w:rFonts w:ascii="Verdana" w:hAnsi="Verdana"/>
                      <w:b/>
                      <w:bCs/>
                      <w:sz w:val="18"/>
                      <w:szCs w:val="18"/>
                    </w:rPr>
                  </w:pPr>
                  <w:proofErr w:type="spellStart"/>
                  <w:r w:rsidRPr="00376E4C">
                    <w:rPr>
                      <w:rFonts w:ascii="Verdana" w:hAnsi="Verdana"/>
                      <w:b/>
                      <w:bCs/>
                      <w:sz w:val="18"/>
                      <w:szCs w:val="18"/>
                    </w:rPr>
                    <w:t>Struc</w:t>
                  </w:r>
                  <w:proofErr w:type="spellEnd"/>
                  <w:r w:rsidRPr="00376E4C">
                    <w:rPr>
                      <w:rFonts w:ascii="Verdana" w:hAnsi="Verdana"/>
                      <w:b/>
                      <w:bCs/>
                      <w:sz w:val="18"/>
                      <w:szCs w:val="18"/>
                    </w:rPr>
                    <w:t>.</w:t>
                  </w:r>
                </w:p>
              </w:tc>
            </w:tr>
            <w:tr w:rsidRPr="00EB3835" w:rsidR="00376E4C" w:rsidTr="00376E4C" w14:paraId="2DBC46CF" w14:textId="77777777">
              <w:tc>
                <w:tcPr>
                  <w:tcW w:w="1267" w:type="pct"/>
                </w:tcPr>
                <w:p w:rsidRPr="00376E4C" w:rsidR="00376E4C" w:rsidP="0014572A" w:rsidRDefault="00376E4C" w14:paraId="25F01D08" w14:textId="77777777">
                  <w:pPr>
                    <w:rPr>
                      <w:rFonts w:ascii="Verdana" w:hAnsi="Verdana"/>
                      <w:sz w:val="18"/>
                      <w:szCs w:val="18"/>
                    </w:rPr>
                  </w:pPr>
                  <w:r w:rsidRPr="00376E4C">
                    <w:rPr>
                      <w:rFonts w:ascii="Verdana" w:hAnsi="Verdana"/>
                      <w:sz w:val="18"/>
                      <w:szCs w:val="18"/>
                    </w:rPr>
                    <w:t>Algemene effecten</w:t>
                  </w:r>
                </w:p>
              </w:tc>
              <w:tc>
                <w:tcPr>
                  <w:tcW w:w="501" w:type="pct"/>
                </w:tcPr>
                <w:p w:rsidRPr="00376E4C" w:rsidR="00376E4C" w:rsidP="0014572A" w:rsidRDefault="00376E4C" w14:paraId="32E54122" w14:textId="77777777">
                  <w:pPr>
                    <w:jc w:val="right"/>
                    <w:rPr>
                      <w:rFonts w:ascii="Verdana" w:hAnsi="Verdana"/>
                      <w:sz w:val="18"/>
                      <w:szCs w:val="18"/>
                    </w:rPr>
                  </w:pPr>
                </w:p>
              </w:tc>
              <w:tc>
                <w:tcPr>
                  <w:tcW w:w="501" w:type="pct"/>
                </w:tcPr>
                <w:p w:rsidRPr="00376E4C" w:rsidR="00376E4C" w:rsidP="0014572A" w:rsidRDefault="00376E4C" w14:paraId="200092A4" w14:textId="0F288238">
                  <w:pPr>
                    <w:jc w:val="right"/>
                    <w:rPr>
                      <w:rFonts w:ascii="Verdana" w:hAnsi="Verdana"/>
                      <w:sz w:val="18"/>
                      <w:szCs w:val="18"/>
                    </w:rPr>
                  </w:pPr>
                </w:p>
              </w:tc>
              <w:tc>
                <w:tcPr>
                  <w:tcW w:w="501" w:type="pct"/>
                </w:tcPr>
                <w:p w:rsidRPr="00376E4C" w:rsidR="00376E4C" w:rsidP="0014572A" w:rsidRDefault="00376E4C" w14:paraId="51065686" w14:textId="20186A79">
                  <w:pPr>
                    <w:jc w:val="right"/>
                    <w:rPr>
                      <w:rFonts w:ascii="Verdana" w:hAnsi="Verdana"/>
                      <w:sz w:val="18"/>
                      <w:szCs w:val="18"/>
                    </w:rPr>
                  </w:pPr>
                </w:p>
              </w:tc>
              <w:tc>
                <w:tcPr>
                  <w:tcW w:w="501" w:type="pct"/>
                </w:tcPr>
                <w:p w:rsidRPr="00376E4C" w:rsidR="00376E4C" w:rsidP="0014572A" w:rsidRDefault="00376E4C" w14:paraId="7B322E50" w14:textId="63B96C69">
                  <w:pPr>
                    <w:jc w:val="right"/>
                    <w:rPr>
                      <w:rFonts w:ascii="Verdana" w:hAnsi="Verdana"/>
                      <w:sz w:val="18"/>
                      <w:szCs w:val="18"/>
                    </w:rPr>
                  </w:pPr>
                  <w:r w:rsidRPr="00376E4C">
                    <w:rPr>
                      <w:rFonts w:ascii="Verdana" w:hAnsi="Verdana"/>
                      <w:sz w:val="18"/>
                      <w:szCs w:val="18"/>
                    </w:rPr>
                    <w:t>3,0</w:t>
                  </w:r>
                </w:p>
              </w:tc>
              <w:tc>
                <w:tcPr>
                  <w:tcW w:w="501" w:type="pct"/>
                </w:tcPr>
                <w:p w:rsidRPr="00376E4C" w:rsidR="00376E4C" w:rsidP="0014572A" w:rsidRDefault="00376E4C" w14:paraId="4F27B8E2" w14:textId="5B80EAC9">
                  <w:pPr>
                    <w:jc w:val="right"/>
                    <w:rPr>
                      <w:rFonts w:ascii="Verdana" w:hAnsi="Verdana"/>
                      <w:sz w:val="18"/>
                      <w:szCs w:val="18"/>
                    </w:rPr>
                  </w:pPr>
                  <w:r w:rsidRPr="00376E4C">
                    <w:rPr>
                      <w:rFonts w:ascii="Verdana" w:hAnsi="Verdana"/>
                      <w:sz w:val="18"/>
                      <w:szCs w:val="18"/>
                    </w:rPr>
                    <w:t>3,1</w:t>
                  </w:r>
                </w:p>
              </w:tc>
              <w:tc>
                <w:tcPr>
                  <w:tcW w:w="615" w:type="pct"/>
                </w:tcPr>
                <w:p w:rsidRPr="00376E4C" w:rsidR="00376E4C" w:rsidP="0014572A" w:rsidRDefault="00376E4C" w14:paraId="04C1BDAA" w14:textId="298D185B">
                  <w:pPr>
                    <w:jc w:val="right"/>
                    <w:rPr>
                      <w:rFonts w:ascii="Verdana" w:hAnsi="Verdana"/>
                      <w:sz w:val="18"/>
                      <w:szCs w:val="18"/>
                    </w:rPr>
                  </w:pPr>
                  <w:r w:rsidRPr="00376E4C">
                    <w:rPr>
                      <w:rFonts w:ascii="Verdana" w:hAnsi="Verdana"/>
                      <w:sz w:val="18"/>
                      <w:szCs w:val="18"/>
                    </w:rPr>
                    <w:t>3,2</w:t>
                  </w:r>
                </w:p>
              </w:tc>
              <w:tc>
                <w:tcPr>
                  <w:tcW w:w="613" w:type="pct"/>
                </w:tcPr>
                <w:p w:rsidRPr="00376E4C" w:rsidR="00376E4C" w:rsidP="0014572A" w:rsidRDefault="00376E4C" w14:paraId="41EC9FD3" w14:textId="7BBBF769">
                  <w:pPr>
                    <w:jc w:val="right"/>
                    <w:rPr>
                      <w:rFonts w:ascii="Verdana" w:hAnsi="Verdana"/>
                      <w:sz w:val="18"/>
                      <w:szCs w:val="18"/>
                    </w:rPr>
                  </w:pPr>
                  <w:r w:rsidRPr="00376E4C">
                    <w:rPr>
                      <w:rFonts w:ascii="Verdana" w:hAnsi="Verdana"/>
                      <w:sz w:val="18"/>
                      <w:szCs w:val="18"/>
                    </w:rPr>
                    <w:t>3,9</w:t>
                  </w:r>
                </w:p>
              </w:tc>
            </w:tr>
            <w:tr w:rsidRPr="00EB3835" w:rsidR="00376E4C" w:rsidTr="00376E4C" w14:paraId="27ECACDC" w14:textId="77777777">
              <w:tc>
                <w:tcPr>
                  <w:tcW w:w="1267" w:type="pct"/>
                </w:tcPr>
                <w:p w:rsidRPr="00376E4C" w:rsidR="00376E4C" w:rsidP="0014572A" w:rsidRDefault="00376E4C" w14:paraId="2AF52EEB" w14:textId="77777777">
                  <w:pPr>
                    <w:rPr>
                      <w:rFonts w:ascii="Verdana" w:hAnsi="Verdana"/>
                      <w:sz w:val="18"/>
                      <w:szCs w:val="18"/>
                    </w:rPr>
                  </w:pPr>
                  <w:r w:rsidRPr="00376E4C">
                    <w:rPr>
                      <w:rFonts w:ascii="Verdana" w:hAnsi="Verdana"/>
                      <w:sz w:val="18"/>
                      <w:szCs w:val="18"/>
                    </w:rPr>
                    <w:t>Weglekeffecten</w:t>
                  </w:r>
                </w:p>
              </w:tc>
              <w:tc>
                <w:tcPr>
                  <w:tcW w:w="501" w:type="pct"/>
                </w:tcPr>
                <w:p w:rsidRPr="00376E4C" w:rsidR="00376E4C" w:rsidP="0014572A" w:rsidRDefault="00376E4C" w14:paraId="2C3223AE" w14:textId="77777777">
                  <w:pPr>
                    <w:jc w:val="right"/>
                    <w:rPr>
                      <w:rFonts w:ascii="Verdana" w:hAnsi="Verdana"/>
                      <w:sz w:val="18"/>
                      <w:szCs w:val="18"/>
                    </w:rPr>
                  </w:pPr>
                </w:p>
              </w:tc>
              <w:tc>
                <w:tcPr>
                  <w:tcW w:w="501" w:type="pct"/>
                </w:tcPr>
                <w:p w:rsidRPr="00376E4C" w:rsidR="00376E4C" w:rsidP="0014572A" w:rsidRDefault="00376E4C" w14:paraId="1A8F9B49" w14:textId="77777777">
                  <w:pPr>
                    <w:jc w:val="right"/>
                    <w:rPr>
                      <w:rFonts w:ascii="Verdana" w:hAnsi="Verdana"/>
                      <w:sz w:val="18"/>
                      <w:szCs w:val="18"/>
                    </w:rPr>
                  </w:pPr>
                </w:p>
              </w:tc>
              <w:tc>
                <w:tcPr>
                  <w:tcW w:w="501" w:type="pct"/>
                </w:tcPr>
                <w:p w:rsidRPr="00376E4C" w:rsidR="00376E4C" w:rsidP="0014572A" w:rsidRDefault="00376E4C" w14:paraId="12450787" w14:textId="77777777">
                  <w:pPr>
                    <w:jc w:val="right"/>
                    <w:rPr>
                      <w:rFonts w:ascii="Verdana" w:hAnsi="Verdana"/>
                      <w:sz w:val="18"/>
                      <w:szCs w:val="18"/>
                    </w:rPr>
                  </w:pPr>
                </w:p>
              </w:tc>
              <w:tc>
                <w:tcPr>
                  <w:tcW w:w="501" w:type="pct"/>
                </w:tcPr>
                <w:p w:rsidRPr="00376E4C" w:rsidR="00376E4C" w:rsidP="0014572A" w:rsidRDefault="00376E4C" w14:paraId="7D3E8EDF" w14:textId="77777777">
                  <w:pPr>
                    <w:jc w:val="right"/>
                    <w:rPr>
                      <w:rFonts w:ascii="Verdana" w:hAnsi="Verdana"/>
                      <w:sz w:val="18"/>
                      <w:szCs w:val="18"/>
                    </w:rPr>
                  </w:pPr>
                </w:p>
              </w:tc>
              <w:tc>
                <w:tcPr>
                  <w:tcW w:w="501" w:type="pct"/>
                </w:tcPr>
                <w:p w:rsidRPr="00376E4C" w:rsidR="00376E4C" w:rsidP="0014572A" w:rsidRDefault="00376E4C" w14:paraId="63FBF021" w14:textId="77777777">
                  <w:pPr>
                    <w:jc w:val="right"/>
                    <w:rPr>
                      <w:rFonts w:ascii="Verdana" w:hAnsi="Verdana"/>
                      <w:sz w:val="18"/>
                      <w:szCs w:val="18"/>
                    </w:rPr>
                  </w:pPr>
                </w:p>
              </w:tc>
              <w:tc>
                <w:tcPr>
                  <w:tcW w:w="615" w:type="pct"/>
                </w:tcPr>
                <w:p w:rsidRPr="00376E4C" w:rsidR="00376E4C" w:rsidP="0014572A" w:rsidRDefault="00376E4C" w14:paraId="6B1D43E5" w14:textId="77777777">
                  <w:pPr>
                    <w:jc w:val="right"/>
                    <w:rPr>
                      <w:rFonts w:ascii="Verdana" w:hAnsi="Verdana"/>
                      <w:sz w:val="18"/>
                      <w:szCs w:val="18"/>
                    </w:rPr>
                  </w:pPr>
                </w:p>
              </w:tc>
              <w:tc>
                <w:tcPr>
                  <w:tcW w:w="613" w:type="pct"/>
                </w:tcPr>
                <w:p w:rsidRPr="00376E4C" w:rsidR="00376E4C" w:rsidP="0014572A" w:rsidRDefault="00376E4C" w14:paraId="53380A36" w14:textId="1795DBC8">
                  <w:pPr>
                    <w:jc w:val="right"/>
                    <w:rPr>
                      <w:rFonts w:ascii="Verdana" w:hAnsi="Verdana"/>
                      <w:sz w:val="18"/>
                      <w:szCs w:val="18"/>
                    </w:rPr>
                  </w:pPr>
                </w:p>
              </w:tc>
            </w:tr>
            <w:tr w:rsidRPr="00EB3835" w:rsidR="00376E4C" w:rsidTr="00376E4C" w14:paraId="1B06921F" w14:textId="77777777">
              <w:tc>
                <w:tcPr>
                  <w:tcW w:w="1267" w:type="pct"/>
                </w:tcPr>
                <w:p w:rsidRPr="00376E4C" w:rsidR="00376E4C" w:rsidP="0014572A" w:rsidRDefault="00376E4C" w14:paraId="3DB03556" w14:textId="77777777">
                  <w:pPr>
                    <w:rPr>
                      <w:rFonts w:ascii="Verdana" w:hAnsi="Verdana"/>
                      <w:sz w:val="18"/>
                      <w:szCs w:val="18"/>
                    </w:rPr>
                  </w:pPr>
                  <w:r w:rsidRPr="00376E4C">
                    <w:rPr>
                      <w:rFonts w:ascii="Verdana" w:hAnsi="Verdana"/>
                      <w:sz w:val="18"/>
                      <w:szCs w:val="18"/>
                    </w:rPr>
                    <w:t>Uitvoeringskosten</w:t>
                  </w:r>
                </w:p>
              </w:tc>
              <w:tc>
                <w:tcPr>
                  <w:tcW w:w="501" w:type="pct"/>
                </w:tcPr>
                <w:p w:rsidRPr="00376E4C" w:rsidR="00376E4C" w:rsidP="0014572A" w:rsidRDefault="00376E4C" w14:paraId="547CB99F" w14:textId="77777777">
                  <w:pPr>
                    <w:jc w:val="right"/>
                    <w:rPr>
                      <w:rFonts w:ascii="Verdana" w:hAnsi="Verdana"/>
                      <w:sz w:val="18"/>
                      <w:szCs w:val="18"/>
                    </w:rPr>
                  </w:pPr>
                </w:p>
              </w:tc>
              <w:tc>
                <w:tcPr>
                  <w:tcW w:w="501" w:type="pct"/>
                </w:tcPr>
                <w:p w:rsidRPr="00376E4C" w:rsidR="00376E4C" w:rsidP="0014572A" w:rsidRDefault="00376E4C" w14:paraId="4FE9F64E" w14:textId="77777777">
                  <w:pPr>
                    <w:jc w:val="right"/>
                    <w:rPr>
                      <w:rFonts w:ascii="Verdana" w:hAnsi="Verdana"/>
                      <w:sz w:val="18"/>
                      <w:szCs w:val="18"/>
                    </w:rPr>
                  </w:pPr>
                </w:p>
              </w:tc>
              <w:tc>
                <w:tcPr>
                  <w:tcW w:w="501" w:type="pct"/>
                </w:tcPr>
                <w:p w:rsidRPr="00376E4C" w:rsidR="00376E4C" w:rsidP="0014572A" w:rsidRDefault="00376E4C" w14:paraId="5D9AFD9A" w14:textId="77777777">
                  <w:pPr>
                    <w:jc w:val="right"/>
                    <w:rPr>
                      <w:rFonts w:ascii="Verdana" w:hAnsi="Verdana"/>
                      <w:sz w:val="18"/>
                      <w:szCs w:val="18"/>
                    </w:rPr>
                  </w:pPr>
                </w:p>
              </w:tc>
              <w:tc>
                <w:tcPr>
                  <w:tcW w:w="501" w:type="pct"/>
                </w:tcPr>
                <w:p w:rsidRPr="00376E4C" w:rsidR="00376E4C" w:rsidP="0014572A" w:rsidRDefault="00376E4C" w14:paraId="1DFFF309" w14:textId="77777777">
                  <w:pPr>
                    <w:jc w:val="right"/>
                    <w:rPr>
                      <w:rFonts w:ascii="Verdana" w:hAnsi="Verdana"/>
                      <w:sz w:val="18"/>
                      <w:szCs w:val="18"/>
                    </w:rPr>
                  </w:pPr>
                </w:p>
              </w:tc>
              <w:tc>
                <w:tcPr>
                  <w:tcW w:w="501" w:type="pct"/>
                </w:tcPr>
                <w:p w:rsidRPr="00376E4C" w:rsidR="00376E4C" w:rsidP="0014572A" w:rsidRDefault="00376E4C" w14:paraId="7F1B5DEF" w14:textId="77777777">
                  <w:pPr>
                    <w:jc w:val="right"/>
                    <w:rPr>
                      <w:rFonts w:ascii="Verdana" w:hAnsi="Verdana"/>
                      <w:sz w:val="18"/>
                      <w:szCs w:val="18"/>
                    </w:rPr>
                  </w:pPr>
                </w:p>
              </w:tc>
              <w:tc>
                <w:tcPr>
                  <w:tcW w:w="615" w:type="pct"/>
                </w:tcPr>
                <w:p w:rsidRPr="00376E4C" w:rsidR="00376E4C" w:rsidP="0014572A" w:rsidRDefault="00376E4C" w14:paraId="32FC79DA" w14:textId="77777777">
                  <w:pPr>
                    <w:jc w:val="right"/>
                    <w:rPr>
                      <w:rFonts w:ascii="Verdana" w:hAnsi="Verdana"/>
                      <w:sz w:val="18"/>
                      <w:szCs w:val="18"/>
                    </w:rPr>
                  </w:pPr>
                </w:p>
              </w:tc>
              <w:tc>
                <w:tcPr>
                  <w:tcW w:w="613" w:type="pct"/>
                </w:tcPr>
                <w:p w:rsidRPr="00376E4C" w:rsidR="00376E4C" w:rsidP="0014572A" w:rsidRDefault="00376E4C" w14:paraId="57EF8678" w14:textId="5CC2A9E4">
                  <w:pPr>
                    <w:jc w:val="right"/>
                    <w:rPr>
                      <w:rFonts w:ascii="Verdana" w:hAnsi="Verdana"/>
                      <w:sz w:val="18"/>
                      <w:szCs w:val="18"/>
                    </w:rPr>
                  </w:pPr>
                </w:p>
              </w:tc>
            </w:tr>
            <w:tr w:rsidRPr="00EB3835" w:rsidR="00376E4C" w:rsidTr="00376E4C" w14:paraId="1A747583" w14:textId="77777777">
              <w:tc>
                <w:tcPr>
                  <w:tcW w:w="1267" w:type="pct"/>
                </w:tcPr>
                <w:p w:rsidRPr="00376E4C" w:rsidR="00376E4C" w:rsidP="0014572A" w:rsidRDefault="00376E4C" w14:paraId="662071A5" w14:textId="77777777">
                  <w:pPr>
                    <w:rPr>
                      <w:rFonts w:ascii="Verdana" w:hAnsi="Verdana"/>
                      <w:sz w:val="18"/>
                      <w:szCs w:val="18"/>
                    </w:rPr>
                  </w:pPr>
                </w:p>
              </w:tc>
              <w:tc>
                <w:tcPr>
                  <w:tcW w:w="501" w:type="pct"/>
                </w:tcPr>
                <w:p w:rsidRPr="00376E4C" w:rsidR="00376E4C" w:rsidP="0014572A" w:rsidRDefault="00376E4C" w14:paraId="02E6EC84" w14:textId="77777777">
                  <w:pPr>
                    <w:jc w:val="right"/>
                    <w:rPr>
                      <w:rFonts w:ascii="Verdana" w:hAnsi="Verdana"/>
                      <w:sz w:val="18"/>
                      <w:szCs w:val="18"/>
                    </w:rPr>
                  </w:pPr>
                </w:p>
              </w:tc>
              <w:tc>
                <w:tcPr>
                  <w:tcW w:w="501" w:type="pct"/>
                </w:tcPr>
                <w:p w:rsidRPr="00376E4C" w:rsidR="00376E4C" w:rsidP="0014572A" w:rsidRDefault="00376E4C" w14:paraId="700C29A4" w14:textId="77777777">
                  <w:pPr>
                    <w:jc w:val="right"/>
                    <w:rPr>
                      <w:rFonts w:ascii="Verdana" w:hAnsi="Verdana"/>
                      <w:sz w:val="18"/>
                      <w:szCs w:val="18"/>
                    </w:rPr>
                  </w:pPr>
                </w:p>
              </w:tc>
              <w:tc>
                <w:tcPr>
                  <w:tcW w:w="501" w:type="pct"/>
                </w:tcPr>
                <w:p w:rsidRPr="00376E4C" w:rsidR="00376E4C" w:rsidP="0014572A" w:rsidRDefault="00376E4C" w14:paraId="1DA6606F" w14:textId="77777777">
                  <w:pPr>
                    <w:jc w:val="right"/>
                    <w:rPr>
                      <w:rFonts w:ascii="Verdana" w:hAnsi="Verdana"/>
                      <w:sz w:val="18"/>
                      <w:szCs w:val="18"/>
                    </w:rPr>
                  </w:pPr>
                </w:p>
              </w:tc>
              <w:tc>
                <w:tcPr>
                  <w:tcW w:w="501" w:type="pct"/>
                </w:tcPr>
                <w:p w:rsidRPr="00376E4C" w:rsidR="00376E4C" w:rsidP="0014572A" w:rsidRDefault="00376E4C" w14:paraId="12CE4371" w14:textId="77777777">
                  <w:pPr>
                    <w:jc w:val="right"/>
                    <w:rPr>
                      <w:rFonts w:ascii="Verdana" w:hAnsi="Verdana"/>
                      <w:sz w:val="18"/>
                      <w:szCs w:val="18"/>
                    </w:rPr>
                  </w:pPr>
                </w:p>
              </w:tc>
              <w:tc>
                <w:tcPr>
                  <w:tcW w:w="501" w:type="pct"/>
                </w:tcPr>
                <w:p w:rsidRPr="00376E4C" w:rsidR="00376E4C" w:rsidP="0014572A" w:rsidRDefault="00376E4C" w14:paraId="0DFDF39C" w14:textId="77777777">
                  <w:pPr>
                    <w:jc w:val="right"/>
                    <w:rPr>
                      <w:rFonts w:ascii="Verdana" w:hAnsi="Verdana"/>
                      <w:sz w:val="18"/>
                      <w:szCs w:val="18"/>
                    </w:rPr>
                  </w:pPr>
                </w:p>
              </w:tc>
              <w:tc>
                <w:tcPr>
                  <w:tcW w:w="615" w:type="pct"/>
                </w:tcPr>
                <w:p w:rsidRPr="00376E4C" w:rsidR="00376E4C" w:rsidP="0014572A" w:rsidRDefault="00376E4C" w14:paraId="71051B84" w14:textId="77777777">
                  <w:pPr>
                    <w:jc w:val="right"/>
                    <w:rPr>
                      <w:rFonts w:ascii="Verdana" w:hAnsi="Verdana"/>
                      <w:sz w:val="18"/>
                      <w:szCs w:val="18"/>
                    </w:rPr>
                  </w:pPr>
                </w:p>
              </w:tc>
              <w:tc>
                <w:tcPr>
                  <w:tcW w:w="613" w:type="pct"/>
                </w:tcPr>
                <w:p w:rsidRPr="00376E4C" w:rsidR="00376E4C" w:rsidP="0014572A" w:rsidRDefault="00376E4C" w14:paraId="62776BEE" w14:textId="1ADB7ADC">
                  <w:pPr>
                    <w:jc w:val="right"/>
                    <w:rPr>
                      <w:rFonts w:ascii="Verdana" w:hAnsi="Verdana"/>
                      <w:sz w:val="18"/>
                      <w:szCs w:val="18"/>
                    </w:rPr>
                  </w:pPr>
                </w:p>
              </w:tc>
            </w:tr>
            <w:tr w:rsidRPr="00EB3835" w:rsidR="00376E4C" w:rsidTr="00376E4C" w14:paraId="65B8A8FC" w14:textId="77777777">
              <w:tc>
                <w:tcPr>
                  <w:tcW w:w="1267" w:type="pct"/>
                </w:tcPr>
                <w:p w:rsidRPr="00376E4C" w:rsidR="00376E4C" w:rsidP="0014572A" w:rsidRDefault="00376E4C" w14:paraId="00CCD339" w14:textId="77777777">
                  <w:pPr>
                    <w:rPr>
                      <w:rFonts w:ascii="Verdana" w:hAnsi="Verdana"/>
                      <w:b/>
                      <w:bCs/>
                      <w:sz w:val="18"/>
                      <w:szCs w:val="18"/>
                    </w:rPr>
                  </w:pPr>
                  <w:r w:rsidRPr="00376E4C">
                    <w:rPr>
                      <w:rFonts w:ascii="Verdana" w:hAnsi="Verdana"/>
                      <w:b/>
                      <w:bCs/>
                      <w:sz w:val="18"/>
                      <w:szCs w:val="18"/>
                    </w:rPr>
                    <w:t>Totaal</w:t>
                  </w:r>
                </w:p>
              </w:tc>
              <w:tc>
                <w:tcPr>
                  <w:tcW w:w="501" w:type="pct"/>
                </w:tcPr>
                <w:p w:rsidRPr="00376E4C" w:rsidR="00376E4C" w:rsidP="0014572A" w:rsidRDefault="00376E4C" w14:paraId="5DEE7560" w14:textId="77777777">
                  <w:pPr>
                    <w:jc w:val="right"/>
                    <w:rPr>
                      <w:rFonts w:ascii="Verdana" w:hAnsi="Verdana"/>
                      <w:b/>
                      <w:bCs/>
                      <w:sz w:val="18"/>
                      <w:szCs w:val="18"/>
                    </w:rPr>
                  </w:pPr>
                </w:p>
              </w:tc>
              <w:tc>
                <w:tcPr>
                  <w:tcW w:w="501" w:type="pct"/>
                </w:tcPr>
                <w:p w:rsidRPr="00376E4C" w:rsidR="00376E4C" w:rsidP="0014572A" w:rsidRDefault="00376E4C" w14:paraId="2019D5B1" w14:textId="750F618A">
                  <w:pPr>
                    <w:jc w:val="right"/>
                    <w:rPr>
                      <w:rFonts w:ascii="Verdana" w:hAnsi="Verdana"/>
                      <w:b/>
                      <w:bCs/>
                      <w:sz w:val="18"/>
                      <w:szCs w:val="18"/>
                    </w:rPr>
                  </w:pPr>
                </w:p>
              </w:tc>
              <w:tc>
                <w:tcPr>
                  <w:tcW w:w="501" w:type="pct"/>
                </w:tcPr>
                <w:p w:rsidRPr="00376E4C" w:rsidR="00376E4C" w:rsidP="0014572A" w:rsidRDefault="00376E4C" w14:paraId="1A27BDC5" w14:textId="6A1DE8A3">
                  <w:pPr>
                    <w:jc w:val="right"/>
                    <w:rPr>
                      <w:rFonts w:ascii="Verdana" w:hAnsi="Verdana"/>
                      <w:b/>
                      <w:bCs/>
                      <w:sz w:val="18"/>
                      <w:szCs w:val="18"/>
                    </w:rPr>
                  </w:pPr>
                </w:p>
              </w:tc>
              <w:tc>
                <w:tcPr>
                  <w:tcW w:w="501" w:type="pct"/>
                </w:tcPr>
                <w:p w:rsidRPr="00376E4C" w:rsidR="00376E4C" w:rsidP="0014572A" w:rsidRDefault="00376E4C" w14:paraId="01A7F993" w14:textId="187298A6">
                  <w:pPr>
                    <w:jc w:val="right"/>
                    <w:rPr>
                      <w:rFonts w:ascii="Verdana" w:hAnsi="Verdana"/>
                      <w:b/>
                      <w:bCs/>
                      <w:sz w:val="18"/>
                      <w:szCs w:val="18"/>
                    </w:rPr>
                  </w:pPr>
                  <w:r w:rsidRPr="00376E4C">
                    <w:rPr>
                      <w:rFonts w:ascii="Verdana" w:hAnsi="Verdana"/>
                      <w:b/>
                      <w:bCs/>
                      <w:sz w:val="18"/>
                      <w:szCs w:val="18"/>
                    </w:rPr>
                    <w:t>3,0</w:t>
                  </w:r>
                </w:p>
              </w:tc>
              <w:tc>
                <w:tcPr>
                  <w:tcW w:w="501" w:type="pct"/>
                </w:tcPr>
                <w:p w:rsidRPr="00376E4C" w:rsidR="00376E4C" w:rsidP="0014572A" w:rsidRDefault="00376E4C" w14:paraId="241E2910" w14:textId="7F56CD33">
                  <w:pPr>
                    <w:jc w:val="right"/>
                    <w:rPr>
                      <w:rFonts w:ascii="Verdana" w:hAnsi="Verdana"/>
                      <w:b/>
                      <w:bCs/>
                      <w:sz w:val="18"/>
                      <w:szCs w:val="18"/>
                    </w:rPr>
                  </w:pPr>
                  <w:r w:rsidRPr="00376E4C">
                    <w:rPr>
                      <w:rFonts w:ascii="Verdana" w:hAnsi="Verdana"/>
                      <w:b/>
                      <w:bCs/>
                      <w:sz w:val="18"/>
                      <w:szCs w:val="18"/>
                    </w:rPr>
                    <w:t>3,1</w:t>
                  </w:r>
                </w:p>
              </w:tc>
              <w:tc>
                <w:tcPr>
                  <w:tcW w:w="615" w:type="pct"/>
                </w:tcPr>
                <w:p w:rsidRPr="00376E4C" w:rsidR="00376E4C" w:rsidP="0014572A" w:rsidRDefault="00376E4C" w14:paraId="79801801" w14:textId="670BFC36">
                  <w:pPr>
                    <w:jc w:val="right"/>
                    <w:rPr>
                      <w:rFonts w:ascii="Verdana" w:hAnsi="Verdana"/>
                      <w:b/>
                      <w:bCs/>
                      <w:sz w:val="18"/>
                      <w:szCs w:val="18"/>
                    </w:rPr>
                  </w:pPr>
                  <w:r w:rsidRPr="00376E4C">
                    <w:rPr>
                      <w:rFonts w:ascii="Verdana" w:hAnsi="Verdana"/>
                      <w:b/>
                      <w:bCs/>
                      <w:sz w:val="18"/>
                      <w:szCs w:val="18"/>
                    </w:rPr>
                    <w:t>3,2</w:t>
                  </w:r>
                </w:p>
              </w:tc>
              <w:tc>
                <w:tcPr>
                  <w:tcW w:w="613" w:type="pct"/>
                </w:tcPr>
                <w:p w:rsidRPr="00376E4C" w:rsidR="00376E4C" w:rsidP="0014572A" w:rsidRDefault="00376E4C" w14:paraId="341A082E" w14:textId="400B26DF">
                  <w:pPr>
                    <w:jc w:val="right"/>
                    <w:rPr>
                      <w:rFonts w:ascii="Verdana" w:hAnsi="Verdana"/>
                      <w:b/>
                      <w:bCs/>
                      <w:sz w:val="18"/>
                      <w:szCs w:val="18"/>
                    </w:rPr>
                  </w:pPr>
                  <w:r w:rsidRPr="00376E4C">
                    <w:rPr>
                      <w:rFonts w:ascii="Verdana" w:hAnsi="Verdana"/>
                      <w:b/>
                      <w:bCs/>
                      <w:sz w:val="18"/>
                      <w:szCs w:val="18"/>
                    </w:rPr>
                    <w:t>3,9</w:t>
                  </w:r>
                </w:p>
              </w:tc>
            </w:tr>
          </w:tbl>
          <w:p w:rsidRPr="00FD1605" w:rsidR="00836AF5" w:rsidP="00836AF5" w:rsidRDefault="004A4AD1" w14:paraId="1F353EC9" w14:textId="5A9D494F">
            <w:pPr>
              <w:spacing w:after="0" w:line="240" w:lineRule="auto"/>
              <w:contextualSpacing/>
              <w:rPr>
                <w:rFonts w:eastAsia="Times New Roman" w:cs="Calibri"/>
                <w:color w:val="000000"/>
                <w:szCs w:val="18"/>
                <w:lang w:val="nl-NL" w:eastAsia="nl-NL"/>
              </w:rPr>
            </w:pPr>
            <w:r w:rsidRPr="00FD1605">
              <w:rPr>
                <w:rFonts w:eastAsia="Times New Roman" w:cs="Calibri"/>
                <w:color w:val="000000"/>
                <w:szCs w:val="18"/>
                <w:lang w:val="nl-NL" w:eastAsia="nl-NL"/>
              </w:rPr>
              <w:t>Het budgettaire effect is exclusief uitvoeringskosten.</w:t>
            </w:r>
            <w:r w:rsidRPr="00FD1605" w:rsidR="007B4F84">
              <w:rPr>
                <w:rFonts w:eastAsia="Times New Roman" w:cs="Calibri"/>
                <w:color w:val="000000"/>
                <w:szCs w:val="18"/>
                <w:lang w:val="nl-NL" w:eastAsia="nl-NL"/>
              </w:rPr>
              <w:t xml:space="preserve"> Die zouden in een uitvoeringstoets uitgezocht moeten worden.</w:t>
            </w:r>
          </w:p>
        </w:tc>
      </w:tr>
      <w:tr w:rsidRPr="00EB3835" w:rsidR="00836AF5" w:rsidTr="009C048F" w14:paraId="6B87B3D7" w14:textId="77777777">
        <w:trPr>
          <w:trHeight w:val="315"/>
        </w:trPr>
        <w:tc>
          <w:tcPr>
            <w:tcW w:w="1986" w:type="dxa"/>
            <w:tcBorders>
              <w:top w:val="nil"/>
              <w:left w:val="single" w:color="auto" w:sz="8" w:space="0"/>
              <w:bottom w:val="single" w:color="auto" w:sz="8" w:space="0"/>
              <w:right w:val="nil"/>
            </w:tcBorders>
            <w:shd w:val="clear" w:color="auto" w:fill="auto"/>
            <w:noWrap/>
          </w:tcPr>
          <w:p w:rsidRPr="00704454" w:rsidR="00836AF5" w:rsidP="00836AF5" w:rsidRDefault="00836AF5" w14:paraId="673428E2"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Toelichting raming</w:t>
            </w:r>
          </w:p>
        </w:tc>
        <w:tc>
          <w:tcPr>
            <w:tcW w:w="8586" w:type="dxa"/>
            <w:tcBorders>
              <w:top w:val="single" w:color="auto" w:sz="4" w:space="0"/>
              <w:left w:val="single" w:color="auto" w:sz="4" w:space="0"/>
              <w:bottom w:val="single" w:color="auto" w:sz="8" w:space="0"/>
              <w:right w:val="single" w:color="auto" w:sz="4" w:space="0"/>
            </w:tcBorders>
            <w:shd w:val="clear" w:color="auto" w:fill="auto"/>
            <w:noWrap/>
          </w:tcPr>
          <w:p w:rsidR="0014572A" w:rsidRDefault="00D32F57" w14:paraId="77ABBD9B" w14:textId="6C45B805">
            <w:pPr>
              <w:spacing w:after="0" w:line="240" w:lineRule="auto"/>
              <w:rPr>
                <w:rFonts w:eastAsia="Times New Roman" w:cs="Calibri"/>
                <w:color w:val="000000"/>
                <w:szCs w:val="18"/>
                <w:lang w:val="nl-NL" w:eastAsia="nl-NL"/>
              </w:rPr>
            </w:pPr>
            <w:r>
              <w:rPr>
                <w:rFonts w:eastAsia="Times New Roman" w:cs="Calibri"/>
                <w:color w:val="000000"/>
                <w:szCs w:val="18"/>
                <w:lang w:val="nl-NL" w:eastAsia="nl-NL"/>
              </w:rPr>
              <w:t xml:space="preserve">1a. </w:t>
            </w:r>
            <w:r w:rsidR="0014572A">
              <w:rPr>
                <w:rFonts w:eastAsia="Times New Roman" w:cs="Calibri"/>
                <w:color w:val="000000"/>
                <w:szCs w:val="18"/>
                <w:lang w:val="nl-NL" w:eastAsia="nl-NL"/>
              </w:rPr>
              <w:t xml:space="preserve">Een standaardpercentage voor de vrijlatingsregeling </w:t>
            </w:r>
            <w:r w:rsidR="003648F8">
              <w:rPr>
                <w:rFonts w:eastAsia="Times New Roman" w:cs="Calibri"/>
                <w:color w:val="000000"/>
                <w:szCs w:val="18"/>
                <w:lang w:val="nl-NL" w:eastAsia="nl-NL"/>
              </w:rPr>
              <w:t xml:space="preserve">met maximering </w:t>
            </w:r>
            <w:r w:rsidR="0014572A">
              <w:rPr>
                <w:rFonts w:eastAsia="Times New Roman" w:cs="Calibri"/>
                <w:color w:val="000000"/>
                <w:szCs w:val="18"/>
                <w:lang w:val="nl-NL" w:eastAsia="nl-NL"/>
              </w:rPr>
              <w:t xml:space="preserve">leidt tot minder uitgaven, omdat tot 5% WML niet meer volledig wordt vrijgelaten. De gemiddelde hoogte van het vrij te laten inkomen neemt af, waardoor er minder toeslag wordt uitgekeerd. </w:t>
            </w:r>
          </w:p>
          <w:p w:rsidR="00D32F57" w:rsidRDefault="00D32F57" w14:paraId="19CF5D6E" w14:textId="77777777">
            <w:pPr>
              <w:spacing w:after="0" w:line="240" w:lineRule="auto"/>
              <w:rPr>
                <w:rFonts w:eastAsia="Times New Roman" w:cs="Calibri"/>
                <w:color w:val="000000"/>
                <w:szCs w:val="18"/>
                <w:lang w:val="nl-NL" w:eastAsia="nl-NL"/>
              </w:rPr>
            </w:pPr>
          </w:p>
          <w:p w:rsidR="00D32F57" w:rsidP="00D32F57" w:rsidRDefault="00D32F57" w14:paraId="0D4925D0" w14:textId="49B17E05">
            <w:pPr>
              <w:spacing w:after="0" w:line="240" w:lineRule="auto"/>
              <w:rPr>
                <w:rFonts w:eastAsia="Times New Roman" w:cs="Calibri"/>
                <w:color w:val="000000"/>
                <w:szCs w:val="18"/>
                <w:lang w:val="nl-NL" w:eastAsia="nl-NL"/>
              </w:rPr>
            </w:pPr>
            <w:r>
              <w:rPr>
                <w:rFonts w:eastAsia="Times New Roman" w:cs="Calibri"/>
                <w:color w:val="000000"/>
                <w:szCs w:val="18"/>
                <w:lang w:val="nl-NL" w:eastAsia="nl-NL"/>
              </w:rPr>
              <w:t xml:space="preserve">1b. </w:t>
            </w:r>
            <w:r w:rsidR="006A28E0">
              <w:rPr>
                <w:rFonts w:eastAsia="Times New Roman" w:cs="Calibri"/>
                <w:color w:val="000000"/>
                <w:szCs w:val="18"/>
                <w:lang w:val="nl-NL" w:eastAsia="nl-NL"/>
              </w:rPr>
              <w:t xml:space="preserve">Een standaardpercentage voor de vrijlatingsregeling zonder maximering leidt tot minder uitgaven, omdat tot 5% WML niet meer volledig wordt vrijgelaten. Het is echter niet mogelijk om een inschatting te maken van het budgettaire effect.  </w:t>
            </w:r>
          </w:p>
          <w:p w:rsidR="00D32F57" w:rsidP="00D32F57" w:rsidRDefault="00D32F57" w14:paraId="66C4C4AD" w14:textId="77777777">
            <w:pPr>
              <w:spacing w:after="0" w:line="240" w:lineRule="auto"/>
              <w:rPr>
                <w:rFonts w:eastAsia="Times New Roman" w:cs="Calibri"/>
                <w:color w:val="000000"/>
                <w:szCs w:val="18"/>
                <w:lang w:val="nl-NL" w:eastAsia="nl-NL"/>
              </w:rPr>
            </w:pPr>
          </w:p>
          <w:p w:rsidRPr="00D32F57" w:rsidR="00836AF5" w:rsidP="00D32F57" w:rsidRDefault="00D32F57" w14:paraId="3481501A" w14:textId="6085AF88">
            <w:pPr>
              <w:spacing w:after="0" w:line="240" w:lineRule="auto"/>
              <w:rPr>
                <w:rFonts w:eastAsia="Times New Roman" w:cs="Calibri"/>
                <w:color w:val="000000"/>
                <w:szCs w:val="18"/>
                <w:lang w:val="nl-NL" w:eastAsia="nl-NL"/>
              </w:rPr>
            </w:pPr>
            <w:r>
              <w:rPr>
                <w:rFonts w:eastAsia="Times New Roman" w:cs="Calibri"/>
                <w:color w:val="000000"/>
                <w:szCs w:val="18"/>
                <w:lang w:val="nl-NL" w:eastAsia="nl-NL"/>
              </w:rPr>
              <w:t xml:space="preserve">2. </w:t>
            </w:r>
            <w:r w:rsidRPr="00D32F57" w:rsidR="004A4AD1">
              <w:rPr>
                <w:rFonts w:eastAsia="Times New Roman" w:cs="Calibri"/>
                <w:color w:val="000000"/>
                <w:szCs w:val="18"/>
                <w:lang w:val="nl-NL" w:eastAsia="nl-NL"/>
              </w:rPr>
              <w:t>Na twee jaar werk wordt</w:t>
            </w:r>
            <w:r w:rsidRPr="00D32F57" w:rsidR="009F075C">
              <w:rPr>
                <w:rFonts w:eastAsia="Times New Roman" w:cs="Calibri"/>
                <w:color w:val="000000"/>
                <w:szCs w:val="18"/>
                <w:lang w:val="nl-NL" w:eastAsia="nl-NL"/>
              </w:rPr>
              <w:t xml:space="preserve"> in de huidige situatie</w:t>
            </w:r>
            <w:r w:rsidRPr="00D32F57" w:rsidR="004A4AD1">
              <w:rPr>
                <w:rFonts w:eastAsia="Times New Roman" w:cs="Calibri"/>
                <w:color w:val="000000"/>
                <w:szCs w:val="18"/>
                <w:lang w:val="nl-NL" w:eastAsia="nl-NL"/>
              </w:rPr>
              <w:t xml:space="preserve"> iedere euro die een uitkeringsgerechtigde verdient volledig verrekend</w:t>
            </w:r>
            <w:r w:rsidRPr="00D32F57" w:rsidR="009F075C">
              <w:rPr>
                <w:rFonts w:eastAsia="Times New Roman" w:cs="Calibri"/>
                <w:color w:val="000000"/>
                <w:szCs w:val="18"/>
                <w:lang w:val="nl-NL" w:eastAsia="nl-NL"/>
              </w:rPr>
              <w:t>. Met deze maatregel blijft de vrijlatingsregeling gelden na twee jaar werken. Dat leidt tot extra uitgaven aan de TW, omdat er minder verrekend wordt. In de raming is rekening gehouden met dat het aantrekkelijker is om na twee jaar te blijven werken.</w:t>
            </w:r>
          </w:p>
          <w:p w:rsidRPr="00704454" w:rsidR="00FD1605" w:rsidP="003648F8" w:rsidRDefault="00FD1605" w14:paraId="4F1ECC12" w14:textId="607DF574">
            <w:pPr>
              <w:pStyle w:val="Lijstalinea"/>
              <w:spacing w:after="0" w:line="240" w:lineRule="auto"/>
              <w:rPr>
                <w:rFonts w:eastAsia="Times New Roman" w:cs="Calibri"/>
                <w:color w:val="000000"/>
                <w:szCs w:val="18"/>
                <w:lang w:val="nl-NL" w:eastAsia="nl-NL"/>
              </w:rPr>
            </w:pPr>
          </w:p>
        </w:tc>
      </w:tr>
      <w:tr w:rsidRPr="002E44B5" w:rsidR="00FD1605" w:rsidTr="009C048F" w14:paraId="64F25FB1" w14:textId="77777777">
        <w:trPr>
          <w:trHeight w:val="315"/>
        </w:trPr>
        <w:tc>
          <w:tcPr>
            <w:tcW w:w="1986" w:type="dxa"/>
            <w:tcBorders>
              <w:top w:val="nil"/>
              <w:left w:val="single" w:color="auto" w:sz="8" w:space="0"/>
              <w:bottom w:val="single" w:color="auto" w:sz="8" w:space="0"/>
              <w:right w:val="nil"/>
            </w:tcBorders>
            <w:shd w:val="clear" w:color="auto" w:fill="auto"/>
            <w:noWrap/>
          </w:tcPr>
          <w:p w:rsidRPr="00704454" w:rsidR="00FD1605" w:rsidP="00FD1605" w:rsidRDefault="00FD1605" w14:paraId="500B2F1F"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Inkomens-</w:t>
            </w:r>
          </w:p>
          <w:p w:rsidRPr="00704454" w:rsidR="00FD1605" w:rsidP="00FD1605" w:rsidRDefault="00FD1605" w14:paraId="581BA761"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effecten</w:t>
            </w:r>
          </w:p>
        </w:tc>
        <w:tc>
          <w:tcPr>
            <w:tcW w:w="8586" w:type="dxa"/>
            <w:tcBorders>
              <w:top w:val="single" w:color="auto" w:sz="4" w:space="0"/>
              <w:left w:val="single" w:color="auto" w:sz="4" w:space="0"/>
              <w:bottom w:val="single" w:color="auto" w:sz="8" w:space="0"/>
              <w:right w:val="single" w:color="auto" w:sz="4" w:space="0"/>
            </w:tcBorders>
            <w:shd w:val="clear" w:color="auto" w:fill="auto"/>
            <w:noWrap/>
          </w:tcPr>
          <w:p w:rsidR="0014572A" w:rsidP="00D32F57" w:rsidRDefault="00D32F57" w14:paraId="498F8B87" w14:textId="393C565D">
            <w:pPr>
              <w:spacing w:after="0" w:line="240" w:lineRule="auto"/>
              <w:rPr>
                <w:rFonts w:eastAsia="Times New Roman" w:cs="Calibri"/>
                <w:color w:val="000000"/>
                <w:szCs w:val="18"/>
                <w:lang w:val="nl-NL" w:eastAsia="nl-NL"/>
              </w:rPr>
            </w:pPr>
            <w:r>
              <w:rPr>
                <w:rFonts w:eastAsia="Times New Roman" w:cs="Calibri"/>
                <w:color w:val="000000"/>
                <w:szCs w:val="18"/>
                <w:lang w:val="nl-NL" w:eastAsia="nl-NL"/>
              </w:rPr>
              <w:t xml:space="preserve">1a. </w:t>
            </w:r>
            <w:r w:rsidRPr="009614B6" w:rsidR="009614B6">
              <w:rPr>
                <w:rFonts w:eastAsia="Times New Roman" w:cs="Calibri"/>
                <w:color w:val="000000"/>
                <w:szCs w:val="18"/>
                <w:lang w:val="nl-NL" w:eastAsia="nl-NL"/>
              </w:rPr>
              <w:t>Met een vast percentage aan vrijlating weten mensen beter wat het effect van werken is op hun inkomen</w:t>
            </w:r>
            <w:r w:rsidR="009614B6">
              <w:rPr>
                <w:rFonts w:eastAsia="Times New Roman" w:cs="Calibri"/>
                <w:color w:val="000000"/>
                <w:szCs w:val="18"/>
                <w:lang w:val="nl-NL" w:eastAsia="nl-NL"/>
              </w:rPr>
              <w:t xml:space="preserve">. Hiermee wordt </w:t>
            </w:r>
            <w:r w:rsidRPr="00027A30" w:rsidR="009614B6">
              <w:rPr>
                <w:rFonts w:eastAsia="Times New Roman" w:cs="Calibri"/>
                <w:color w:val="000000"/>
                <w:szCs w:val="18"/>
                <w:lang w:val="nl-NL" w:eastAsia="nl-NL"/>
              </w:rPr>
              <w:t>het voor mensen duidelijker hoe hun inkomen wordt verrekend</w:t>
            </w:r>
            <w:r w:rsidR="009614B6">
              <w:rPr>
                <w:rFonts w:eastAsia="Times New Roman" w:cs="Calibri"/>
                <w:color w:val="000000"/>
                <w:szCs w:val="18"/>
                <w:lang w:val="nl-NL" w:eastAsia="nl-NL"/>
              </w:rPr>
              <w:t xml:space="preserve"> en is</w:t>
            </w:r>
            <w:r w:rsidRPr="00027A30" w:rsidR="009614B6">
              <w:rPr>
                <w:rFonts w:eastAsia="Times New Roman" w:cs="Calibri"/>
                <w:color w:val="000000"/>
                <w:szCs w:val="18"/>
                <w:lang w:val="nl-NL" w:eastAsia="nl-NL"/>
              </w:rPr>
              <w:t xml:space="preserve"> </w:t>
            </w:r>
            <w:r w:rsidR="009614B6">
              <w:rPr>
                <w:rFonts w:eastAsia="Times New Roman" w:cs="Calibri"/>
                <w:color w:val="000000"/>
                <w:szCs w:val="18"/>
                <w:lang w:val="nl-NL" w:eastAsia="nl-NL"/>
              </w:rPr>
              <w:t>h</w:t>
            </w:r>
            <w:r w:rsidRPr="00027A30" w:rsidR="009614B6">
              <w:rPr>
                <w:rFonts w:eastAsia="Times New Roman" w:cs="Calibri"/>
                <w:color w:val="000000"/>
                <w:szCs w:val="18"/>
                <w:lang w:val="nl-NL" w:eastAsia="nl-NL"/>
              </w:rPr>
              <w:t>un inkomen beter voorspelbaar.</w:t>
            </w:r>
            <w:r w:rsidR="009614B6">
              <w:rPr>
                <w:rFonts w:eastAsia="Times New Roman" w:cs="Calibri"/>
                <w:color w:val="000000"/>
                <w:szCs w:val="18"/>
                <w:lang w:val="nl-NL" w:eastAsia="nl-NL"/>
              </w:rPr>
              <w:t xml:space="preserve"> </w:t>
            </w:r>
            <w:r w:rsidR="007111C5">
              <w:rPr>
                <w:rFonts w:eastAsia="Times New Roman" w:cs="Calibri"/>
                <w:color w:val="000000"/>
                <w:szCs w:val="18"/>
                <w:lang w:val="nl-NL" w:eastAsia="nl-NL"/>
              </w:rPr>
              <w:t>M</w:t>
            </w:r>
            <w:r w:rsidRPr="00CF714E" w:rsidR="009614B6">
              <w:rPr>
                <w:rFonts w:eastAsia="Times New Roman" w:cs="Calibri"/>
                <w:color w:val="000000"/>
                <w:szCs w:val="18"/>
                <w:lang w:val="nl-NL" w:eastAsia="nl-NL"/>
              </w:rPr>
              <w:t>et</w:t>
            </w:r>
            <w:r w:rsidRPr="00D32F57" w:rsidR="0014572A">
              <w:rPr>
                <w:rFonts w:eastAsia="Times New Roman" w:cs="Calibri"/>
                <w:color w:val="000000"/>
                <w:szCs w:val="18"/>
                <w:lang w:val="nl-NL" w:eastAsia="nl-NL"/>
              </w:rPr>
              <w:t xml:space="preserve"> het voorgestelde vaste percentage</w:t>
            </w:r>
            <w:r w:rsidR="007111C5">
              <w:rPr>
                <w:rFonts w:eastAsia="Times New Roman" w:cs="Calibri"/>
                <w:color w:val="000000"/>
                <w:szCs w:val="18"/>
                <w:lang w:val="nl-NL" w:eastAsia="nl-NL"/>
              </w:rPr>
              <w:t xml:space="preserve"> wordt echter</w:t>
            </w:r>
            <w:r w:rsidRPr="00D32F57" w:rsidR="0014572A">
              <w:rPr>
                <w:rFonts w:eastAsia="Times New Roman" w:cs="Calibri"/>
                <w:color w:val="000000"/>
                <w:szCs w:val="18"/>
                <w:lang w:val="nl-NL" w:eastAsia="nl-NL"/>
              </w:rPr>
              <w:t xml:space="preserve"> een lager bedrag vrijgesteld. </w:t>
            </w:r>
            <w:r w:rsidRPr="00D32F57" w:rsidR="00CF714E">
              <w:rPr>
                <w:rFonts w:eastAsia="Times New Roman" w:cs="Calibri"/>
                <w:color w:val="000000"/>
                <w:szCs w:val="18"/>
                <w:lang w:val="nl-NL" w:eastAsia="nl-NL"/>
              </w:rPr>
              <w:t>Hierdoor</w:t>
            </w:r>
            <w:r w:rsidRPr="00CF714E" w:rsidR="00436B22">
              <w:rPr>
                <w:rFonts w:eastAsia="Times New Roman" w:cs="Calibri"/>
                <w:color w:val="000000"/>
                <w:szCs w:val="18"/>
                <w:lang w:val="nl-NL" w:eastAsia="nl-NL"/>
              </w:rPr>
              <w:t xml:space="preserve"> wordt </w:t>
            </w:r>
            <w:r w:rsidRPr="00D32F57" w:rsidR="0014572A">
              <w:rPr>
                <w:rFonts w:eastAsia="Times New Roman" w:cs="Calibri"/>
                <w:color w:val="000000"/>
                <w:szCs w:val="18"/>
                <w:lang w:val="nl-NL" w:eastAsia="nl-NL"/>
              </w:rPr>
              <w:t>de totale toeslag lager</w:t>
            </w:r>
            <w:r w:rsidR="00381516">
              <w:rPr>
                <w:rFonts w:eastAsia="Times New Roman" w:cs="Calibri"/>
                <w:color w:val="000000"/>
                <w:szCs w:val="18"/>
                <w:lang w:val="nl-NL" w:eastAsia="nl-NL"/>
              </w:rPr>
              <w:t>, hetgeen een negatief inkomenseffect betekent</w:t>
            </w:r>
            <w:r w:rsidRPr="006122F2" w:rsidR="00381516">
              <w:rPr>
                <w:rFonts w:eastAsia="Times New Roman" w:cs="Calibri"/>
                <w:color w:val="000000"/>
                <w:szCs w:val="18"/>
                <w:lang w:val="nl-NL" w:eastAsia="nl-NL"/>
              </w:rPr>
              <w:t xml:space="preserve">. </w:t>
            </w:r>
          </w:p>
          <w:p w:rsidR="00D32F57" w:rsidP="00D32F57" w:rsidRDefault="00D32F57" w14:paraId="3084F374" w14:textId="77777777">
            <w:pPr>
              <w:spacing w:after="0" w:line="240" w:lineRule="auto"/>
              <w:rPr>
                <w:rFonts w:eastAsia="Times New Roman" w:cs="Calibri"/>
                <w:color w:val="000000"/>
                <w:szCs w:val="18"/>
                <w:lang w:val="nl-NL" w:eastAsia="nl-NL"/>
              </w:rPr>
            </w:pPr>
          </w:p>
          <w:p w:rsidRPr="00D32F57" w:rsidR="00D32F57" w:rsidP="00D32F57" w:rsidRDefault="00D32F57" w14:paraId="54B86F55" w14:textId="34A9AF65">
            <w:pPr>
              <w:spacing w:after="0" w:line="240" w:lineRule="auto"/>
              <w:rPr>
                <w:rFonts w:eastAsia="Times New Roman" w:cs="Calibri"/>
                <w:color w:val="000000"/>
                <w:szCs w:val="18"/>
                <w:lang w:val="nl-NL" w:eastAsia="nl-NL"/>
              </w:rPr>
            </w:pPr>
            <w:r>
              <w:rPr>
                <w:rFonts w:eastAsia="Times New Roman" w:cs="Calibri"/>
                <w:color w:val="000000"/>
                <w:szCs w:val="18"/>
                <w:lang w:val="nl-NL" w:eastAsia="nl-NL"/>
              </w:rPr>
              <w:t>1b. In deze optie gelden dezelfde inkomenseffecten als bij 1a, met uitzondering dat d</w:t>
            </w:r>
            <w:r w:rsidRPr="00CF714E">
              <w:rPr>
                <w:rFonts w:eastAsia="Times New Roman" w:cs="Calibri"/>
                <w:color w:val="000000"/>
                <w:szCs w:val="18"/>
                <w:lang w:val="nl-NL" w:eastAsia="nl-NL"/>
              </w:rPr>
              <w:t>oor afschaffing van maximeringsbepaling van de vrijlatingsregeling uitkeringsgerechtigden die meer verdien</w:t>
            </w:r>
            <w:r>
              <w:rPr>
                <w:rFonts w:eastAsia="Times New Roman" w:cs="Calibri"/>
                <w:color w:val="000000"/>
                <w:szCs w:val="18"/>
                <w:lang w:val="nl-NL" w:eastAsia="nl-NL"/>
              </w:rPr>
              <w:t>en</w:t>
            </w:r>
            <w:r w:rsidRPr="00CF714E">
              <w:rPr>
                <w:rFonts w:eastAsia="Times New Roman" w:cs="Calibri"/>
                <w:color w:val="000000"/>
                <w:szCs w:val="18"/>
                <w:lang w:val="nl-NL" w:eastAsia="nl-NL"/>
              </w:rPr>
              <w:t xml:space="preserve">, ook een hoger totaal inkomen (basiswet + toeslag + inkomen uit arbeid) </w:t>
            </w:r>
            <w:r>
              <w:rPr>
                <w:rFonts w:eastAsia="Times New Roman" w:cs="Calibri"/>
                <w:color w:val="000000"/>
                <w:szCs w:val="18"/>
                <w:lang w:val="nl-NL" w:eastAsia="nl-NL"/>
              </w:rPr>
              <w:lastRenderedPageBreak/>
              <w:t xml:space="preserve">kunnen </w:t>
            </w:r>
            <w:r w:rsidRPr="00CF714E">
              <w:rPr>
                <w:rFonts w:eastAsia="Times New Roman" w:cs="Calibri"/>
                <w:color w:val="000000"/>
                <w:szCs w:val="18"/>
                <w:lang w:val="nl-NL" w:eastAsia="nl-NL"/>
              </w:rPr>
              <w:t>krijgen</w:t>
            </w:r>
            <w:r w:rsidRPr="00FD1605">
              <w:rPr>
                <w:rFonts w:eastAsia="Times New Roman" w:cs="Calibri"/>
                <w:color w:val="000000"/>
                <w:szCs w:val="18"/>
                <w:lang w:val="nl-NL" w:eastAsia="nl-NL"/>
              </w:rPr>
              <w:t xml:space="preserve"> dan voorheen. Hierdoor zal meer werken ook meer lonen, hetgeen de uitkeringsgerechtigde kan stimuleren om (meer) te gaan werken. Hierbij geldt wel een omslagpunt, namelijk als iemand zoveel verdient dat het recht op toeslag eindigt.</w:t>
            </w:r>
            <w:r>
              <w:rPr>
                <w:rFonts w:eastAsia="Times New Roman" w:cs="Calibri"/>
                <w:color w:val="000000"/>
                <w:szCs w:val="18"/>
                <w:lang w:val="nl-NL" w:eastAsia="nl-NL"/>
              </w:rPr>
              <w:t xml:space="preserve"> Wanneer het recht op toeslag vervalt, ontstaat er een grotere inkomensval dan in de huidige situatie. Deze inkomensval kan eventueel gedempt worden door een lager percentage te kiezen dat aan inkomen wordt vrijgelaten.</w:t>
            </w:r>
          </w:p>
          <w:p w:rsidR="00B37C5E" w:rsidP="00B37C5E" w:rsidRDefault="00B37C5E" w14:paraId="0CB70ABC" w14:textId="77777777">
            <w:pPr>
              <w:spacing w:after="0" w:line="240" w:lineRule="auto"/>
              <w:rPr>
                <w:rFonts w:eastAsia="Times New Roman" w:cs="Calibri"/>
                <w:color w:val="000000"/>
                <w:szCs w:val="18"/>
                <w:lang w:val="nl-NL" w:eastAsia="nl-NL"/>
              </w:rPr>
            </w:pPr>
          </w:p>
          <w:p w:rsidRPr="003648F8" w:rsidR="00FD1605" w:rsidP="003648F8" w:rsidRDefault="00B37C5E" w14:paraId="37DAEE3D" w14:textId="222E9CAA">
            <w:pPr>
              <w:spacing w:after="0" w:line="240" w:lineRule="auto"/>
              <w:rPr>
                <w:rFonts w:eastAsia="Times New Roman" w:cs="Calibri"/>
                <w:color w:val="000000"/>
                <w:szCs w:val="18"/>
                <w:lang w:val="nl-NL" w:eastAsia="nl-NL"/>
              </w:rPr>
            </w:pPr>
            <w:r>
              <w:rPr>
                <w:rFonts w:eastAsia="Times New Roman" w:cs="Calibri"/>
                <w:color w:val="000000"/>
                <w:szCs w:val="18"/>
                <w:lang w:val="nl-NL" w:eastAsia="nl-NL"/>
              </w:rPr>
              <w:t xml:space="preserve">2. </w:t>
            </w:r>
            <w:r w:rsidRPr="00B37C5E" w:rsidR="00FD1605">
              <w:rPr>
                <w:rFonts w:eastAsia="Times New Roman" w:cs="Calibri"/>
                <w:color w:val="000000"/>
                <w:szCs w:val="18"/>
                <w:lang w:val="nl-NL" w:eastAsia="nl-NL"/>
              </w:rPr>
              <w:t>Door het verruimen van de termijn dat de vrijlatingsregeling geldt, wordt er gedurende de hele periode dat er recht bestaat op de aanvullende toeslag én er inkomen uit arbeid wordt genoten, de vrijlatingsregeling toegepast. Hierdoor gaat het totale (gezins-)inkomen erop vooruit over een langere periode</w:t>
            </w:r>
            <w:r w:rsidRPr="00B37C5E" w:rsidR="00691943">
              <w:rPr>
                <w:rFonts w:eastAsia="Times New Roman" w:cs="Calibri"/>
                <w:color w:val="000000"/>
                <w:szCs w:val="18"/>
                <w:lang w:val="nl-NL" w:eastAsia="nl-NL"/>
              </w:rPr>
              <w:t xml:space="preserve"> en wordt het inkomen beter voorspelbaar</w:t>
            </w:r>
            <w:r w:rsidRPr="00B37C5E" w:rsidR="00FD1605">
              <w:rPr>
                <w:rFonts w:eastAsia="Times New Roman" w:cs="Calibri"/>
                <w:color w:val="000000"/>
                <w:szCs w:val="18"/>
                <w:lang w:val="nl-NL" w:eastAsia="nl-NL"/>
              </w:rPr>
              <w:t>. In het huidige systeem treedt er na twee jaar een inkomensval op</w:t>
            </w:r>
            <w:r w:rsidRPr="00B37C5E" w:rsidR="005D3AC3">
              <w:rPr>
                <w:rFonts w:eastAsia="Times New Roman" w:cs="Calibri"/>
                <w:color w:val="000000"/>
                <w:szCs w:val="18"/>
                <w:lang w:val="nl-NL" w:eastAsia="nl-NL"/>
              </w:rPr>
              <w:t xml:space="preserve"> en is werken niet meer lonend</w:t>
            </w:r>
            <w:r w:rsidRPr="00B37C5E" w:rsidR="00FD1605">
              <w:rPr>
                <w:rFonts w:eastAsia="Times New Roman" w:cs="Calibri"/>
                <w:color w:val="000000"/>
                <w:szCs w:val="18"/>
                <w:lang w:val="nl-NL" w:eastAsia="nl-NL"/>
              </w:rPr>
              <w:t>, doordat de vrijlatingsregeling wordt beëindigd. Deze inkomensval wordt door deze maatregel voorkomen.</w:t>
            </w:r>
          </w:p>
        </w:tc>
      </w:tr>
      <w:tr w:rsidRPr="00EB3835" w:rsidR="00FD1605" w:rsidTr="009C048F" w14:paraId="7EC8F262" w14:textId="77777777">
        <w:trPr>
          <w:trHeight w:val="315"/>
        </w:trPr>
        <w:tc>
          <w:tcPr>
            <w:tcW w:w="1986" w:type="dxa"/>
            <w:tcBorders>
              <w:top w:val="nil"/>
              <w:left w:val="single" w:color="auto" w:sz="8" w:space="0"/>
              <w:bottom w:val="single" w:color="auto" w:sz="8" w:space="0"/>
              <w:right w:val="nil"/>
            </w:tcBorders>
            <w:shd w:val="clear" w:color="auto" w:fill="auto"/>
            <w:noWrap/>
          </w:tcPr>
          <w:p w:rsidRPr="00704454" w:rsidR="00FD1605" w:rsidP="00FD1605" w:rsidRDefault="00FD1605" w14:paraId="414DF8B8"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lastRenderedPageBreak/>
              <w:t>Arbeidsmarkt-effecten</w:t>
            </w:r>
          </w:p>
        </w:tc>
        <w:tc>
          <w:tcPr>
            <w:tcW w:w="8586" w:type="dxa"/>
            <w:tcBorders>
              <w:top w:val="single" w:color="auto" w:sz="4" w:space="0"/>
              <w:left w:val="single" w:color="auto" w:sz="4" w:space="0"/>
              <w:bottom w:val="single" w:color="auto" w:sz="8" w:space="0"/>
              <w:right w:val="single" w:color="auto" w:sz="4" w:space="0"/>
            </w:tcBorders>
            <w:shd w:val="clear" w:color="auto" w:fill="auto"/>
            <w:noWrap/>
          </w:tcPr>
          <w:p w:rsidR="00A71CD7" w:rsidP="00FD1605" w:rsidRDefault="00A71CD7" w14:paraId="4ED7BE2C" w14:textId="36134F90">
            <w:pPr>
              <w:spacing w:after="0" w:line="240" w:lineRule="auto"/>
              <w:rPr>
                <w:rFonts w:eastAsia="Times New Roman" w:cs="Calibri"/>
                <w:color w:val="000000"/>
                <w:szCs w:val="18"/>
                <w:lang w:val="nl-NL" w:eastAsia="nl-NL"/>
              </w:rPr>
            </w:pPr>
            <w:r>
              <w:rPr>
                <w:rFonts w:eastAsia="Times New Roman" w:cs="Calibri"/>
                <w:color w:val="000000"/>
                <w:szCs w:val="18"/>
                <w:lang w:val="nl-NL" w:eastAsia="nl-NL"/>
              </w:rPr>
              <w:t xml:space="preserve">Door de diverse aanpassingen aan de vrijlatingsregeling wordt </w:t>
            </w:r>
            <w:r w:rsidR="00381516">
              <w:rPr>
                <w:rFonts w:eastAsia="Times New Roman" w:cs="Calibri"/>
                <w:color w:val="000000"/>
                <w:szCs w:val="18"/>
                <w:lang w:val="nl-NL" w:eastAsia="nl-NL"/>
              </w:rPr>
              <w:t>de financiële</w:t>
            </w:r>
            <w:r>
              <w:rPr>
                <w:rFonts w:eastAsia="Times New Roman" w:cs="Calibri"/>
                <w:color w:val="000000"/>
                <w:szCs w:val="18"/>
                <w:lang w:val="nl-NL" w:eastAsia="nl-NL"/>
              </w:rPr>
              <w:t xml:space="preserve"> prikkel tot werkhervatting versterkt. De onbeperkte duur van de vrijlatingsregeling</w:t>
            </w:r>
            <w:r w:rsidR="002341D5">
              <w:rPr>
                <w:rFonts w:eastAsia="Times New Roman" w:cs="Calibri"/>
                <w:color w:val="000000"/>
                <w:szCs w:val="18"/>
                <w:lang w:val="nl-NL" w:eastAsia="nl-NL"/>
              </w:rPr>
              <w:t>, de hogere vrijlating (geen maximering</w:t>
            </w:r>
            <w:r w:rsidR="003648F8">
              <w:rPr>
                <w:rFonts w:eastAsia="Times New Roman" w:cs="Calibri"/>
                <w:color w:val="000000"/>
                <w:szCs w:val="18"/>
                <w:lang w:val="nl-NL" w:eastAsia="nl-NL"/>
              </w:rPr>
              <w:t xml:space="preserve"> bij maatregel 1b</w:t>
            </w:r>
            <w:r w:rsidR="002341D5">
              <w:rPr>
                <w:rFonts w:eastAsia="Times New Roman" w:cs="Calibri"/>
                <w:color w:val="000000"/>
                <w:szCs w:val="18"/>
                <w:lang w:val="nl-NL" w:eastAsia="nl-NL"/>
              </w:rPr>
              <w:t xml:space="preserve">) en duidelijkheid over het totale bedrag aan UWV-uitkeringen kunnen tot </w:t>
            </w:r>
            <w:r w:rsidR="00381516">
              <w:rPr>
                <w:rFonts w:eastAsia="Times New Roman" w:cs="Calibri"/>
                <w:color w:val="000000"/>
                <w:szCs w:val="18"/>
                <w:lang w:val="nl-NL" w:eastAsia="nl-NL"/>
              </w:rPr>
              <w:t>inzichtelijker en beter voorspelbaar inkomen leiden</w:t>
            </w:r>
            <w:r w:rsidRPr="006122F2" w:rsidR="00381516">
              <w:rPr>
                <w:rFonts w:eastAsia="Times New Roman" w:cs="Calibri"/>
                <w:color w:val="000000"/>
                <w:szCs w:val="18"/>
                <w:lang w:val="nl-NL" w:eastAsia="nl-NL"/>
              </w:rPr>
              <w:t xml:space="preserve">. </w:t>
            </w:r>
            <w:r w:rsidR="00381516">
              <w:rPr>
                <w:rFonts w:eastAsia="Times New Roman" w:cs="Calibri"/>
                <w:color w:val="000000"/>
                <w:szCs w:val="18"/>
                <w:lang w:val="nl-NL" w:eastAsia="nl-NL"/>
              </w:rPr>
              <w:t>Ook die toename in zekerheid</w:t>
            </w:r>
            <w:r w:rsidRPr="006122F2" w:rsidR="00381516">
              <w:rPr>
                <w:rFonts w:eastAsia="Times New Roman" w:cs="Calibri"/>
                <w:color w:val="000000"/>
                <w:szCs w:val="18"/>
                <w:lang w:val="nl-NL" w:eastAsia="nl-NL"/>
              </w:rPr>
              <w:t xml:space="preserve"> kan </w:t>
            </w:r>
            <w:r w:rsidR="00381516">
              <w:rPr>
                <w:rFonts w:eastAsia="Times New Roman" w:cs="Calibri"/>
                <w:color w:val="000000"/>
                <w:szCs w:val="18"/>
                <w:lang w:val="nl-NL" w:eastAsia="nl-NL"/>
              </w:rPr>
              <w:t xml:space="preserve">een positief effect hebben </w:t>
            </w:r>
            <w:r w:rsidRPr="006122F2" w:rsidR="00381516">
              <w:rPr>
                <w:rFonts w:eastAsia="Times New Roman" w:cs="Calibri"/>
                <w:color w:val="000000"/>
                <w:szCs w:val="18"/>
                <w:lang w:val="nl-NL" w:eastAsia="nl-NL"/>
              </w:rPr>
              <w:t>.</w:t>
            </w:r>
          </w:p>
          <w:p w:rsidR="00FD1605" w:rsidP="00FD1605" w:rsidRDefault="00FD1605" w14:paraId="37A4D4DE" w14:textId="7E5DF8E3">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 xml:space="preserve">Ook kan gesteld worden dat de </w:t>
            </w:r>
            <w:r w:rsidR="002341D5">
              <w:rPr>
                <w:rFonts w:eastAsia="Times New Roman" w:cs="Calibri"/>
                <w:color w:val="000000"/>
                <w:szCs w:val="18"/>
                <w:lang w:val="nl-NL" w:eastAsia="nl-NL"/>
              </w:rPr>
              <w:t xml:space="preserve">huidige </w:t>
            </w:r>
            <w:r w:rsidRPr="00FD1605">
              <w:rPr>
                <w:rFonts w:eastAsia="Times New Roman" w:cs="Calibri"/>
                <w:color w:val="000000"/>
                <w:szCs w:val="18"/>
                <w:lang w:val="nl-NL" w:eastAsia="nl-NL"/>
              </w:rPr>
              <w:t xml:space="preserve">tijdelijkheid van de vrijlatingsregeling kortdurende dienstverbanden motiveert, zodat bij elk nieuw dienstverband de vrijlating opnieuw toegepast kan worden. Afschaffen van de tijdelijkheid van de vrijlating stimuleert duurzamere dienstverbanden. </w:t>
            </w:r>
          </w:p>
          <w:p w:rsidR="002341D5" w:rsidP="00FD1605" w:rsidRDefault="002341D5" w14:paraId="3F75E726" w14:textId="77777777">
            <w:pPr>
              <w:spacing w:after="0" w:line="240" w:lineRule="auto"/>
              <w:rPr>
                <w:rFonts w:eastAsia="Times New Roman" w:cs="Calibri"/>
                <w:color w:val="000000"/>
                <w:szCs w:val="18"/>
                <w:lang w:val="nl-NL" w:eastAsia="nl-NL"/>
              </w:rPr>
            </w:pPr>
          </w:p>
          <w:p w:rsidRPr="00FD1605" w:rsidR="00A71CD7" w:rsidP="00FD1605" w:rsidRDefault="00A71CD7" w14:paraId="12C0855D" w14:textId="2C6636C6">
            <w:pPr>
              <w:spacing w:after="0" w:line="240" w:lineRule="auto"/>
              <w:rPr>
                <w:rFonts w:eastAsia="Times New Roman" w:cs="Calibri"/>
                <w:color w:val="000000"/>
                <w:szCs w:val="18"/>
                <w:lang w:val="nl-NL" w:eastAsia="nl-NL"/>
              </w:rPr>
            </w:pPr>
            <w:r>
              <w:rPr>
                <w:rFonts w:eastAsia="Times New Roman" w:cs="Calibri"/>
                <w:color w:val="000000"/>
                <w:szCs w:val="18"/>
                <w:lang w:val="nl-NL" w:eastAsia="nl-NL"/>
              </w:rPr>
              <w:t>De dreiging van een inkomensval wanneer de grens van het recht op aanvullende toeslag wordt bereikt kan echter ook tot terughoudendheid leiden om (meer) te gaan werken.</w:t>
            </w:r>
            <w:r w:rsidR="006C2ACD">
              <w:rPr>
                <w:rFonts w:eastAsia="Times New Roman" w:cs="Calibri"/>
                <w:color w:val="000000"/>
                <w:szCs w:val="18"/>
                <w:lang w:val="nl-NL" w:eastAsia="nl-NL"/>
              </w:rPr>
              <w:t xml:space="preserve"> </w:t>
            </w:r>
            <w:r w:rsidRPr="00594C0F" w:rsidR="006C2ACD">
              <w:rPr>
                <w:rFonts w:eastAsia="Times New Roman" w:cs="Calibri"/>
                <w:color w:val="000000"/>
                <w:szCs w:val="18"/>
                <w:lang w:val="nl-NL" w:eastAsia="nl-NL"/>
              </w:rPr>
              <w:t>De maximering tot 15% WML kan ook tot terughoudendheid leiden om (meer) te gaan werken.</w:t>
            </w:r>
          </w:p>
        </w:tc>
      </w:tr>
      <w:tr w:rsidRPr="00EB3835" w:rsidR="00FD1605" w:rsidTr="009C048F" w14:paraId="371EEFEF" w14:textId="77777777">
        <w:trPr>
          <w:trHeight w:val="315"/>
        </w:trPr>
        <w:tc>
          <w:tcPr>
            <w:tcW w:w="1986" w:type="dxa"/>
            <w:tcBorders>
              <w:top w:val="nil"/>
              <w:left w:val="single" w:color="auto" w:sz="8" w:space="0"/>
              <w:bottom w:val="single" w:color="auto" w:sz="8" w:space="0"/>
              <w:right w:val="nil"/>
            </w:tcBorders>
            <w:shd w:val="clear" w:color="auto" w:fill="auto"/>
            <w:noWrap/>
          </w:tcPr>
          <w:p w:rsidRPr="00704454" w:rsidR="00FD1605" w:rsidP="00FD1605" w:rsidRDefault="00FD1605" w14:paraId="7E07A33E"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Overige relevante aspecten</w:t>
            </w:r>
          </w:p>
        </w:tc>
        <w:tc>
          <w:tcPr>
            <w:tcW w:w="8586" w:type="dxa"/>
            <w:tcBorders>
              <w:top w:val="single" w:color="auto" w:sz="4" w:space="0"/>
              <w:left w:val="single" w:color="auto" w:sz="4" w:space="0"/>
              <w:bottom w:val="single" w:color="auto" w:sz="8" w:space="0"/>
              <w:right w:val="single" w:color="auto" w:sz="4" w:space="0"/>
            </w:tcBorders>
            <w:shd w:val="clear" w:color="auto" w:fill="auto"/>
            <w:noWrap/>
          </w:tcPr>
          <w:p w:rsidRPr="00FD1605" w:rsidR="00FD1605" w:rsidP="00FD1605" w:rsidRDefault="00FD1605" w14:paraId="2C08C8D7" w14:textId="23F76859">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 xml:space="preserve">In de huidige situatie wordt de hoogte van het vrij te laten bedrag als volgt vastgesteld: Het vrij te laten bedrag wordt opgebouwd via diverse stappen. Allereerst wordt er een bedrag van 5% van het minimumloon vrijgelaten (dit betekent dat een uitkeringsgerechtigde moet uitzoeken wat het actuele minimumloon loon, aangezien dat elk half jaar wijzigt). Als de uitkeringsgerechtigde meer dan dit bedrag verdient, dan wordt over het inkomen daarboven 30% vrijgelaten. Het totaal van 5% minimumloon plus 30% van het daarboven genoten inkomen, wordt vervolgens gemaximeerd op 15% van het minimumloon. </w:t>
            </w:r>
          </w:p>
          <w:p w:rsidRPr="00FD1605" w:rsidR="00FD1605" w:rsidP="00FD1605" w:rsidRDefault="00FD1605" w14:paraId="680DB778" w14:textId="58CABBCA">
            <w:pPr>
              <w:spacing w:after="0" w:line="240" w:lineRule="auto"/>
              <w:rPr>
                <w:rFonts w:eastAsia="Times New Roman" w:cs="Calibri"/>
                <w:color w:val="000000"/>
                <w:szCs w:val="18"/>
                <w:lang w:val="nl-NL" w:eastAsia="nl-NL"/>
              </w:rPr>
            </w:pPr>
            <w:r w:rsidRPr="00FD1605">
              <w:rPr>
                <w:rFonts w:eastAsia="Times New Roman" w:cs="Calibri"/>
                <w:i/>
                <w:iCs/>
                <w:color w:val="000000"/>
                <w:szCs w:val="18"/>
                <w:lang w:val="nl-NL" w:eastAsia="nl-NL"/>
              </w:rPr>
              <w:t>Rekenvoorbeeld</w:t>
            </w:r>
            <w:r w:rsidRPr="00FD1605">
              <w:rPr>
                <w:rFonts w:eastAsia="Times New Roman" w:cs="Calibri"/>
                <w:color w:val="000000"/>
                <w:szCs w:val="18"/>
                <w:lang w:val="nl-NL" w:eastAsia="nl-NL"/>
              </w:rPr>
              <w:t>: Stel iemand verdiend €500 per maand. Welk deel van dat inkomen wordt vrijgelaten? WML per maand is 1/</w:t>
            </w:r>
            <w:r w:rsidR="002033C0">
              <w:rPr>
                <w:rFonts w:eastAsia="Times New Roman" w:cs="Calibri"/>
                <w:color w:val="000000"/>
                <w:szCs w:val="18"/>
                <w:lang w:val="nl-NL" w:eastAsia="nl-NL"/>
              </w:rPr>
              <w:t>1</w:t>
            </w:r>
            <w:r w:rsidRPr="00FD1605">
              <w:rPr>
                <w:rFonts w:eastAsia="Times New Roman" w:cs="Calibri"/>
                <w:color w:val="000000"/>
                <w:szCs w:val="18"/>
                <w:lang w:val="nl-NL" w:eastAsia="nl-NL"/>
              </w:rPr>
              <w:t>/’2</w:t>
            </w:r>
            <w:r w:rsidR="002033C0">
              <w:rPr>
                <w:rFonts w:eastAsia="Times New Roman" w:cs="Calibri"/>
                <w:color w:val="000000"/>
                <w:szCs w:val="18"/>
                <w:lang w:val="nl-NL" w:eastAsia="nl-NL"/>
              </w:rPr>
              <w:t>6</w:t>
            </w:r>
            <w:r w:rsidRPr="00FD1605">
              <w:rPr>
                <w:rFonts w:eastAsia="Times New Roman" w:cs="Calibri"/>
                <w:color w:val="000000"/>
                <w:szCs w:val="18"/>
                <w:lang w:val="nl-NL" w:eastAsia="nl-NL"/>
              </w:rPr>
              <w:t xml:space="preserve"> €2.</w:t>
            </w:r>
            <w:r w:rsidR="002033C0">
              <w:rPr>
                <w:rFonts w:eastAsia="Times New Roman" w:cs="Calibri"/>
                <w:color w:val="000000"/>
                <w:szCs w:val="18"/>
                <w:lang w:val="nl-NL" w:eastAsia="nl-NL"/>
              </w:rPr>
              <w:t>294,40</w:t>
            </w:r>
            <w:r w:rsidRPr="00FD1605">
              <w:rPr>
                <w:rFonts w:eastAsia="Times New Roman" w:cs="Calibri"/>
                <w:color w:val="000000"/>
                <w:szCs w:val="18"/>
                <w:lang w:val="nl-NL" w:eastAsia="nl-NL"/>
              </w:rPr>
              <w:t>. 5% daarvan is €1</w:t>
            </w:r>
            <w:r w:rsidR="002033C0">
              <w:rPr>
                <w:rFonts w:eastAsia="Times New Roman" w:cs="Calibri"/>
                <w:color w:val="000000"/>
                <w:szCs w:val="18"/>
                <w:lang w:val="nl-NL" w:eastAsia="nl-NL"/>
              </w:rPr>
              <w:t>14,72</w:t>
            </w:r>
            <w:r w:rsidRPr="00FD1605">
              <w:rPr>
                <w:rFonts w:eastAsia="Times New Roman" w:cs="Calibri"/>
                <w:color w:val="000000"/>
                <w:szCs w:val="18"/>
                <w:lang w:val="nl-NL" w:eastAsia="nl-NL"/>
              </w:rPr>
              <w:t xml:space="preserve">. </w:t>
            </w:r>
          </w:p>
          <w:p w:rsidRPr="00FD1605" w:rsidR="00FD1605" w:rsidP="00FD1605" w:rsidRDefault="00FD1605" w14:paraId="71446EDA" w14:textId="78D9B690">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€500 - €1</w:t>
            </w:r>
            <w:r w:rsidR="002033C0">
              <w:rPr>
                <w:rFonts w:eastAsia="Times New Roman" w:cs="Calibri"/>
                <w:color w:val="000000"/>
                <w:szCs w:val="18"/>
                <w:lang w:val="nl-NL" w:eastAsia="nl-NL"/>
              </w:rPr>
              <w:t>14,72</w:t>
            </w:r>
            <w:r w:rsidRPr="00FD1605">
              <w:rPr>
                <w:rFonts w:eastAsia="Times New Roman" w:cs="Calibri"/>
                <w:color w:val="000000"/>
                <w:szCs w:val="18"/>
                <w:lang w:val="nl-NL" w:eastAsia="nl-NL"/>
              </w:rPr>
              <w:t xml:space="preserve"> = €3</w:t>
            </w:r>
            <w:r w:rsidR="002033C0">
              <w:rPr>
                <w:rFonts w:eastAsia="Times New Roman" w:cs="Calibri"/>
                <w:color w:val="000000"/>
                <w:szCs w:val="18"/>
                <w:lang w:val="nl-NL" w:eastAsia="nl-NL"/>
              </w:rPr>
              <w:t>85,28</w:t>
            </w:r>
            <w:r w:rsidRPr="00FD1605">
              <w:rPr>
                <w:rFonts w:eastAsia="Times New Roman" w:cs="Calibri"/>
                <w:color w:val="000000"/>
                <w:szCs w:val="18"/>
                <w:lang w:val="nl-NL" w:eastAsia="nl-NL"/>
              </w:rPr>
              <w:t>. Hiervan wordt 30% vrijgelaten, zijnde €11</w:t>
            </w:r>
            <w:r w:rsidR="002033C0">
              <w:rPr>
                <w:rFonts w:eastAsia="Times New Roman" w:cs="Calibri"/>
                <w:color w:val="000000"/>
                <w:szCs w:val="18"/>
                <w:lang w:val="nl-NL" w:eastAsia="nl-NL"/>
              </w:rPr>
              <w:t>5,58</w:t>
            </w:r>
            <w:r w:rsidRPr="00FD1605">
              <w:rPr>
                <w:rFonts w:eastAsia="Times New Roman" w:cs="Calibri"/>
                <w:color w:val="000000"/>
                <w:szCs w:val="18"/>
                <w:lang w:val="nl-NL" w:eastAsia="nl-NL"/>
              </w:rPr>
              <w:t xml:space="preserve">. </w:t>
            </w:r>
          </w:p>
          <w:p w:rsidRPr="00FD1605" w:rsidR="00FD1605" w:rsidP="00FD1605" w:rsidRDefault="00FD1605" w14:paraId="695D8F7D" w14:textId="3DFAE454">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€11</w:t>
            </w:r>
            <w:r w:rsidR="002033C0">
              <w:rPr>
                <w:rFonts w:eastAsia="Times New Roman" w:cs="Calibri"/>
                <w:color w:val="000000"/>
                <w:szCs w:val="18"/>
                <w:lang w:val="nl-NL" w:eastAsia="nl-NL"/>
              </w:rPr>
              <w:t>5,58</w:t>
            </w:r>
            <w:r w:rsidRPr="00FD1605">
              <w:rPr>
                <w:rFonts w:eastAsia="Times New Roman" w:cs="Calibri"/>
                <w:color w:val="000000"/>
                <w:szCs w:val="18"/>
                <w:lang w:val="nl-NL" w:eastAsia="nl-NL"/>
              </w:rPr>
              <w:t xml:space="preserve"> + €1</w:t>
            </w:r>
            <w:r w:rsidR="002033C0">
              <w:rPr>
                <w:rFonts w:eastAsia="Times New Roman" w:cs="Calibri"/>
                <w:color w:val="000000"/>
                <w:szCs w:val="18"/>
                <w:lang w:val="nl-NL" w:eastAsia="nl-NL"/>
              </w:rPr>
              <w:t>14,72</w:t>
            </w:r>
            <w:r w:rsidRPr="00FD1605">
              <w:rPr>
                <w:rFonts w:eastAsia="Times New Roman" w:cs="Calibri"/>
                <w:color w:val="000000"/>
                <w:szCs w:val="18"/>
                <w:lang w:val="nl-NL" w:eastAsia="nl-NL"/>
              </w:rPr>
              <w:t xml:space="preserve"> = €2</w:t>
            </w:r>
            <w:r w:rsidR="002033C0">
              <w:rPr>
                <w:rFonts w:eastAsia="Times New Roman" w:cs="Calibri"/>
                <w:color w:val="000000"/>
                <w:szCs w:val="18"/>
                <w:lang w:val="nl-NL" w:eastAsia="nl-NL"/>
              </w:rPr>
              <w:t>30,30</w:t>
            </w:r>
            <w:r w:rsidRPr="00FD1605">
              <w:rPr>
                <w:rFonts w:eastAsia="Times New Roman" w:cs="Calibri"/>
                <w:color w:val="000000"/>
                <w:szCs w:val="18"/>
                <w:lang w:val="nl-NL" w:eastAsia="nl-NL"/>
              </w:rPr>
              <w:t>. Getoetst moet worden of dit minder is van 15% van het minimumloon, zijnde €3</w:t>
            </w:r>
            <w:r w:rsidR="002033C0">
              <w:rPr>
                <w:rFonts w:eastAsia="Times New Roman" w:cs="Calibri"/>
                <w:color w:val="000000"/>
                <w:szCs w:val="18"/>
                <w:lang w:val="nl-NL" w:eastAsia="nl-NL"/>
              </w:rPr>
              <w:t>44,16</w:t>
            </w:r>
            <w:r w:rsidRPr="00FD1605">
              <w:rPr>
                <w:rFonts w:eastAsia="Times New Roman" w:cs="Calibri"/>
                <w:color w:val="000000"/>
                <w:szCs w:val="18"/>
                <w:lang w:val="nl-NL" w:eastAsia="nl-NL"/>
              </w:rPr>
              <w:t xml:space="preserve">. Dat is zo, dus is er geen sprake van maximering. </w:t>
            </w:r>
          </w:p>
          <w:p w:rsidRPr="00FD1605" w:rsidR="00FD1605" w:rsidP="00FD1605" w:rsidRDefault="00FD1605" w14:paraId="150C3B05" w14:textId="5D1637EA">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Het vrij te laten bedrag aan inkomen is in dit geval €2</w:t>
            </w:r>
            <w:r w:rsidR="002033C0">
              <w:rPr>
                <w:rFonts w:eastAsia="Times New Roman" w:cs="Calibri"/>
                <w:color w:val="000000"/>
                <w:szCs w:val="18"/>
                <w:lang w:val="nl-NL" w:eastAsia="nl-NL"/>
              </w:rPr>
              <w:t>30,30</w:t>
            </w:r>
            <w:r w:rsidRPr="00FD1605">
              <w:rPr>
                <w:rFonts w:eastAsia="Times New Roman" w:cs="Calibri"/>
                <w:color w:val="000000"/>
                <w:szCs w:val="18"/>
                <w:lang w:val="nl-NL" w:eastAsia="nl-NL"/>
              </w:rPr>
              <w:t>.</w:t>
            </w:r>
          </w:p>
          <w:p w:rsidR="002341D5" w:rsidP="00FD1605" w:rsidRDefault="002341D5" w14:paraId="08A49CB7" w14:textId="77777777">
            <w:pPr>
              <w:spacing w:after="0" w:line="240" w:lineRule="auto"/>
              <w:rPr>
                <w:rFonts w:eastAsia="Times New Roman" w:cs="Calibri"/>
                <w:color w:val="000000"/>
                <w:szCs w:val="18"/>
                <w:lang w:val="nl-NL" w:eastAsia="nl-NL"/>
              </w:rPr>
            </w:pPr>
          </w:p>
          <w:p w:rsidR="002341D5" w:rsidP="00FD1605" w:rsidRDefault="002341D5" w14:paraId="58AA4508" w14:textId="3D9780BD">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 xml:space="preserve">De Toeslagenwet is een voorziening die aanvult tot aan het sociaal minimum. De Participatiewet is dit eveneens en kent een gelijk doel. De Participatiewet kent ook een vrijlatingsregeling met een percentage van </w:t>
            </w:r>
            <w:r w:rsidR="00077E40">
              <w:rPr>
                <w:rFonts w:eastAsia="Times New Roman" w:cs="Calibri"/>
                <w:color w:val="000000"/>
                <w:szCs w:val="18"/>
                <w:lang w:val="nl-NL" w:eastAsia="nl-NL"/>
              </w:rPr>
              <w:t>1</w:t>
            </w:r>
            <w:r w:rsidRPr="00FD1605">
              <w:rPr>
                <w:rFonts w:eastAsia="Times New Roman" w:cs="Calibri"/>
                <w:color w:val="000000"/>
                <w:szCs w:val="18"/>
                <w:lang w:val="nl-NL" w:eastAsia="nl-NL"/>
              </w:rPr>
              <w:t>5% met een duur van 1 jaar en bevat eveneens een maximering van het vrij te laten bedrag aan inkomen uit arbeid. Bij de invoering van de Toeslagenwet en de vormgeving van de vrijlatingsregel is toentertijd expliciet aangesloten bij de maximering van de vrijlatingsregeling in de Algemene Bijstandswet (ABW). Afschaffing van de maximering in de vrijlating van de Toeslagenwet zou</w:t>
            </w:r>
            <w:r w:rsidR="007C449C">
              <w:rPr>
                <w:rFonts w:eastAsia="Times New Roman" w:cs="Calibri"/>
                <w:color w:val="000000"/>
                <w:szCs w:val="18"/>
                <w:lang w:val="nl-NL" w:eastAsia="nl-NL"/>
              </w:rPr>
              <w:t xml:space="preserve"> </w:t>
            </w:r>
            <w:r w:rsidRPr="00FD1605">
              <w:rPr>
                <w:rFonts w:eastAsia="Times New Roman" w:cs="Calibri"/>
                <w:color w:val="000000"/>
                <w:szCs w:val="18"/>
                <w:lang w:val="nl-NL" w:eastAsia="nl-NL"/>
              </w:rPr>
              <w:t xml:space="preserve">een </w:t>
            </w:r>
            <w:r w:rsidR="00167656">
              <w:rPr>
                <w:rFonts w:eastAsia="Times New Roman" w:cs="Calibri"/>
                <w:color w:val="000000"/>
                <w:szCs w:val="18"/>
                <w:lang w:val="nl-NL" w:eastAsia="nl-NL"/>
              </w:rPr>
              <w:t xml:space="preserve">groter </w:t>
            </w:r>
            <w:r w:rsidRPr="00FD1605">
              <w:rPr>
                <w:rFonts w:eastAsia="Times New Roman" w:cs="Calibri"/>
                <w:color w:val="000000"/>
                <w:szCs w:val="18"/>
                <w:lang w:val="nl-NL" w:eastAsia="nl-NL"/>
              </w:rPr>
              <w:t>verschil creëren.</w:t>
            </w:r>
          </w:p>
          <w:p w:rsidR="002341D5" w:rsidP="00FD1605" w:rsidRDefault="002341D5" w14:paraId="755D5CDA" w14:textId="77777777">
            <w:pPr>
              <w:spacing w:after="0" w:line="240" w:lineRule="auto"/>
              <w:rPr>
                <w:rFonts w:eastAsia="Times New Roman" w:cs="Calibri"/>
                <w:color w:val="000000"/>
                <w:szCs w:val="18"/>
                <w:lang w:val="nl-NL" w:eastAsia="nl-NL"/>
              </w:rPr>
            </w:pPr>
          </w:p>
          <w:p w:rsidRPr="00704454" w:rsidR="002341D5" w:rsidP="00FD1605" w:rsidRDefault="002341D5" w14:paraId="73B663C8" w14:textId="7832AD18">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 xml:space="preserve">Bij invoering van de Toeslagenwet is de maximering van het vrij te laten bedrag toegepast in overeenstemming met de maximering in de toenmalige Algemene bijstandswet. De huidige Participatiewet bevat nog steeds een maximeringsbepaling. Zowel de Toeslagenwet als de Participatiewet zijn minimaregelingen, een afwijking in de criteria dient uitlegbaar te zijn. </w:t>
            </w:r>
          </w:p>
        </w:tc>
      </w:tr>
    </w:tbl>
    <w:p w:rsidR="009612CE" w:rsidRDefault="009612CE" w14:paraId="25C991F9" w14:textId="77777777">
      <w:pPr>
        <w:rPr>
          <w:lang w:val="nl-NL"/>
        </w:rPr>
      </w:pPr>
    </w:p>
    <w:p w:rsidR="00B62A41" w:rsidRDefault="00B62A41" w14:paraId="64D46FE1" w14:textId="77777777">
      <w:pPr>
        <w:rPr>
          <w:lang w:val="nl-NL"/>
        </w:rPr>
      </w:pPr>
    </w:p>
    <w:p w:rsidRPr="008B5441" w:rsidR="00B575DB" w:rsidRDefault="00B575DB" w14:paraId="49AB71A7" w14:textId="77777777">
      <w:pPr>
        <w:rPr>
          <w:lang w:val="nl-NL"/>
        </w:rPr>
      </w:pPr>
    </w:p>
    <w:tbl>
      <w:tblPr>
        <w:tblW w:w="10572" w:type="dxa"/>
        <w:tblInd w:w="-436" w:type="dxa"/>
        <w:tblCellMar>
          <w:left w:w="70" w:type="dxa"/>
          <w:right w:w="70" w:type="dxa"/>
        </w:tblCellMar>
        <w:tblLook w:val="04A0" w:firstRow="1" w:lastRow="0" w:firstColumn="1" w:lastColumn="0" w:noHBand="0" w:noVBand="1"/>
      </w:tblPr>
      <w:tblGrid>
        <w:gridCol w:w="2072"/>
        <w:gridCol w:w="8500"/>
      </w:tblGrid>
      <w:tr w:rsidRPr="00EB3835" w:rsidR="00836AF5" w:rsidTr="009612CE" w14:paraId="28DCA1E5" w14:textId="77777777">
        <w:trPr>
          <w:trHeight w:val="300"/>
        </w:trPr>
        <w:tc>
          <w:tcPr>
            <w:tcW w:w="2072" w:type="dxa"/>
            <w:tcBorders>
              <w:top w:val="single" w:color="auto" w:sz="8" w:space="0"/>
              <w:left w:val="single" w:color="auto" w:sz="8" w:space="0"/>
              <w:bottom w:val="single" w:color="auto" w:sz="8" w:space="0"/>
              <w:right w:val="nil"/>
            </w:tcBorders>
            <w:shd w:val="clear" w:color="auto" w:fill="auto"/>
            <w:noWrap/>
          </w:tcPr>
          <w:p w:rsidRPr="00FD1605" w:rsidR="00E2272F" w:rsidP="00836AF5" w:rsidRDefault="00E2272F" w14:paraId="504B027F" w14:textId="77777777">
            <w:pPr>
              <w:spacing w:after="0" w:line="240" w:lineRule="auto"/>
              <w:rPr>
                <w:rFonts w:eastAsia="Times New Roman" w:cs="Calibri"/>
                <w:b/>
                <w:bCs/>
                <w:color w:val="000000"/>
                <w:szCs w:val="18"/>
                <w:lang w:val="nl-NL" w:eastAsia="nl-NL"/>
              </w:rPr>
            </w:pPr>
          </w:p>
          <w:p w:rsidRPr="00704454" w:rsidR="00836AF5" w:rsidP="00836AF5" w:rsidRDefault="00836AF5" w14:paraId="3789F0AA" w14:textId="394968EC">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Maatregel</w:t>
            </w:r>
          </w:p>
        </w:tc>
        <w:tc>
          <w:tcPr>
            <w:tcW w:w="8500" w:type="dxa"/>
            <w:tcBorders>
              <w:top w:val="single" w:color="auto" w:sz="8" w:space="0"/>
              <w:left w:val="single" w:color="auto" w:sz="4" w:space="0"/>
              <w:bottom w:val="single" w:color="auto" w:sz="4" w:space="0"/>
              <w:right w:val="single" w:color="auto" w:sz="4" w:space="0"/>
            </w:tcBorders>
            <w:shd w:val="clear" w:color="auto" w:fill="auto"/>
            <w:noWrap/>
          </w:tcPr>
          <w:p w:rsidRPr="00913061" w:rsidR="00836AF5" w:rsidP="00E2272F" w:rsidRDefault="00756F6B" w14:paraId="41E27CDA" w14:textId="06AB6F6C">
            <w:pPr>
              <w:pStyle w:val="Kop1"/>
              <w:rPr>
                <w:rFonts w:ascii="Verdana" w:hAnsi="Verdana" w:eastAsia="Times New Roman" w:cs="Calibri"/>
                <w:b/>
                <w:bCs/>
                <w:color w:val="auto"/>
                <w:sz w:val="18"/>
                <w:szCs w:val="18"/>
                <w:lang w:val="nl-NL" w:eastAsia="nl-NL"/>
              </w:rPr>
            </w:pPr>
            <w:bookmarkStart w:name="_Toc223522231" w:id="9"/>
            <w:r>
              <w:rPr>
                <w:rFonts w:ascii="Verdana" w:hAnsi="Verdana" w:eastAsia="Times New Roman" w:cs="Calibri"/>
                <w:b/>
                <w:bCs/>
                <w:color w:val="auto"/>
                <w:sz w:val="18"/>
                <w:szCs w:val="18"/>
                <w:lang w:val="nl-NL" w:eastAsia="nl-NL"/>
              </w:rPr>
              <w:t>B</w:t>
            </w:r>
            <w:r w:rsidRPr="00913061" w:rsidR="00836AF5">
              <w:rPr>
                <w:rFonts w:ascii="Verdana" w:hAnsi="Verdana" w:eastAsia="Times New Roman" w:cs="Calibri"/>
                <w:b/>
                <w:bCs/>
                <w:color w:val="auto"/>
                <w:sz w:val="18"/>
                <w:szCs w:val="18"/>
                <w:lang w:val="nl-NL" w:eastAsia="nl-NL"/>
              </w:rPr>
              <w:t>.</w:t>
            </w:r>
            <w:r>
              <w:rPr>
                <w:rFonts w:ascii="Verdana" w:hAnsi="Verdana" w:eastAsia="Times New Roman" w:cs="Calibri"/>
                <w:b/>
                <w:bCs/>
                <w:color w:val="auto"/>
                <w:sz w:val="18"/>
                <w:szCs w:val="18"/>
                <w:lang w:val="nl-NL" w:eastAsia="nl-NL"/>
              </w:rPr>
              <w:t>6</w:t>
            </w:r>
            <w:r w:rsidRPr="00913061" w:rsidR="00836AF5">
              <w:rPr>
                <w:rFonts w:ascii="Verdana" w:hAnsi="Verdana" w:eastAsia="Times New Roman" w:cs="Calibri"/>
                <w:b/>
                <w:bCs/>
                <w:color w:val="auto"/>
                <w:sz w:val="18"/>
                <w:szCs w:val="18"/>
                <w:lang w:val="nl-NL" w:eastAsia="nl-NL"/>
              </w:rPr>
              <w:t xml:space="preserve"> </w:t>
            </w:r>
            <w:r w:rsidRPr="00913061" w:rsidR="00836AF5">
              <w:rPr>
                <w:rFonts w:ascii="Verdana" w:hAnsi="Verdana"/>
                <w:b/>
                <w:bCs/>
                <w:color w:val="auto"/>
                <w:sz w:val="18"/>
                <w:szCs w:val="18"/>
                <w:lang w:val="nl-NL"/>
              </w:rPr>
              <w:t>Harmoniseren TW-</w:t>
            </w:r>
            <w:r w:rsidRPr="00913061" w:rsidR="00B030C1">
              <w:rPr>
                <w:rFonts w:ascii="Verdana" w:hAnsi="Verdana"/>
                <w:b/>
                <w:bCs/>
                <w:color w:val="auto"/>
                <w:sz w:val="18"/>
                <w:szCs w:val="18"/>
                <w:lang w:val="nl-NL"/>
              </w:rPr>
              <w:t xml:space="preserve">berekening </w:t>
            </w:r>
            <w:r w:rsidRPr="00913061" w:rsidR="00836AF5">
              <w:rPr>
                <w:rFonts w:ascii="Verdana" w:hAnsi="Verdana"/>
                <w:b/>
                <w:bCs/>
                <w:color w:val="auto"/>
                <w:sz w:val="18"/>
                <w:szCs w:val="18"/>
                <w:lang w:val="nl-NL"/>
              </w:rPr>
              <w:t xml:space="preserve">met </w:t>
            </w:r>
            <w:r w:rsidRPr="00913061" w:rsidR="0087348C">
              <w:rPr>
                <w:rFonts w:ascii="Verdana" w:hAnsi="Verdana"/>
                <w:b/>
                <w:bCs/>
                <w:color w:val="auto"/>
                <w:sz w:val="18"/>
                <w:szCs w:val="18"/>
                <w:lang w:val="nl-NL"/>
              </w:rPr>
              <w:t>basiswetuitkeringen</w:t>
            </w:r>
            <w:bookmarkEnd w:id="9"/>
          </w:p>
        </w:tc>
      </w:tr>
      <w:tr w:rsidRPr="00EB3835" w:rsidR="00836AF5" w:rsidTr="009612CE" w14:paraId="425D6979" w14:textId="77777777">
        <w:trPr>
          <w:trHeight w:val="315"/>
        </w:trPr>
        <w:tc>
          <w:tcPr>
            <w:tcW w:w="2072" w:type="dxa"/>
            <w:tcBorders>
              <w:top w:val="nil"/>
              <w:left w:val="single" w:color="auto" w:sz="8" w:space="0"/>
              <w:bottom w:val="single" w:color="auto" w:sz="8" w:space="0"/>
              <w:right w:val="nil"/>
            </w:tcBorders>
            <w:shd w:val="clear" w:color="auto" w:fill="auto"/>
            <w:noWrap/>
          </w:tcPr>
          <w:p w:rsidRPr="00704454" w:rsidR="00836AF5" w:rsidP="00836AF5" w:rsidRDefault="00836AF5" w14:paraId="3310D5D8"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Korte uitleg maatregel</w:t>
            </w:r>
          </w:p>
        </w:tc>
        <w:tc>
          <w:tcPr>
            <w:tcW w:w="8500" w:type="dxa"/>
            <w:tcBorders>
              <w:top w:val="single" w:color="auto" w:sz="4" w:space="0"/>
              <w:left w:val="single" w:color="auto" w:sz="4" w:space="0"/>
              <w:bottom w:val="single" w:color="auto" w:sz="8" w:space="0"/>
              <w:right w:val="single" w:color="auto" w:sz="4" w:space="0"/>
            </w:tcBorders>
            <w:shd w:val="clear" w:color="auto" w:fill="auto"/>
            <w:noWrap/>
          </w:tcPr>
          <w:p w:rsidRPr="00FD1605" w:rsidR="00836AF5" w:rsidP="00836AF5" w:rsidRDefault="00836AF5" w14:paraId="27E88B99" w14:textId="77777777">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Bij de invoering van de TW in 1987 was de TW een vervanging van minimumdagloonregelingen voor de WW, WWV en AAW. Als uitgangspunt gold dat gelet op de minimumbehoeftefunctie het noodzakelijk was dat zo strikt mogelijk moet worden aangesloten bij de situatie die per dag kan wijzigen.</w:t>
            </w:r>
            <w:r w:rsidRPr="00704454">
              <w:rPr>
                <w:rStyle w:val="Voetnootmarkering"/>
                <w:rFonts w:eastAsia="Times New Roman" w:cs="Calibri"/>
                <w:color w:val="000000"/>
                <w:szCs w:val="18"/>
                <w:lang w:val="nl-NL" w:eastAsia="nl-NL"/>
              </w:rPr>
              <w:footnoteReference w:id="8"/>
            </w:r>
            <w:r w:rsidRPr="00FD1605">
              <w:rPr>
                <w:rFonts w:eastAsia="Times New Roman" w:cs="Calibri"/>
                <w:color w:val="000000"/>
                <w:szCs w:val="18"/>
                <w:lang w:val="nl-NL" w:eastAsia="nl-NL"/>
              </w:rPr>
              <w:t xml:space="preserve"> De hoogte van de toeslag is afhankelijk van de leefvorm en van het inkomen van de toeslaggerechtigde en diens echtgenoot/partner. In de TW wordt nog steeds uitgegaan van (maximale) normbedragen per dag. </w:t>
            </w:r>
          </w:p>
          <w:p w:rsidRPr="00FD1605" w:rsidR="00836AF5" w:rsidP="00836AF5" w:rsidRDefault="00836AF5" w14:paraId="1F40350A" w14:textId="77777777">
            <w:pPr>
              <w:spacing w:after="0" w:line="240" w:lineRule="auto"/>
              <w:rPr>
                <w:rFonts w:eastAsia="Times New Roman" w:cs="Calibri"/>
                <w:color w:val="000000"/>
                <w:szCs w:val="18"/>
                <w:lang w:val="nl-NL" w:eastAsia="nl-NL"/>
              </w:rPr>
            </w:pPr>
          </w:p>
          <w:p w:rsidRPr="00FD1605" w:rsidR="00836AF5" w:rsidP="00836AF5" w:rsidRDefault="00836AF5" w14:paraId="7D3F8CE8" w14:textId="3B4A9B47">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Bij de uitkeringen van de basiswetten (zoals WW, WIA, WAO) vindt vaststelling van de hoogte van de uitkering op basis van een maandloon (21,75 maal het dagloon). Ook de betalingen van de uitkering vinden veelal maandelijks plaats (uitzondering is de ZW, waar per week wordt uitgekeerd).</w:t>
            </w:r>
          </w:p>
          <w:p w:rsidRPr="00FD1605" w:rsidR="00836AF5" w:rsidP="00836AF5" w:rsidRDefault="00836AF5" w14:paraId="0A0D9D0A" w14:textId="77777777">
            <w:pPr>
              <w:spacing w:after="0" w:line="240" w:lineRule="auto"/>
              <w:rPr>
                <w:rFonts w:eastAsia="Times New Roman" w:cs="Calibri"/>
                <w:color w:val="000000"/>
                <w:szCs w:val="18"/>
                <w:lang w:val="nl-NL" w:eastAsia="nl-NL"/>
              </w:rPr>
            </w:pPr>
          </w:p>
          <w:p w:rsidRPr="00FD1605" w:rsidR="00836AF5" w:rsidP="00836AF5" w:rsidRDefault="00836AF5" w14:paraId="474E4CBE" w14:textId="77777777">
            <w:pPr>
              <w:spacing w:after="0" w:line="240" w:lineRule="auto"/>
              <w:rPr>
                <w:szCs w:val="18"/>
                <w:lang w:val="nl-NL"/>
              </w:rPr>
            </w:pPr>
            <w:r w:rsidRPr="00FD1605">
              <w:rPr>
                <w:szCs w:val="18"/>
                <w:lang w:val="nl-NL"/>
              </w:rPr>
              <w:t>Voor d</w:t>
            </w:r>
            <w:r w:rsidRPr="00FD1605">
              <w:rPr>
                <w:szCs w:val="18"/>
                <w:lang w:val="nl-NL" w:eastAsia="nl-NL"/>
              </w:rPr>
              <w:t xml:space="preserve">e Toeslagenwet </w:t>
            </w:r>
            <w:r w:rsidRPr="00FD1605">
              <w:rPr>
                <w:szCs w:val="18"/>
                <w:lang w:val="nl-NL"/>
              </w:rPr>
              <w:t>en de basisuitkering gelden verschillende inkomensbegrippen, waarbij de Toeslagenwet op grond van de geldende bepalingen dient te worden vastgesteld per dag en de basisuitkeringen per maand. Hierdoor moet bij samenloop van deze uitkeringen, er teruggerekend worden naar dagbedragen, om vervolgens via een nieuwe berekening omgerekend te worden naar een maandbedrag dat wordt uitgekeerd aan de uitkeringsgerechtigde.</w:t>
            </w:r>
          </w:p>
          <w:p w:rsidRPr="00FD1605" w:rsidR="00836AF5" w:rsidP="00836AF5" w:rsidRDefault="00836AF5" w14:paraId="21E2F323" w14:textId="77777777">
            <w:pPr>
              <w:spacing w:after="0" w:line="240" w:lineRule="auto"/>
              <w:rPr>
                <w:rFonts w:eastAsia="Times New Roman" w:cs="Calibri"/>
                <w:color w:val="000000"/>
                <w:szCs w:val="18"/>
                <w:lang w:val="nl-NL" w:eastAsia="nl-NL"/>
              </w:rPr>
            </w:pPr>
          </w:p>
          <w:p w:rsidRPr="00FD1605" w:rsidR="00836AF5" w:rsidP="00836AF5" w:rsidRDefault="00836AF5" w14:paraId="10EBD52A" w14:textId="311BE24D">
            <w:pPr>
              <w:spacing w:after="0" w:line="240" w:lineRule="auto"/>
              <w:rPr>
                <w:szCs w:val="18"/>
                <w:lang w:val="nl-NL"/>
              </w:rPr>
            </w:pPr>
            <w:r w:rsidRPr="00FD1605">
              <w:rPr>
                <w:rFonts w:eastAsia="Times New Roman" w:cs="Calibri"/>
                <w:color w:val="000000"/>
                <w:szCs w:val="18"/>
                <w:lang w:val="nl-NL" w:eastAsia="nl-NL"/>
              </w:rPr>
              <w:t>Met deze maatregel worden de dagbedragen en maandbedragen in de van toepassing zijnde wetten en besluiten geharmoniseerd zodat dagbedragen niet langer hoeven te worden omgerekend naar maandbedragen en visa versa.</w:t>
            </w:r>
          </w:p>
        </w:tc>
      </w:tr>
      <w:tr w:rsidRPr="00EB3835" w:rsidR="00836AF5" w:rsidTr="009612CE" w14:paraId="3341794D" w14:textId="77777777">
        <w:trPr>
          <w:trHeight w:val="315"/>
        </w:trPr>
        <w:tc>
          <w:tcPr>
            <w:tcW w:w="2072" w:type="dxa"/>
            <w:tcBorders>
              <w:top w:val="nil"/>
              <w:left w:val="single" w:color="auto" w:sz="8" w:space="0"/>
              <w:bottom w:val="single" w:color="auto" w:sz="8" w:space="0"/>
              <w:right w:val="nil"/>
            </w:tcBorders>
            <w:shd w:val="clear" w:color="auto" w:fill="auto"/>
            <w:noWrap/>
          </w:tcPr>
          <w:p w:rsidRPr="00704454" w:rsidR="00836AF5" w:rsidP="00836AF5" w:rsidRDefault="00836AF5" w14:paraId="14A43029"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Doel maatregel</w:t>
            </w:r>
          </w:p>
        </w:tc>
        <w:tc>
          <w:tcPr>
            <w:tcW w:w="8500" w:type="dxa"/>
            <w:tcBorders>
              <w:top w:val="single" w:color="auto" w:sz="4" w:space="0"/>
              <w:left w:val="single" w:color="auto" w:sz="4" w:space="0"/>
              <w:bottom w:val="single" w:color="auto" w:sz="8" w:space="0"/>
              <w:right w:val="single" w:color="auto" w:sz="4" w:space="0"/>
            </w:tcBorders>
            <w:shd w:val="clear" w:color="auto" w:fill="auto"/>
            <w:noWrap/>
          </w:tcPr>
          <w:p w:rsidRPr="00FD1605" w:rsidR="00836AF5" w:rsidP="00836AF5" w:rsidRDefault="00836AF5" w14:paraId="797FB4A1" w14:textId="15C57A71">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 xml:space="preserve">Vereenvoudiging van de berekening van de hoogte van de TW-aanvulling en vergroten van de voorspelbaarheid van de inkomenssituatie van de uitkeringsgerechtigde. </w:t>
            </w:r>
          </w:p>
        </w:tc>
      </w:tr>
      <w:tr w:rsidRPr="00EB3835" w:rsidR="00836AF5" w:rsidTr="009612CE" w14:paraId="28F8E647" w14:textId="77777777">
        <w:trPr>
          <w:trHeight w:val="315"/>
        </w:trPr>
        <w:tc>
          <w:tcPr>
            <w:tcW w:w="2072" w:type="dxa"/>
            <w:tcBorders>
              <w:top w:val="nil"/>
              <w:left w:val="single" w:color="auto" w:sz="8" w:space="0"/>
              <w:bottom w:val="single" w:color="auto" w:sz="8" w:space="0"/>
              <w:right w:val="nil"/>
            </w:tcBorders>
            <w:shd w:val="clear" w:color="auto" w:fill="auto"/>
            <w:noWrap/>
          </w:tcPr>
          <w:p w:rsidRPr="00FD1605" w:rsidR="00836AF5" w:rsidP="00836AF5" w:rsidRDefault="00836AF5" w14:paraId="71D75FB4" w14:textId="77777777">
            <w:pPr>
              <w:spacing w:after="0" w:line="240" w:lineRule="auto"/>
              <w:rPr>
                <w:rFonts w:eastAsia="Times New Roman" w:cs="Calibri"/>
                <w:b/>
                <w:bCs/>
                <w:color w:val="000000"/>
                <w:szCs w:val="18"/>
                <w:lang w:val="nl-NL" w:eastAsia="nl-NL"/>
              </w:rPr>
            </w:pPr>
            <w:r w:rsidRPr="00FD1605">
              <w:rPr>
                <w:rFonts w:eastAsia="Times New Roman" w:cs="Calibri"/>
                <w:b/>
                <w:bCs/>
                <w:color w:val="000000"/>
                <w:szCs w:val="18"/>
                <w:lang w:val="nl-NL" w:eastAsia="nl-NL"/>
              </w:rPr>
              <w:t xml:space="preserve">Vereenvoudiging vanuit burgerperspectief (begrijpelijkheid, zekerheid en </w:t>
            </w:r>
            <w:proofErr w:type="spellStart"/>
            <w:r w:rsidRPr="00FD1605">
              <w:rPr>
                <w:rFonts w:eastAsia="Times New Roman" w:cs="Calibri"/>
                <w:b/>
                <w:bCs/>
                <w:color w:val="000000"/>
                <w:szCs w:val="18"/>
                <w:lang w:val="nl-NL" w:eastAsia="nl-NL"/>
              </w:rPr>
              <w:t>doenlijkheid</w:t>
            </w:r>
            <w:proofErr w:type="spellEnd"/>
            <w:r w:rsidRPr="00FD1605">
              <w:rPr>
                <w:rFonts w:eastAsia="Times New Roman" w:cs="Calibri"/>
                <w:b/>
                <w:bCs/>
                <w:color w:val="000000"/>
                <w:szCs w:val="18"/>
                <w:lang w:val="nl-NL" w:eastAsia="nl-NL"/>
              </w:rPr>
              <w:t>)</w:t>
            </w:r>
          </w:p>
        </w:tc>
        <w:tc>
          <w:tcPr>
            <w:tcW w:w="8500" w:type="dxa"/>
            <w:tcBorders>
              <w:top w:val="single" w:color="auto" w:sz="4" w:space="0"/>
              <w:left w:val="single" w:color="auto" w:sz="4" w:space="0"/>
              <w:bottom w:val="single" w:color="auto" w:sz="8" w:space="0"/>
              <w:right w:val="single" w:color="auto" w:sz="4" w:space="0"/>
            </w:tcBorders>
            <w:shd w:val="clear" w:color="auto" w:fill="auto"/>
            <w:noWrap/>
          </w:tcPr>
          <w:p w:rsidRPr="00704454" w:rsidR="00836AF5" w:rsidP="00836AF5" w:rsidRDefault="00851ACA" w14:paraId="6E7F6955" w14:textId="7951F659">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 xml:space="preserve">Mensen </w:t>
            </w:r>
            <w:r w:rsidRPr="00FD1605" w:rsidR="00836AF5">
              <w:rPr>
                <w:rFonts w:eastAsia="Times New Roman" w:cs="Calibri"/>
                <w:color w:val="000000"/>
                <w:szCs w:val="18"/>
                <w:lang w:val="nl-NL" w:eastAsia="nl-NL"/>
              </w:rPr>
              <w:t>merken hier weinig van. Berekeningen die door UWV worden verricht worden eenvoudiger</w:t>
            </w:r>
            <w:r w:rsidRPr="00FD1605" w:rsidR="00C94928">
              <w:rPr>
                <w:rFonts w:eastAsia="Times New Roman" w:cs="Calibri"/>
                <w:color w:val="000000"/>
                <w:szCs w:val="18"/>
                <w:lang w:val="nl-NL" w:eastAsia="nl-NL"/>
              </w:rPr>
              <w:t xml:space="preserve"> en </w:t>
            </w:r>
            <w:r w:rsidRPr="00FD1605" w:rsidR="00836AF5">
              <w:rPr>
                <w:rFonts w:eastAsia="Times New Roman" w:cs="Calibri"/>
                <w:color w:val="000000"/>
                <w:szCs w:val="18"/>
                <w:lang w:val="nl-NL" w:eastAsia="nl-NL"/>
              </w:rPr>
              <w:t>beter uitlegbaar</w:t>
            </w:r>
            <w:r w:rsidRPr="00FD1605" w:rsidR="00C94928">
              <w:rPr>
                <w:rFonts w:eastAsia="Times New Roman" w:cs="Calibri"/>
                <w:color w:val="000000"/>
                <w:szCs w:val="18"/>
                <w:lang w:val="nl-NL" w:eastAsia="nl-NL"/>
              </w:rPr>
              <w:t>.</w:t>
            </w:r>
          </w:p>
        </w:tc>
      </w:tr>
      <w:tr w:rsidRPr="00FD1605" w:rsidR="00836AF5" w:rsidTr="009612CE" w14:paraId="0DF10369" w14:textId="77777777">
        <w:trPr>
          <w:trHeight w:val="315"/>
        </w:trPr>
        <w:tc>
          <w:tcPr>
            <w:tcW w:w="2072" w:type="dxa"/>
            <w:tcBorders>
              <w:top w:val="nil"/>
              <w:left w:val="single" w:color="auto" w:sz="8" w:space="0"/>
              <w:bottom w:val="single" w:color="auto" w:sz="8" w:space="0"/>
              <w:right w:val="nil"/>
            </w:tcBorders>
            <w:shd w:val="clear" w:color="auto" w:fill="auto"/>
            <w:noWrap/>
          </w:tcPr>
          <w:p w:rsidRPr="00704454" w:rsidR="00836AF5" w:rsidP="00836AF5" w:rsidRDefault="00836AF5" w14:paraId="6FA70A21"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 xml:space="preserve">Keuzes binnen maatregel </w:t>
            </w:r>
          </w:p>
        </w:tc>
        <w:tc>
          <w:tcPr>
            <w:tcW w:w="8500" w:type="dxa"/>
            <w:tcBorders>
              <w:top w:val="single" w:color="auto" w:sz="4" w:space="0"/>
              <w:left w:val="single" w:color="auto" w:sz="4" w:space="0"/>
              <w:bottom w:val="single" w:color="auto" w:sz="8" w:space="0"/>
              <w:right w:val="single" w:color="auto" w:sz="4" w:space="0"/>
            </w:tcBorders>
            <w:shd w:val="clear" w:color="auto" w:fill="auto"/>
            <w:noWrap/>
          </w:tcPr>
          <w:p w:rsidRPr="00704454" w:rsidR="00836AF5" w:rsidP="00836AF5" w:rsidRDefault="00836AF5" w14:paraId="763C9A1B" w14:textId="77777777">
            <w:pPr>
              <w:spacing w:after="0" w:line="240" w:lineRule="auto"/>
              <w:rPr>
                <w:rFonts w:eastAsia="Times New Roman" w:cs="Calibri"/>
                <w:color w:val="000000"/>
                <w:szCs w:val="18"/>
                <w:lang w:val="nl-NL" w:eastAsia="nl-NL"/>
              </w:rPr>
            </w:pPr>
            <w:r w:rsidRPr="00704454">
              <w:rPr>
                <w:rFonts w:eastAsia="Times New Roman" w:cs="Calibri"/>
                <w:color w:val="000000"/>
                <w:szCs w:val="18"/>
                <w:lang w:val="nl-NL" w:eastAsia="nl-NL"/>
              </w:rPr>
              <w:t>Niet van toepassing</w:t>
            </w:r>
          </w:p>
        </w:tc>
      </w:tr>
      <w:tr w:rsidRPr="00EB3835" w:rsidR="00836AF5" w:rsidTr="009612CE" w14:paraId="62B586A8" w14:textId="77777777">
        <w:trPr>
          <w:trHeight w:val="315"/>
        </w:trPr>
        <w:tc>
          <w:tcPr>
            <w:tcW w:w="2072" w:type="dxa"/>
            <w:tcBorders>
              <w:top w:val="nil"/>
              <w:left w:val="single" w:color="auto" w:sz="8" w:space="0"/>
              <w:bottom w:val="single" w:color="auto" w:sz="8" w:space="0"/>
              <w:right w:val="nil"/>
            </w:tcBorders>
            <w:shd w:val="clear" w:color="auto" w:fill="auto"/>
            <w:noWrap/>
          </w:tcPr>
          <w:p w:rsidRPr="00704454" w:rsidR="00836AF5" w:rsidP="00836AF5" w:rsidRDefault="00836AF5" w14:paraId="721C8186"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Tijdpad inwerkingtreding</w:t>
            </w:r>
          </w:p>
        </w:tc>
        <w:tc>
          <w:tcPr>
            <w:tcW w:w="8500" w:type="dxa"/>
            <w:tcBorders>
              <w:top w:val="single" w:color="auto" w:sz="4" w:space="0"/>
              <w:left w:val="single" w:color="auto" w:sz="4" w:space="0"/>
              <w:bottom w:val="single" w:color="auto" w:sz="8" w:space="0"/>
              <w:right w:val="single" w:color="auto" w:sz="4" w:space="0"/>
            </w:tcBorders>
            <w:shd w:val="clear" w:color="auto" w:fill="auto"/>
            <w:noWrap/>
          </w:tcPr>
          <w:p w:rsidRPr="00FD1605" w:rsidR="00836AF5" w:rsidP="00836AF5" w:rsidRDefault="00836AF5" w14:paraId="3E8A824D" w14:textId="04E4E0FF">
            <w:pPr>
              <w:pStyle w:val="Lijstopsomteken2"/>
              <w:numPr>
                <w:ilvl w:val="0"/>
                <w:numId w:val="0"/>
              </w:numPr>
              <w:rPr>
                <w:iCs/>
              </w:rPr>
            </w:pPr>
            <w:r w:rsidRPr="00FD1605">
              <w:rPr>
                <w:rFonts w:eastAsia="Times New Roman"/>
              </w:rPr>
              <w:t>De TW (wet) moet worden gewijzigd, evenals lagere regelgeving (A</w:t>
            </w:r>
            <w:r w:rsidR="002F7D02">
              <w:rPr>
                <w:rFonts w:eastAsia="Times New Roman"/>
              </w:rPr>
              <w:t>M</w:t>
            </w:r>
            <w:r w:rsidRPr="00FD1605">
              <w:rPr>
                <w:rFonts w:eastAsia="Times New Roman"/>
              </w:rPr>
              <w:t>vB)</w:t>
            </w:r>
            <w:r w:rsidRPr="00FD1605">
              <w:rPr>
                <w:iCs/>
              </w:rPr>
              <w:t xml:space="preserve">. Als algemeen uitgangspunt wordt bij een wetswijziging uitgegaan van een wetgevingstraject dat gemiddeld 2 jaar duurt, en </w:t>
            </w:r>
            <w:r w:rsidR="00B575DB">
              <w:rPr>
                <w:iCs/>
              </w:rPr>
              <w:t>8</w:t>
            </w:r>
            <w:r w:rsidRPr="00FD1605">
              <w:rPr>
                <w:iCs/>
              </w:rPr>
              <w:t xml:space="preserve"> maanden voor lagere regelgeving.</w:t>
            </w:r>
            <w:r w:rsidRPr="00FD1605" w:rsidR="00141E15">
              <w:rPr>
                <w:iCs/>
              </w:rPr>
              <w:t xml:space="preserve"> Daarnaast </w:t>
            </w:r>
            <w:r w:rsidR="00DB5BD0">
              <w:rPr>
                <w:iCs/>
              </w:rPr>
              <w:t xml:space="preserve">dient </w:t>
            </w:r>
            <w:r w:rsidRPr="00FD1605" w:rsidR="00141E15">
              <w:rPr>
                <w:iCs/>
              </w:rPr>
              <w:t xml:space="preserve">rekening te worden gehouden met een implementatietermijn voor UWV. </w:t>
            </w:r>
            <w:r w:rsidRPr="00FD1605">
              <w:rPr>
                <w:iCs/>
              </w:rPr>
              <w:t xml:space="preserve"> </w:t>
            </w:r>
          </w:p>
        </w:tc>
      </w:tr>
      <w:tr w:rsidRPr="00EB3835" w:rsidR="00836AF5" w:rsidTr="009612CE" w14:paraId="6AF4E07D" w14:textId="77777777">
        <w:trPr>
          <w:trHeight w:val="315"/>
        </w:trPr>
        <w:tc>
          <w:tcPr>
            <w:tcW w:w="2072" w:type="dxa"/>
            <w:tcBorders>
              <w:top w:val="nil"/>
              <w:left w:val="single" w:color="auto" w:sz="8" w:space="0"/>
              <w:bottom w:val="single" w:color="auto" w:sz="8" w:space="0"/>
              <w:right w:val="nil"/>
            </w:tcBorders>
            <w:shd w:val="clear" w:color="auto" w:fill="auto"/>
            <w:noWrap/>
          </w:tcPr>
          <w:p w:rsidRPr="00704454" w:rsidR="00836AF5" w:rsidP="00836AF5" w:rsidRDefault="00836AF5" w14:paraId="68FBCE32"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Juridische haalbaarheid</w:t>
            </w:r>
          </w:p>
        </w:tc>
        <w:tc>
          <w:tcPr>
            <w:tcW w:w="8500" w:type="dxa"/>
            <w:tcBorders>
              <w:top w:val="single" w:color="auto" w:sz="4" w:space="0"/>
              <w:left w:val="single" w:color="auto" w:sz="4" w:space="0"/>
              <w:bottom w:val="single" w:color="auto" w:sz="8" w:space="0"/>
              <w:right w:val="single" w:color="auto" w:sz="4" w:space="0"/>
            </w:tcBorders>
            <w:shd w:val="clear" w:color="auto" w:fill="auto"/>
            <w:noWrap/>
          </w:tcPr>
          <w:p w:rsidRPr="00FD1605" w:rsidR="00836AF5" w:rsidP="00836AF5" w:rsidRDefault="00836AF5" w14:paraId="7E570201" w14:textId="3CC54A59">
            <w:pPr>
              <w:spacing w:after="0" w:line="240" w:lineRule="auto"/>
              <w:rPr>
                <w:rFonts w:eastAsia="Times New Roman" w:cs="Calibri"/>
                <w:color w:val="000000"/>
                <w:szCs w:val="18"/>
                <w:lang w:val="nl-NL" w:eastAsia="nl-NL"/>
              </w:rPr>
            </w:pPr>
            <w:r w:rsidRPr="00FD1605">
              <w:rPr>
                <w:color w:val="000000"/>
                <w:lang w:val="nl-NL" w:eastAsia="nl-NL"/>
              </w:rPr>
              <w:t xml:space="preserve">Er is aanpassing van zowel wetgeving als lagere regelgeving vereist. De samenhang met andere wetten en eventuele lagere regelgeving dient in kaart te worden gebracht. </w:t>
            </w:r>
          </w:p>
        </w:tc>
      </w:tr>
      <w:tr w:rsidRPr="00FD1605" w:rsidR="00836AF5" w:rsidTr="009612CE" w14:paraId="59782F01" w14:textId="77777777">
        <w:trPr>
          <w:trHeight w:val="315"/>
        </w:trPr>
        <w:tc>
          <w:tcPr>
            <w:tcW w:w="2072" w:type="dxa"/>
            <w:tcBorders>
              <w:top w:val="nil"/>
              <w:left w:val="single" w:color="auto" w:sz="8" w:space="0"/>
              <w:bottom w:val="single" w:color="auto" w:sz="8" w:space="0"/>
              <w:right w:val="nil"/>
            </w:tcBorders>
            <w:shd w:val="clear" w:color="auto" w:fill="auto"/>
            <w:noWrap/>
          </w:tcPr>
          <w:p w:rsidRPr="00704454" w:rsidR="00836AF5" w:rsidP="00836AF5" w:rsidRDefault="00836AF5" w14:paraId="4F550CA0"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Uitvoerbaarheid</w:t>
            </w:r>
          </w:p>
        </w:tc>
        <w:tc>
          <w:tcPr>
            <w:tcW w:w="8500" w:type="dxa"/>
            <w:tcBorders>
              <w:top w:val="single" w:color="auto" w:sz="4" w:space="0"/>
              <w:left w:val="single" w:color="auto" w:sz="4" w:space="0"/>
              <w:bottom w:val="single" w:color="auto" w:sz="8" w:space="0"/>
              <w:right w:val="single" w:color="auto" w:sz="4" w:space="0"/>
            </w:tcBorders>
            <w:shd w:val="clear" w:color="auto" w:fill="auto"/>
            <w:noWrap/>
          </w:tcPr>
          <w:p w:rsidRPr="00FD1605" w:rsidR="00836AF5" w:rsidP="00836AF5" w:rsidRDefault="00836AF5" w14:paraId="792D49E1" w14:textId="5F4C0A7D">
            <w:pPr>
              <w:spacing w:after="0" w:line="240" w:lineRule="auto"/>
              <w:rPr>
                <w:lang w:val="nl-NL"/>
              </w:rPr>
            </w:pPr>
            <w:r w:rsidRPr="00FD1605">
              <w:rPr>
                <w:lang w:val="nl-NL"/>
              </w:rPr>
              <w:t>Deze maatregel betreft vooral een vereenvoudiging voor de uitvoering. De foutgevoeligheid verdwijnt bij het omrekenen van maand naar dag en visa versa. Er zijn minder ‘omrekenstappen’.</w:t>
            </w:r>
            <w:r w:rsidRPr="00FD1605" w:rsidR="00141E15">
              <w:rPr>
                <w:lang w:val="nl-NL"/>
              </w:rPr>
              <w:t xml:space="preserve"> </w:t>
            </w:r>
          </w:p>
        </w:tc>
      </w:tr>
      <w:tr w:rsidRPr="00EB3835" w:rsidR="00836AF5" w:rsidTr="009612CE" w14:paraId="23D747F7" w14:textId="77777777">
        <w:trPr>
          <w:trHeight w:val="315"/>
        </w:trPr>
        <w:tc>
          <w:tcPr>
            <w:tcW w:w="2072" w:type="dxa"/>
            <w:tcBorders>
              <w:top w:val="nil"/>
              <w:left w:val="single" w:color="auto" w:sz="8" w:space="0"/>
              <w:bottom w:val="single" w:color="auto" w:sz="8" w:space="0"/>
              <w:right w:val="nil"/>
            </w:tcBorders>
            <w:shd w:val="clear" w:color="auto" w:fill="auto"/>
            <w:noWrap/>
          </w:tcPr>
          <w:p w:rsidRPr="00704454" w:rsidR="00836AF5" w:rsidP="00836AF5" w:rsidRDefault="00836AF5" w14:paraId="72B01359"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Financiële effecten</w:t>
            </w:r>
          </w:p>
        </w:tc>
        <w:tc>
          <w:tcPr>
            <w:tcW w:w="8500" w:type="dxa"/>
            <w:tcBorders>
              <w:top w:val="single" w:color="auto" w:sz="4" w:space="0"/>
              <w:left w:val="single" w:color="auto" w:sz="4" w:space="0"/>
              <w:bottom w:val="single" w:color="auto" w:sz="8" w:space="0"/>
              <w:right w:val="single" w:color="auto" w:sz="4" w:space="0"/>
            </w:tcBorders>
            <w:shd w:val="clear" w:color="auto" w:fill="auto"/>
            <w:noWrap/>
          </w:tcPr>
          <w:p w:rsidRPr="00FD1605" w:rsidR="00836AF5" w:rsidP="00836AF5" w:rsidRDefault="00836AF5" w14:paraId="5EF62431" w14:textId="31BB1A6D">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 xml:space="preserve">Er worden geen </w:t>
            </w:r>
            <w:r w:rsidRPr="00FD1605" w:rsidR="00330DB7">
              <w:rPr>
                <w:rFonts w:eastAsia="Times New Roman" w:cs="Calibri"/>
                <w:color w:val="000000"/>
                <w:szCs w:val="18"/>
                <w:lang w:val="nl-NL" w:eastAsia="nl-NL"/>
              </w:rPr>
              <w:t xml:space="preserve">structurele </w:t>
            </w:r>
            <w:r w:rsidRPr="00FD1605">
              <w:rPr>
                <w:rFonts w:eastAsia="Times New Roman" w:cs="Calibri"/>
                <w:color w:val="000000"/>
                <w:szCs w:val="18"/>
                <w:lang w:val="nl-NL" w:eastAsia="nl-NL"/>
              </w:rPr>
              <w:t>financiële effecten verwacht.</w:t>
            </w:r>
            <w:r w:rsidRPr="00FD1605" w:rsidR="00330DB7">
              <w:rPr>
                <w:rFonts w:eastAsia="Times New Roman" w:cs="Calibri"/>
                <w:color w:val="000000"/>
                <w:szCs w:val="18"/>
                <w:lang w:val="nl-NL" w:eastAsia="nl-NL"/>
              </w:rPr>
              <w:t xml:space="preserve"> De eenmalige uitvoeringskosten voor het doorvoeren van de wijziging zouden in een uitvoeringstoets moeten worden uitgezocht.</w:t>
            </w:r>
          </w:p>
        </w:tc>
      </w:tr>
      <w:tr w:rsidRPr="00FD1605" w:rsidR="00836AF5" w:rsidTr="009612CE" w14:paraId="34133A1A" w14:textId="77777777">
        <w:trPr>
          <w:trHeight w:val="315"/>
        </w:trPr>
        <w:tc>
          <w:tcPr>
            <w:tcW w:w="2072" w:type="dxa"/>
            <w:tcBorders>
              <w:top w:val="nil"/>
              <w:left w:val="single" w:color="auto" w:sz="8" w:space="0"/>
              <w:bottom w:val="single" w:color="auto" w:sz="8" w:space="0"/>
              <w:right w:val="nil"/>
            </w:tcBorders>
            <w:shd w:val="clear" w:color="auto" w:fill="auto"/>
            <w:noWrap/>
          </w:tcPr>
          <w:p w:rsidRPr="00704454" w:rsidR="00836AF5" w:rsidP="00836AF5" w:rsidRDefault="00836AF5" w14:paraId="14F0923E"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Toelichting raming</w:t>
            </w:r>
          </w:p>
        </w:tc>
        <w:tc>
          <w:tcPr>
            <w:tcW w:w="8500" w:type="dxa"/>
            <w:tcBorders>
              <w:top w:val="single" w:color="auto" w:sz="4" w:space="0"/>
              <w:left w:val="single" w:color="auto" w:sz="4" w:space="0"/>
              <w:bottom w:val="single" w:color="auto" w:sz="8" w:space="0"/>
              <w:right w:val="single" w:color="auto" w:sz="4" w:space="0"/>
            </w:tcBorders>
            <w:shd w:val="clear" w:color="auto" w:fill="auto"/>
            <w:noWrap/>
          </w:tcPr>
          <w:p w:rsidRPr="00FD1605" w:rsidR="00836AF5" w:rsidP="00836AF5" w:rsidRDefault="00DF2B59" w14:paraId="34336E17" w14:textId="6CFA9FBD">
            <w:pPr>
              <w:spacing w:after="0" w:line="240" w:lineRule="auto"/>
              <w:rPr>
                <w:rFonts w:eastAsia="Times New Roman" w:cs="Calibri"/>
                <w:color w:val="000000"/>
                <w:szCs w:val="18"/>
                <w:lang w:val="nl-NL" w:eastAsia="nl-NL"/>
              </w:rPr>
            </w:pPr>
            <w:bookmarkStart w:name="_Hlk174349979" w:id="10"/>
            <w:r w:rsidRPr="00FD1605">
              <w:rPr>
                <w:rFonts w:eastAsia="Times New Roman" w:cs="Calibri"/>
                <w:color w:val="000000"/>
                <w:szCs w:val="18"/>
                <w:lang w:val="nl-NL" w:eastAsia="nl-NL"/>
              </w:rPr>
              <w:t>De maatregel betreft een technische vereenvoudiging voor UWV. Er vindt geen wijziging in de uitkeringslasten plaats. De maatregel leidt mogelijk tot minder uitvoeringskosten.</w:t>
            </w:r>
            <w:bookmarkEnd w:id="10"/>
          </w:p>
        </w:tc>
      </w:tr>
      <w:tr w:rsidRPr="00FD1605" w:rsidR="00836AF5" w:rsidTr="009612CE" w14:paraId="27149BAB" w14:textId="77777777">
        <w:trPr>
          <w:trHeight w:val="315"/>
        </w:trPr>
        <w:tc>
          <w:tcPr>
            <w:tcW w:w="2072" w:type="dxa"/>
            <w:tcBorders>
              <w:top w:val="nil"/>
              <w:left w:val="single" w:color="auto" w:sz="8" w:space="0"/>
              <w:bottom w:val="single" w:color="auto" w:sz="8" w:space="0"/>
              <w:right w:val="nil"/>
            </w:tcBorders>
            <w:shd w:val="clear" w:color="auto" w:fill="auto"/>
            <w:noWrap/>
          </w:tcPr>
          <w:p w:rsidRPr="00704454" w:rsidR="00836AF5" w:rsidP="00836AF5" w:rsidRDefault="00836AF5" w14:paraId="60A8D7CD"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Inkomens-</w:t>
            </w:r>
          </w:p>
          <w:p w:rsidRPr="00704454" w:rsidR="00836AF5" w:rsidP="00836AF5" w:rsidRDefault="00836AF5" w14:paraId="486BC3F1"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effecten</w:t>
            </w:r>
          </w:p>
        </w:tc>
        <w:tc>
          <w:tcPr>
            <w:tcW w:w="8500" w:type="dxa"/>
            <w:tcBorders>
              <w:top w:val="single" w:color="auto" w:sz="4" w:space="0"/>
              <w:left w:val="single" w:color="auto" w:sz="4" w:space="0"/>
              <w:bottom w:val="single" w:color="auto" w:sz="8" w:space="0"/>
              <w:right w:val="single" w:color="auto" w:sz="4" w:space="0"/>
            </w:tcBorders>
            <w:shd w:val="clear" w:color="auto" w:fill="auto"/>
            <w:noWrap/>
          </w:tcPr>
          <w:p w:rsidRPr="00704454" w:rsidR="00836AF5" w:rsidP="00836AF5" w:rsidRDefault="00836AF5" w14:paraId="6948C0AD" w14:textId="77777777">
            <w:pPr>
              <w:spacing w:after="0" w:line="240" w:lineRule="auto"/>
              <w:rPr>
                <w:rFonts w:eastAsia="Times New Roman" w:cs="Calibri"/>
                <w:color w:val="000000"/>
                <w:szCs w:val="18"/>
                <w:lang w:val="nl-NL" w:eastAsia="nl-NL"/>
              </w:rPr>
            </w:pPr>
            <w:r w:rsidRPr="00704454">
              <w:rPr>
                <w:rFonts w:eastAsia="Times New Roman" w:cs="Calibri"/>
                <w:color w:val="000000"/>
                <w:szCs w:val="18"/>
                <w:lang w:val="nl-NL" w:eastAsia="nl-NL"/>
              </w:rPr>
              <w:t>Geen</w:t>
            </w:r>
          </w:p>
        </w:tc>
      </w:tr>
      <w:tr w:rsidRPr="00FD1605" w:rsidR="00836AF5" w:rsidTr="009612CE" w14:paraId="015515D1" w14:textId="77777777">
        <w:trPr>
          <w:trHeight w:val="315"/>
        </w:trPr>
        <w:tc>
          <w:tcPr>
            <w:tcW w:w="2072" w:type="dxa"/>
            <w:tcBorders>
              <w:top w:val="nil"/>
              <w:left w:val="single" w:color="auto" w:sz="8" w:space="0"/>
              <w:bottom w:val="single" w:color="auto" w:sz="8" w:space="0"/>
              <w:right w:val="nil"/>
            </w:tcBorders>
            <w:shd w:val="clear" w:color="auto" w:fill="auto"/>
            <w:noWrap/>
          </w:tcPr>
          <w:p w:rsidRPr="00704454" w:rsidR="00836AF5" w:rsidP="00836AF5" w:rsidRDefault="00836AF5" w14:paraId="5CA4BB66"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Arbeidsmarkt-effecten</w:t>
            </w:r>
          </w:p>
        </w:tc>
        <w:tc>
          <w:tcPr>
            <w:tcW w:w="8500" w:type="dxa"/>
            <w:tcBorders>
              <w:top w:val="single" w:color="auto" w:sz="4" w:space="0"/>
              <w:left w:val="single" w:color="auto" w:sz="4" w:space="0"/>
              <w:bottom w:val="single" w:color="auto" w:sz="8" w:space="0"/>
              <w:right w:val="single" w:color="auto" w:sz="4" w:space="0"/>
            </w:tcBorders>
            <w:shd w:val="clear" w:color="auto" w:fill="auto"/>
            <w:noWrap/>
          </w:tcPr>
          <w:p w:rsidRPr="00704454" w:rsidR="00836AF5" w:rsidP="00836AF5" w:rsidRDefault="00836AF5" w14:paraId="36B60E73" w14:textId="77777777">
            <w:pPr>
              <w:spacing w:after="0" w:line="240" w:lineRule="auto"/>
              <w:rPr>
                <w:rFonts w:eastAsia="Times New Roman" w:cs="Calibri"/>
                <w:color w:val="000000"/>
                <w:szCs w:val="18"/>
                <w:lang w:val="nl-NL" w:eastAsia="nl-NL"/>
              </w:rPr>
            </w:pPr>
            <w:r w:rsidRPr="00704454">
              <w:rPr>
                <w:rFonts w:eastAsia="Times New Roman" w:cs="Calibri"/>
                <w:color w:val="000000"/>
                <w:szCs w:val="18"/>
                <w:lang w:val="nl-NL" w:eastAsia="nl-NL"/>
              </w:rPr>
              <w:t>Geen</w:t>
            </w:r>
          </w:p>
        </w:tc>
      </w:tr>
      <w:tr w:rsidRPr="00FD1605" w:rsidR="00836AF5" w:rsidTr="009612CE" w14:paraId="070C7887" w14:textId="77777777">
        <w:trPr>
          <w:trHeight w:val="315"/>
        </w:trPr>
        <w:tc>
          <w:tcPr>
            <w:tcW w:w="2072" w:type="dxa"/>
            <w:tcBorders>
              <w:top w:val="nil"/>
              <w:left w:val="single" w:color="auto" w:sz="8" w:space="0"/>
              <w:bottom w:val="single" w:color="auto" w:sz="8" w:space="0"/>
              <w:right w:val="nil"/>
            </w:tcBorders>
            <w:shd w:val="clear" w:color="auto" w:fill="auto"/>
            <w:noWrap/>
          </w:tcPr>
          <w:p w:rsidRPr="00704454" w:rsidR="00836AF5" w:rsidP="00836AF5" w:rsidRDefault="00836AF5" w14:paraId="3832A3B4"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Overige relevante aspecten</w:t>
            </w:r>
          </w:p>
        </w:tc>
        <w:tc>
          <w:tcPr>
            <w:tcW w:w="8500" w:type="dxa"/>
            <w:tcBorders>
              <w:top w:val="single" w:color="auto" w:sz="4" w:space="0"/>
              <w:left w:val="single" w:color="auto" w:sz="4" w:space="0"/>
              <w:bottom w:val="single" w:color="auto" w:sz="8" w:space="0"/>
              <w:right w:val="single" w:color="auto" w:sz="4" w:space="0"/>
            </w:tcBorders>
            <w:shd w:val="clear" w:color="auto" w:fill="auto"/>
            <w:noWrap/>
          </w:tcPr>
          <w:p w:rsidRPr="00704454" w:rsidR="00836AF5" w:rsidP="00836AF5" w:rsidRDefault="00836AF5" w14:paraId="09BF13C0" w14:textId="77777777">
            <w:pPr>
              <w:spacing w:after="0" w:line="240" w:lineRule="auto"/>
              <w:rPr>
                <w:rFonts w:eastAsia="Times New Roman" w:cs="Calibri"/>
                <w:color w:val="000000"/>
                <w:szCs w:val="18"/>
                <w:lang w:val="nl-NL" w:eastAsia="nl-NL"/>
              </w:rPr>
            </w:pPr>
            <w:r w:rsidRPr="00704454">
              <w:rPr>
                <w:rFonts w:eastAsia="Times New Roman" w:cs="Calibri"/>
                <w:color w:val="000000"/>
                <w:szCs w:val="18"/>
                <w:lang w:val="nl-NL" w:eastAsia="nl-NL"/>
              </w:rPr>
              <w:t>Niet van toepassing</w:t>
            </w:r>
          </w:p>
          <w:p w:rsidRPr="00704454" w:rsidR="00836AF5" w:rsidP="00836AF5" w:rsidRDefault="00836AF5" w14:paraId="02656626" w14:textId="77777777">
            <w:pPr>
              <w:spacing w:after="0" w:line="240" w:lineRule="auto"/>
              <w:rPr>
                <w:rFonts w:eastAsia="Times New Roman" w:cs="Calibri"/>
                <w:color w:val="000000"/>
                <w:szCs w:val="18"/>
                <w:lang w:val="nl-NL" w:eastAsia="nl-NL"/>
              </w:rPr>
            </w:pPr>
          </w:p>
        </w:tc>
      </w:tr>
    </w:tbl>
    <w:p w:rsidRPr="00FD1605" w:rsidR="00141E15" w:rsidRDefault="00141E15" w14:paraId="2F6BC465" w14:textId="77777777">
      <w:pPr>
        <w:rPr>
          <w:lang w:val="nl-NL"/>
        </w:rPr>
      </w:pPr>
    </w:p>
    <w:p w:rsidRPr="00FD1605" w:rsidR="00EA07A0" w:rsidRDefault="00EA07A0" w14:paraId="7515C89B" w14:textId="5EFE7B5D">
      <w:pPr>
        <w:rPr>
          <w:lang w:val="nl-NL"/>
        </w:rPr>
      </w:pPr>
    </w:p>
    <w:tbl>
      <w:tblPr>
        <w:tblW w:w="10085" w:type="dxa"/>
        <w:tblInd w:w="-436" w:type="dxa"/>
        <w:tblCellMar>
          <w:left w:w="70" w:type="dxa"/>
          <w:right w:w="70" w:type="dxa"/>
        </w:tblCellMar>
        <w:tblLook w:val="04A0" w:firstRow="1" w:lastRow="0" w:firstColumn="1" w:lastColumn="0" w:noHBand="0" w:noVBand="1"/>
      </w:tblPr>
      <w:tblGrid>
        <w:gridCol w:w="2005"/>
        <w:gridCol w:w="8080"/>
      </w:tblGrid>
      <w:tr w:rsidRPr="00EB3835" w:rsidR="00EA07A0" w:rsidTr="00BF4FBB" w14:paraId="638CF179" w14:textId="77777777">
        <w:trPr>
          <w:trHeight w:val="300"/>
        </w:trPr>
        <w:tc>
          <w:tcPr>
            <w:tcW w:w="2005" w:type="dxa"/>
            <w:tcBorders>
              <w:top w:val="single" w:color="auto" w:sz="8" w:space="0"/>
              <w:left w:val="single" w:color="auto" w:sz="8" w:space="0"/>
              <w:bottom w:val="single" w:color="auto" w:sz="4" w:space="0"/>
              <w:right w:val="nil"/>
            </w:tcBorders>
            <w:shd w:val="clear" w:color="auto" w:fill="auto"/>
            <w:noWrap/>
            <w:hideMark/>
          </w:tcPr>
          <w:p w:rsidRPr="00704454" w:rsidR="00EA07A0" w:rsidP="00BF4FBB" w:rsidRDefault="00EA07A0" w14:paraId="44713A27" w14:textId="77777777">
            <w:pPr>
              <w:spacing w:after="0" w:line="240" w:lineRule="auto"/>
              <w:rPr>
                <w:rFonts w:eastAsia="Times New Roman" w:cs="Calibri"/>
                <w:b/>
                <w:bCs/>
                <w:color w:val="000000"/>
                <w:szCs w:val="18"/>
                <w:lang w:val="nl-NL" w:eastAsia="nl-NL"/>
              </w:rPr>
            </w:pPr>
          </w:p>
          <w:p w:rsidRPr="00704454" w:rsidR="00EA07A0" w:rsidP="00BF4FBB" w:rsidRDefault="00EA07A0" w14:paraId="20F8254A" w14:textId="77777777">
            <w:pPr>
              <w:spacing w:after="0" w:line="240" w:lineRule="auto"/>
              <w:rPr>
                <w:rFonts w:eastAsia="Times New Roman" w:cs="Calibri"/>
                <w:b/>
                <w:bCs/>
                <w:color w:val="000000"/>
                <w:szCs w:val="18"/>
                <w:lang w:val="nl-NL" w:eastAsia="nl-NL"/>
              </w:rPr>
            </w:pPr>
          </w:p>
          <w:p w:rsidRPr="00704454" w:rsidR="00EA07A0" w:rsidP="00BF4FBB" w:rsidRDefault="00EA07A0" w14:paraId="02270910" w14:textId="02C37F52">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Maatregel</w:t>
            </w:r>
          </w:p>
        </w:tc>
        <w:tc>
          <w:tcPr>
            <w:tcW w:w="8080" w:type="dxa"/>
            <w:tcBorders>
              <w:top w:val="single" w:color="auto" w:sz="8" w:space="0"/>
              <w:left w:val="single" w:color="auto" w:sz="4" w:space="0"/>
              <w:bottom w:val="single" w:color="auto" w:sz="4" w:space="0"/>
              <w:right w:val="single" w:color="auto" w:sz="4" w:space="0"/>
            </w:tcBorders>
            <w:shd w:val="clear" w:color="auto" w:fill="auto"/>
            <w:noWrap/>
            <w:hideMark/>
          </w:tcPr>
          <w:p w:rsidRPr="00FD1605" w:rsidR="00EA07A0" w:rsidP="00EA07A0" w:rsidRDefault="00756F6B" w14:paraId="2E934A0F" w14:textId="20C05FE5">
            <w:pPr>
              <w:pStyle w:val="Kop1"/>
              <w:rPr>
                <w:rFonts w:ascii="Verdana" w:hAnsi="Verdana" w:eastAsia="Times New Roman" w:cs="Calibri"/>
                <w:b/>
                <w:bCs/>
                <w:color w:val="auto"/>
                <w:sz w:val="18"/>
                <w:szCs w:val="18"/>
                <w:lang w:val="nl-NL" w:eastAsia="nl-NL"/>
              </w:rPr>
            </w:pPr>
            <w:bookmarkStart w:name="_Toc223522232" w:id="11"/>
            <w:r>
              <w:rPr>
                <w:rFonts w:ascii="Verdana" w:hAnsi="Verdana" w:eastAsia="Times New Roman" w:cs="Calibri"/>
                <w:b/>
                <w:bCs/>
                <w:color w:val="auto"/>
                <w:sz w:val="18"/>
                <w:szCs w:val="18"/>
                <w:lang w:val="nl-NL" w:eastAsia="nl-NL"/>
              </w:rPr>
              <w:t>B</w:t>
            </w:r>
            <w:r w:rsidRPr="00913061" w:rsidR="00EA07A0">
              <w:rPr>
                <w:rFonts w:ascii="Verdana" w:hAnsi="Verdana" w:eastAsia="Times New Roman" w:cs="Calibri"/>
                <w:b/>
                <w:bCs/>
                <w:color w:val="auto"/>
                <w:sz w:val="18"/>
                <w:szCs w:val="18"/>
                <w:lang w:val="nl-NL" w:eastAsia="nl-NL"/>
              </w:rPr>
              <w:t>.</w:t>
            </w:r>
            <w:r>
              <w:rPr>
                <w:rFonts w:ascii="Verdana" w:hAnsi="Verdana" w:eastAsia="Times New Roman" w:cs="Calibri"/>
                <w:b/>
                <w:bCs/>
                <w:color w:val="auto"/>
                <w:sz w:val="18"/>
                <w:szCs w:val="18"/>
                <w:lang w:val="nl-NL" w:eastAsia="nl-NL"/>
              </w:rPr>
              <w:t>7</w:t>
            </w:r>
            <w:r w:rsidRPr="00913061" w:rsidR="00EA07A0">
              <w:rPr>
                <w:rFonts w:ascii="Verdana" w:hAnsi="Verdana" w:eastAsia="Times New Roman" w:cs="Calibri"/>
                <w:b/>
                <w:bCs/>
                <w:color w:val="auto"/>
                <w:sz w:val="18"/>
                <w:szCs w:val="18"/>
                <w:lang w:val="nl-NL" w:eastAsia="nl-NL"/>
              </w:rPr>
              <w:t> Harmoniseren hoogte sociaalminimumnorm Toeslagenwet en Participatiewet</w:t>
            </w:r>
            <w:bookmarkEnd w:id="11"/>
          </w:p>
        </w:tc>
      </w:tr>
      <w:tr w:rsidRPr="000031E0" w:rsidR="00EA07A0" w:rsidTr="00BF4FBB" w14:paraId="35E992F8" w14:textId="77777777">
        <w:trPr>
          <w:trHeight w:val="315"/>
        </w:trPr>
        <w:tc>
          <w:tcPr>
            <w:tcW w:w="2005" w:type="dxa"/>
            <w:tcBorders>
              <w:top w:val="nil"/>
              <w:left w:val="single" w:color="auto" w:sz="8" w:space="0"/>
              <w:bottom w:val="single" w:color="auto" w:sz="8" w:space="0"/>
              <w:right w:val="nil"/>
            </w:tcBorders>
            <w:shd w:val="clear" w:color="auto" w:fill="auto"/>
            <w:noWrap/>
          </w:tcPr>
          <w:p w:rsidRPr="00704454" w:rsidR="00EA07A0" w:rsidP="00BF4FBB" w:rsidRDefault="00EA07A0" w14:paraId="31189F80"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Korte uitleg maatregel</w:t>
            </w:r>
          </w:p>
        </w:tc>
        <w:tc>
          <w:tcPr>
            <w:tcW w:w="8080" w:type="dxa"/>
            <w:tcBorders>
              <w:top w:val="single" w:color="auto" w:sz="4" w:space="0"/>
              <w:left w:val="single" w:color="auto" w:sz="4" w:space="0"/>
              <w:bottom w:val="single" w:color="auto" w:sz="8" w:space="0"/>
              <w:right w:val="single" w:color="auto" w:sz="4" w:space="0"/>
            </w:tcBorders>
            <w:shd w:val="clear" w:color="auto" w:fill="auto"/>
            <w:noWrap/>
          </w:tcPr>
          <w:p w:rsidRPr="00FD1605" w:rsidR="00EA07A0" w:rsidP="00BF4FBB" w:rsidRDefault="00EA07A0" w14:paraId="18ABC499" w14:textId="0C7AA2D2">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 xml:space="preserve">Het sociaal minimum (bijstandsnorm) is een netto inkomensnorm. In de TW wordt echter een </w:t>
            </w:r>
            <w:proofErr w:type="spellStart"/>
            <w:r w:rsidRPr="00FD1605">
              <w:rPr>
                <w:rFonts w:eastAsia="Times New Roman" w:cs="Calibri"/>
                <w:color w:val="000000"/>
                <w:szCs w:val="18"/>
                <w:lang w:val="nl-NL" w:eastAsia="nl-NL"/>
              </w:rPr>
              <w:t>brutonorm</w:t>
            </w:r>
            <w:proofErr w:type="spellEnd"/>
            <w:r w:rsidRPr="00FD1605">
              <w:rPr>
                <w:rFonts w:eastAsia="Times New Roman" w:cs="Calibri"/>
                <w:color w:val="000000"/>
                <w:szCs w:val="18"/>
                <w:lang w:val="nl-NL" w:eastAsia="nl-NL"/>
              </w:rPr>
              <w:t xml:space="preserve"> gehanteerd, waardoor de TW niet </w:t>
            </w:r>
            <w:r w:rsidRPr="00FD1605" w:rsidR="004E2F17">
              <w:rPr>
                <w:rFonts w:eastAsia="Times New Roman" w:cs="Calibri"/>
                <w:color w:val="000000"/>
                <w:szCs w:val="18"/>
                <w:lang w:val="nl-NL" w:eastAsia="nl-NL"/>
              </w:rPr>
              <w:t xml:space="preserve">altijd </w:t>
            </w:r>
            <w:r w:rsidRPr="00FD1605">
              <w:rPr>
                <w:rFonts w:eastAsia="Times New Roman" w:cs="Calibri"/>
                <w:color w:val="000000"/>
                <w:szCs w:val="18"/>
                <w:lang w:val="nl-NL" w:eastAsia="nl-NL"/>
              </w:rPr>
              <w:t>aanvult tot het netto sociaal minimum. In sommige gevallen valt de bruto-TW-norm lager uit dan de netto-bijstandsnorm. Dit geldt met name voor gehuwden. In dergelijke situaties moeten mensen die een volledige TW-uitkering ontvangen</w:t>
            </w:r>
            <w:r w:rsidRPr="00FD1605" w:rsidR="003B191D">
              <w:rPr>
                <w:rFonts w:eastAsia="Times New Roman" w:cs="Calibri"/>
                <w:color w:val="000000"/>
                <w:szCs w:val="18"/>
                <w:lang w:val="nl-NL" w:eastAsia="nl-NL"/>
              </w:rPr>
              <w:t>,</w:t>
            </w:r>
            <w:r w:rsidRPr="00FD1605">
              <w:rPr>
                <w:rFonts w:eastAsia="Times New Roman" w:cs="Calibri"/>
                <w:color w:val="000000"/>
                <w:szCs w:val="18"/>
                <w:lang w:val="nl-NL" w:eastAsia="nl-NL"/>
              </w:rPr>
              <w:t xml:space="preserve"> daarnaast een bijstandsaanvulling van de gemeente aanvragen om op het sociaal minimum te komen. Dit knelpunt is benoemd in het IBO vereenvoudiging sociale zekerheid en de Kamerbrief over vereenvoudiging van de inkomensondersteuning. In andere gevallen valt de bruto-TW-norm juist hoger uit dan de netto-bijstandsnorm. Mensen hebben dan recht op een TW-aanvulling, terwijl hun inkomen reeds hoger is dan het netto sociaal minimum. Dit geldt bijvoorbeeld voor veel Wajong-gerechtigden, die dankzij de jonggehandicaptenkorting netto meer overhouden van hun uitkering dan het sociaal minimum.</w:t>
            </w:r>
            <w:r w:rsidR="00126D9C">
              <w:rPr>
                <w:rStyle w:val="Voetnootmarkering"/>
                <w:rFonts w:eastAsia="Times New Roman" w:cs="Calibri"/>
                <w:color w:val="000000"/>
                <w:szCs w:val="18"/>
                <w:lang w:val="nl-NL" w:eastAsia="nl-NL"/>
              </w:rPr>
              <w:footnoteReference w:id="9"/>
            </w:r>
            <w:r w:rsidRPr="00FD1605">
              <w:rPr>
                <w:rFonts w:eastAsia="Times New Roman" w:cs="Calibri"/>
                <w:color w:val="000000"/>
                <w:szCs w:val="18"/>
                <w:lang w:val="nl-NL" w:eastAsia="nl-NL"/>
              </w:rPr>
              <w:t xml:space="preserve"> In al deze gevallen hebben mensen (recht op) een stapeling van regelingen die hetzelfde doel dienen, namelijk een inkomensaanvulling tot sociaal minimum.</w:t>
            </w:r>
          </w:p>
          <w:p w:rsidRPr="00FD1605" w:rsidR="00EA07A0" w:rsidP="00BF4FBB" w:rsidRDefault="00EA07A0" w14:paraId="2DFE3506" w14:textId="77777777">
            <w:pPr>
              <w:spacing w:after="0" w:line="240" w:lineRule="auto"/>
              <w:rPr>
                <w:rFonts w:eastAsia="Times New Roman" w:cs="Calibri"/>
                <w:color w:val="000000"/>
                <w:szCs w:val="18"/>
                <w:lang w:val="nl-NL" w:eastAsia="nl-NL"/>
              </w:rPr>
            </w:pPr>
          </w:p>
          <w:p w:rsidRPr="00E361C1" w:rsidR="00EA07A0" w:rsidP="00BF4FBB" w:rsidRDefault="00EA07A0" w14:paraId="4D399A84" w14:textId="1A0B4C9E">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 xml:space="preserve">Onderzocht is of de hoogte van de sociaalminimumnormen in de Toeslagenwet en Participatiewet geharmoniseerd kunnen worden om tot één eenduidig sociaal minimum te komen en de stapeling van regelingen voor mensen te voorkomen. Daarbij is onderzocht of UWV het sociaal minimum in de TW netto zou kunnen toepassen net als in de Participatiewet, of gebruik zou kunnen maken van hetzelfde bruto-nettotraject als in de bijstand zodat de normen in de praktijk dichter bij elkaar komen te liggen. Uit deze verkenning komt naar voren dat UWV de TW niet netto kan uitvoeren, en dat de </w:t>
            </w:r>
            <w:proofErr w:type="spellStart"/>
            <w:r w:rsidRPr="00FD1605">
              <w:rPr>
                <w:rFonts w:eastAsia="Times New Roman" w:cs="Calibri"/>
                <w:color w:val="000000"/>
                <w:szCs w:val="18"/>
                <w:lang w:val="nl-NL" w:eastAsia="nl-NL"/>
              </w:rPr>
              <w:t>brutonormen</w:t>
            </w:r>
            <w:proofErr w:type="spellEnd"/>
            <w:r w:rsidRPr="00FD1605">
              <w:rPr>
                <w:rFonts w:eastAsia="Times New Roman" w:cs="Calibri"/>
                <w:color w:val="000000"/>
                <w:szCs w:val="18"/>
                <w:lang w:val="nl-NL" w:eastAsia="nl-NL"/>
              </w:rPr>
              <w:t xml:space="preserve"> in de TW niet volledig geharmoniseerd kunnen worden met de </w:t>
            </w:r>
            <w:proofErr w:type="spellStart"/>
            <w:r w:rsidRPr="00FD1605">
              <w:rPr>
                <w:rFonts w:eastAsia="Times New Roman" w:cs="Calibri"/>
                <w:color w:val="000000"/>
                <w:szCs w:val="18"/>
                <w:lang w:val="nl-NL" w:eastAsia="nl-NL"/>
              </w:rPr>
              <w:t>nettonormen</w:t>
            </w:r>
            <w:proofErr w:type="spellEnd"/>
            <w:r w:rsidRPr="00FD1605">
              <w:rPr>
                <w:rFonts w:eastAsia="Times New Roman" w:cs="Calibri"/>
                <w:color w:val="000000"/>
                <w:szCs w:val="18"/>
                <w:lang w:val="nl-NL" w:eastAsia="nl-NL"/>
              </w:rPr>
              <w:t xml:space="preserve"> in de Participatiewet zonder wijziging van fiscale regels. </w:t>
            </w:r>
            <w:r w:rsidR="00E9072B">
              <w:rPr>
                <w:rFonts w:eastAsia="Times New Roman" w:cs="Calibri"/>
                <w:color w:val="000000"/>
                <w:szCs w:val="18"/>
                <w:lang w:val="nl-NL" w:eastAsia="nl-NL"/>
              </w:rPr>
              <w:t xml:space="preserve">Deze beleidsvariant is daarom niet verder uitgewerkt. </w:t>
            </w:r>
          </w:p>
        </w:tc>
      </w:tr>
      <w:tr w:rsidRPr="00EB3835" w:rsidR="00EA07A0" w:rsidTr="00BF4FBB" w14:paraId="3C73635F" w14:textId="77777777">
        <w:trPr>
          <w:trHeight w:val="315"/>
        </w:trPr>
        <w:tc>
          <w:tcPr>
            <w:tcW w:w="2005" w:type="dxa"/>
            <w:tcBorders>
              <w:top w:val="nil"/>
              <w:left w:val="single" w:color="auto" w:sz="8" w:space="0"/>
              <w:bottom w:val="single" w:color="auto" w:sz="8" w:space="0"/>
              <w:right w:val="nil"/>
            </w:tcBorders>
            <w:shd w:val="clear" w:color="auto" w:fill="auto"/>
            <w:noWrap/>
          </w:tcPr>
          <w:p w:rsidRPr="00704454" w:rsidR="00EA07A0" w:rsidP="00BF4FBB" w:rsidRDefault="00EA07A0" w14:paraId="5CB805D7"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Doel maatregel</w:t>
            </w:r>
          </w:p>
        </w:tc>
        <w:tc>
          <w:tcPr>
            <w:tcW w:w="8080" w:type="dxa"/>
            <w:tcBorders>
              <w:top w:val="single" w:color="auto" w:sz="4" w:space="0"/>
              <w:left w:val="single" w:color="auto" w:sz="4" w:space="0"/>
              <w:bottom w:val="single" w:color="auto" w:sz="8" w:space="0"/>
              <w:right w:val="single" w:color="auto" w:sz="4" w:space="0"/>
            </w:tcBorders>
            <w:shd w:val="clear" w:color="auto" w:fill="auto"/>
            <w:noWrap/>
          </w:tcPr>
          <w:p w:rsidRPr="00FD1605" w:rsidR="00EA07A0" w:rsidP="00BF4FBB" w:rsidRDefault="00EA07A0" w14:paraId="1AC4E977" w14:textId="77777777">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Harmoniseren van de sociaal minimumnormen voor gehuwden in de Toeslagenwet en Participatiewet, zodat stapeling van regelingen met hetzelfde doel wordt voorkomen.</w:t>
            </w:r>
          </w:p>
          <w:p w:rsidRPr="00FD1605" w:rsidR="00EA07A0" w:rsidP="00BF4FBB" w:rsidRDefault="00EA07A0" w14:paraId="0F3D4456" w14:textId="77777777">
            <w:pPr>
              <w:spacing w:after="0" w:line="240" w:lineRule="auto"/>
              <w:rPr>
                <w:rFonts w:eastAsia="Times New Roman" w:cs="Calibri"/>
                <w:i/>
                <w:iCs/>
                <w:color w:val="000000"/>
                <w:szCs w:val="18"/>
                <w:lang w:val="nl-NL" w:eastAsia="nl-NL"/>
              </w:rPr>
            </w:pPr>
          </w:p>
        </w:tc>
      </w:tr>
      <w:tr w:rsidRPr="00EB3835" w:rsidR="00EA07A0" w:rsidTr="00BF4FBB" w14:paraId="098883E8" w14:textId="77777777">
        <w:trPr>
          <w:trHeight w:val="315"/>
        </w:trPr>
        <w:tc>
          <w:tcPr>
            <w:tcW w:w="2005" w:type="dxa"/>
            <w:tcBorders>
              <w:top w:val="nil"/>
              <w:left w:val="single" w:color="auto" w:sz="8" w:space="0"/>
              <w:bottom w:val="single" w:color="auto" w:sz="8" w:space="0"/>
              <w:right w:val="nil"/>
            </w:tcBorders>
            <w:shd w:val="clear" w:color="auto" w:fill="auto"/>
            <w:noWrap/>
          </w:tcPr>
          <w:p w:rsidRPr="00FD1605" w:rsidR="00EA07A0" w:rsidP="00BF4FBB" w:rsidRDefault="00EA07A0" w14:paraId="31B7FBF8" w14:textId="77777777">
            <w:pPr>
              <w:spacing w:after="0" w:line="240" w:lineRule="auto"/>
              <w:rPr>
                <w:rFonts w:eastAsia="Times New Roman" w:cs="Calibri"/>
                <w:b/>
                <w:bCs/>
                <w:color w:val="000000"/>
                <w:szCs w:val="18"/>
                <w:lang w:val="nl-NL" w:eastAsia="nl-NL"/>
              </w:rPr>
            </w:pPr>
            <w:r w:rsidRPr="00FD1605">
              <w:rPr>
                <w:rFonts w:eastAsia="Times New Roman" w:cs="Calibri"/>
                <w:b/>
                <w:bCs/>
                <w:color w:val="000000"/>
                <w:szCs w:val="18"/>
                <w:lang w:val="nl-NL" w:eastAsia="nl-NL"/>
              </w:rPr>
              <w:t xml:space="preserve">Vereenvoudiging vanuit burgerperspectief (begrijpelijkheid, zekerheid en </w:t>
            </w:r>
            <w:proofErr w:type="spellStart"/>
            <w:r w:rsidRPr="00FD1605">
              <w:rPr>
                <w:rFonts w:eastAsia="Times New Roman" w:cs="Calibri"/>
                <w:b/>
                <w:bCs/>
                <w:color w:val="000000"/>
                <w:szCs w:val="18"/>
                <w:lang w:val="nl-NL" w:eastAsia="nl-NL"/>
              </w:rPr>
              <w:t>doenlijkheid</w:t>
            </w:r>
            <w:proofErr w:type="spellEnd"/>
            <w:r w:rsidRPr="00FD1605">
              <w:rPr>
                <w:rFonts w:eastAsia="Times New Roman" w:cs="Calibri"/>
                <w:b/>
                <w:bCs/>
                <w:color w:val="000000"/>
                <w:szCs w:val="18"/>
                <w:lang w:val="nl-NL" w:eastAsia="nl-NL"/>
              </w:rPr>
              <w:t>)</w:t>
            </w:r>
          </w:p>
        </w:tc>
        <w:tc>
          <w:tcPr>
            <w:tcW w:w="8080" w:type="dxa"/>
            <w:tcBorders>
              <w:top w:val="single" w:color="auto" w:sz="4" w:space="0"/>
              <w:left w:val="single" w:color="auto" w:sz="4" w:space="0"/>
              <w:bottom w:val="single" w:color="auto" w:sz="8" w:space="0"/>
              <w:right w:val="single" w:color="auto" w:sz="4" w:space="0"/>
            </w:tcBorders>
            <w:shd w:val="clear" w:color="auto" w:fill="auto"/>
            <w:noWrap/>
          </w:tcPr>
          <w:p w:rsidRPr="00FD1605" w:rsidR="00EA07A0" w:rsidP="00BF4FBB" w:rsidRDefault="00EA07A0" w14:paraId="7A4A255E" w14:textId="77777777">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De verschillende sociaalminimumnormen leiden tot complexiteit, omdat uitkeringsgerechtigden met een volledige TW-aanvulling soms een extra aanvulling vanuit de bijstand nodig hebben om tot het sociaal minimum te komen. En omdat uitkeringsgerechtigden die netto reeds boven het sociaal minimum zitten soms alsnog recht hebben op een TW-aanvulling. Hierdoor hebben uitkeringsgerechtigden te maken met meerdere loketten en verschillende uitkeringsregimes met eigen voorwaarden en bepalingen.</w:t>
            </w:r>
          </w:p>
        </w:tc>
      </w:tr>
      <w:tr w:rsidRPr="00EB3835" w:rsidR="00EA07A0" w:rsidTr="00BF4FBB" w14:paraId="05B5FDFD" w14:textId="77777777">
        <w:trPr>
          <w:trHeight w:val="315"/>
        </w:trPr>
        <w:tc>
          <w:tcPr>
            <w:tcW w:w="2005" w:type="dxa"/>
            <w:tcBorders>
              <w:top w:val="nil"/>
              <w:left w:val="single" w:color="auto" w:sz="8" w:space="0"/>
              <w:bottom w:val="single" w:color="auto" w:sz="8" w:space="0"/>
              <w:right w:val="nil"/>
            </w:tcBorders>
            <w:shd w:val="clear" w:color="auto" w:fill="auto"/>
            <w:noWrap/>
          </w:tcPr>
          <w:p w:rsidRPr="00704454" w:rsidR="00EA07A0" w:rsidP="00BF4FBB" w:rsidRDefault="00EA07A0" w14:paraId="55391F64"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 xml:space="preserve">Keuzes binnen maatregel </w:t>
            </w:r>
          </w:p>
        </w:tc>
        <w:tc>
          <w:tcPr>
            <w:tcW w:w="8080" w:type="dxa"/>
            <w:tcBorders>
              <w:top w:val="single" w:color="auto" w:sz="4" w:space="0"/>
              <w:left w:val="single" w:color="auto" w:sz="4" w:space="0"/>
              <w:bottom w:val="single" w:color="auto" w:sz="8" w:space="0"/>
              <w:right w:val="single" w:color="auto" w:sz="4" w:space="0"/>
            </w:tcBorders>
            <w:shd w:val="clear" w:color="auto" w:fill="auto"/>
            <w:noWrap/>
          </w:tcPr>
          <w:p w:rsidRPr="00FD1605" w:rsidR="00EA07A0" w:rsidP="00BF4FBB" w:rsidRDefault="00EA07A0" w14:paraId="0B761D71" w14:textId="77777777">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De huidige complexiteit wordt veroorzaakt door samenloop van factoren, met name:</w:t>
            </w:r>
          </w:p>
          <w:p w:rsidRPr="00FD1605" w:rsidR="00EA07A0" w:rsidP="00BF4FBB" w:rsidRDefault="00EA07A0" w14:paraId="4D5430EC" w14:textId="77777777">
            <w:pPr>
              <w:spacing w:after="0" w:line="240" w:lineRule="auto"/>
              <w:rPr>
                <w:rFonts w:eastAsia="Times New Roman" w:cs="Calibri"/>
                <w:color w:val="000000"/>
                <w:szCs w:val="18"/>
                <w:lang w:val="nl-NL" w:eastAsia="nl-NL"/>
              </w:rPr>
            </w:pPr>
          </w:p>
          <w:p w:rsidRPr="00FD1605" w:rsidR="00EA07A0" w:rsidP="00BF4FBB" w:rsidRDefault="00EA07A0" w14:paraId="31E5A268" w14:textId="77777777">
            <w:pPr>
              <w:pStyle w:val="Lijstalinea"/>
              <w:numPr>
                <w:ilvl w:val="0"/>
                <w:numId w:val="9"/>
              </w:num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 xml:space="preserve">UWV voert de TW ‘bruto’ uit en hanteert dus </w:t>
            </w:r>
            <w:proofErr w:type="spellStart"/>
            <w:r w:rsidRPr="00FD1605">
              <w:rPr>
                <w:rFonts w:eastAsia="Times New Roman" w:cs="Calibri"/>
                <w:color w:val="000000"/>
                <w:szCs w:val="18"/>
                <w:lang w:val="nl-NL" w:eastAsia="nl-NL"/>
              </w:rPr>
              <w:t>brutonormen</w:t>
            </w:r>
            <w:proofErr w:type="spellEnd"/>
            <w:r w:rsidRPr="00FD1605">
              <w:rPr>
                <w:rFonts w:eastAsia="Times New Roman" w:cs="Calibri"/>
                <w:color w:val="000000"/>
                <w:szCs w:val="18"/>
                <w:lang w:val="nl-NL" w:eastAsia="nl-NL"/>
              </w:rPr>
              <w:t xml:space="preserve"> voor de aanvulling (voor gehuwden bijvoorbeeld 100% van het bruto WML), terwijl het sociaal minimum van de bijstand een </w:t>
            </w:r>
            <w:proofErr w:type="spellStart"/>
            <w:r w:rsidRPr="00FD1605">
              <w:rPr>
                <w:rFonts w:eastAsia="Times New Roman" w:cs="Calibri"/>
                <w:color w:val="000000"/>
                <w:szCs w:val="18"/>
                <w:lang w:val="nl-NL" w:eastAsia="nl-NL"/>
              </w:rPr>
              <w:t>nettonorm</w:t>
            </w:r>
            <w:proofErr w:type="spellEnd"/>
            <w:r w:rsidRPr="00FD1605">
              <w:rPr>
                <w:rFonts w:eastAsia="Times New Roman" w:cs="Calibri"/>
                <w:color w:val="000000"/>
                <w:szCs w:val="18"/>
                <w:lang w:val="nl-NL" w:eastAsia="nl-NL"/>
              </w:rPr>
              <w:t xml:space="preserve"> is (100% van het </w:t>
            </w:r>
            <w:proofErr w:type="spellStart"/>
            <w:r w:rsidRPr="00FD1605">
              <w:rPr>
                <w:rFonts w:eastAsia="Times New Roman" w:cs="Calibri"/>
                <w:color w:val="000000"/>
                <w:szCs w:val="18"/>
                <w:lang w:val="nl-NL" w:eastAsia="nl-NL"/>
              </w:rPr>
              <w:t>nettoreferentieminimumloon</w:t>
            </w:r>
            <w:proofErr w:type="spellEnd"/>
            <w:r w:rsidRPr="00FD1605">
              <w:rPr>
                <w:rFonts w:eastAsia="Times New Roman" w:cs="Calibri"/>
                <w:color w:val="000000"/>
                <w:szCs w:val="18"/>
                <w:lang w:val="nl-NL" w:eastAsia="nl-NL"/>
              </w:rPr>
              <w:t>);</w:t>
            </w:r>
          </w:p>
          <w:p w:rsidRPr="00FD1605" w:rsidR="00EA07A0" w:rsidP="00BF4FBB" w:rsidRDefault="00EA07A0" w14:paraId="51942CFF" w14:textId="77777777">
            <w:pPr>
              <w:pStyle w:val="Lijstalinea"/>
              <w:numPr>
                <w:ilvl w:val="0"/>
                <w:numId w:val="9"/>
              </w:num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De TW-uitkering wordt toegekend aan één persoon, ook wanneer wordt aangevuld tot de gehuwdennorm. Een bijstandsuitkering wordt echter voor de helft toegekend aan elk van beide partners;</w:t>
            </w:r>
          </w:p>
          <w:p w:rsidRPr="00FD1605" w:rsidR="00EA07A0" w:rsidP="00BF4FBB" w:rsidRDefault="00EA07A0" w14:paraId="3C8F1BD6" w14:textId="1BE913B7">
            <w:pPr>
              <w:pStyle w:val="Lijstalinea"/>
              <w:numPr>
                <w:ilvl w:val="0"/>
                <w:numId w:val="9"/>
              </w:num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 xml:space="preserve">Er zijn verschillen in het </w:t>
            </w:r>
            <w:proofErr w:type="spellStart"/>
            <w:r w:rsidRPr="00FD1605">
              <w:rPr>
                <w:rFonts w:eastAsia="Times New Roman" w:cs="Calibri"/>
                <w:color w:val="000000"/>
                <w:szCs w:val="18"/>
                <w:lang w:val="nl-NL" w:eastAsia="nl-NL"/>
              </w:rPr>
              <w:t>bruto-netto-traject</w:t>
            </w:r>
            <w:proofErr w:type="spellEnd"/>
            <w:r w:rsidRPr="00FD1605">
              <w:rPr>
                <w:rFonts w:eastAsia="Times New Roman" w:cs="Calibri"/>
                <w:color w:val="000000"/>
                <w:szCs w:val="18"/>
                <w:lang w:val="nl-NL" w:eastAsia="nl-NL"/>
              </w:rPr>
              <w:t xml:space="preserve"> tussen TW en bijstand door </w:t>
            </w:r>
            <w:r w:rsidR="0018630A">
              <w:rPr>
                <w:rFonts w:eastAsia="Times New Roman" w:cs="Calibri"/>
                <w:color w:val="000000"/>
                <w:szCs w:val="18"/>
                <w:lang w:val="nl-NL" w:eastAsia="nl-NL"/>
              </w:rPr>
              <w:t xml:space="preserve">onder andere </w:t>
            </w:r>
            <w:r w:rsidRPr="00FD1605">
              <w:rPr>
                <w:rFonts w:eastAsia="Times New Roman" w:cs="Calibri"/>
                <w:color w:val="000000"/>
                <w:szCs w:val="18"/>
                <w:lang w:val="nl-NL" w:eastAsia="nl-NL"/>
              </w:rPr>
              <w:t>verschillen in heffingskortingen. Met name geldt voor het netto sociaal minimum een afwijkende afbouw van de overdraagbaarheid van de algemene heffingskorting.</w:t>
            </w:r>
          </w:p>
          <w:p w:rsidRPr="00FD1605" w:rsidR="00EA07A0" w:rsidP="00BF4FBB" w:rsidRDefault="00EA07A0" w14:paraId="592BBB7B" w14:textId="77777777">
            <w:pPr>
              <w:spacing w:after="0" w:line="240" w:lineRule="auto"/>
              <w:rPr>
                <w:rFonts w:eastAsia="Times New Roman" w:cs="Calibri"/>
                <w:color w:val="000000"/>
                <w:szCs w:val="18"/>
                <w:lang w:val="nl-NL" w:eastAsia="nl-NL"/>
              </w:rPr>
            </w:pPr>
          </w:p>
          <w:p w:rsidRPr="00704454" w:rsidR="00EA07A0" w:rsidP="00BF4FBB" w:rsidRDefault="00EA07A0" w14:paraId="7DC4363F" w14:textId="77777777">
            <w:pPr>
              <w:spacing w:after="0" w:line="240" w:lineRule="auto"/>
              <w:rPr>
                <w:rFonts w:eastAsia="Times New Roman" w:cs="Calibri"/>
                <w:color w:val="000000"/>
                <w:szCs w:val="18"/>
                <w:lang w:val="nl-NL" w:eastAsia="nl-NL"/>
              </w:rPr>
            </w:pPr>
            <w:r w:rsidRPr="00704454">
              <w:rPr>
                <w:rFonts w:eastAsia="Times New Roman" w:cs="Calibri"/>
                <w:color w:val="000000"/>
                <w:szCs w:val="18"/>
                <w:lang w:val="nl-NL" w:eastAsia="nl-NL"/>
              </w:rPr>
              <w:t>Harmonisatie vergt dus dat:</w:t>
            </w:r>
          </w:p>
          <w:p w:rsidRPr="00704454" w:rsidR="00EA07A0" w:rsidP="00BF4FBB" w:rsidRDefault="00EA07A0" w14:paraId="6B62038C" w14:textId="77777777">
            <w:pPr>
              <w:spacing w:after="0" w:line="240" w:lineRule="auto"/>
              <w:rPr>
                <w:rFonts w:eastAsia="Times New Roman" w:cs="Calibri"/>
                <w:color w:val="000000"/>
                <w:szCs w:val="18"/>
                <w:lang w:val="nl-NL" w:eastAsia="nl-NL"/>
              </w:rPr>
            </w:pPr>
          </w:p>
          <w:p w:rsidRPr="00FD1605" w:rsidR="00EA07A0" w:rsidP="00BF4FBB" w:rsidRDefault="00EA07A0" w14:paraId="2A2F0B05" w14:textId="77777777">
            <w:pPr>
              <w:pStyle w:val="Lijstalinea"/>
              <w:numPr>
                <w:ilvl w:val="0"/>
                <w:numId w:val="9"/>
              </w:num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UWV de TW ook ‘netto’ gaat uitvoeren, net als de bijstand; of</w:t>
            </w:r>
          </w:p>
          <w:p w:rsidRPr="00FD1605" w:rsidR="00EA07A0" w:rsidP="00BF4FBB" w:rsidRDefault="00EA07A0" w14:paraId="69C68DB7" w14:textId="77777777">
            <w:pPr>
              <w:pStyle w:val="Lijstalinea"/>
              <w:numPr>
                <w:ilvl w:val="0"/>
                <w:numId w:val="9"/>
              </w:num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 xml:space="preserve">Het sociaal minimum een </w:t>
            </w:r>
            <w:proofErr w:type="spellStart"/>
            <w:r w:rsidRPr="00FD1605">
              <w:rPr>
                <w:rFonts w:eastAsia="Times New Roman" w:cs="Calibri"/>
                <w:color w:val="000000"/>
                <w:szCs w:val="18"/>
                <w:lang w:val="nl-NL" w:eastAsia="nl-NL"/>
              </w:rPr>
              <w:t>brutonorm</w:t>
            </w:r>
            <w:proofErr w:type="spellEnd"/>
            <w:r w:rsidRPr="00FD1605">
              <w:rPr>
                <w:rFonts w:eastAsia="Times New Roman" w:cs="Calibri"/>
                <w:color w:val="000000"/>
                <w:szCs w:val="18"/>
                <w:lang w:val="nl-NL" w:eastAsia="nl-NL"/>
              </w:rPr>
              <w:t xml:space="preserve"> wordt in plaats van de huidige </w:t>
            </w:r>
            <w:proofErr w:type="spellStart"/>
            <w:r w:rsidRPr="00FD1605">
              <w:rPr>
                <w:rFonts w:eastAsia="Times New Roman" w:cs="Calibri"/>
                <w:color w:val="000000"/>
                <w:szCs w:val="18"/>
                <w:lang w:val="nl-NL" w:eastAsia="nl-NL"/>
              </w:rPr>
              <w:t>nettonorm</w:t>
            </w:r>
            <w:proofErr w:type="spellEnd"/>
            <w:r w:rsidRPr="00FD1605">
              <w:rPr>
                <w:rFonts w:eastAsia="Times New Roman" w:cs="Calibri"/>
                <w:color w:val="000000"/>
                <w:szCs w:val="18"/>
                <w:lang w:val="nl-NL" w:eastAsia="nl-NL"/>
              </w:rPr>
              <w:t>; of</w:t>
            </w:r>
          </w:p>
          <w:p w:rsidRPr="00FD1605" w:rsidR="00EA07A0" w:rsidP="00BF4FBB" w:rsidRDefault="00EA07A0" w14:paraId="01378997" w14:textId="77777777">
            <w:pPr>
              <w:pStyle w:val="Lijstalinea"/>
              <w:numPr>
                <w:ilvl w:val="0"/>
                <w:numId w:val="9"/>
              </w:num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lastRenderedPageBreak/>
              <w:t xml:space="preserve">Verschillen in de </w:t>
            </w:r>
            <w:proofErr w:type="spellStart"/>
            <w:r w:rsidRPr="00FD1605">
              <w:rPr>
                <w:rFonts w:eastAsia="Times New Roman" w:cs="Calibri"/>
                <w:color w:val="000000"/>
                <w:szCs w:val="18"/>
                <w:lang w:val="nl-NL" w:eastAsia="nl-NL"/>
              </w:rPr>
              <w:t>bruto-netto-trajecten</w:t>
            </w:r>
            <w:proofErr w:type="spellEnd"/>
            <w:r w:rsidRPr="00FD1605">
              <w:rPr>
                <w:rFonts w:eastAsia="Times New Roman" w:cs="Calibri"/>
                <w:color w:val="000000"/>
                <w:szCs w:val="18"/>
                <w:lang w:val="nl-NL" w:eastAsia="nl-NL"/>
              </w:rPr>
              <w:t xml:space="preserve"> van TW en bijstand worden weggenomen zodat minder en minder vaak afwijkingen ontstaan tussen beide normen.</w:t>
            </w:r>
          </w:p>
          <w:p w:rsidRPr="00FD1605" w:rsidR="00EA07A0" w:rsidP="00BF4FBB" w:rsidRDefault="00EA07A0" w14:paraId="4AA60CBE" w14:textId="77777777">
            <w:pPr>
              <w:spacing w:after="0" w:line="240" w:lineRule="auto"/>
              <w:rPr>
                <w:rFonts w:eastAsia="Times New Roman" w:cs="Calibri"/>
                <w:color w:val="000000"/>
                <w:szCs w:val="18"/>
                <w:lang w:val="nl-NL" w:eastAsia="nl-NL"/>
              </w:rPr>
            </w:pPr>
          </w:p>
          <w:p w:rsidRPr="00FD1605" w:rsidR="00EA07A0" w:rsidP="00BF4FBB" w:rsidRDefault="00EA07A0" w14:paraId="5F43B947" w14:textId="77777777">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 xml:space="preserve">Netto uitvoeren van de TW is voor UWV onuitvoerbaar en voor uitkeringsgerechtigden complex omdat de uitkeringen van de basiswetten (WW, ZW, WIA, Wajong) bruto zijn. Omgekeerd betekent het hervormen van de bijstand tot een </w:t>
            </w:r>
            <w:proofErr w:type="spellStart"/>
            <w:r w:rsidRPr="00FD1605">
              <w:rPr>
                <w:rFonts w:eastAsia="Times New Roman" w:cs="Calibri"/>
                <w:color w:val="000000"/>
                <w:szCs w:val="18"/>
                <w:lang w:val="nl-NL" w:eastAsia="nl-NL"/>
              </w:rPr>
              <w:t>brutonorm</w:t>
            </w:r>
            <w:proofErr w:type="spellEnd"/>
            <w:r w:rsidRPr="00FD1605">
              <w:rPr>
                <w:rFonts w:eastAsia="Times New Roman" w:cs="Calibri"/>
                <w:color w:val="000000"/>
                <w:szCs w:val="18"/>
                <w:lang w:val="nl-NL" w:eastAsia="nl-NL"/>
              </w:rPr>
              <w:t xml:space="preserve"> een fundamentele heroverweging van de uitgangspunten van het sociaal minimum met grote uitvoeringsconsequenties voor gemeenten; dit valt buiten de scope van deze verkenning. Het wegnemen van verschillen in de </w:t>
            </w:r>
            <w:proofErr w:type="spellStart"/>
            <w:r w:rsidRPr="00FD1605">
              <w:rPr>
                <w:rFonts w:eastAsia="Times New Roman" w:cs="Calibri"/>
                <w:color w:val="000000"/>
                <w:szCs w:val="18"/>
                <w:lang w:val="nl-NL" w:eastAsia="nl-NL"/>
              </w:rPr>
              <w:t>bruto-netto-trajecten</w:t>
            </w:r>
            <w:proofErr w:type="spellEnd"/>
            <w:r w:rsidRPr="00FD1605">
              <w:rPr>
                <w:rFonts w:eastAsia="Times New Roman" w:cs="Calibri"/>
                <w:color w:val="000000"/>
                <w:szCs w:val="18"/>
                <w:lang w:val="nl-NL" w:eastAsia="nl-NL"/>
              </w:rPr>
              <w:t xml:space="preserve"> voor TW en bijstand tot slot is slechts tot op zekere hoogte mogelijk zonder wijziging in de fiscaliteit, doordat de TW-uitkering aan één persoon wordt toegekend als het gaat om een paar en een bijstandsuitkering aan twee personen. Dat betekent dat de bijstandsuitkering aan een paar fiscaal gezien twee aparte </w:t>
            </w:r>
            <w:proofErr w:type="spellStart"/>
            <w:r w:rsidRPr="00FD1605">
              <w:rPr>
                <w:rFonts w:eastAsia="Times New Roman" w:cs="Calibri"/>
                <w:color w:val="000000"/>
                <w:szCs w:val="18"/>
                <w:lang w:val="nl-NL" w:eastAsia="nl-NL"/>
              </w:rPr>
              <w:t>bruto-netto-trajecten</w:t>
            </w:r>
            <w:proofErr w:type="spellEnd"/>
            <w:r w:rsidRPr="00FD1605">
              <w:rPr>
                <w:rFonts w:eastAsia="Times New Roman" w:cs="Calibri"/>
                <w:color w:val="000000"/>
                <w:szCs w:val="18"/>
                <w:lang w:val="nl-NL" w:eastAsia="nl-NL"/>
              </w:rPr>
              <w:t xml:space="preserve"> doorloopt en een TW-aanvulling altijd slechts één.</w:t>
            </w:r>
          </w:p>
          <w:p w:rsidRPr="00FD1605" w:rsidR="00EA07A0" w:rsidP="00BF4FBB" w:rsidRDefault="00EA07A0" w14:paraId="4427BF72" w14:textId="77777777">
            <w:pPr>
              <w:spacing w:after="0" w:line="240" w:lineRule="auto"/>
              <w:rPr>
                <w:rFonts w:eastAsia="Times New Roman" w:cs="Calibri"/>
                <w:color w:val="000000"/>
                <w:szCs w:val="18"/>
                <w:lang w:val="nl-NL" w:eastAsia="nl-NL"/>
              </w:rPr>
            </w:pPr>
          </w:p>
          <w:p w:rsidRPr="00FD1605" w:rsidR="00EA07A0" w:rsidP="00BF4FBB" w:rsidRDefault="00EA07A0" w14:paraId="43E84C69" w14:textId="7BF0766D">
            <w:pPr>
              <w:spacing w:after="0"/>
              <w:rPr>
                <w:rFonts w:eastAsia="Times New Roman" w:cs="Calibri"/>
                <w:color w:val="000000"/>
                <w:szCs w:val="18"/>
                <w:lang w:val="nl-NL" w:eastAsia="nl-NL"/>
              </w:rPr>
            </w:pPr>
            <w:r w:rsidRPr="00FD1605">
              <w:rPr>
                <w:rFonts w:eastAsia="Times New Roman" w:cs="Calibri"/>
                <w:color w:val="000000"/>
                <w:szCs w:val="18"/>
                <w:lang w:val="nl-NL" w:eastAsia="nl-NL"/>
              </w:rPr>
              <w:t xml:space="preserve">Een deel van de verschillen in </w:t>
            </w:r>
            <w:proofErr w:type="spellStart"/>
            <w:r w:rsidRPr="00FD1605">
              <w:rPr>
                <w:rFonts w:eastAsia="Times New Roman" w:cs="Calibri"/>
                <w:color w:val="000000"/>
                <w:szCs w:val="18"/>
                <w:lang w:val="nl-NL" w:eastAsia="nl-NL"/>
              </w:rPr>
              <w:t>bruto-netto-traject</w:t>
            </w:r>
            <w:proofErr w:type="spellEnd"/>
            <w:r w:rsidRPr="00FD1605">
              <w:rPr>
                <w:rFonts w:eastAsia="Times New Roman" w:cs="Calibri"/>
                <w:color w:val="000000"/>
                <w:szCs w:val="18"/>
                <w:lang w:val="nl-NL" w:eastAsia="nl-NL"/>
              </w:rPr>
              <w:t xml:space="preserve"> tussen TW en bijstand wordt komende jaren reeds kleiner door de geleidelijke afbouw van de dubbele algemene heffingskorting in het referentieminimumloon voor de bijstand. Momenteel houdt een gehuwdenpaar in de bijstand netto vaak meer over dan een gehuwdenpaar in de TW door de getemporiseerde afbouw van de dubbele </w:t>
            </w:r>
            <w:r w:rsidR="00330890">
              <w:rPr>
                <w:rFonts w:eastAsia="Times New Roman" w:cs="Calibri"/>
                <w:color w:val="000000"/>
                <w:szCs w:val="18"/>
                <w:lang w:val="nl-NL" w:eastAsia="nl-NL"/>
              </w:rPr>
              <w:t>algemene heffingskorting</w:t>
            </w:r>
            <w:r w:rsidRPr="00FD1605" w:rsidR="00330890">
              <w:rPr>
                <w:rFonts w:eastAsia="Times New Roman" w:cs="Calibri"/>
                <w:color w:val="000000"/>
                <w:szCs w:val="18"/>
                <w:lang w:val="nl-NL" w:eastAsia="nl-NL"/>
              </w:rPr>
              <w:t xml:space="preserve"> </w:t>
            </w:r>
            <w:r w:rsidRPr="00FD1605">
              <w:rPr>
                <w:rFonts w:eastAsia="Times New Roman" w:cs="Calibri"/>
                <w:color w:val="000000"/>
                <w:szCs w:val="18"/>
                <w:lang w:val="nl-NL" w:eastAsia="nl-NL"/>
              </w:rPr>
              <w:t xml:space="preserve">in het referentieminimumloon voor de bijstand. Deze situatie duurt nog tot 1-1-2039, </w:t>
            </w:r>
            <w:r w:rsidR="00EC0A29">
              <w:rPr>
                <w:rFonts w:eastAsia="Times New Roman" w:cs="Calibri"/>
                <w:color w:val="000000"/>
                <w:szCs w:val="18"/>
                <w:lang w:val="nl-NL" w:eastAsia="nl-NL"/>
              </w:rPr>
              <w:t>als</w:t>
            </w:r>
            <w:r w:rsidRPr="00FD1605" w:rsidR="00EC0A29">
              <w:rPr>
                <w:rFonts w:eastAsia="Times New Roman" w:cs="Calibri"/>
                <w:color w:val="000000"/>
                <w:szCs w:val="18"/>
                <w:lang w:val="nl-NL" w:eastAsia="nl-NL"/>
              </w:rPr>
              <w:t xml:space="preserve"> </w:t>
            </w:r>
            <w:r w:rsidRPr="00FD1605">
              <w:rPr>
                <w:rFonts w:eastAsia="Times New Roman" w:cs="Calibri"/>
                <w:color w:val="000000"/>
                <w:szCs w:val="18"/>
                <w:lang w:val="nl-NL" w:eastAsia="nl-NL"/>
              </w:rPr>
              <w:t xml:space="preserve">de afbouw in de berekening van de bijstand </w:t>
            </w:r>
            <w:r w:rsidR="00EC0A29">
              <w:rPr>
                <w:rFonts w:eastAsia="Times New Roman" w:cs="Calibri"/>
                <w:color w:val="000000"/>
                <w:szCs w:val="18"/>
                <w:lang w:val="nl-NL" w:eastAsia="nl-NL"/>
              </w:rPr>
              <w:t xml:space="preserve">dan </w:t>
            </w:r>
            <w:r w:rsidRPr="00FD1605">
              <w:rPr>
                <w:rFonts w:eastAsia="Times New Roman" w:cs="Calibri"/>
                <w:color w:val="000000"/>
                <w:szCs w:val="18"/>
                <w:lang w:val="nl-NL" w:eastAsia="nl-NL"/>
              </w:rPr>
              <w:t xml:space="preserve">is voltooid. </w:t>
            </w:r>
            <w:r w:rsidRPr="005F4EA7" w:rsidR="00B86051">
              <w:rPr>
                <w:rFonts w:eastAsia="Times New Roman" w:cs="Calibri"/>
                <w:color w:val="000000"/>
                <w:szCs w:val="18"/>
                <w:lang w:val="nl-NL" w:eastAsia="nl-NL"/>
              </w:rPr>
              <w:t xml:space="preserve">Vanaf 2028 is </w:t>
            </w:r>
            <w:r w:rsidR="00B86051">
              <w:rPr>
                <w:rFonts w:eastAsia="Times New Roman" w:cs="Calibri"/>
                <w:color w:val="000000"/>
                <w:szCs w:val="18"/>
                <w:lang w:val="nl-NL" w:eastAsia="nl-NL"/>
              </w:rPr>
              <w:t xml:space="preserve">hiervoor </w:t>
            </w:r>
            <w:r w:rsidRPr="005F4EA7" w:rsidR="00B86051">
              <w:rPr>
                <w:rFonts w:eastAsia="Times New Roman" w:cs="Calibri"/>
                <w:color w:val="000000"/>
                <w:szCs w:val="18"/>
                <w:lang w:val="nl-NL" w:eastAsia="nl-NL"/>
              </w:rPr>
              <w:t xml:space="preserve">een oplossing beoogd door middel van </w:t>
            </w:r>
            <w:r w:rsidRPr="001A755E" w:rsidR="00B86051">
              <w:rPr>
                <w:rFonts w:eastAsia="Times New Roman" w:cs="Calibri"/>
                <w:color w:val="000000"/>
                <w:szCs w:val="18"/>
                <w:lang w:val="nl-NL" w:eastAsia="nl-NL"/>
              </w:rPr>
              <w:t>gerichte</w:t>
            </w:r>
            <w:r w:rsidRPr="005F4EA7" w:rsidR="00B86051">
              <w:rPr>
                <w:rFonts w:eastAsia="Times New Roman" w:cs="Calibri"/>
                <w:color w:val="000000"/>
                <w:szCs w:val="18"/>
                <w:lang w:val="nl-NL" w:eastAsia="nl-NL"/>
              </w:rPr>
              <w:t xml:space="preserve"> v</w:t>
            </w:r>
            <w:r w:rsidR="00B86051">
              <w:rPr>
                <w:rFonts w:eastAsia="Times New Roman" w:cs="Calibri"/>
                <w:color w:val="000000"/>
                <w:szCs w:val="18"/>
                <w:lang w:val="nl-NL" w:eastAsia="nl-NL"/>
              </w:rPr>
              <w:t>erruiming van de uitbetaling van de algemene heffingskorting</w:t>
            </w:r>
            <w:r w:rsidR="00B86051">
              <w:rPr>
                <w:rStyle w:val="Voetnootmarkering"/>
                <w:rFonts w:eastAsia="Times New Roman" w:cs="Calibri"/>
                <w:color w:val="000000"/>
                <w:szCs w:val="18"/>
                <w:lang w:eastAsia="nl-NL"/>
              </w:rPr>
              <w:footnoteReference w:id="10"/>
            </w:r>
            <w:r w:rsidR="00B86051">
              <w:rPr>
                <w:rFonts w:eastAsia="Times New Roman" w:cs="Calibri"/>
                <w:color w:val="000000"/>
                <w:szCs w:val="18"/>
                <w:lang w:val="nl-NL" w:eastAsia="nl-NL"/>
              </w:rPr>
              <w:t xml:space="preserve">. </w:t>
            </w:r>
          </w:p>
          <w:p w:rsidRPr="00FD1605" w:rsidR="00EA07A0" w:rsidP="00BF4FBB" w:rsidRDefault="00EA07A0" w14:paraId="41C8235F" w14:textId="77777777">
            <w:pPr>
              <w:spacing w:after="0" w:line="240" w:lineRule="auto"/>
              <w:rPr>
                <w:rFonts w:eastAsia="Times New Roman" w:cs="Calibri"/>
                <w:color w:val="000000"/>
                <w:szCs w:val="18"/>
                <w:lang w:val="nl-NL" w:eastAsia="nl-NL"/>
              </w:rPr>
            </w:pPr>
          </w:p>
          <w:p w:rsidRPr="00FD1605" w:rsidR="00EA07A0" w:rsidP="00BF4FBB" w:rsidRDefault="00EA07A0" w14:paraId="3601DB70" w14:textId="06AE31EF">
            <w:pPr>
              <w:spacing w:after="0"/>
              <w:rPr>
                <w:rFonts w:eastAsia="Times New Roman" w:cs="Calibri"/>
                <w:color w:val="000000"/>
                <w:szCs w:val="18"/>
                <w:lang w:val="nl-NL" w:eastAsia="nl-NL"/>
              </w:rPr>
            </w:pPr>
            <w:r w:rsidRPr="00FD1605">
              <w:rPr>
                <w:rFonts w:eastAsia="Times New Roman" w:cs="Calibri"/>
                <w:color w:val="000000"/>
                <w:szCs w:val="18"/>
                <w:lang w:val="nl-NL" w:eastAsia="nl-NL"/>
              </w:rPr>
              <w:t xml:space="preserve">Aanvullend aan deze afbouw kunnen de verschillen verkleind worden door ook andere heffingskortingen te herzien. Zo zou de jonggehandicaptenkorting kunnen worden afgeschaft en de bruto Wajong-uitkering worden verhoogd tot de bruto-alleenstaandennorm in de TW, zodat deze op gelijke hoogte komen en de TW voor alleenstaande </w:t>
            </w:r>
            <w:proofErr w:type="spellStart"/>
            <w:r w:rsidRPr="00FD1605">
              <w:rPr>
                <w:rFonts w:eastAsia="Times New Roman" w:cs="Calibri"/>
                <w:color w:val="000000"/>
                <w:szCs w:val="18"/>
                <w:lang w:val="nl-NL" w:eastAsia="nl-NL"/>
              </w:rPr>
              <w:t>Wajongers</w:t>
            </w:r>
            <w:proofErr w:type="spellEnd"/>
            <w:r w:rsidRPr="00FD1605">
              <w:rPr>
                <w:rFonts w:eastAsia="Times New Roman" w:cs="Calibri"/>
                <w:color w:val="000000"/>
                <w:szCs w:val="18"/>
                <w:lang w:val="nl-NL" w:eastAsia="nl-NL"/>
              </w:rPr>
              <w:t xml:space="preserve"> de facto wordt geïncorporeerd in hun Wajong-uitkering (zie ook fiche </w:t>
            </w:r>
            <w:r w:rsidR="00ED633E">
              <w:rPr>
                <w:rFonts w:eastAsia="Times New Roman" w:cs="Calibri"/>
                <w:color w:val="000000"/>
                <w:szCs w:val="18"/>
                <w:lang w:val="nl-NL" w:eastAsia="nl-NL"/>
              </w:rPr>
              <w:t>C</w:t>
            </w:r>
            <w:r w:rsidRPr="00AE1595" w:rsidR="00291442">
              <w:rPr>
                <w:rFonts w:eastAsia="Times New Roman" w:cs="Calibri"/>
                <w:color w:val="000000"/>
                <w:szCs w:val="18"/>
                <w:lang w:val="nl-NL" w:eastAsia="nl-NL"/>
              </w:rPr>
              <w:t>4</w:t>
            </w:r>
            <w:r w:rsidRPr="00FD1605">
              <w:rPr>
                <w:rFonts w:eastAsia="Times New Roman" w:cs="Calibri"/>
                <w:color w:val="000000"/>
                <w:szCs w:val="18"/>
                <w:lang w:val="nl-NL" w:eastAsia="nl-NL"/>
              </w:rPr>
              <w:t>). Zij hoeven dan geen TW-aanvulling meer aan te vragen en vanaf 2039 in de meeste gevallen ook geen aanvullende bijstandsuitkering meer. Hoewel dit een vereenvoudiging is, betekent dit dat de meeste Wajong-gerechtigden er per saldo financieel op achteruitgaan</w:t>
            </w:r>
            <w:r w:rsidR="00482180">
              <w:rPr>
                <w:rFonts w:eastAsia="Times New Roman" w:cs="Calibri"/>
                <w:color w:val="000000"/>
                <w:szCs w:val="18"/>
                <w:lang w:val="nl-NL" w:eastAsia="nl-NL"/>
              </w:rPr>
              <w:t xml:space="preserve">, doordat de jonggehandicaptenkorting netto hoger is dan de </w:t>
            </w:r>
            <w:r w:rsidR="00872533">
              <w:rPr>
                <w:rFonts w:eastAsia="Times New Roman" w:cs="Calibri"/>
                <w:color w:val="000000"/>
                <w:szCs w:val="18"/>
                <w:lang w:val="nl-NL" w:eastAsia="nl-NL"/>
              </w:rPr>
              <w:t xml:space="preserve">ophoging van de </w:t>
            </w:r>
            <w:r w:rsidR="00482180">
              <w:rPr>
                <w:rFonts w:eastAsia="Times New Roman" w:cs="Calibri"/>
                <w:color w:val="000000"/>
                <w:szCs w:val="18"/>
                <w:lang w:val="nl-NL" w:eastAsia="nl-NL"/>
              </w:rPr>
              <w:t>Wajonguitkering</w:t>
            </w:r>
            <w:r w:rsidRPr="00FD1605">
              <w:rPr>
                <w:rFonts w:eastAsia="Times New Roman" w:cs="Calibri"/>
                <w:color w:val="000000"/>
                <w:szCs w:val="18"/>
                <w:lang w:val="nl-NL" w:eastAsia="nl-NL"/>
              </w:rPr>
              <w:t>.</w:t>
            </w:r>
          </w:p>
          <w:p w:rsidRPr="00FD1605" w:rsidR="00EA07A0" w:rsidP="00BF4FBB" w:rsidRDefault="00EA07A0" w14:paraId="004C2F0F" w14:textId="77777777">
            <w:pPr>
              <w:spacing w:after="0" w:line="240" w:lineRule="auto"/>
              <w:rPr>
                <w:rFonts w:eastAsia="Times New Roman" w:cs="Calibri"/>
                <w:i/>
                <w:iCs/>
                <w:color w:val="000000"/>
                <w:szCs w:val="18"/>
                <w:lang w:val="nl-NL" w:eastAsia="nl-NL"/>
              </w:rPr>
            </w:pPr>
          </w:p>
        </w:tc>
      </w:tr>
      <w:tr w:rsidRPr="00FD1605" w:rsidR="00EA07A0" w:rsidTr="00BF4FBB" w14:paraId="53FA5C3C" w14:textId="77777777">
        <w:trPr>
          <w:trHeight w:val="315"/>
        </w:trPr>
        <w:tc>
          <w:tcPr>
            <w:tcW w:w="2005" w:type="dxa"/>
            <w:tcBorders>
              <w:top w:val="nil"/>
              <w:left w:val="single" w:color="auto" w:sz="8" w:space="0"/>
              <w:bottom w:val="single" w:color="auto" w:sz="8" w:space="0"/>
              <w:right w:val="nil"/>
            </w:tcBorders>
            <w:shd w:val="clear" w:color="auto" w:fill="auto"/>
            <w:noWrap/>
          </w:tcPr>
          <w:p w:rsidRPr="00704454" w:rsidR="00EA07A0" w:rsidP="00BF4FBB" w:rsidRDefault="00EA07A0" w14:paraId="31DD747B"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lastRenderedPageBreak/>
              <w:t>Tijdpad inwerkingtreding</w:t>
            </w:r>
          </w:p>
        </w:tc>
        <w:tc>
          <w:tcPr>
            <w:tcW w:w="8080" w:type="dxa"/>
            <w:tcBorders>
              <w:top w:val="single" w:color="auto" w:sz="4" w:space="0"/>
              <w:left w:val="single" w:color="auto" w:sz="4" w:space="0"/>
              <w:bottom w:val="single" w:color="auto" w:sz="8" w:space="0"/>
              <w:right w:val="single" w:color="auto" w:sz="4" w:space="0"/>
            </w:tcBorders>
            <w:shd w:val="clear" w:color="auto" w:fill="auto"/>
            <w:noWrap/>
          </w:tcPr>
          <w:p w:rsidRPr="00704454" w:rsidR="00EA07A0" w:rsidP="00BF4FBB" w:rsidRDefault="00EA07A0" w14:paraId="17CA62EC" w14:textId="421681A2">
            <w:pPr>
              <w:spacing w:after="0" w:line="240" w:lineRule="auto"/>
              <w:rPr>
                <w:rFonts w:eastAsia="Times New Roman" w:cs="Calibri"/>
                <w:color w:val="000000"/>
                <w:szCs w:val="18"/>
                <w:lang w:val="nl-NL" w:eastAsia="nl-NL"/>
              </w:rPr>
            </w:pPr>
            <w:r w:rsidRPr="00704454">
              <w:rPr>
                <w:rFonts w:eastAsia="Times New Roman" w:cs="Calibri"/>
                <w:color w:val="000000"/>
                <w:szCs w:val="18"/>
                <w:lang w:val="nl-NL" w:eastAsia="nl-NL"/>
              </w:rPr>
              <w:t>N.v.t.</w:t>
            </w:r>
          </w:p>
          <w:p w:rsidRPr="00704454" w:rsidR="00EA07A0" w:rsidP="00BF4FBB" w:rsidRDefault="00EA07A0" w14:paraId="4A41A8ED" w14:textId="77777777">
            <w:pPr>
              <w:spacing w:after="0" w:line="240" w:lineRule="auto"/>
              <w:rPr>
                <w:rFonts w:eastAsia="Times New Roman" w:cs="Calibri"/>
                <w:i/>
                <w:iCs/>
                <w:color w:val="000000"/>
                <w:szCs w:val="18"/>
                <w:lang w:val="nl-NL" w:eastAsia="nl-NL"/>
              </w:rPr>
            </w:pPr>
          </w:p>
        </w:tc>
      </w:tr>
      <w:tr w:rsidRPr="00FD1605" w:rsidR="00EA07A0" w:rsidTr="00BF4FBB" w14:paraId="3C46F216" w14:textId="77777777">
        <w:trPr>
          <w:trHeight w:val="315"/>
        </w:trPr>
        <w:tc>
          <w:tcPr>
            <w:tcW w:w="2005" w:type="dxa"/>
            <w:tcBorders>
              <w:top w:val="nil"/>
              <w:left w:val="single" w:color="auto" w:sz="8" w:space="0"/>
              <w:bottom w:val="single" w:color="auto" w:sz="8" w:space="0"/>
              <w:right w:val="nil"/>
            </w:tcBorders>
            <w:shd w:val="clear" w:color="auto" w:fill="auto"/>
            <w:noWrap/>
          </w:tcPr>
          <w:p w:rsidRPr="00704454" w:rsidR="00EA07A0" w:rsidP="00BF4FBB" w:rsidRDefault="00EA07A0" w14:paraId="46B13A92"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Juridische haalbaarheid</w:t>
            </w:r>
          </w:p>
        </w:tc>
        <w:tc>
          <w:tcPr>
            <w:tcW w:w="8080" w:type="dxa"/>
            <w:tcBorders>
              <w:top w:val="single" w:color="auto" w:sz="4" w:space="0"/>
              <w:left w:val="single" w:color="auto" w:sz="4" w:space="0"/>
              <w:bottom w:val="single" w:color="auto" w:sz="8" w:space="0"/>
              <w:right w:val="single" w:color="auto" w:sz="4" w:space="0"/>
            </w:tcBorders>
            <w:shd w:val="clear" w:color="auto" w:fill="auto"/>
            <w:noWrap/>
          </w:tcPr>
          <w:p w:rsidRPr="00704454" w:rsidR="00EA07A0" w:rsidP="00EA07A0" w:rsidRDefault="00EA07A0" w14:paraId="76A12638" w14:textId="77777777">
            <w:pPr>
              <w:spacing w:after="0" w:line="240" w:lineRule="auto"/>
              <w:rPr>
                <w:rFonts w:eastAsia="Times New Roman" w:cs="Calibri"/>
                <w:color w:val="000000"/>
                <w:szCs w:val="18"/>
                <w:lang w:val="nl-NL" w:eastAsia="nl-NL"/>
              </w:rPr>
            </w:pPr>
            <w:r w:rsidRPr="00704454">
              <w:rPr>
                <w:rFonts w:eastAsia="Times New Roman" w:cs="Calibri"/>
                <w:color w:val="000000"/>
                <w:szCs w:val="18"/>
                <w:lang w:val="nl-NL" w:eastAsia="nl-NL"/>
              </w:rPr>
              <w:t>N.v.t.</w:t>
            </w:r>
          </w:p>
          <w:p w:rsidRPr="00FD1605" w:rsidR="00EA07A0" w:rsidP="00BF4FBB" w:rsidRDefault="00EA07A0" w14:paraId="1820C58A" w14:textId="21312D3C">
            <w:pPr>
              <w:spacing w:after="0" w:line="240" w:lineRule="auto"/>
              <w:rPr>
                <w:rFonts w:eastAsia="Times New Roman" w:cs="Calibri"/>
                <w:i/>
                <w:iCs/>
                <w:color w:val="000000"/>
                <w:szCs w:val="18"/>
                <w:lang w:val="nl-NL" w:eastAsia="nl-NL"/>
              </w:rPr>
            </w:pPr>
          </w:p>
        </w:tc>
      </w:tr>
      <w:tr w:rsidRPr="00FD1605" w:rsidR="00EA07A0" w:rsidTr="00BF4FBB" w14:paraId="2097A73B" w14:textId="77777777">
        <w:trPr>
          <w:trHeight w:val="315"/>
        </w:trPr>
        <w:tc>
          <w:tcPr>
            <w:tcW w:w="2005" w:type="dxa"/>
            <w:tcBorders>
              <w:top w:val="nil"/>
              <w:left w:val="single" w:color="auto" w:sz="8" w:space="0"/>
              <w:bottom w:val="single" w:color="auto" w:sz="8" w:space="0"/>
              <w:right w:val="nil"/>
            </w:tcBorders>
            <w:shd w:val="clear" w:color="auto" w:fill="auto"/>
            <w:noWrap/>
          </w:tcPr>
          <w:p w:rsidRPr="00704454" w:rsidR="00EA07A0" w:rsidP="00BF4FBB" w:rsidRDefault="00EA07A0" w14:paraId="08C1FD41"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Uitvoerbaarheid</w:t>
            </w:r>
          </w:p>
        </w:tc>
        <w:tc>
          <w:tcPr>
            <w:tcW w:w="8080" w:type="dxa"/>
            <w:tcBorders>
              <w:top w:val="single" w:color="auto" w:sz="4" w:space="0"/>
              <w:left w:val="single" w:color="auto" w:sz="4" w:space="0"/>
              <w:bottom w:val="single" w:color="auto" w:sz="8" w:space="0"/>
              <w:right w:val="single" w:color="auto" w:sz="4" w:space="0"/>
            </w:tcBorders>
            <w:shd w:val="clear" w:color="auto" w:fill="auto"/>
            <w:noWrap/>
          </w:tcPr>
          <w:p w:rsidRPr="00704454" w:rsidR="00EA07A0" w:rsidP="00EA07A0" w:rsidRDefault="00EA07A0" w14:paraId="1E11159A" w14:textId="77777777">
            <w:pPr>
              <w:spacing w:after="0" w:line="240" w:lineRule="auto"/>
              <w:rPr>
                <w:rFonts w:eastAsia="Times New Roman" w:cs="Calibri"/>
                <w:color w:val="000000"/>
                <w:szCs w:val="18"/>
                <w:lang w:val="nl-NL" w:eastAsia="nl-NL"/>
              </w:rPr>
            </w:pPr>
            <w:r w:rsidRPr="00704454">
              <w:rPr>
                <w:rFonts w:eastAsia="Times New Roman" w:cs="Calibri"/>
                <w:color w:val="000000"/>
                <w:szCs w:val="18"/>
                <w:lang w:val="nl-NL" w:eastAsia="nl-NL"/>
              </w:rPr>
              <w:t>N.v.t.</w:t>
            </w:r>
          </w:p>
          <w:p w:rsidRPr="00FD1605" w:rsidR="00EA07A0" w:rsidP="00BF4FBB" w:rsidRDefault="00EA07A0" w14:paraId="151D5020" w14:textId="3BED6A3A">
            <w:pPr>
              <w:spacing w:after="0" w:line="240" w:lineRule="auto"/>
              <w:rPr>
                <w:rFonts w:eastAsia="Times New Roman" w:cs="Calibri"/>
                <w:i/>
                <w:iCs/>
                <w:color w:val="000000"/>
                <w:szCs w:val="18"/>
                <w:lang w:val="nl-NL" w:eastAsia="nl-NL"/>
              </w:rPr>
            </w:pPr>
          </w:p>
        </w:tc>
      </w:tr>
      <w:tr w:rsidRPr="00FD1605" w:rsidR="00EA07A0" w:rsidTr="00BF4FBB" w14:paraId="232AC8FA" w14:textId="77777777">
        <w:trPr>
          <w:trHeight w:val="315"/>
        </w:trPr>
        <w:tc>
          <w:tcPr>
            <w:tcW w:w="2005" w:type="dxa"/>
            <w:tcBorders>
              <w:top w:val="nil"/>
              <w:left w:val="single" w:color="auto" w:sz="8" w:space="0"/>
              <w:bottom w:val="single" w:color="auto" w:sz="8" w:space="0"/>
              <w:right w:val="nil"/>
            </w:tcBorders>
            <w:shd w:val="clear" w:color="auto" w:fill="auto"/>
            <w:noWrap/>
          </w:tcPr>
          <w:p w:rsidRPr="00704454" w:rsidR="00EA07A0" w:rsidP="00BF4FBB" w:rsidRDefault="00EA07A0" w14:paraId="74F74079"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Financiële effecten</w:t>
            </w:r>
          </w:p>
        </w:tc>
        <w:tc>
          <w:tcPr>
            <w:tcW w:w="8080" w:type="dxa"/>
            <w:tcBorders>
              <w:top w:val="single" w:color="auto" w:sz="4" w:space="0"/>
              <w:left w:val="single" w:color="auto" w:sz="4" w:space="0"/>
              <w:bottom w:val="single" w:color="auto" w:sz="8" w:space="0"/>
              <w:right w:val="single" w:color="auto" w:sz="4" w:space="0"/>
            </w:tcBorders>
            <w:shd w:val="clear" w:color="auto" w:fill="auto"/>
            <w:noWrap/>
          </w:tcPr>
          <w:p w:rsidRPr="00704454" w:rsidR="00EA07A0" w:rsidP="00EA07A0" w:rsidRDefault="00EA07A0" w14:paraId="1152FA53" w14:textId="77777777">
            <w:pPr>
              <w:spacing w:after="0" w:line="240" w:lineRule="auto"/>
              <w:rPr>
                <w:rFonts w:eastAsia="Times New Roman" w:cs="Calibri"/>
                <w:color w:val="000000"/>
                <w:szCs w:val="18"/>
                <w:lang w:val="nl-NL" w:eastAsia="nl-NL"/>
              </w:rPr>
            </w:pPr>
            <w:r w:rsidRPr="00704454">
              <w:rPr>
                <w:rFonts w:eastAsia="Times New Roman" w:cs="Calibri"/>
                <w:color w:val="000000"/>
                <w:szCs w:val="18"/>
                <w:lang w:val="nl-NL" w:eastAsia="nl-NL"/>
              </w:rPr>
              <w:t>N.v.t.</w:t>
            </w:r>
          </w:p>
          <w:p w:rsidRPr="00704454" w:rsidR="00EA07A0" w:rsidP="00EA07A0" w:rsidRDefault="00EA07A0" w14:paraId="6AA05005" w14:textId="77777777">
            <w:pPr>
              <w:spacing w:after="0" w:line="240" w:lineRule="auto"/>
              <w:rPr>
                <w:rFonts w:eastAsia="Times New Roman" w:cs="Calibri"/>
                <w:b/>
                <w:bCs/>
                <w:i/>
                <w:iCs/>
                <w:color w:val="000000"/>
                <w:szCs w:val="18"/>
                <w:lang w:val="nl-NL" w:eastAsia="nl-NL"/>
              </w:rPr>
            </w:pPr>
          </w:p>
        </w:tc>
      </w:tr>
      <w:tr w:rsidRPr="00FD1605" w:rsidR="00EA07A0" w:rsidTr="00BF4FBB" w14:paraId="1C0B1119" w14:textId="77777777">
        <w:trPr>
          <w:trHeight w:val="315"/>
        </w:trPr>
        <w:tc>
          <w:tcPr>
            <w:tcW w:w="2005" w:type="dxa"/>
            <w:tcBorders>
              <w:top w:val="nil"/>
              <w:left w:val="single" w:color="auto" w:sz="8" w:space="0"/>
              <w:bottom w:val="single" w:color="auto" w:sz="8" w:space="0"/>
              <w:right w:val="nil"/>
            </w:tcBorders>
            <w:shd w:val="clear" w:color="auto" w:fill="auto"/>
            <w:noWrap/>
          </w:tcPr>
          <w:p w:rsidRPr="00704454" w:rsidR="00EA07A0" w:rsidP="00BF4FBB" w:rsidRDefault="00EA07A0" w14:paraId="3B6CEDA5"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Toelichting raming</w:t>
            </w:r>
          </w:p>
        </w:tc>
        <w:tc>
          <w:tcPr>
            <w:tcW w:w="8080" w:type="dxa"/>
            <w:tcBorders>
              <w:top w:val="single" w:color="auto" w:sz="4" w:space="0"/>
              <w:left w:val="single" w:color="auto" w:sz="4" w:space="0"/>
              <w:bottom w:val="single" w:color="auto" w:sz="8" w:space="0"/>
              <w:right w:val="single" w:color="auto" w:sz="4" w:space="0"/>
            </w:tcBorders>
            <w:shd w:val="clear" w:color="auto" w:fill="auto"/>
            <w:noWrap/>
          </w:tcPr>
          <w:p w:rsidRPr="00704454" w:rsidR="00EA07A0" w:rsidP="00EA07A0" w:rsidRDefault="00EA07A0" w14:paraId="24409718" w14:textId="77777777">
            <w:pPr>
              <w:spacing w:after="0" w:line="240" w:lineRule="auto"/>
              <w:rPr>
                <w:rFonts w:eastAsia="Times New Roman" w:cs="Calibri"/>
                <w:color w:val="000000"/>
                <w:szCs w:val="18"/>
                <w:lang w:val="nl-NL" w:eastAsia="nl-NL"/>
              </w:rPr>
            </w:pPr>
            <w:r w:rsidRPr="00704454">
              <w:rPr>
                <w:rFonts w:eastAsia="Times New Roman" w:cs="Calibri"/>
                <w:color w:val="000000"/>
                <w:szCs w:val="18"/>
                <w:lang w:val="nl-NL" w:eastAsia="nl-NL"/>
              </w:rPr>
              <w:t>N.v.t.</w:t>
            </w:r>
          </w:p>
          <w:p w:rsidRPr="00FD1605" w:rsidR="00EA07A0" w:rsidP="00BF4FBB" w:rsidRDefault="00EA07A0" w14:paraId="72A0C0A3" w14:textId="77777777">
            <w:pPr>
              <w:spacing w:after="0" w:line="240" w:lineRule="auto"/>
              <w:rPr>
                <w:rFonts w:eastAsia="Times New Roman" w:cs="Calibri"/>
                <w:i/>
                <w:iCs/>
                <w:color w:val="000000"/>
                <w:szCs w:val="18"/>
                <w:lang w:val="nl-NL" w:eastAsia="nl-NL"/>
              </w:rPr>
            </w:pPr>
          </w:p>
        </w:tc>
      </w:tr>
      <w:tr w:rsidRPr="00FD1605" w:rsidR="00EA07A0" w:rsidTr="00BF4FBB" w14:paraId="2968BEC7" w14:textId="77777777">
        <w:trPr>
          <w:trHeight w:val="315"/>
        </w:trPr>
        <w:tc>
          <w:tcPr>
            <w:tcW w:w="2005" w:type="dxa"/>
            <w:tcBorders>
              <w:top w:val="nil"/>
              <w:left w:val="single" w:color="auto" w:sz="8" w:space="0"/>
              <w:bottom w:val="single" w:color="auto" w:sz="8" w:space="0"/>
              <w:right w:val="nil"/>
            </w:tcBorders>
            <w:shd w:val="clear" w:color="auto" w:fill="auto"/>
            <w:noWrap/>
          </w:tcPr>
          <w:p w:rsidRPr="00704454" w:rsidR="00EA07A0" w:rsidP="00BF4FBB" w:rsidRDefault="00EA07A0" w14:paraId="6F9BA480"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Inkomens-</w:t>
            </w:r>
          </w:p>
          <w:p w:rsidRPr="00704454" w:rsidR="00EA07A0" w:rsidP="00BF4FBB" w:rsidRDefault="00EA07A0" w14:paraId="4102BA16"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effecten</w:t>
            </w:r>
          </w:p>
        </w:tc>
        <w:tc>
          <w:tcPr>
            <w:tcW w:w="8080" w:type="dxa"/>
            <w:tcBorders>
              <w:top w:val="single" w:color="auto" w:sz="4" w:space="0"/>
              <w:left w:val="single" w:color="auto" w:sz="4" w:space="0"/>
              <w:bottom w:val="single" w:color="auto" w:sz="8" w:space="0"/>
              <w:right w:val="single" w:color="auto" w:sz="4" w:space="0"/>
            </w:tcBorders>
            <w:shd w:val="clear" w:color="auto" w:fill="auto"/>
            <w:noWrap/>
          </w:tcPr>
          <w:p w:rsidRPr="00704454" w:rsidR="00EA07A0" w:rsidP="00EA07A0" w:rsidRDefault="00EA07A0" w14:paraId="6268D020" w14:textId="77777777">
            <w:pPr>
              <w:spacing w:after="0" w:line="240" w:lineRule="auto"/>
              <w:rPr>
                <w:rFonts w:eastAsia="Times New Roman" w:cs="Calibri"/>
                <w:color w:val="000000"/>
                <w:szCs w:val="18"/>
                <w:lang w:val="nl-NL" w:eastAsia="nl-NL"/>
              </w:rPr>
            </w:pPr>
            <w:r w:rsidRPr="00704454">
              <w:rPr>
                <w:rFonts w:eastAsia="Times New Roman" w:cs="Calibri"/>
                <w:color w:val="000000"/>
                <w:szCs w:val="18"/>
                <w:lang w:val="nl-NL" w:eastAsia="nl-NL"/>
              </w:rPr>
              <w:t>N.v.t.</w:t>
            </w:r>
          </w:p>
          <w:p w:rsidRPr="00FD1605" w:rsidR="00EA07A0" w:rsidP="00BF4FBB" w:rsidRDefault="00EA07A0" w14:paraId="20A9B3F0" w14:textId="7F0E4B39">
            <w:pPr>
              <w:spacing w:after="0" w:line="240" w:lineRule="auto"/>
              <w:rPr>
                <w:rFonts w:eastAsia="Times New Roman" w:cs="Calibri"/>
                <w:i/>
                <w:iCs/>
                <w:color w:val="000000"/>
                <w:szCs w:val="18"/>
                <w:lang w:val="nl-NL" w:eastAsia="nl-NL"/>
              </w:rPr>
            </w:pPr>
          </w:p>
        </w:tc>
      </w:tr>
      <w:tr w:rsidRPr="00FD1605" w:rsidR="00EA07A0" w:rsidTr="00BF4FBB" w14:paraId="184E5768" w14:textId="77777777">
        <w:trPr>
          <w:trHeight w:val="315"/>
        </w:trPr>
        <w:tc>
          <w:tcPr>
            <w:tcW w:w="2005" w:type="dxa"/>
            <w:tcBorders>
              <w:top w:val="nil"/>
              <w:left w:val="single" w:color="auto" w:sz="8" w:space="0"/>
              <w:bottom w:val="single" w:color="auto" w:sz="8" w:space="0"/>
              <w:right w:val="nil"/>
            </w:tcBorders>
            <w:shd w:val="clear" w:color="auto" w:fill="auto"/>
            <w:noWrap/>
          </w:tcPr>
          <w:p w:rsidRPr="00704454" w:rsidR="00EA07A0" w:rsidP="00BF4FBB" w:rsidRDefault="00EA07A0" w14:paraId="326BA1CC"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Arbeidsmarkt-effecten</w:t>
            </w:r>
          </w:p>
        </w:tc>
        <w:tc>
          <w:tcPr>
            <w:tcW w:w="8080" w:type="dxa"/>
            <w:tcBorders>
              <w:top w:val="single" w:color="auto" w:sz="4" w:space="0"/>
              <w:left w:val="single" w:color="auto" w:sz="4" w:space="0"/>
              <w:bottom w:val="single" w:color="auto" w:sz="8" w:space="0"/>
              <w:right w:val="single" w:color="auto" w:sz="4" w:space="0"/>
            </w:tcBorders>
            <w:shd w:val="clear" w:color="auto" w:fill="auto"/>
            <w:noWrap/>
          </w:tcPr>
          <w:p w:rsidRPr="00704454" w:rsidR="00EA07A0" w:rsidP="00EA07A0" w:rsidRDefault="00EA07A0" w14:paraId="7CA042BC" w14:textId="77777777">
            <w:pPr>
              <w:spacing w:after="0" w:line="240" w:lineRule="auto"/>
              <w:rPr>
                <w:rFonts w:eastAsia="Times New Roman" w:cs="Calibri"/>
                <w:color w:val="000000"/>
                <w:szCs w:val="18"/>
                <w:lang w:val="nl-NL" w:eastAsia="nl-NL"/>
              </w:rPr>
            </w:pPr>
            <w:r w:rsidRPr="00704454">
              <w:rPr>
                <w:rFonts w:eastAsia="Times New Roman" w:cs="Calibri"/>
                <w:color w:val="000000"/>
                <w:szCs w:val="18"/>
                <w:lang w:val="nl-NL" w:eastAsia="nl-NL"/>
              </w:rPr>
              <w:t>N.v.t.</w:t>
            </w:r>
          </w:p>
          <w:p w:rsidRPr="00FD1605" w:rsidR="00EA07A0" w:rsidP="00BF4FBB" w:rsidRDefault="00EA07A0" w14:paraId="662AF037" w14:textId="639F983D">
            <w:pPr>
              <w:spacing w:after="0" w:line="240" w:lineRule="auto"/>
              <w:rPr>
                <w:rFonts w:eastAsia="Times New Roman" w:cs="Calibri"/>
                <w:i/>
                <w:iCs/>
                <w:color w:val="000000"/>
                <w:szCs w:val="18"/>
                <w:lang w:val="nl-NL" w:eastAsia="nl-NL"/>
              </w:rPr>
            </w:pPr>
          </w:p>
        </w:tc>
      </w:tr>
      <w:tr w:rsidRPr="00FD1605" w:rsidR="00EA07A0" w:rsidTr="00BF4FBB" w14:paraId="6D116BE4" w14:textId="77777777">
        <w:trPr>
          <w:trHeight w:val="315"/>
        </w:trPr>
        <w:tc>
          <w:tcPr>
            <w:tcW w:w="2005" w:type="dxa"/>
            <w:tcBorders>
              <w:top w:val="nil"/>
              <w:left w:val="single" w:color="auto" w:sz="8" w:space="0"/>
              <w:bottom w:val="single" w:color="auto" w:sz="8" w:space="0"/>
              <w:right w:val="nil"/>
            </w:tcBorders>
            <w:shd w:val="clear" w:color="auto" w:fill="auto"/>
            <w:noWrap/>
          </w:tcPr>
          <w:p w:rsidRPr="00704454" w:rsidR="00EA07A0" w:rsidP="00BF4FBB" w:rsidRDefault="00EA07A0" w14:paraId="107BFA10"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Overige relevante aspecten</w:t>
            </w:r>
          </w:p>
        </w:tc>
        <w:tc>
          <w:tcPr>
            <w:tcW w:w="8080" w:type="dxa"/>
            <w:tcBorders>
              <w:top w:val="single" w:color="auto" w:sz="4" w:space="0"/>
              <w:left w:val="single" w:color="auto" w:sz="4" w:space="0"/>
              <w:bottom w:val="single" w:color="auto" w:sz="8" w:space="0"/>
              <w:right w:val="single" w:color="auto" w:sz="4" w:space="0"/>
            </w:tcBorders>
            <w:shd w:val="clear" w:color="auto" w:fill="auto"/>
            <w:noWrap/>
          </w:tcPr>
          <w:p w:rsidRPr="00704454" w:rsidR="00EA07A0" w:rsidP="00EA07A0" w:rsidRDefault="00EA07A0" w14:paraId="5AA01BFC" w14:textId="77777777">
            <w:pPr>
              <w:spacing w:after="0" w:line="240" w:lineRule="auto"/>
              <w:rPr>
                <w:rFonts w:eastAsia="Times New Roman" w:cs="Calibri"/>
                <w:color w:val="000000"/>
                <w:szCs w:val="18"/>
                <w:lang w:val="nl-NL" w:eastAsia="nl-NL"/>
              </w:rPr>
            </w:pPr>
            <w:r w:rsidRPr="00704454">
              <w:rPr>
                <w:rFonts w:eastAsia="Times New Roman" w:cs="Calibri"/>
                <w:color w:val="000000"/>
                <w:szCs w:val="18"/>
                <w:lang w:val="nl-NL" w:eastAsia="nl-NL"/>
              </w:rPr>
              <w:t>N.v.t.</w:t>
            </w:r>
          </w:p>
          <w:p w:rsidRPr="00FD1605" w:rsidR="00EA07A0" w:rsidP="00BF4FBB" w:rsidRDefault="00EA07A0" w14:paraId="2FE7DCE1" w14:textId="77777777">
            <w:pPr>
              <w:spacing w:after="0" w:line="240" w:lineRule="auto"/>
              <w:rPr>
                <w:rFonts w:eastAsia="Times New Roman" w:cs="Calibri"/>
                <w:i/>
                <w:iCs/>
                <w:color w:val="000000"/>
                <w:szCs w:val="18"/>
                <w:lang w:val="nl-NL" w:eastAsia="nl-NL"/>
              </w:rPr>
            </w:pPr>
          </w:p>
        </w:tc>
      </w:tr>
    </w:tbl>
    <w:p w:rsidRPr="00FD1605" w:rsidR="00EA07A0" w:rsidRDefault="00EA07A0" w14:paraId="3F979273" w14:textId="77777777">
      <w:pPr>
        <w:rPr>
          <w:lang w:val="nl-NL"/>
        </w:rPr>
      </w:pPr>
      <w:r w:rsidRPr="00FD1605">
        <w:rPr>
          <w:lang w:val="nl-NL"/>
        </w:rPr>
        <w:br w:type="page"/>
      </w:r>
    </w:p>
    <w:tbl>
      <w:tblPr>
        <w:tblW w:w="10085" w:type="dxa"/>
        <w:tblInd w:w="-436" w:type="dxa"/>
        <w:tblCellMar>
          <w:left w:w="70" w:type="dxa"/>
          <w:right w:w="70" w:type="dxa"/>
        </w:tblCellMar>
        <w:tblLook w:val="04A0" w:firstRow="1" w:lastRow="0" w:firstColumn="1" w:lastColumn="0" w:noHBand="0" w:noVBand="1"/>
      </w:tblPr>
      <w:tblGrid>
        <w:gridCol w:w="2005"/>
        <w:gridCol w:w="8080"/>
      </w:tblGrid>
      <w:tr w:rsidRPr="00EB3835" w:rsidR="009F6BA4" w:rsidTr="00061051" w14:paraId="5AC20F5B" w14:textId="77777777">
        <w:trPr>
          <w:trHeight w:val="300"/>
        </w:trPr>
        <w:tc>
          <w:tcPr>
            <w:tcW w:w="2005" w:type="dxa"/>
            <w:tcBorders>
              <w:top w:val="single" w:color="auto" w:sz="8" w:space="0"/>
              <w:left w:val="single" w:color="auto" w:sz="8" w:space="0"/>
              <w:bottom w:val="single" w:color="auto" w:sz="4" w:space="0"/>
              <w:right w:val="nil"/>
            </w:tcBorders>
            <w:shd w:val="clear" w:color="auto" w:fill="auto"/>
            <w:noWrap/>
          </w:tcPr>
          <w:p w:rsidRPr="00FD1605" w:rsidR="009F6BA4" w:rsidP="00061051" w:rsidRDefault="009F6BA4" w14:paraId="2CD904BB" w14:textId="77777777">
            <w:pPr>
              <w:spacing w:after="0" w:line="240" w:lineRule="auto"/>
              <w:rPr>
                <w:rFonts w:eastAsia="Times New Roman" w:cs="Calibri"/>
                <w:b/>
                <w:bCs/>
                <w:color w:val="000000"/>
                <w:szCs w:val="18"/>
                <w:lang w:val="nl-NL" w:eastAsia="nl-NL"/>
              </w:rPr>
            </w:pPr>
          </w:p>
          <w:p w:rsidRPr="00704454" w:rsidR="009F6BA4" w:rsidP="00061051" w:rsidRDefault="009F6BA4" w14:paraId="1C9741F1"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Maatregel</w:t>
            </w:r>
          </w:p>
        </w:tc>
        <w:tc>
          <w:tcPr>
            <w:tcW w:w="8080" w:type="dxa"/>
            <w:tcBorders>
              <w:top w:val="single" w:color="auto" w:sz="8" w:space="0"/>
              <w:left w:val="single" w:color="auto" w:sz="4" w:space="0"/>
              <w:bottom w:val="single" w:color="auto" w:sz="4" w:space="0"/>
              <w:right w:val="single" w:color="auto" w:sz="4" w:space="0"/>
            </w:tcBorders>
            <w:shd w:val="clear" w:color="auto" w:fill="auto"/>
            <w:noWrap/>
          </w:tcPr>
          <w:p w:rsidRPr="00FD1605" w:rsidR="009F6BA4" w:rsidP="00061051" w:rsidRDefault="009F6BA4" w14:paraId="71C98361" w14:textId="701B0C61">
            <w:pPr>
              <w:pStyle w:val="Kop1"/>
              <w:rPr>
                <w:rFonts w:ascii="Verdana" w:hAnsi="Verdana" w:eastAsia="Times New Roman"/>
                <w:b/>
                <w:bCs/>
                <w:color w:val="auto"/>
                <w:sz w:val="18"/>
                <w:szCs w:val="18"/>
                <w:lang w:val="nl-NL" w:eastAsia="nl-NL"/>
              </w:rPr>
            </w:pPr>
            <w:bookmarkStart w:name="_Toc223522233" w:id="12"/>
            <w:r>
              <w:rPr>
                <w:rFonts w:ascii="Verdana" w:hAnsi="Verdana" w:eastAsia="Times New Roman"/>
                <w:b/>
                <w:bCs/>
                <w:color w:val="auto"/>
                <w:sz w:val="18"/>
                <w:szCs w:val="18"/>
                <w:lang w:val="nl-NL" w:eastAsia="nl-NL"/>
              </w:rPr>
              <w:t>B</w:t>
            </w:r>
            <w:r w:rsidRPr="00913061">
              <w:rPr>
                <w:rFonts w:ascii="Verdana" w:hAnsi="Verdana" w:eastAsia="Times New Roman"/>
                <w:b/>
                <w:bCs/>
                <w:color w:val="auto"/>
                <w:sz w:val="18"/>
                <w:szCs w:val="18"/>
                <w:lang w:val="nl-NL" w:eastAsia="nl-NL"/>
              </w:rPr>
              <w:t>.</w:t>
            </w:r>
            <w:r>
              <w:rPr>
                <w:rFonts w:ascii="Verdana" w:hAnsi="Verdana" w:eastAsia="Times New Roman"/>
                <w:b/>
                <w:bCs/>
                <w:color w:val="auto"/>
                <w:sz w:val="18"/>
                <w:szCs w:val="18"/>
                <w:lang w:val="nl-NL" w:eastAsia="nl-NL"/>
              </w:rPr>
              <w:t>8</w:t>
            </w:r>
            <w:r w:rsidRPr="00913061">
              <w:rPr>
                <w:rFonts w:ascii="Verdana" w:hAnsi="Verdana" w:eastAsia="Times New Roman"/>
                <w:b/>
                <w:bCs/>
                <w:color w:val="auto"/>
                <w:sz w:val="18"/>
                <w:szCs w:val="18"/>
                <w:lang w:val="nl-NL" w:eastAsia="nl-NL"/>
              </w:rPr>
              <w:t xml:space="preserve"> </w:t>
            </w:r>
            <w:proofErr w:type="spellStart"/>
            <w:r w:rsidRPr="00913061">
              <w:rPr>
                <w:rFonts w:ascii="Verdana" w:hAnsi="Verdana" w:eastAsia="Times New Roman"/>
                <w:b/>
                <w:bCs/>
                <w:color w:val="auto"/>
                <w:sz w:val="18"/>
                <w:szCs w:val="18"/>
                <w:lang w:val="nl-NL" w:eastAsia="nl-NL"/>
              </w:rPr>
              <w:t>Kindregel</w:t>
            </w:r>
            <w:r w:rsidR="00BD151F">
              <w:rPr>
                <w:rFonts w:ascii="Verdana" w:hAnsi="Verdana" w:eastAsia="Times New Roman"/>
                <w:b/>
                <w:bCs/>
                <w:color w:val="auto"/>
                <w:sz w:val="18"/>
                <w:szCs w:val="18"/>
                <w:lang w:val="nl-NL" w:eastAsia="nl-NL"/>
              </w:rPr>
              <w:t>ing</w:t>
            </w:r>
            <w:proofErr w:type="spellEnd"/>
            <w:r w:rsidRPr="00913061">
              <w:rPr>
                <w:rFonts w:ascii="Verdana" w:hAnsi="Verdana" w:eastAsia="Times New Roman"/>
                <w:b/>
                <w:bCs/>
                <w:color w:val="auto"/>
                <w:sz w:val="18"/>
                <w:szCs w:val="18"/>
                <w:lang w:val="nl-NL" w:eastAsia="nl-NL"/>
              </w:rPr>
              <w:t xml:space="preserve"> afschaffen (de 1990-maatregel blijft bestaan)</w:t>
            </w:r>
            <w:bookmarkEnd w:id="12"/>
          </w:p>
        </w:tc>
      </w:tr>
      <w:tr w:rsidRPr="00EB3835" w:rsidR="009F6BA4" w:rsidTr="00061051" w14:paraId="5C1C8682" w14:textId="77777777">
        <w:trPr>
          <w:trHeight w:val="315"/>
        </w:trPr>
        <w:tc>
          <w:tcPr>
            <w:tcW w:w="2005" w:type="dxa"/>
            <w:tcBorders>
              <w:top w:val="nil"/>
              <w:left w:val="single" w:color="auto" w:sz="8" w:space="0"/>
              <w:bottom w:val="single" w:color="auto" w:sz="8" w:space="0"/>
              <w:right w:val="nil"/>
            </w:tcBorders>
            <w:shd w:val="clear" w:color="auto" w:fill="auto"/>
            <w:noWrap/>
          </w:tcPr>
          <w:p w:rsidRPr="00704454" w:rsidR="009F6BA4" w:rsidP="00061051" w:rsidRDefault="009F6BA4" w14:paraId="61D3FE48"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Korte uitleg maatregel</w:t>
            </w:r>
          </w:p>
        </w:tc>
        <w:tc>
          <w:tcPr>
            <w:tcW w:w="8080" w:type="dxa"/>
            <w:tcBorders>
              <w:top w:val="single" w:color="auto" w:sz="4" w:space="0"/>
              <w:left w:val="single" w:color="auto" w:sz="4" w:space="0"/>
              <w:bottom w:val="single" w:color="auto" w:sz="8" w:space="0"/>
              <w:right w:val="single" w:color="auto" w:sz="4" w:space="0"/>
            </w:tcBorders>
            <w:shd w:val="clear" w:color="auto" w:fill="auto"/>
            <w:noWrap/>
          </w:tcPr>
          <w:p w:rsidRPr="00FD1605" w:rsidR="009F6BA4" w:rsidP="00061051" w:rsidRDefault="009F6BA4" w14:paraId="1CCF0366" w14:textId="7272600C">
            <w:pPr>
              <w:spacing w:after="0" w:line="240" w:lineRule="auto"/>
              <w:rPr>
                <w:rFonts w:ascii="Times New Roman" w:hAnsi="Times New Roman" w:cs="Times New Roman"/>
                <w:sz w:val="24"/>
                <w:szCs w:val="24"/>
                <w:lang w:val="nl-NL" w:eastAsia="nl-NL"/>
              </w:rPr>
            </w:pPr>
            <w:r w:rsidRPr="00FD1605">
              <w:rPr>
                <w:rFonts w:eastAsia="Times New Roman" w:cs="Calibri"/>
                <w:color w:val="000000"/>
                <w:szCs w:val="18"/>
                <w:lang w:val="nl-NL" w:eastAsia="nl-NL"/>
              </w:rPr>
              <w:t>Recht op een TW-aanvulling bestaat als een gehuwde per dag een inkomen heeft dat lager is dan de geldende TW-norm. Artikel 3 van de Toeslagenwet regelt vanaf 1990 de uitsluitingsgrond dat een gehuwde wiens echtgenoot is geboren na 31 december 1971 geen recht heeft op toeslag (de zogenaamde 1990-</w:t>
            </w:r>
            <w:r w:rsidR="00BD151F">
              <w:rPr>
                <w:rFonts w:eastAsia="Times New Roman" w:cs="Calibri"/>
                <w:color w:val="000000"/>
                <w:szCs w:val="18"/>
                <w:lang w:val="nl-NL" w:eastAsia="nl-NL"/>
              </w:rPr>
              <w:t>maatregel</w:t>
            </w:r>
            <w:r w:rsidRPr="00FD1605">
              <w:rPr>
                <w:rFonts w:eastAsia="Times New Roman" w:cs="Calibri"/>
                <w:color w:val="000000"/>
                <w:szCs w:val="18"/>
                <w:lang w:val="nl-NL" w:eastAsia="nl-NL"/>
              </w:rPr>
              <w:t xml:space="preserve">), </w:t>
            </w:r>
            <w:r w:rsidRPr="00FD1605">
              <w:rPr>
                <w:rFonts w:eastAsia="Times New Roman" w:cs="Calibri"/>
                <w:color w:val="000000"/>
                <w:szCs w:val="18"/>
                <w:u w:val="single"/>
                <w:lang w:val="nl-NL" w:eastAsia="nl-NL"/>
              </w:rPr>
              <w:t>tenzij</w:t>
            </w:r>
            <w:r w:rsidRPr="00FD1605">
              <w:rPr>
                <w:rFonts w:eastAsia="Times New Roman" w:cs="Calibri"/>
                <w:color w:val="000000"/>
                <w:szCs w:val="18"/>
                <w:lang w:val="nl-NL" w:eastAsia="nl-NL"/>
              </w:rPr>
              <w:t xml:space="preserve"> tot zijn huishouden een eigen kind, aangehuwd kind of pleegkind behoort dat jonger is van 12 jaar (de zogenaamde </w:t>
            </w:r>
            <w:proofErr w:type="spellStart"/>
            <w:r w:rsidRPr="00FD1605">
              <w:rPr>
                <w:rFonts w:eastAsia="Times New Roman" w:cs="Calibri"/>
                <w:color w:val="000000"/>
                <w:szCs w:val="18"/>
                <w:lang w:val="nl-NL" w:eastAsia="nl-NL"/>
              </w:rPr>
              <w:t>kindregeling</w:t>
            </w:r>
            <w:proofErr w:type="spellEnd"/>
            <w:r w:rsidRPr="00FD1605">
              <w:rPr>
                <w:rFonts w:eastAsia="Times New Roman" w:cs="Calibri"/>
                <w:color w:val="000000"/>
                <w:szCs w:val="18"/>
                <w:lang w:val="nl-NL" w:eastAsia="nl-NL"/>
              </w:rPr>
              <w:t>).</w:t>
            </w:r>
            <w:r w:rsidRPr="00FD1605">
              <w:rPr>
                <w:rFonts w:ascii="Times New Roman" w:hAnsi="Times New Roman" w:cs="Times New Roman"/>
                <w:sz w:val="24"/>
                <w:szCs w:val="24"/>
                <w:lang w:val="nl-NL" w:eastAsia="nl-NL"/>
              </w:rPr>
              <w:t xml:space="preserve"> </w:t>
            </w:r>
          </w:p>
          <w:p w:rsidRPr="00FD1605" w:rsidR="009F6BA4" w:rsidP="00061051" w:rsidRDefault="009F6BA4" w14:paraId="4CC22177" w14:textId="77777777">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 xml:space="preserve">Wanneer sprake is van een echtgenoot geboren na 31 december 1971 en het (jongste) kind 12 jaar wordt, dan is de uitsluitingsgrond wel van toepassing en eindigt het recht op de TW-aanvulling. De uitkeringsgerechtigde (en diens partner) krijgt te maken met een inkomensval. </w:t>
            </w:r>
          </w:p>
          <w:p w:rsidRPr="00FD1605" w:rsidR="009F6BA4" w:rsidP="00061051" w:rsidRDefault="009F6BA4" w14:paraId="4E8AC206" w14:textId="77777777">
            <w:pPr>
              <w:spacing w:after="0" w:line="240" w:lineRule="auto"/>
              <w:rPr>
                <w:rFonts w:eastAsia="Times New Roman" w:cs="Calibri"/>
                <w:color w:val="000000"/>
                <w:szCs w:val="18"/>
                <w:lang w:val="nl-NL" w:eastAsia="nl-NL"/>
              </w:rPr>
            </w:pPr>
          </w:p>
          <w:p w:rsidRPr="00FD1605" w:rsidR="009F6BA4" w:rsidP="00061051" w:rsidRDefault="009F6BA4" w14:paraId="3C423A52" w14:textId="77777777">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 xml:space="preserve">Deze maatregel zou ertoe leiden dat de uitzondering op de uitsluitingsgrond verdwijnt en dat gezinnen (uitkeringsgerechtigde + partner) waarbij de partner is geboren na 31 december 1971 geen recht hebben op een aanvullende toeslag. Ook niet als zij zorgdragen voor een kind tot 12 jaar. De groep gehuwden die recht heeft op een aanvullende toeslag wordt daarmee (mede door tijdsverloop) steeds kleiner. </w:t>
            </w:r>
          </w:p>
          <w:p w:rsidRPr="00FD1605" w:rsidR="009F6BA4" w:rsidP="00061051" w:rsidRDefault="009F6BA4" w14:paraId="53C422F8" w14:textId="77777777">
            <w:pPr>
              <w:spacing w:after="0" w:line="240" w:lineRule="auto"/>
              <w:rPr>
                <w:rFonts w:eastAsia="Times New Roman" w:cs="Calibri"/>
                <w:color w:val="000000"/>
                <w:szCs w:val="18"/>
                <w:lang w:val="nl-NL" w:eastAsia="nl-NL"/>
              </w:rPr>
            </w:pPr>
          </w:p>
          <w:p w:rsidRPr="00FD1605" w:rsidR="009F6BA4" w:rsidP="00061051" w:rsidRDefault="009F6BA4" w14:paraId="267E735D" w14:textId="28DBA6A5">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Deze maatregel kan worden gezien in lijn met de bedoeling van de wetgever ten tijde van inwerkingtreding van de Toeslagenwet. In de Memorie van toelichting (d.d. 1986) heeft de wetgever opgemerkt dat sociale zekerheid dient te reageren op maatschappelijke ontwikkelingen. Ten tijde van de inwerkingtreding van de wet werden jonge vrouwen (in de jaren ’70 en ’80 waren veelal de mannen kostwinners in een gezin) steeds meer in staat geacht om middels arbeid zelfstandig een inkomen te verwerven. Deze zelfstandigheid heeft zich de afgelopen decennia uitgebreid, het aandeel vrouwen in de werkzame beroepsbevolking passeerde begin deze eeuw de 40%</w:t>
            </w:r>
            <w:r w:rsidRPr="00704454">
              <w:rPr>
                <w:rStyle w:val="Voetnootmarkering"/>
                <w:rFonts w:eastAsia="Times New Roman" w:cs="Calibri"/>
                <w:color w:val="000000"/>
                <w:szCs w:val="18"/>
                <w:lang w:val="nl-NL" w:eastAsia="nl-NL"/>
              </w:rPr>
              <w:footnoteReference w:id="11"/>
            </w:r>
            <w:r w:rsidRPr="00FD1605">
              <w:rPr>
                <w:rFonts w:eastAsia="Times New Roman" w:cs="Calibri"/>
                <w:color w:val="000000"/>
                <w:szCs w:val="18"/>
                <w:lang w:val="nl-NL" w:eastAsia="nl-NL"/>
              </w:rPr>
              <w:t>, momenteel ligt het rond de 65%</w:t>
            </w:r>
            <w:r w:rsidRPr="00704454">
              <w:rPr>
                <w:rStyle w:val="Voetnootmarkering"/>
                <w:rFonts w:eastAsia="Times New Roman" w:cs="Calibri"/>
                <w:color w:val="000000"/>
                <w:szCs w:val="18"/>
                <w:lang w:val="nl-NL" w:eastAsia="nl-NL"/>
              </w:rPr>
              <w:footnoteReference w:id="12"/>
            </w:r>
            <w:r w:rsidRPr="00FD1605">
              <w:rPr>
                <w:rFonts w:eastAsia="Times New Roman" w:cs="Calibri"/>
                <w:color w:val="000000"/>
                <w:szCs w:val="18"/>
                <w:lang w:val="nl-NL" w:eastAsia="nl-NL"/>
              </w:rPr>
              <w:t xml:space="preserve">. Ook zijn er sindsdien meer voorzieningen gekomen </w:t>
            </w:r>
            <w:r w:rsidR="00C632B9">
              <w:rPr>
                <w:rFonts w:eastAsia="Times New Roman" w:cs="Calibri"/>
                <w:color w:val="000000"/>
                <w:szCs w:val="18"/>
                <w:lang w:val="nl-NL" w:eastAsia="nl-NL"/>
              </w:rPr>
              <w:t>om arbeid en zorg te combineren</w:t>
            </w:r>
            <w:r w:rsidRPr="00FD1605">
              <w:rPr>
                <w:rFonts w:eastAsia="Times New Roman" w:cs="Calibri"/>
                <w:color w:val="000000"/>
                <w:szCs w:val="18"/>
                <w:lang w:val="nl-NL" w:eastAsia="nl-NL"/>
              </w:rPr>
              <w:t xml:space="preserve">, zoals toegankelijke kinderopvang. Deze maatschappelijke ontwikkelingen kunnen gezien worden als aanleidingen om de </w:t>
            </w:r>
            <w:proofErr w:type="spellStart"/>
            <w:r w:rsidRPr="00FD1605">
              <w:rPr>
                <w:rFonts w:eastAsia="Times New Roman" w:cs="Calibri"/>
                <w:color w:val="000000"/>
                <w:szCs w:val="18"/>
                <w:lang w:val="nl-NL" w:eastAsia="nl-NL"/>
              </w:rPr>
              <w:t>kindregeling</w:t>
            </w:r>
            <w:proofErr w:type="spellEnd"/>
            <w:r w:rsidRPr="00FD1605">
              <w:rPr>
                <w:rFonts w:eastAsia="Times New Roman" w:cs="Calibri"/>
                <w:color w:val="000000"/>
                <w:szCs w:val="18"/>
                <w:lang w:val="nl-NL" w:eastAsia="nl-NL"/>
              </w:rPr>
              <w:t xml:space="preserve"> in de Toeslagenwet af te schaffen. </w:t>
            </w:r>
          </w:p>
        </w:tc>
      </w:tr>
      <w:tr w:rsidRPr="00EB3835" w:rsidR="009F6BA4" w:rsidTr="00061051" w14:paraId="6A5AC359" w14:textId="77777777">
        <w:trPr>
          <w:trHeight w:val="315"/>
        </w:trPr>
        <w:tc>
          <w:tcPr>
            <w:tcW w:w="2005" w:type="dxa"/>
            <w:tcBorders>
              <w:top w:val="nil"/>
              <w:left w:val="single" w:color="auto" w:sz="8" w:space="0"/>
              <w:bottom w:val="single" w:color="auto" w:sz="8" w:space="0"/>
              <w:right w:val="nil"/>
            </w:tcBorders>
            <w:shd w:val="clear" w:color="auto" w:fill="auto"/>
            <w:noWrap/>
          </w:tcPr>
          <w:p w:rsidRPr="00704454" w:rsidR="009F6BA4" w:rsidP="00061051" w:rsidRDefault="009F6BA4" w14:paraId="4D610D41"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Doel maatregel</w:t>
            </w:r>
          </w:p>
        </w:tc>
        <w:tc>
          <w:tcPr>
            <w:tcW w:w="8080" w:type="dxa"/>
            <w:tcBorders>
              <w:top w:val="single" w:color="auto" w:sz="4" w:space="0"/>
              <w:left w:val="single" w:color="auto" w:sz="4" w:space="0"/>
              <w:bottom w:val="single" w:color="auto" w:sz="8" w:space="0"/>
              <w:right w:val="single" w:color="auto" w:sz="4" w:space="0"/>
            </w:tcBorders>
            <w:shd w:val="clear" w:color="auto" w:fill="auto"/>
            <w:noWrap/>
          </w:tcPr>
          <w:p w:rsidRPr="00FD1605" w:rsidR="009F6BA4" w:rsidP="00061051" w:rsidRDefault="009F6BA4" w14:paraId="1F466343" w14:textId="77777777">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 xml:space="preserve">Vereenvoudiging van de wetgeving en vergroten van de voorspelbaarheid van de inkomenssituatie. </w:t>
            </w:r>
          </w:p>
        </w:tc>
      </w:tr>
      <w:tr w:rsidRPr="00EB3835" w:rsidR="009F6BA4" w:rsidTr="00061051" w14:paraId="13A539EA" w14:textId="77777777">
        <w:trPr>
          <w:trHeight w:val="315"/>
        </w:trPr>
        <w:tc>
          <w:tcPr>
            <w:tcW w:w="2005" w:type="dxa"/>
            <w:tcBorders>
              <w:top w:val="nil"/>
              <w:left w:val="single" w:color="auto" w:sz="8" w:space="0"/>
              <w:bottom w:val="single" w:color="auto" w:sz="8" w:space="0"/>
              <w:right w:val="nil"/>
            </w:tcBorders>
            <w:shd w:val="clear" w:color="auto" w:fill="auto"/>
            <w:noWrap/>
          </w:tcPr>
          <w:p w:rsidRPr="00FD1605" w:rsidR="009F6BA4" w:rsidP="00061051" w:rsidRDefault="009F6BA4" w14:paraId="37052E82" w14:textId="77777777">
            <w:pPr>
              <w:spacing w:after="0" w:line="240" w:lineRule="auto"/>
              <w:rPr>
                <w:rFonts w:eastAsia="Times New Roman" w:cs="Calibri"/>
                <w:b/>
                <w:bCs/>
                <w:color w:val="000000"/>
                <w:szCs w:val="18"/>
                <w:lang w:val="nl-NL" w:eastAsia="nl-NL"/>
              </w:rPr>
            </w:pPr>
            <w:r w:rsidRPr="00FD1605">
              <w:rPr>
                <w:rFonts w:eastAsia="Times New Roman" w:cs="Calibri"/>
                <w:b/>
                <w:bCs/>
                <w:color w:val="000000"/>
                <w:szCs w:val="18"/>
                <w:lang w:val="nl-NL" w:eastAsia="nl-NL"/>
              </w:rPr>
              <w:t xml:space="preserve">Vereenvoudiging vanuit burgerperspectief (begrijpelijkheid, zekerheid en </w:t>
            </w:r>
            <w:proofErr w:type="spellStart"/>
            <w:r w:rsidRPr="00FD1605">
              <w:rPr>
                <w:rFonts w:eastAsia="Times New Roman" w:cs="Calibri"/>
                <w:b/>
                <w:bCs/>
                <w:color w:val="000000"/>
                <w:szCs w:val="18"/>
                <w:lang w:val="nl-NL" w:eastAsia="nl-NL"/>
              </w:rPr>
              <w:t>doenlijkheid</w:t>
            </w:r>
            <w:proofErr w:type="spellEnd"/>
            <w:r w:rsidRPr="00FD1605">
              <w:rPr>
                <w:rFonts w:eastAsia="Times New Roman" w:cs="Calibri"/>
                <w:b/>
                <w:bCs/>
                <w:color w:val="000000"/>
                <w:szCs w:val="18"/>
                <w:lang w:val="nl-NL" w:eastAsia="nl-NL"/>
              </w:rPr>
              <w:t>)</w:t>
            </w:r>
          </w:p>
        </w:tc>
        <w:tc>
          <w:tcPr>
            <w:tcW w:w="8080" w:type="dxa"/>
            <w:tcBorders>
              <w:top w:val="single" w:color="auto" w:sz="4" w:space="0"/>
              <w:left w:val="single" w:color="auto" w:sz="4" w:space="0"/>
              <w:bottom w:val="single" w:color="auto" w:sz="8" w:space="0"/>
              <w:right w:val="single" w:color="auto" w:sz="4" w:space="0"/>
            </w:tcBorders>
            <w:shd w:val="clear" w:color="auto" w:fill="auto"/>
            <w:noWrap/>
          </w:tcPr>
          <w:p w:rsidRPr="00FD1605" w:rsidR="009F6BA4" w:rsidP="00061051" w:rsidRDefault="009F6BA4" w14:paraId="5CD610C2" w14:textId="376B5A65">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 xml:space="preserve">Mensen die nu aanspraak kunnen maken op een toeslag kunnen dat met deze wijziging niet meer en zijn aangewezen op de bijstand (met vermogenstoets). Daarentegen gelden minder voorwaarden (of uitzonderingen op de voorwaarden), waardoor het makkelijker te begrijpen is of iemand recht heeft op de aanvullende toeslag of niet. Dit geeft minder onzekerheid. </w:t>
            </w:r>
          </w:p>
          <w:p w:rsidRPr="00FD1605" w:rsidR="009F6BA4" w:rsidP="00061051" w:rsidRDefault="009F6BA4" w14:paraId="1B4DD305" w14:textId="05C5D0B6">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 xml:space="preserve">Mogelijk dat </w:t>
            </w:r>
            <w:r w:rsidR="00C632B9">
              <w:rPr>
                <w:rFonts w:eastAsia="Times New Roman" w:cs="Calibri"/>
                <w:color w:val="000000"/>
                <w:szCs w:val="18"/>
                <w:lang w:val="nl-NL" w:eastAsia="nl-NL"/>
              </w:rPr>
              <w:t>mensen</w:t>
            </w:r>
            <w:r w:rsidRPr="00FD1605" w:rsidR="00C632B9">
              <w:rPr>
                <w:rFonts w:eastAsia="Times New Roman" w:cs="Calibri"/>
                <w:color w:val="000000"/>
                <w:szCs w:val="18"/>
                <w:lang w:val="nl-NL" w:eastAsia="nl-NL"/>
              </w:rPr>
              <w:t xml:space="preserve"> </w:t>
            </w:r>
            <w:r w:rsidRPr="00FD1605">
              <w:rPr>
                <w:rFonts w:eastAsia="Times New Roman" w:cs="Calibri"/>
                <w:color w:val="000000"/>
                <w:szCs w:val="18"/>
                <w:lang w:val="nl-NL" w:eastAsia="nl-NL"/>
              </w:rPr>
              <w:t xml:space="preserve">met meer instanties te maken krijgen, doordat zij geen recht hebben op TW-aanvulling. Als er geen andere bron van inkomsten is, hebben zij mogelijk recht op aanvullende bijstand </w:t>
            </w:r>
            <w:r w:rsidR="00C632B9">
              <w:rPr>
                <w:rFonts w:eastAsia="Times New Roman" w:cs="Calibri"/>
                <w:color w:val="000000"/>
                <w:szCs w:val="18"/>
                <w:lang w:val="nl-NL" w:eastAsia="nl-NL"/>
              </w:rPr>
              <w:t>van</w:t>
            </w:r>
            <w:r w:rsidRPr="00FD1605">
              <w:rPr>
                <w:rFonts w:eastAsia="Times New Roman" w:cs="Calibri"/>
                <w:color w:val="000000"/>
                <w:szCs w:val="18"/>
                <w:lang w:val="nl-NL" w:eastAsia="nl-NL"/>
              </w:rPr>
              <w:t xml:space="preserve"> de gemeente. </w:t>
            </w:r>
          </w:p>
        </w:tc>
      </w:tr>
      <w:tr w:rsidRPr="00EB3835" w:rsidR="009F6BA4" w:rsidTr="00061051" w14:paraId="548E8CA2" w14:textId="77777777">
        <w:trPr>
          <w:trHeight w:val="315"/>
        </w:trPr>
        <w:tc>
          <w:tcPr>
            <w:tcW w:w="2005" w:type="dxa"/>
            <w:tcBorders>
              <w:top w:val="nil"/>
              <w:left w:val="single" w:color="auto" w:sz="8" w:space="0"/>
              <w:bottom w:val="single" w:color="auto" w:sz="8" w:space="0"/>
              <w:right w:val="nil"/>
            </w:tcBorders>
            <w:shd w:val="clear" w:color="auto" w:fill="auto"/>
            <w:noWrap/>
          </w:tcPr>
          <w:p w:rsidRPr="00704454" w:rsidR="009F6BA4" w:rsidP="00061051" w:rsidRDefault="009F6BA4" w14:paraId="44AB8A58"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 xml:space="preserve">Keuzes binnen maatregel </w:t>
            </w:r>
          </w:p>
        </w:tc>
        <w:tc>
          <w:tcPr>
            <w:tcW w:w="8080" w:type="dxa"/>
            <w:tcBorders>
              <w:top w:val="single" w:color="auto" w:sz="4" w:space="0"/>
              <w:left w:val="single" w:color="auto" w:sz="4" w:space="0"/>
              <w:bottom w:val="single" w:color="auto" w:sz="8" w:space="0"/>
              <w:right w:val="single" w:color="auto" w:sz="4" w:space="0"/>
            </w:tcBorders>
            <w:shd w:val="clear" w:color="auto" w:fill="auto"/>
            <w:noWrap/>
          </w:tcPr>
          <w:p w:rsidRPr="00FD1605" w:rsidR="009F6BA4" w:rsidP="00061051" w:rsidRDefault="009F6BA4" w14:paraId="03E71EA0" w14:textId="77777777">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Er dient een keuze te worden gemaakt hoe omgegaan wordt met het overgangsrecht. Voor de groep uitkeringsgerechtigde die ten tijde van inwerkingtreding al recht hebben op een TW-aanvulling als gevolg van de huidige bepaling, kan ervoor gekozen worden dat zij recht blijven houden op de TW-aanvulling tot het (jongste) kind 12 jaar wordt. Aandachtspunt daarbij is dat het stopzetten van het recht op de TW-aanvulling door deze maatregel kan gezien worden als het ontnemen van een eigendomsrecht op grond van art. 1 Eerste Protocol va het EVRM.</w:t>
            </w:r>
          </w:p>
        </w:tc>
      </w:tr>
      <w:tr w:rsidRPr="00EB3835" w:rsidR="009F6BA4" w:rsidTr="00061051" w14:paraId="0D7B4AC1" w14:textId="77777777">
        <w:trPr>
          <w:trHeight w:val="315"/>
        </w:trPr>
        <w:tc>
          <w:tcPr>
            <w:tcW w:w="2005" w:type="dxa"/>
            <w:tcBorders>
              <w:top w:val="nil"/>
              <w:left w:val="single" w:color="auto" w:sz="8" w:space="0"/>
              <w:bottom w:val="single" w:color="auto" w:sz="8" w:space="0"/>
              <w:right w:val="nil"/>
            </w:tcBorders>
            <w:shd w:val="clear" w:color="auto" w:fill="auto"/>
            <w:noWrap/>
          </w:tcPr>
          <w:p w:rsidRPr="00704454" w:rsidR="009F6BA4" w:rsidP="00061051" w:rsidRDefault="009F6BA4" w14:paraId="7BB5F8A4"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Tijdpad inwerkingtreding</w:t>
            </w:r>
          </w:p>
        </w:tc>
        <w:tc>
          <w:tcPr>
            <w:tcW w:w="8080" w:type="dxa"/>
            <w:tcBorders>
              <w:top w:val="single" w:color="auto" w:sz="4" w:space="0"/>
              <w:left w:val="single" w:color="auto" w:sz="4" w:space="0"/>
              <w:bottom w:val="single" w:color="auto" w:sz="8" w:space="0"/>
              <w:right w:val="single" w:color="auto" w:sz="4" w:space="0"/>
            </w:tcBorders>
            <w:shd w:val="clear" w:color="auto" w:fill="auto"/>
            <w:noWrap/>
          </w:tcPr>
          <w:p w:rsidRPr="00FD1605" w:rsidR="009F6BA4" w:rsidP="00061051" w:rsidRDefault="009F6BA4" w14:paraId="0F10AAF6" w14:textId="77777777">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Voor aanpassing van de zogenaamde ‘</w:t>
            </w:r>
            <w:proofErr w:type="spellStart"/>
            <w:r w:rsidRPr="00FD1605">
              <w:rPr>
                <w:rFonts w:eastAsia="Times New Roman" w:cs="Calibri"/>
                <w:color w:val="000000"/>
                <w:szCs w:val="18"/>
                <w:lang w:val="nl-NL" w:eastAsia="nl-NL"/>
              </w:rPr>
              <w:t>kindregeling</w:t>
            </w:r>
            <w:proofErr w:type="spellEnd"/>
            <w:r w:rsidRPr="00FD1605">
              <w:rPr>
                <w:rFonts w:eastAsia="Times New Roman" w:cs="Calibri"/>
                <w:color w:val="000000"/>
                <w:szCs w:val="18"/>
                <w:lang w:val="nl-NL" w:eastAsia="nl-NL"/>
              </w:rPr>
              <w:t xml:space="preserve">’ is een wetswijziging van artikel 3 Toeslagenwet nodig. Een wetswijziging duurt gemiddeld twee jaar. Ook dient rekening te worden gehouden met eventuele extra tijd voor de implementatie door de uitvoerder. Hierbij kan worden gedacht aan aanpassingen van systemen en communicatie aan uitkeringsgerechtigden. </w:t>
            </w:r>
          </w:p>
        </w:tc>
      </w:tr>
      <w:tr w:rsidRPr="00EB3835" w:rsidR="009F6BA4" w:rsidTr="00061051" w14:paraId="7B7CFD30" w14:textId="77777777">
        <w:trPr>
          <w:trHeight w:val="315"/>
        </w:trPr>
        <w:tc>
          <w:tcPr>
            <w:tcW w:w="2005" w:type="dxa"/>
            <w:tcBorders>
              <w:top w:val="nil"/>
              <w:left w:val="single" w:color="auto" w:sz="8" w:space="0"/>
              <w:bottom w:val="single" w:color="auto" w:sz="8" w:space="0"/>
              <w:right w:val="nil"/>
            </w:tcBorders>
            <w:shd w:val="clear" w:color="auto" w:fill="auto"/>
            <w:noWrap/>
          </w:tcPr>
          <w:p w:rsidRPr="00704454" w:rsidR="009F6BA4" w:rsidP="00061051" w:rsidRDefault="009F6BA4" w14:paraId="4DEF881B"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Juridische haalbaarheid</w:t>
            </w:r>
          </w:p>
        </w:tc>
        <w:tc>
          <w:tcPr>
            <w:tcW w:w="8080" w:type="dxa"/>
            <w:tcBorders>
              <w:top w:val="single" w:color="auto" w:sz="4" w:space="0"/>
              <w:left w:val="single" w:color="auto" w:sz="4" w:space="0"/>
              <w:bottom w:val="single" w:color="auto" w:sz="8" w:space="0"/>
              <w:right w:val="single" w:color="auto" w:sz="4" w:space="0"/>
            </w:tcBorders>
            <w:shd w:val="clear" w:color="auto" w:fill="auto"/>
            <w:noWrap/>
          </w:tcPr>
          <w:p w:rsidRPr="00FD1605" w:rsidR="009F6BA4" w:rsidP="00061051" w:rsidRDefault="009F6BA4" w14:paraId="79456446" w14:textId="77777777">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 xml:space="preserve">Er is een wetswijziging nodig van artikel 3 van de Toeslagenwet. </w:t>
            </w:r>
          </w:p>
          <w:p w:rsidRPr="00FD1605" w:rsidR="009F6BA4" w:rsidP="00061051" w:rsidRDefault="009F6BA4" w14:paraId="7624C3EB" w14:textId="77777777">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 xml:space="preserve">Er moet nader worden onderzocht of er sprake is van eigendomsrechten </w:t>
            </w:r>
            <w:proofErr w:type="spellStart"/>
            <w:r w:rsidRPr="00FD1605">
              <w:rPr>
                <w:rFonts w:eastAsia="Times New Roman" w:cs="Calibri"/>
                <w:color w:val="000000"/>
                <w:szCs w:val="18"/>
                <w:lang w:val="nl-NL" w:eastAsia="nl-NL"/>
              </w:rPr>
              <w:t>obv</w:t>
            </w:r>
            <w:proofErr w:type="spellEnd"/>
            <w:r w:rsidRPr="00FD1605">
              <w:rPr>
                <w:rFonts w:eastAsia="Times New Roman" w:cs="Calibri"/>
                <w:color w:val="000000"/>
                <w:szCs w:val="18"/>
                <w:lang w:val="nl-NL" w:eastAsia="nl-NL"/>
              </w:rPr>
              <w:t xml:space="preserve"> 1e Protocol bij EVRM die gerespecteerd moeten worden</w:t>
            </w:r>
            <w:r>
              <w:rPr>
                <w:rFonts w:eastAsia="Times New Roman" w:cs="Calibri"/>
                <w:color w:val="000000"/>
                <w:szCs w:val="18"/>
                <w:lang w:val="nl-NL" w:eastAsia="nl-NL"/>
              </w:rPr>
              <w:t xml:space="preserve">. </w:t>
            </w:r>
            <w:r w:rsidRPr="00FD1605">
              <w:rPr>
                <w:rFonts w:eastAsia="Times New Roman" w:cs="Calibri"/>
                <w:color w:val="000000"/>
                <w:szCs w:val="18"/>
                <w:lang w:val="nl-NL" w:eastAsia="nl-NL"/>
              </w:rPr>
              <w:t xml:space="preserve">Daarbij dient ook aandacht te </w:t>
            </w:r>
            <w:r w:rsidRPr="00FD1605">
              <w:rPr>
                <w:rFonts w:eastAsia="Times New Roman" w:cs="Calibri"/>
                <w:color w:val="000000"/>
                <w:szCs w:val="18"/>
                <w:lang w:val="nl-NL" w:eastAsia="nl-NL"/>
              </w:rPr>
              <w:lastRenderedPageBreak/>
              <w:t xml:space="preserve">worden gegeven aan de export van aanvullende toeslagen in enkele gevallen waarin bilaterale verdragen een rol spelen. </w:t>
            </w:r>
          </w:p>
        </w:tc>
      </w:tr>
      <w:tr w:rsidRPr="00EB3835" w:rsidR="009F6BA4" w:rsidTr="00061051" w14:paraId="4B4AF731" w14:textId="77777777">
        <w:trPr>
          <w:trHeight w:val="315"/>
        </w:trPr>
        <w:tc>
          <w:tcPr>
            <w:tcW w:w="2005" w:type="dxa"/>
            <w:tcBorders>
              <w:top w:val="nil"/>
              <w:left w:val="single" w:color="auto" w:sz="8" w:space="0"/>
              <w:bottom w:val="single" w:color="auto" w:sz="8" w:space="0"/>
              <w:right w:val="nil"/>
            </w:tcBorders>
            <w:shd w:val="clear" w:color="auto" w:fill="auto"/>
            <w:noWrap/>
          </w:tcPr>
          <w:p w:rsidRPr="00704454" w:rsidR="009F6BA4" w:rsidP="00061051" w:rsidRDefault="009F6BA4" w14:paraId="050A0D28"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lastRenderedPageBreak/>
              <w:t>Uitvoerbaarheid</w:t>
            </w:r>
          </w:p>
        </w:tc>
        <w:tc>
          <w:tcPr>
            <w:tcW w:w="8080" w:type="dxa"/>
            <w:tcBorders>
              <w:top w:val="single" w:color="auto" w:sz="4" w:space="0"/>
              <w:left w:val="single" w:color="auto" w:sz="4" w:space="0"/>
              <w:bottom w:val="single" w:color="auto" w:sz="8" w:space="0"/>
              <w:right w:val="single" w:color="auto" w:sz="4" w:space="0"/>
            </w:tcBorders>
            <w:shd w:val="clear" w:color="auto" w:fill="auto"/>
            <w:noWrap/>
          </w:tcPr>
          <w:p w:rsidRPr="00FD1605" w:rsidR="009F6BA4" w:rsidP="00061051" w:rsidRDefault="009F6BA4" w14:paraId="6DA76E9A" w14:textId="46464127">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 xml:space="preserve">De uitvoerder zal diverse wijzigingen in de werkwijze moeten aanbrengen. Gedacht dient te worden aan aanpassingen aan systemen en communicatie aan uitkeringsgerechtigden. Indien de hiervoor beschreven keuze wordt gemaakt van overgangsrecht voor lopende uitkeringen, zou het betekenen dat het maximaal 12 jaar duurt voordat de doelgroep met </w:t>
            </w:r>
            <w:proofErr w:type="spellStart"/>
            <w:r w:rsidRPr="00FD1605">
              <w:rPr>
                <w:rFonts w:eastAsia="Times New Roman" w:cs="Calibri"/>
                <w:color w:val="000000"/>
                <w:szCs w:val="18"/>
                <w:lang w:val="nl-NL" w:eastAsia="nl-NL"/>
              </w:rPr>
              <w:t>kindregeling</w:t>
            </w:r>
            <w:proofErr w:type="spellEnd"/>
            <w:r w:rsidRPr="00FD1605">
              <w:rPr>
                <w:rFonts w:eastAsia="Times New Roman" w:cs="Calibri"/>
                <w:color w:val="000000"/>
                <w:szCs w:val="18"/>
                <w:lang w:val="nl-NL" w:eastAsia="nl-NL"/>
              </w:rPr>
              <w:t xml:space="preserve"> is uit gefaseerd. Tot die tijd bestaan twee varianten van de ‘1990-maatregel’ naast elkaar. Dit zou betekenen dat UWV de systemen en kennis hierop</w:t>
            </w:r>
            <w:r w:rsidR="00C632B9">
              <w:rPr>
                <w:rFonts w:eastAsia="Times New Roman" w:cs="Calibri"/>
                <w:color w:val="000000"/>
                <w:szCs w:val="18"/>
                <w:lang w:val="nl-NL" w:eastAsia="nl-NL"/>
              </w:rPr>
              <w:t xml:space="preserve"> voorlopig</w:t>
            </w:r>
            <w:r w:rsidRPr="00FD1605">
              <w:rPr>
                <w:rFonts w:eastAsia="Times New Roman" w:cs="Calibri"/>
                <w:color w:val="000000"/>
                <w:szCs w:val="18"/>
                <w:lang w:val="nl-NL" w:eastAsia="nl-NL"/>
              </w:rPr>
              <w:t xml:space="preserve"> in stand moet houden voor een steeds kleiner wordende groep.</w:t>
            </w:r>
          </w:p>
        </w:tc>
      </w:tr>
      <w:tr w:rsidRPr="00EB3835" w:rsidR="009F6BA4" w:rsidTr="00061051" w14:paraId="6373BFDC" w14:textId="77777777">
        <w:trPr>
          <w:trHeight w:val="315"/>
        </w:trPr>
        <w:tc>
          <w:tcPr>
            <w:tcW w:w="2005" w:type="dxa"/>
            <w:tcBorders>
              <w:top w:val="nil"/>
              <w:left w:val="single" w:color="auto" w:sz="8" w:space="0"/>
              <w:bottom w:val="single" w:color="auto" w:sz="8" w:space="0"/>
              <w:right w:val="nil"/>
            </w:tcBorders>
            <w:shd w:val="clear" w:color="auto" w:fill="auto"/>
            <w:noWrap/>
          </w:tcPr>
          <w:p w:rsidRPr="00704454" w:rsidR="009F6BA4" w:rsidP="00061051" w:rsidRDefault="009F6BA4" w14:paraId="15F9E659"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Financiële effecten</w:t>
            </w:r>
          </w:p>
        </w:tc>
        <w:tc>
          <w:tcPr>
            <w:tcW w:w="8080" w:type="dxa"/>
            <w:tcBorders>
              <w:top w:val="single" w:color="auto" w:sz="4" w:space="0"/>
              <w:left w:val="single" w:color="auto" w:sz="4" w:space="0"/>
              <w:bottom w:val="single" w:color="auto" w:sz="8" w:space="0"/>
              <w:right w:val="single" w:color="auto" w:sz="4" w:space="0"/>
            </w:tcBorders>
            <w:shd w:val="clear" w:color="auto" w:fill="auto"/>
            <w:noWrap/>
          </w:tcPr>
          <w:p w:rsidRPr="00FD1605" w:rsidR="009F6BA4" w:rsidP="00061051" w:rsidRDefault="009F6BA4" w14:paraId="2F06AC1D" w14:textId="77777777">
            <w:pPr>
              <w:spacing w:after="0" w:line="240" w:lineRule="auto"/>
              <w:rPr>
                <w:rFonts w:eastAsia="Times New Roman" w:cs="Calibri"/>
                <w:color w:val="000000"/>
                <w:szCs w:val="18"/>
                <w:lang w:val="nl-NL" w:eastAsia="nl-NL"/>
              </w:rPr>
            </w:pPr>
          </w:p>
          <w:tbl>
            <w:tblPr>
              <w:tblStyle w:val="Tabelraster"/>
              <w:tblpPr w:leftFromText="141" w:rightFromText="141" w:vertAnchor="page" w:horzAnchor="margin" w:tblpY="541"/>
              <w:tblOverlap w:val="never"/>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1E0" w:firstRow="1" w:lastRow="1" w:firstColumn="1" w:lastColumn="1" w:noHBand="0" w:noVBand="0"/>
            </w:tblPr>
            <w:tblGrid>
              <w:gridCol w:w="2007"/>
              <w:gridCol w:w="795"/>
              <w:gridCol w:w="795"/>
              <w:gridCol w:w="795"/>
              <w:gridCol w:w="795"/>
              <w:gridCol w:w="795"/>
              <w:gridCol w:w="976"/>
              <w:gridCol w:w="974"/>
            </w:tblGrid>
            <w:tr w:rsidRPr="00EB3835" w:rsidR="00415451" w:rsidTr="00415451" w14:paraId="7F9821C9" w14:textId="77777777">
              <w:tc>
                <w:tcPr>
                  <w:tcW w:w="1265" w:type="pct"/>
                  <w:tcBorders>
                    <w:top w:val="single" w:color="auto" w:sz="4" w:space="0"/>
                    <w:left w:val="single" w:color="auto" w:sz="4" w:space="0"/>
                  </w:tcBorders>
                </w:tcPr>
                <w:p w:rsidRPr="00415451" w:rsidR="00415451" w:rsidP="00061051" w:rsidRDefault="00415451" w14:paraId="2E05AED3" w14:textId="77777777">
                  <w:pPr>
                    <w:rPr>
                      <w:rFonts w:ascii="Verdana" w:hAnsi="Verdana"/>
                      <w:b/>
                      <w:sz w:val="18"/>
                      <w:szCs w:val="18"/>
                    </w:rPr>
                  </w:pPr>
                  <w:r w:rsidRPr="00415451">
                    <w:rPr>
                      <w:rFonts w:ascii="Verdana" w:hAnsi="Verdana"/>
                      <w:bCs/>
                      <w:i/>
                      <w:iCs/>
                      <w:sz w:val="18"/>
                      <w:szCs w:val="18"/>
                    </w:rPr>
                    <w:t>In miljoenen euro’s</w:t>
                  </w:r>
                </w:p>
              </w:tc>
              <w:tc>
                <w:tcPr>
                  <w:tcW w:w="501" w:type="pct"/>
                  <w:tcBorders>
                    <w:top w:val="single" w:color="auto" w:sz="4" w:space="0"/>
                  </w:tcBorders>
                </w:tcPr>
                <w:p w:rsidRPr="00415451" w:rsidR="00415451" w:rsidP="00061051" w:rsidRDefault="00415451" w14:paraId="394DD198" w14:textId="77777777">
                  <w:pPr>
                    <w:jc w:val="right"/>
                    <w:rPr>
                      <w:rFonts w:ascii="Verdana" w:hAnsi="Verdana"/>
                      <w:b/>
                      <w:bCs/>
                      <w:sz w:val="18"/>
                      <w:szCs w:val="18"/>
                    </w:rPr>
                  </w:pPr>
                  <w:r w:rsidRPr="00415451">
                    <w:rPr>
                      <w:rFonts w:ascii="Verdana" w:hAnsi="Verdana"/>
                      <w:b/>
                      <w:bCs/>
                      <w:sz w:val="18"/>
                      <w:szCs w:val="18"/>
                    </w:rPr>
                    <w:t>2026</w:t>
                  </w:r>
                </w:p>
              </w:tc>
              <w:tc>
                <w:tcPr>
                  <w:tcW w:w="501" w:type="pct"/>
                  <w:tcBorders>
                    <w:top w:val="single" w:color="auto" w:sz="4" w:space="0"/>
                  </w:tcBorders>
                </w:tcPr>
                <w:p w:rsidRPr="00415451" w:rsidR="00415451" w:rsidP="00061051" w:rsidRDefault="00415451" w14:paraId="796E84B0" w14:textId="77777777">
                  <w:pPr>
                    <w:jc w:val="right"/>
                    <w:rPr>
                      <w:rFonts w:ascii="Verdana" w:hAnsi="Verdana"/>
                      <w:b/>
                      <w:bCs/>
                      <w:sz w:val="18"/>
                      <w:szCs w:val="18"/>
                    </w:rPr>
                  </w:pPr>
                  <w:r w:rsidRPr="00415451">
                    <w:rPr>
                      <w:rFonts w:ascii="Verdana" w:hAnsi="Verdana"/>
                      <w:b/>
                      <w:bCs/>
                      <w:sz w:val="18"/>
                      <w:szCs w:val="18"/>
                    </w:rPr>
                    <w:t>2027</w:t>
                  </w:r>
                </w:p>
              </w:tc>
              <w:tc>
                <w:tcPr>
                  <w:tcW w:w="501" w:type="pct"/>
                  <w:tcBorders>
                    <w:top w:val="single" w:color="auto" w:sz="4" w:space="0"/>
                  </w:tcBorders>
                </w:tcPr>
                <w:p w:rsidRPr="00415451" w:rsidR="00415451" w:rsidP="00061051" w:rsidRDefault="00415451" w14:paraId="1FE5574A" w14:textId="77777777">
                  <w:pPr>
                    <w:jc w:val="right"/>
                    <w:rPr>
                      <w:rFonts w:ascii="Verdana" w:hAnsi="Verdana"/>
                      <w:b/>
                      <w:bCs/>
                      <w:sz w:val="18"/>
                      <w:szCs w:val="18"/>
                    </w:rPr>
                  </w:pPr>
                  <w:r w:rsidRPr="00415451">
                    <w:rPr>
                      <w:rFonts w:ascii="Verdana" w:hAnsi="Verdana"/>
                      <w:b/>
                      <w:bCs/>
                      <w:sz w:val="18"/>
                      <w:szCs w:val="18"/>
                    </w:rPr>
                    <w:t>2028</w:t>
                  </w:r>
                </w:p>
              </w:tc>
              <w:tc>
                <w:tcPr>
                  <w:tcW w:w="501" w:type="pct"/>
                  <w:tcBorders>
                    <w:top w:val="single" w:color="auto" w:sz="4" w:space="0"/>
                  </w:tcBorders>
                </w:tcPr>
                <w:p w:rsidRPr="00415451" w:rsidR="00415451" w:rsidP="00061051" w:rsidRDefault="00415451" w14:paraId="3C527565" w14:textId="77777777">
                  <w:pPr>
                    <w:jc w:val="right"/>
                    <w:rPr>
                      <w:rFonts w:ascii="Verdana" w:hAnsi="Verdana"/>
                      <w:b/>
                      <w:bCs/>
                      <w:sz w:val="18"/>
                      <w:szCs w:val="18"/>
                    </w:rPr>
                  </w:pPr>
                  <w:r w:rsidRPr="00415451">
                    <w:rPr>
                      <w:rFonts w:ascii="Verdana" w:hAnsi="Verdana"/>
                      <w:b/>
                      <w:bCs/>
                      <w:sz w:val="18"/>
                      <w:szCs w:val="18"/>
                    </w:rPr>
                    <w:t>2029</w:t>
                  </w:r>
                </w:p>
              </w:tc>
              <w:tc>
                <w:tcPr>
                  <w:tcW w:w="501" w:type="pct"/>
                  <w:tcBorders>
                    <w:top w:val="single" w:color="auto" w:sz="4" w:space="0"/>
                  </w:tcBorders>
                </w:tcPr>
                <w:p w:rsidRPr="00415451" w:rsidR="00415451" w:rsidP="00061051" w:rsidRDefault="00415451" w14:paraId="426E706B" w14:textId="77777777">
                  <w:pPr>
                    <w:jc w:val="right"/>
                    <w:rPr>
                      <w:rFonts w:ascii="Verdana" w:hAnsi="Verdana"/>
                      <w:b/>
                      <w:bCs/>
                      <w:sz w:val="18"/>
                      <w:szCs w:val="18"/>
                    </w:rPr>
                  </w:pPr>
                  <w:r w:rsidRPr="00415451">
                    <w:rPr>
                      <w:rFonts w:ascii="Verdana" w:hAnsi="Verdana"/>
                      <w:b/>
                      <w:bCs/>
                      <w:sz w:val="18"/>
                      <w:szCs w:val="18"/>
                    </w:rPr>
                    <w:t>2030</w:t>
                  </w:r>
                </w:p>
              </w:tc>
              <w:tc>
                <w:tcPr>
                  <w:tcW w:w="615" w:type="pct"/>
                  <w:tcBorders>
                    <w:top w:val="single" w:color="auto" w:sz="4" w:space="0"/>
                  </w:tcBorders>
                </w:tcPr>
                <w:p w:rsidRPr="00415451" w:rsidR="00415451" w:rsidP="00061051" w:rsidRDefault="00415451" w14:paraId="7488B0BE" w14:textId="49549B92">
                  <w:pPr>
                    <w:jc w:val="right"/>
                    <w:rPr>
                      <w:rFonts w:ascii="Verdana" w:hAnsi="Verdana"/>
                      <w:b/>
                      <w:bCs/>
                      <w:sz w:val="18"/>
                      <w:szCs w:val="18"/>
                    </w:rPr>
                  </w:pPr>
                  <w:r w:rsidRPr="00415451">
                    <w:rPr>
                      <w:rFonts w:ascii="Verdana" w:hAnsi="Verdana"/>
                      <w:b/>
                      <w:bCs/>
                      <w:sz w:val="18"/>
                      <w:szCs w:val="18"/>
                    </w:rPr>
                    <w:t>2031</w:t>
                  </w:r>
                </w:p>
              </w:tc>
              <w:tc>
                <w:tcPr>
                  <w:tcW w:w="614" w:type="pct"/>
                  <w:tcBorders>
                    <w:top w:val="single" w:color="auto" w:sz="4" w:space="0"/>
                  </w:tcBorders>
                </w:tcPr>
                <w:p w:rsidRPr="00415451" w:rsidR="00415451" w:rsidP="00061051" w:rsidRDefault="00415451" w14:paraId="21DB92B6" w14:textId="24809960">
                  <w:pPr>
                    <w:jc w:val="right"/>
                    <w:rPr>
                      <w:rFonts w:ascii="Verdana" w:hAnsi="Verdana"/>
                      <w:b/>
                      <w:bCs/>
                      <w:sz w:val="18"/>
                      <w:szCs w:val="18"/>
                    </w:rPr>
                  </w:pPr>
                  <w:proofErr w:type="spellStart"/>
                  <w:r w:rsidRPr="00415451">
                    <w:rPr>
                      <w:rFonts w:ascii="Verdana" w:hAnsi="Verdana"/>
                      <w:b/>
                      <w:bCs/>
                      <w:sz w:val="18"/>
                      <w:szCs w:val="18"/>
                    </w:rPr>
                    <w:t>Struc</w:t>
                  </w:r>
                  <w:proofErr w:type="spellEnd"/>
                  <w:r w:rsidRPr="00415451">
                    <w:rPr>
                      <w:rFonts w:ascii="Verdana" w:hAnsi="Verdana"/>
                      <w:b/>
                      <w:bCs/>
                      <w:sz w:val="18"/>
                      <w:szCs w:val="18"/>
                    </w:rPr>
                    <w:t>.</w:t>
                  </w:r>
                </w:p>
              </w:tc>
            </w:tr>
            <w:tr w:rsidRPr="00EB3835" w:rsidR="00415451" w:rsidTr="00415451" w14:paraId="2D14E669" w14:textId="77777777">
              <w:tc>
                <w:tcPr>
                  <w:tcW w:w="1265" w:type="pct"/>
                </w:tcPr>
                <w:p w:rsidRPr="00415451" w:rsidR="00415451" w:rsidP="00061051" w:rsidRDefault="00415451" w14:paraId="0A551BC7" w14:textId="77777777">
                  <w:pPr>
                    <w:rPr>
                      <w:rFonts w:ascii="Verdana" w:hAnsi="Verdana"/>
                      <w:sz w:val="18"/>
                      <w:szCs w:val="18"/>
                    </w:rPr>
                  </w:pPr>
                  <w:r w:rsidRPr="00415451">
                    <w:rPr>
                      <w:rFonts w:ascii="Verdana" w:hAnsi="Verdana"/>
                      <w:sz w:val="18"/>
                      <w:szCs w:val="18"/>
                    </w:rPr>
                    <w:t>Algemene effecten</w:t>
                  </w:r>
                </w:p>
              </w:tc>
              <w:tc>
                <w:tcPr>
                  <w:tcW w:w="501" w:type="pct"/>
                </w:tcPr>
                <w:p w:rsidRPr="00415451" w:rsidR="00415451" w:rsidP="00061051" w:rsidRDefault="00415451" w14:paraId="5E612F27" w14:textId="77777777">
                  <w:pPr>
                    <w:jc w:val="right"/>
                    <w:rPr>
                      <w:rFonts w:ascii="Verdana" w:hAnsi="Verdana"/>
                      <w:sz w:val="18"/>
                      <w:szCs w:val="18"/>
                    </w:rPr>
                  </w:pPr>
                </w:p>
              </w:tc>
              <w:tc>
                <w:tcPr>
                  <w:tcW w:w="501" w:type="pct"/>
                </w:tcPr>
                <w:p w:rsidRPr="00415451" w:rsidR="00415451" w:rsidP="00061051" w:rsidRDefault="00415451" w14:paraId="515AD963" w14:textId="21230EF6">
                  <w:pPr>
                    <w:jc w:val="right"/>
                    <w:rPr>
                      <w:rFonts w:ascii="Verdana" w:hAnsi="Verdana"/>
                      <w:sz w:val="18"/>
                      <w:szCs w:val="18"/>
                    </w:rPr>
                  </w:pPr>
                </w:p>
              </w:tc>
              <w:tc>
                <w:tcPr>
                  <w:tcW w:w="501" w:type="pct"/>
                </w:tcPr>
                <w:p w:rsidRPr="00415451" w:rsidR="00415451" w:rsidP="00061051" w:rsidRDefault="00415451" w14:paraId="25528C39" w14:textId="5901BE4B">
                  <w:pPr>
                    <w:jc w:val="right"/>
                    <w:rPr>
                      <w:rFonts w:ascii="Verdana" w:hAnsi="Verdana"/>
                      <w:sz w:val="18"/>
                      <w:szCs w:val="18"/>
                    </w:rPr>
                  </w:pPr>
                </w:p>
              </w:tc>
              <w:tc>
                <w:tcPr>
                  <w:tcW w:w="501" w:type="pct"/>
                </w:tcPr>
                <w:p w:rsidRPr="00415451" w:rsidR="00415451" w:rsidP="00061051" w:rsidRDefault="00415451" w14:paraId="6ADA37B4" w14:textId="32EE35AA">
                  <w:pPr>
                    <w:jc w:val="right"/>
                    <w:rPr>
                      <w:rFonts w:ascii="Verdana" w:hAnsi="Verdana"/>
                      <w:sz w:val="18"/>
                      <w:szCs w:val="18"/>
                    </w:rPr>
                  </w:pPr>
                  <w:r w:rsidRPr="00415451">
                    <w:rPr>
                      <w:rFonts w:ascii="Verdana" w:hAnsi="Verdana"/>
                      <w:sz w:val="18"/>
                      <w:szCs w:val="18"/>
                    </w:rPr>
                    <w:t>-2,0</w:t>
                  </w:r>
                </w:p>
              </w:tc>
              <w:tc>
                <w:tcPr>
                  <w:tcW w:w="501" w:type="pct"/>
                </w:tcPr>
                <w:p w:rsidRPr="00415451" w:rsidR="00415451" w:rsidP="00061051" w:rsidRDefault="00415451" w14:paraId="5097DBCA" w14:textId="778D7C3E">
                  <w:pPr>
                    <w:jc w:val="right"/>
                    <w:rPr>
                      <w:rFonts w:ascii="Verdana" w:hAnsi="Verdana"/>
                      <w:sz w:val="18"/>
                      <w:szCs w:val="18"/>
                    </w:rPr>
                  </w:pPr>
                  <w:r w:rsidRPr="00415451">
                    <w:rPr>
                      <w:rFonts w:ascii="Verdana" w:hAnsi="Verdana"/>
                      <w:sz w:val="18"/>
                      <w:szCs w:val="18"/>
                    </w:rPr>
                    <w:t>-4,0</w:t>
                  </w:r>
                </w:p>
              </w:tc>
              <w:tc>
                <w:tcPr>
                  <w:tcW w:w="615" w:type="pct"/>
                </w:tcPr>
                <w:p w:rsidRPr="00415451" w:rsidR="00415451" w:rsidP="00061051" w:rsidRDefault="00415451" w14:paraId="599850D0" w14:textId="22E50A1E">
                  <w:pPr>
                    <w:jc w:val="right"/>
                    <w:rPr>
                      <w:rFonts w:ascii="Verdana" w:hAnsi="Verdana"/>
                      <w:sz w:val="18"/>
                      <w:szCs w:val="18"/>
                    </w:rPr>
                  </w:pPr>
                  <w:r w:rsidRPr="00415451">
                    <w:rPr>
                      <w:rFonts w:ascii="Verdana" w:hAnsi="Verdana"/>
                      <w:sz w:val="18"/>
                      <w:szCs w:val="18"/>
                    </w:rPr>
                    <w:t>-6,0</w:t>
                  </w:r>
                </w:p>
              </w:tc>
              <w:tc>
                <w:tcPr>
                  <w:tcW w:w="614" w:type="pct"/>
                </w:tcPr>
                <w:p w:rsidRPr="00415451" w:rsidR="00415451" w:rsidP="00061051" w:rsidRDefault="00415451" w14:paraId="6CD7C7B2" w14:textId="09E44D4A">
                  <w:pPr>
                    <w:jc w:val="right"/>
                    <w:rPr>
                      <w:rFonts w:ascii="Verdana" w:hAnsi="Verdana"/>
                      <w:sz w:val="18"/>
                      <w:szCs w:val="18"/>
                    </w:rPr>
                  </w:pPr>
                  <w:r w:rsidRPr="00415451">
                    <w:rPr>
                      <w:rFonts w:ascii="Verdana" w:hAnsi="Verdana"/>
                      <w:sz w:val="18"/>
                      <w:szCs w:val="18"/>
                    </w:rPr>
                    <w:t>-23,8</w:t>
                  </w:r>
                </w:p>
              </w:tc>
            </w:tr>
            <w:tr w:rsidRPr="00EB3835" w:rsidR="00415451" w:rsidTr="00415451" w14:paraId="09CAB0AF" w14:textId="77777777">
              <w:tc>
                <w:tcPr>
                  <w:tcW w:w="1265" w:type="pct"/>
                </w:tcPr>
                <w:p w:rsidRPr="00415451" w:rsidR="00415451" w:rsidP="00061051" w:rsidRDefault="00415451" w14:paraId="15D80F9B" w14:textId="77777777">
                  <w:pPr>
                    <w:rPr>
                      <w:rFonts w:ascii="Verdana" w:hAnsi="Verdana"/>
                      <w:sz w:val="18"/>
                      <w:szCs w:val="18"/>
                    </w:rPr>
                  </w:pPr>
                  <w:r w:rsidRPr="00415451">
                    <w:rPr>
                      <w:rFonts w:ascii="Verdana" w:hAnsi="Verdana"/>
                      <w:sz w:val="18"/>
                      <w:szCs w:val="18"/>
                    </w:rPr>
                    <w:t>Weglekeffecten</w:t>
                  </w:r>
                </w:p>
              </w:tc>
              <w:tc>
                <w:tcPr>
                  <w:tcW w:w="501" w:type="pct"/>
                </w:tcPr>
                <w:p w:rsidRPr="00415451" w:rsidR="00415451" w:rsidP="00061051" w:rsidRDefault="00415451" w14:paraId="294D5779" w14:textId="77777777">
                  <w:pPr>
                    <w:jc w:val="right"/>
                    <w:rPr>
                      <w:rFonts w:ascii="Verdana" w:hAnsi="Verdana"/>
                      <w:sz w:val="18"/>
                      <w:szCs w:val="18"/>
                    </w:rPr>
                  </w:pPr>
                </w:p>
              </w:tc>
              <w:tc>
                <w:tcPr>
                  <w:tcW w:w="501" w:type="pct"/>
                </w:tcPr>
                <w:p w:rsidRPr="00415451" w:rsidR="00415451" w:rsidP="00061051" w:rsidRDefault="00415451" w14:paraId="1721985F" w14:textId="77777777">
                  <w:pPr>
                    <w:jc w:val="right"/>
                    <w:rPr>
                      <w:rFonts w:ascii="Verdana" w:hAnsi="Verdana"/>
                      <w:sz w:val="18"/>
                      <w:szCs w:val="18"/>
                    </w:rPr>
                  </w:pPr>
                </w:p>
              </w:tc>
              <w:tc>
                <w:tcPr>
                  <w:tcW w:w="501" w:type="pct"/>
                </w:tcPr>
                <w:p w:rsidRPr="00415451" w:rsidR="00415451" w:rsidP="00061051" w:rsidRDefault="00415451" w14:paraId="7EDF3F10" w14:textId="77777777">
                  <w:pPr>
                    <w:jc w:val="right"/>
                    <w:rPr>
                      <w:rFonts w:ascii="Verdana" w:hAnsi="Verdana"/>
                      <w:sz w:val="18"/>
                      <w:szCs w:val="18"/>
                    </w:rPr>
                  </w:pPr>
                </w:p>
              </w:tc>
              <w:tc>
                <w:tcPr>
                  <w:tcW w:w="501" w:type="pct"/>
                </w:tcPr>
                <w:p w:rsidRPr="00415451" w:rsidR="00415451" w:rsidP="00061051" w:rsidRDefault="00415451" w14:paraId="55833EC0" w14:textId="77777777">
                  <w:pPr>
                    <w:jc w:val="right"/>
                    <w:rPr>
                      <w:rFonts w:ascii="Verdana" w:hAnsi="Verdana"/>
                      <w:sz w:val="18"/>
                      <w:szCs w:val="18"/>
                    </w:rPr>
                  </w:pPr>
                </w:p>
              </w:tc>
              <w:tc>
                <w:tcPr>
                  <w:tcW w:w="501" w:type="pct"/>
                </w:tcPr>
                <w:p w:rsidRPr="00415451" w:rsidR="00415451" w:rsidP="00061051" w:rsidRDefault="00415451" w14:paraId="270B21FF" w14:textId="77777777">
                  <w:pPr>
                    <w:jc w:val="right"/>
                    <w:rPr>
                      <w:rFonts w:ascii="Verdana" w:hAnsi="Verdana"/>
                      <w:sz w:val="18"/>
                      <w:szCs w:val="18"/>
                    </w:rPr>
                  </w:pPr>
                </w:p>
              </w:tc>
              <w:tc>
                <w:tcPr>
                  <w:tcW w:w="615" w:type="pct"/>
                </w:tcPr>
                <w:p w:rsidRPr="00415451" w:rsidR="00415451" w:rsidP="00061051" w:rsidRDefault="00415451" w14:paraId="02E2CF87" w14:textId="77777777">
                  <w:pPr>
                    <w:jc w:val="right"/>
                    <w:rPr>
                      <w:rFonts w:ascii="Verdana" w:hAnsi="Verdana"/>
                      <w:sz w:val="18"/>
                      <w:szCs w:val="18"/>
                    </w:rPr>
                  </w:pPr>
                </w:p>
              </w:tc>
              <w:tc>
                <w:tcPr>
                  <w:tcW w:w="614" w:type="pct"/>
                </w:tcPr>
                <w:p w:rsidRPr="00415451" w:rsidR="00415451" w:rsidP="00061051" w:rsidRDefault="00415451" w14:paraId="7123E9BB" w14:textId="436132B3">
                  <w:pPr>
                    <w:jc w:val="right"/>
                    <w:rPr>
                      <w:rFonts w:ascii="Verdana" w:hAnsi="Verdana"/>
                      <w:sz w:val="18"/>
                      <w:szCs w:val="18"/>
                    </w:rPr>
                  </w:pPr>
                </w:p>
              </w:tc>
            </w:tr>
            <w:tr w:rsidRPr="00EB3835" w:rsidR="00415451" w:rsidTr="00415451" w14:paraId="2B291023" w14:textId="77777777">
              <w:tc>
                <w:tcPr>
                  <w:tcW w:w="1265" w:type="pct"/>
                </w:tcPr>
                <w:p w:rsidRPr="00415451" w:rsidR="00415451" w:rsidP="00061051" w:rsidRDefault="00415451" w14:paraId="3FE8E5E4" w14:textId="77777777">
                  <w:pPr>
                    <w:rPr>
                      <w:rFonts w:ascii="Verdana" w:hAnsi="Verdana"/>
                      <w:sz w:val="18"/>
                      <w:szCs w:val="18"/>
                    </w:rPr>
                  </w:pPr>
                  <w:r w:rsidRPr="00415451">
                    <w:rPr>
                      <w:rFonts w:ascii="Verdana" w:hAnsi="Verdana"/>
                      <w:sz w:val="18"/>
                      <w:szCs w:val="18"/>
                    </w:rPr>
                    <w:t>Uitvoeringskosten</w:t>
                  </w:r>
                </w:p>
              </w:tc>
              <w:tc>
                <w:tcPr>
                  <w:tcW w:w="501" w:type="pct"/>
                </w:tcPr>
                <w:p w:rsidRPr="00415451" w:rsidR="00415451" w:rsidP="00061051" w:rsidRDefault="00415451" w14:paraId="7104842D" w14:textId="77777777">
                  <w:pPr>
                    <w:jc w:val="right"/>
                    <w:rPr>
                      <w:rFonts w:ascii="Verdana" w:hAnsi="Verdana"/>
                      <w:sz w:val="18"/>
                      <w:szCs w:val="18"/>
                    </w:rPr>
                  </w:pPr>
                </w:p>
              </w:tc>
              <w:tc>
                <w:tcPr>
                  <w:tcW w:w="501" w:type="pct"/>
                </w:tcPr>
                <w:p w:rsidRPr="00415451" w:rsidR="00415451" w:rsidP="00061051" w:rsidRDefault="00415451" w14:paraId="554FACC8" w14:textId="77777777">
                  <w:pPr>
                    <w:jc w:val="right"/>
                    <w:rPr>
                      <w:rFonts w:ascii="Verdana" w:hAnsi="Verdana"/>
                      <w:sz w:val="18"/>
                      <w:szCs w:val="18"/>
                    </w:rPr>
                  </w:pPr>
                </w:p>
              </w:tc>
              <w:tc>
                <w:tcPr>
                  <w:tcW w:w="501" w:type="pct"/>
                </w:tcPr>
                <w:p w:rsidRPr="00415451" w:rsidR="00415451" w:rsidP="00061051" w:rsidRDefault="00415451" w14:paraId="6CA44700" w14:textId="77777777">
                  <w:pPr>
                    <w:jc w:val="right"/>
                    <w:rPr>
                      <w:rFonts w:ascii="Verdana" w:hAnsi="Verdana"/>
                      <w:sz w:val="18"/>
                      <w:szCs w:val="18"/>
                    </w:rPr>
                  </w:pPr>
                </w:p>
              </w:tc>
              <w:tc>
                <w:tcPr>
                  <w:tcW w:w="501" w:type="pct"/>
                </w:tcPr>
                <w:p w:rsidRPr="00415451" w:rsidR="00415451" w:rsidP="00061051" w:rsidRDefault="00415451" w14:paraId="7544BCBD" w14:textId="77777777">
                  <w:pPr>
                    <w:jc w:val="right"/>
                    <w:rPr>
                      <w:rFonts w:ascii="Verdana" w:hAnsi="Verdana"/>
                      <w:sz w:val="18"/>
                      <w:szCs w:val="18"/>
                    </w:rPr>
                  </w:pPr>
                </w:p>
              </w:tc>
              <w:tc>
                <w:tcPr>
                  <w:tcW w:w="501" w:type="pct"/>
                </w:tcPr>
                <w:p w:rsidRPr="00415451" w:rsidR="00415451" w:rsidP="00061051" w:rsidRDefault="00415451" w14:paraId="690994AC" w14:textId="77777777">
                  <w:pPr>
                    <w:jc w:val="right"/>
                    <w:rPr>
                      <w:rFonts w:ascii="Verdana" w:hAnsi="Verdana"/>
                      <w:sz w:val="18"/>
                      <w:szCs w:val="18"/>
                    </w:rPr>
                  </w:pPr>
                </w:p>
              </w:tc>
              <w:tc>
                <w:tcPr>
                  <w:tcW w:w="615" w:type="pct"/>
                </w:tcPr>
                <w:p w:rsidRPr="00415451" w:rsidR="00415451" w:rsidP="00061051" w:rsidRDefault="00415451" w14:paraId="013E9DE6" w14:textId="77777777">
                  <w:pPr>
                    <w:jc w:val="right"/>
                    <w:rPr>
                      <w:rFonts w:ascii="Verdana" w:hAnsi="Verdana"/>
                      <w:sz w:val="18"/>
                      <w:szCs w:val="18"/>
                    </w:rPr>
                  </w:pPr>
                </w:p>
              </w:tc>
              <w:tc>
                <w:tcPr>
                  <w:tcW w:w="614" w:type="pct"/>
                </w:tcPr>
                <w:p w:rsidRPr="00415451" w:rsidR="00415451" w:rsidP="00061051" w:rsidRDefault="00415451" w14:paraId="2F99679F" w14:textId="524020FE">
                  <w:pPr>
                    <w:jc w:val="right"/>
                    <w:rPr>
                      <w:rFonts w:ascii="Verdana" w:hAnsi="Verdana"/>
                      <w:sz w:val="18"/>
                      <w:szCs w:val="18"/>
                    </w:rPr>
                  </w:pPr>
                </w:p>
              </w:tc>
            </w:tr>
            <w:tr w:rsidRPr="00EB3835" w:rsidR="00415451" w:rsidTr="00415451" w14:paraId="1FE66606" w14:textId="77777777">
              <w:tc>
                <w:tcPr>
                  <w:tcW w:w="1265" w:type="pct"/>
                </w:tcPr>
                <w:p w:rsidRPr="00415451" w:rsidR="00415451" w:rsidP="00061051" w:rsidRDefault="00415451" w14:paraId="615CCC3B" w14:textId="77777777">
                  <w:pPr>
                    <w:rPr>
                      <w:rFonts w:ascii="Verdana" w:hAnsi="Verdana"/>
                      <w:sz w:val="18"/>
                      <w:szCs w:val="18"/>
                    </w:rPr>
                  </w:pPr>
                </w:p>
              </w:tc>
              <w:tc>
                <w:tcPr>
                  <w:tcW w:w="501" w:type="pct"/>
                </w:tcPr>
                <w:p w:rsidRPr="00415451" w:rsidR="00415451" w:rsidP="00061051" w:rsidRDefault="00415451" w14:paraId="53719FB2" w14:textId="77777777">
                  <w:pPr>
                    <w:jc w:val="right"/>
                    <w:rPr>
                      <w:rFonts w:ascii="Verdana" w:hAnsi="Verdana"/>
                      <w:sz w:val="18"/>
                      <w:szCs w:val="18"/>
                    </w:rPr>
                  </w:pPr>
                </w:p>
              </w:tc>
              <w:tc>
                <w:tcPr>
                  <w:tcW w:w="501" w:type="pct"/>
                </w:tcPr>
                <w:p w:rsidRPr="00415451" w:rsidR="00415451" w:rsidP="00061051" w:rsidRDefault="00415451" w14:paraId="490849BA" w14:textId="77777777">
                  <w:pPr>
                    <w:jc w:val="right"/>
                    <w:rPr>
                      <w:rFonts w:ascii="Verdana" w:hAnsi="Verdana"/>
                      <w:sz w:val="18"/>
                      <w:szCs w:val="18"/>
                    </w:rPr>
                  </w:pPr>
                </w:p>
              </w:tc>
              <w:tc>
                <w:tcPr>
                  <w:tcW w:w="501" w:type="pct"/>
                </w:tcPr>
                <w:p w:rsidRPr="00415451" w:rsidR="00415451" w:rsidP="00061051" w:rsidRDefault="00415451" w14:paraId="5E014B25" w14:textId="77777777">
                  <w:pPr>
                    <w:jc w:val="right"/>
                    <w:rPr>
                      <w:rFonts w:ascii="Verdana" w:hAnsi="Verdana"/>
                      <w:sz w:val="18"/>
                      <w:szCs w:val="18"/>
                    </w:rPr>
                  </w:pPr>
                </w:p>
              </w:tc>
              <w:tc>
                <w:tcPr>
                  <w:tcW w:w="501" w:type="pct"/>
                </w:tcPr>
                <w:p w:rsidRPr="00415451" w:rsidR="00415451" w:rsidP="00061051" w:rsidRDefault="00415451" w14:paraId="72ACBDD4" w14:textId="77777777">
                  <w:pPr>
                    <w:jc w:val="right"/>
                    <w:rPr>
                      <w:rFonts w:ascii="Verdana" w:hAnsi="Verdana"/>
                      <w:sz w:val="18"/>
                      <w:szCs w:val="18"/>
                    </w:rPr>
                  </w:pPr>
                </w:p>
              </w:tc>
              <w:tc>
                <w:tcPr>
                  <w:tcW w:w="501" w:type="pct"/>
                </w:tcPr>
                <w:p w:rsidRPr="00415451" w:rsidR="00415451" w:rsidP="00061051" w:rsidRDefault="00415451" w14:paraId="67FB63BA" w14:textId="77777777">
                  <w:pPr>
                    <w:jc w:val="right"/>
                    <w:rPr>
                      <w:rFonts w:ascii="Verdana" w:hAnsi="Verdana"/>
                      <w:sz w:val="18"/>
                      <w:szCs w:val="18"/>
                    </w:rPr>
                  </w:pPr>
                </w:p>
              </w:tc>
              <w:tc>
                <w:tcPr>
                  <w:tcW w:w="615" w:type="pct"/>
                </w:tcPr>
                <w:p w:rsidRPr="00415451" w:rsidR="00415451" w:rsidP="00061051" w:rsidRDefault="00415451" w14:paraId="54991213" w14:textId="77777777">
                  <w:pPr>
                    <w:jc w:val="right"/>
                    <w:rPr>
                      <w:rFonts w:ascii="Verdana" w:hAnsi="Verdana"/>
                      <w:sz w:val="18"/>
                      <w:szCs w:val="18"/>
                    </w:rPr>
                  </w:pPr>
                </w:p>
              </w:tc>
              <w:tc>
                <w:tcPr>
                  <w:tcW w:w="614" w:type="pct"/>
                </w:tcPr>
                <w:p w:rsidRPr="00415451" w:rsidR="00415451" w:rsidP="00061051" w:rsidRDefault="00415451" w14:paraId="322DBE33" w14:textId="5A3C4111">
                  <w:pPr>
                    <w:jc w:val="right"/>
                    <w:rPr>
                      <w:rFonts w:ascii="Verdana" w:hAnsi="Verdana"/>
                      <w:sz w:val="18"/>
                      <w:szCs w:val="18"/>
                    </w:rPr>
                  </w:pPr>
                </w:p>
              </w:tc>
            </w:tr>
            <w:tr w:rsidRPr="00EB3835" w:rsidR="00415451" w:rsidTr="00415451" w14:paraId="3BA70421" w14:textId="77777777">
              <w:tc>
                <w:tcPr>
                  <w:tcW w:w="1265" w:type="pct"/>
                </w:tcPr>
                <w:p w:rsidRPr="00415451" w:rsidR="00415451" w:rsidP="00061051" w:rsidRDefault="00415451" w14:paraId="64E4B032" w14:textId="77777777">
                  <w:pPr>
                    <w:rPr>
                      <w:rFonts w:ascii="Verdana" w:hAnsi="Verdana"/>
                      <w:b/>
                      <w:bCs/>
                      <w:sz w:val="18"/>
                      <w:szCs w:val="18"/>
                    </w:rPr>
                  </w:pPr>
                  <w:r w:rsidRPr="00415451">
                    <w:rPr>
                      <w:rFonts w:ascii="Verdana" w:hAnsi="Verdana"/>
                      <w:b/>
                      <w:bCs/>
                      <w:sz w:val="18"/>
                      <w:szCs w:val="18"/>
                    </w:rPr>
                    <w:t>Totaal</w:t>
                  </w:r>
                </w:p>
              </w:tc>
              <w:tc>
                <w:tcPr>
                  <w:tcW w:w="501" w:type="pct"/>
                </w:tcPr>
                <w:p w:rsidRPr="00415451" w:rsidR="00415451" w:rsidP="00061051" w:rsidRDefault="00415451" w14:paraId="56D65F51" w14:textId="77777777">
                  <w:pPr>
                    <w:jc w:val="right"/>
                    <w:rPr>
                      <w:rFonts w:ascii="Verdana" w:hAnsi="Verdana"/>
                      <w:b/>
                      <w:bCs/>
                      <w:sz w:val="18"/>
                      <w:szCs w:val="18"/>
                    </w:rPr>
                  </w:pPr>
                </w:p>
              </w:tc>
              <w:tc>
                <w:tcPr>
                  <w:tcW w:w="501" w:type="pct"/>
                </w:tcPr>
                <w:p w:rsidRPr="00415451" w:rsidR="00415451" w:rsidP="00061051" w:rsidRDefault="00415451" w14:paraId="791378FE" w14:textId="1675BF9D">
                  <w:pPr>
                    <w:jc w:val="right"/>
                    <w:rPr>
                      <w:rFonts w:ascii="Verdana" w:hAnsi="Verdana"/>
                      <w:b/>
                      <w:bCs/>
                      <w:sz w:val="18"/>
                      <w:szCs w:val="18"/>
                    </w:rPr>
                  </w:pPr>
                </w:p>
              </w:tc>
              <w:tc>
                <w:tcPr>
                  <w:tcW w:w="501" w:type="pct"/>
                </w:tcPr>
                <w:p w:rsidRPr="00415451" w:rsidR="00415451" w:rsidP="00061051" w:rsidRDefault="00415451" w14:paraId="7B15AEEB" w14:textId="3E44B88F">
                  <w:pPr>
                    <w:jc w:val="right"/>
                    <w:rPr>
                      <w:rFonts w:ascii="Verdana" w:hAnsi="Verdana"/>
                      <w:b/>
                      <w:bCs/>
                      <w:sz w:val="18"/>
                      <w:szCs w:val="18"/>
                    </w:rPr>
                  </w:pPr>
                </w:p>
              </w:tc>
              <w:tc>
                <w:tcPr>
                  <w:tcW w:w="501" w:type="pct"/>
                </w:tcPr>
                <w:p w:rsidRPr="00415451" w:rsidR="00415451" w:rsidP="00061051" w:rsidRDefault="00415451" w14:paraId="09E456F3" w14:textId="6D692D93">
                  <w:pPr>
                    <w:jc w:val="right"/>
                    <w:rPr>
                      <w:rFonts w:ascii="Verdana" w:hAnsi="Verdana"/>
                      <w:b/>
                      <w:bCs/>
                      <w:sz w:val="18"/>
                      <w:szCs w:val="18"/>
                    </w:rPr>
                  </w:pPr>
                  <w:r w:rsidRPr="00415451">
                    <w:rPr>
                      <w:rFonts w:ascii="Verdana" w:hAnsi="Verdana"/>
                      <w:b/>
                      <w:bCs/>
                      <w:sz w:val="18"/>
                      <w:szCs w:val="18"/>
                    </w:rPr>
                    <w:t>-2,0</w:t>
                  </w:r>
                </w:p>
              </w:tc>
              <w:tc>
                <w:tcPr>
                  <w:tcW w:w="501" w:type="pct"/>
                </w:tcPr>
                <w:p w:rsidRPr="00415451" w:rsidR="00415451" w:rsidP="00061051" w:rsidRDefault="00415451" w14:paraId="17E85935" w14:textId="77064241">
                  <w:pPr>
                    <w:jc w:val="right"/>
                    <w:rPr>
                      <w:rFonts w:ascii="Verdana" w:hAnsi="Verdana"/>
                      <w:b/>
                      <w:bCs/>
                      <w:sz w:val="18"/>
                      <w:szCs w:val="18"/>
                    </w:rPr>
                  </w:pPr>
                  <w:r w:rsidRPr="00415451">
                    <w:rPr>
                      <w:rFonts w:ascii="Verdana" w:hAnsi="Verdana"/>
                      <w:b/>
                      <w:bCs/>
                      <w:sz w:val="18"/>
                      <w:szCs w:val="18"/>
                    </w:rPr>
                    <w:t>-4,0</w:t>
                  </w:r>
                </w:p>
              </w:tc>
              <w:tc>
                <w:tcPr>
                  <w:tcW w:w="615" w:type="pct"/>
                </w:tcPr>
                <w:p w:rsidRPr="00415451" w:rsidR="00415451" w:rsidP="00061051" w:rsidRDefault="00415451" w14:paraId="242ECF41" w14:textId="0EB1DEEC">
                  <w:pPr>
                    <w:jc w:val="right"/>
                    <w:rPr>
                      <w:rFonts w:ascii="Verdana" w:hAnsi="Verdana"/>
                      <w:b/>
                      <w:bCs/>
                      <w:sz w:val="18"/>
                      <w:szCs w:val="18"/>
                    </w:rPr>
                  </w:pPr>
                  <w:r w:rsidRPr="00415451">
                    <w:rPr>
                      <w:rFonts w:ascii="Verdana" w:hAnsi="Verdana"/>
                      <w:b/>
                      <w:bCs/>
                      <w:sz w:val="18"/>
                      <w:szCs w:val="18"/>
                    </w:rPr>
                    <w:t>-6,0</w:t>
                  </w:r>
                </w:p>
              </w:tc>
              <w:tc>
                <w:tcPr>
                  <w:tcW w:w="614" w:type="pct"/>
                </w:tcPr>
                <w:p w:rsidRPr="00415451" w:rsidR="00415451" w:rsidP="00061051" w:rsidRDefault="00415451" w14:paraId="47B3112F" w14:textId="4628C082">
                  <w:pPr>
                    <w:jc w:val="right"/>
                    <w:rPr>
                      <w:rFonts w:ascii="Verdana" w:hAnsi="Verdana"/>
                      <w:b/>
                      <w:bCs/>
                      <w:sz w:val="18"/>
                      <w:szCs w:val="18"/>
                    </w:rPr>
                  </w:pPr>
                  <w:r w:rsidRPr="00415451">
                    <w:rPr>
                      <w:rFonts w:ascii="Verdana" w:hAnsi="Verdana"/>
                      <w:b/>
                      <w:bCs/>
                      <w:sz w:val="18"/>
                      <w:szCs w:val="18"/>
                    </w:rPr>
                    <w:t>-23,8</w:t>
                  </w:r>
                </w:p>
              </w:tc>
            </w:tr>
          </w:tbl>
          <w:p w:rsidRPr="00FD1605" w:rsidR="009F6BA4" w:rsidP="00061051" w:rsidRDefault="009F6BA4" w14:paraId="1156277B" w14:textId="77777777">
            <w:pPr>
              <w:spacing w:after="0" w:line="240" w:lineRule="auto"/>
              <w:rPr>
                <w:rFonts w:eastAsia="Times New Roman" w:cs="Calibri"/>
                <w:color w:val="000000"/>
                <w:szCs w:val="18"/>
                <w:lang w:val="nl-NL" w:eastAsia="nl-NL"/>
              </w:rPr>
            </w:pPr>
          </w:p>
          <w:p w:rsidRPr="00FD1605" w:rsidR="009F6BA4" w:rsidP="00061051" w:rsidRDefault="009F6BA4" w14:paraId="313543B8" w14:textId="77777777">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Het budgettaire effect is exclusief uitvoeringskosten. Deze zouden in een uitvoeringstoets moeten worden uitgezocht.</w:t>
            </w:r>
          </w:p>
        </w:tc>
      </w:tr>
      <w:tr w:rsidRPr="00FD1605" w:rsidR="009F6BA4" w:rsidTr="00061051" w14:paraId="0D59CBAE" w14:textId="77777777">
        <w:trPr>
          <w:trHeight w:val="315"/>
        </w:trPr>
        <w:tc>
          <w:tcPr>
            <w:tcW w:w="2005" w:type="dxa"/>
            <w:tcBorders>
              <w:top w:val="nil"/>
              <w:left w:val="single" w:color="auto" w:sz="8" w:space="0"/>
              <w:bottom w:val="single" w:color="auto" w:sz="8" w:space="0"/>
              <w:right w:val="nil"/>
            </w:tcBorders>
            <w:shd w:val="clear" w:color="auto" w:fill="auto"/>
            <w:noWrap/>
          </w:tcPr>
          <w:p w:rsidRPr="00704454" w:rsidR="009F6BA4" w:rsidP="00061051" w:rsidRDefault="009F6BA4" w14:paraId="6A9448D7"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Toelichting raming</w:t>
            </w:r>
          </w:p>
        </w:tc>
        <w:tc>
          <w:tcPr>
            <w:tcW w:w="8080" w:type="dxa"/>
            <w:tcBorders>
              <w:top w:val="single" w:color="auto" w:sz="4" w:space="0"/>
              <w:left w:val="single" w:color="auto" w:sz="4" w:space="0"/>
              <w:bottom w:val="single" w:color="auto" w:sz="8" w:space="0"/>
              <w:right w:val="single" w:color="auto" w:sz="4" w:space="0"/>
            </w:tcBorders>
            <w:shd w:val="clear" w:color="auto" w:fill="auto"/>
            <w:noWrap/>
          </w:tcPr>
          <w:p w:rsidRPr="00FD1605" w:rsidR="009F6BA4" w:rsidP="00061051" w:rsidRDefault="009F6BA4" w14:paraId="55BB4BDA" w14:textId="77777777">
            <w:pPr>
              <w:spacing w:after="0" w:line="240" w:lineRule="auto"/>
              <w:rPr>
                <w:rFonts w:eastAsia="Times New Roman" w:cs="Calibri"/>
                <w:color w:val="000000"/>
                <w:szCs w:val="18"/>
                <w:lang w:val="nl-NL" w:eastAsia="nl-NL"/>
              </w:rPr>
            </w:pPr>
            <w:r w:rsidRPr="00FD1605">
              <w:rPr>
                <w:rFonts w:eastAsia="Calibri" w:cs="Calibri Light"/>
                <w:szCs w:val="18"/>
                <w:lang w:val="nl-NL"/>
              </w:rPr>
              <w:t>Met deze maatregel zijn er minder gehuwden of samenwonenden die recht hebben op TW. Hierdoor nemen de uitkeringslasten af. In de raming is als uitgangspunt genomen dat de huidige groep met een jong kind de TW mag behouden tot het kind 12 jaar is. Vanaf 1 januari 2027 is er geen nieuwe instroom meer.</w:t>
            </w:r>
          </w:p>
        </w:tc>
      </w:tr>
      <w:tr w:rsidRPr="00EB3835" w:rsidR="009F6BA4" w:rsidTr="00061051" w14:paraId="054F758A" w14:textId="77777777">
        <w:trPr>
          <w:trHeight w:val="315"/>
        </w:trPr>
        <w:tc>
          <w:tcPr>
            <w:tcW w:w="2005" w:type="dxa"/>
            <w:tcBorders>
              <w:top w:val="nil"/>
              <w:left w:val="single" w:color="auto" w:sz="8" w:space="0"/>
              <w:bottom w:val="single" w:color="auto" w:sz="8" w:space="0"/>
              <w:right w:val="nil"/>
            </w:tcBorders>
            <w:shd w:val="clear" w:color="auto" w:fill="auto"/>
            <w:noWrap/>
          </w:tcPr>
          <w:p w:rsidRPr="00704454" w:rsidR="009F6BA4" w:rsidP="00061051" w:rsidRDefault="009F6BA4" w14:paraId="48E791C0"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Inkomens-</w:t>
            </w:r>
          </w:p>
          <w:p w:rsidRPr="00704454" w:rsidR="009F6BA4" w:rsidP="00061051" w:rsidRDefault="009F6BA4" w14:paraId="76CF4DC9"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effecten</w:t>
            </w:r>
          </w:p>
        </w:tc>
        <w:tc>
          <w:tcPr>
            <w:tcW w:w="8080" w:type="dxa"/>
            <w:tcBorders>
              <w:top w:val="single" w:color="auto" w:sz="4" w:space="0"/>
              <w:left w:val="single" w:color="auto" w:sz="4" w:space="0"/>
              <w:bottom w:val="single" w:color="auto" w:sz="8" w:space="0"/>
              <w:right w:val="single" w:color="auto" w:sz="4" w:space="0"/>
            </w:tcBorders>
            <w:shd w:val="clear" w:color="auto" w:fill="auto"/>
            <w:noWrap/>
          </w:tcPr>
          <w:p w:rsidRPr="00FD1605" w:rsidR="009F6BA4" w:rsidP="00061051" w:rsidRDefault="009F6BA4" w14:paraId="09E80C76" w14:textId="77777777">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 xml:space="preserve">Door afschaffen van de </w:t>
            </w:r>
            <w:proofErr w:type="spellStart"/>
            <w:r w:rsidRPr="00FD1605">
              <w:rPr>
                <w:rFonts w:eastAsia="Times New Roman" w:cs="Calibri"/>
                <w:color w:val="000000"/>
                <w:szCs w:val="18"/>
                <w:lang w:val="nl-NL" w:eastAsia="nl-NL"/>
              </w:rPr>
              <w:t>kindregeling</w:t>
            </w:r>
            <w:proofErr w:type="spellEnd"/>
            <w:r w:rsidRPr="00FD1605">
              <w:rPr>
                <w:rFonts w:eastAsia="Times New Roman" w:cs="Calibri"/>
                <w:color w:val="000000"/>
                <w:szCs w:val="18"/>
                <w:lang w:val="nl-NL" w:eastAsia="nl-NL"/>
              </w:rPr>
              <w:t xml:space="preserve"> ontvangen de uitkeringsgerechtigde en diens partner (geboren na 31-12-1971) een lagere uitkering omdat er geen recht is op de aanvullende toeslag. Mogelijk is er wel recht op een aanvullende bijstandsuitkering. Hierbij gelden andere eisen zoals een vermogenstoets, waardoor mogelijk geen recht hierop bestaat</w:t>
            </w:r>
            <w:r>
              <w:rPr>
                <w:rFonts w:eastAsia="Times New Roman" w:cs="Calibri"/>
                <w:color w:val="000000"/>
                <w:szCs w:val="18"/>
                <w:lang w:val="nl-NL" w:eastAsia="nl-NL"/>
              </w:rPr>
              <w:t xml:space="preserve"> en huishoudens er op achteruit gaan</w:t>
            </w:r>
            <w:r w:rsidRPr="00FD1605">
              <w:rPr>
                <w:rFonts w:eastAsia="Times New Roman" w:cs="Calibri"/>
                <w:color w:val="000000"/>
                <w:szCs w:val="18"/>
                <w:lang w:val="nl-NL" w:eastAsia="nl-NL"/>
              </w:rPr>
              <w:t xml:space="preserve">. </w:t>
            </w:r>
          </w:p>
          <w:p w:rsidRPr="00FD1605" w:rsidR="009F6BA4" w:rsidP="00061051" w:rsidRDefault="009F6BA4" w14:paraId="2632C8D6" w14:textId="77777777">
            <w:pPr>
              <w:spacing w:after="0" w:line="240" w:lineRule="auto"/>
              <w:rPr>
                <w:rFonts w:eastAsia="Times New Roman" w:cs="Calibri"/>
                <w:color w:val="000000"/>
                <w:szCs w:val="18"/>
                <w:lang w:val="nl-NL" w:eastAsia="nl-NL"/>
              </w:rPr>
            </w:pPr>
          </w:p>
        </w:tc>
      </w:tr>
      <w:tr w:rsidRPr="00EB3835" w:rsidR="009F6BA4" w:rsidTr="00061051" w14:paraId="74803476" w14:textId="77777777">
        <w:trPr>
          <w:trHeight w:val="315"/>
        </w:trPr>
        <w:tc>
          <w:tcPr>
            <w:tcW w:w="2005" w:type="dxa"/>
            <w:tcBorders>
              <w:top w:val="nil"/>
              <w:left w:val="single" w:color="auto" w:sz="8" w:space="0"/>
              <w:bottom w:val="single" w:color="auto" w:sz="8" w:space="0"/>
              <w:right w:val="nil"/>
            </w:tcBorders>
            <w:shd w:val="clear" w:color="auto" w:fill="auto"/>
            <w:noWrap/>
          </w:tcPr>
          <w:p w:rsidRPr="00704454" w:rsidR="009F6BA4" w:rsidP="00061051" w:rsidRDefault="009F6BA4" w14:paraId="545CE0A9"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Arbeidsmarkt-effecten</w:t>
            </w:r>
          </w:p>
        </w:tc>
        <w:tc>
          <w:tcPr>
            <w:tcW w:w="8080" w:type="dxa"/>
            <w:tcBorders>
              <w:top w:val="single" w:color="auto" w:sz="4" w:space="0"/>
              <w:left w:val="single" w:color="auto" w:sz="4" w:space="0"/>
              <w:bottom w:val="single" w:color="auto" w:sz="8" w:space="0"/>
              <w:right w:val="single" w:color="auto" w:sz="4" w:space="0"/>
            </w:tcBorders>
            <w:shd w:val="clear" w:color="auto" w:fill="auto"/>
            <w:noWrap/>
          </w:tcPr>
          <w:p w:rsidRPr="00FD1605" w:rsidR="009F6BA4" w:rsidP="00061051" w:rsidRDefault="009F6BA4" w14:paraId="0A238FB6" w14:textId="77777777">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 xml:space="preserve">Het afschaffen van de </w:t>
            </w:r>
            <w:proofErr w:type="spellStart"/>
            <w:r w:rsidRPr="00FD1605">
              <w:rPr>
                <w:rFonts w:eastAsia="Times New Roman" w:cs="Calibri"/>
                <w:color w:val="000000"/>
                <w:szCs w:val="18"/>
                <w:lang w:val="nl-NL" w:eastAsia="nl-NL"/>
              </w:rPr>
              <w:t>kindregeling</w:t>
            </w:r>
            <w:proofErr w:type="spellEnd"/>
            <w:r w:rsidRPr="00FD1605">
              <w:rPr>
                <w:rFonts w:eastAsia="Times New Roman" w:cs="Calibri"/>
                <w:color w:val="000000"/>
                <w:szCs w:val="18"/>
                <w:lang w:val="nl-NL" w:eastAsia="nl-NL"/>
              </w:rPr>
              <w:t xml:space="preserve"> in de Toeslagenwet kan worden gezien als een prikkel voor de uitkeringsgerechtigde en/of diens partner om in werk te hervatten om het gezinsinkomen op te hogen. Vergeleken met 1987 bestaan er meer mogelijkheden en voorzieningen voor kinderopvang waardoor beiden ouders kunnen werken.</w:t>
            </w:r>
          </w:p>
          <w:p w:rsidRPr="00FD1605" w:rsidR="009F6BA4" w:rsidP="00061051" w:rsidRDefault="009F6BA4" w14:paraId="114CE434" w14:textId="10E4961C">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 xml:space="preserve">Wanneer er recht bestaat op een aanvullende bijstandsuitkering kan deze prikkel wellicht iets gedempt zijn, gelijk aan de huidige situatie in de Toeslagenwet. </w:t>
            </w:r>
          </w:p>
          <w:p w:rsidRPr="00FD1605" w:rsidR="009F6BA4" w:rsidP="00061051" w:rsidRDefault="009F6BA4" w14:paraId="4DDB6360" w14:textId="2C5F684B">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Aan de andere kant kan overwogen worden dat financiële onzekerheid</w:t>
            </w:r>
            <w:r w:rsidR="00871419">
              <w:rPr>
                <w:rFonts w:eastAsia="Times New Roman" w:cs="Calibri"/>
                <w:color w:val="000000"/>
                <w:szCs w:val="18"/>
                <w:lang w:val="nl-NL" w:eastAsia="nl-NL"/>
              </w:rPr>
              <w:t xml:space="preserve"> door een lager inkomen</w:t>
            </w:r>
            <w:r w:rsidRPr="00FD1605">
              <w:rPr>
                <w:rFonts w:eastAsia="Times New Roman" w:cs="Calibri"/>
                <w:color w:val="000000"/>
                <w:szCs w:val="18"/>
                <w:lang w:val="nl-NL" w:eastAsia="nl-NL"/>
              </w:rPr>
              <w:t xml:space="preserve"> kan zorgen voor onrust en stress, wat een belemmering zou kunnen zijn om werk te hervatten.</w:t>
            </w:r>
          </w:p>
        </w:tc>
      </w:tr>
      <w:tr w:rsidRPr="00FD1605" w:rsidR="009F6BA4" w:rsidTr="00061051" w14:paraId="0E7871BD" w14:textId="77777777">
        <w:trPr>
          <w:trHeight w:val="315"/>
        </w:trPr>
        <w:tc>
          <w:tcPr>
            <w:tcW w:w="2005" w:type="dxa"/>
            <w:tcBorders>
              <w:top w:val="nil"/>
              <w:left w:val="single" w:color="auto" w:sz="8" w:space="0"/>
              <w:bottom w:val="single" w:color="auto" w:sz="8" w:space="0"/>
              <w:right w:val="nil"/>
            </w:tcBorders>
            <w:shd w:val="clear" w:color="auto" w:fill="auto"/>
            <w:noWrap/>
          </w:tcPr>
          <w:p w:rsidRPr="00704454" w:rsidR="009F6BA4" w:rsidP="00061051" w:rsidRDefault="009F6BA4" w14:paraId="756983DB"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Overige relevante aspecten</w:t>
            </w:r>
          </w:p>
        </w:tc>
        <w:tc>
          <w:tcPr>
            <w:tcW w:w="8080" w:type="dxa"/>
            <w:tcBorders>
              <w:top w:val="single" w:color="auto" w:sz="4" w:space="0"/>
              <w:left w:val="single" w:color="auto" w:sz="4" w:space="0"/>
              <w:bottom w:val="single" w:color="auto" w:sz="8" w:space="0"/>
              <w:right w:val="single" w:color="auto" w:sz="4" w:space="0"/>
            </w:tcBorders>
            <w:shd w:val="clear" w:color="auto" w:fill="auto"/>
            <w:noWrap/>
          </w:tcPr>
          <w:p w:rsidRPr="00704454" w:rsidR="009F6BA4" w:rsidP="00061051" w:rsidRDefault="009F6BA4" w14:paraId="6BF46576" w14:textId="77777777">
            <w:pPr>
              <w:spacing w:after="0" w:line="240" w:lineRule="auto"/>
              <w:rPr>
                <w:rFonts w:eastAsia="Times New Roman" w:cs="Calibri"/>
                <w:color w:val="000000"/>
                <w:szCs w:val="18"/>
                <w:lang w:val="nl-NL" w:eastAsia="nl-NL"/>
              </w:rPr>
            </w:pPr>
            <w:r w:rsidRPr="00704454">
              <w:rPr>
                <w:rFonts w:eastAsia="Times New Roman" w:cs="Calibri"/>
                <w:color w:val="000000"/>
                <w:szCs w:val="18"/>
                <w:lang w:val="nl-NL" w:eastAsia="nl-NL"/>
              </w:rPr>
              <w:t>Niet van toepassing</w:t>
            </w:r>
          </w:p>
          <w:p w:rsidRPr="00704454" w:rsidR="009F6BA4" w:rsidP="00061051" w:rsidRDefault="009F6BA4" w14:paraId="19E55848" w14:textId="77777777">
            <w:pPr>
              <w:spacing w:after="0" w:line="240" w:lineRule="auto"/>
              <w:rPr>
                <w:rFonts w:eastAsia="Times New Roman" w:cs="Calibri"/>
                <w:color w:val="000000"/>
                <w:szCs w:val="18"/>
                <w:lang w:val="nl-NL" w:eastAsia="nl-NL"/>
              </w:rPr>
            </w:pPr>
          </w:p>
        </w:tc>
      </w:tr>
    </w:tbl>
    <w:p w:rsidRPr="00FD1605" w:rsidR="009F6BA4" w:rsidP="009F6BA4" w:rsidRDefault="009F6BA4" w14:paraId="3DB02040" w14:textId="77777777">
      <w:pPr>
        <w:rPr>
          <w:lang w:val="nl-NL"/>
        </w:rPr>
      </w:pPr>
    </w:p>
    <w:p w:rsidRPr="00FD1605" w:rsidR="009F6BA4" w:rsidP="009F6BA4" w:rsidRDefault="009F6BA4" w14:paraId="28D200C2" w14:textId="77777777">
      <w:pPr>
        <w:rPr>
          <w:lang w:val="nl-NL"/>
        </w:rPr>
      </w:pPr>
      <w:r w:rsidRPr="00FD1605">
        <w:rPr>
          <w:lang w:val="nl-NL"/>
        </w:rPr>
        <w:br w:type="page"/>
      </w:r>
    </w:p>
    <w:tbl>
      <w:tblPr>
        <w:tblW w:w="10197" w:type="dxa"/>
        <w:tblInd w:w="-436" w:type="dxa"/>
        <w:tblCellMar>
          <w:left w:w="70" w:type="dxa"/>
          <w:right w:w="70" w:type="dxa"/>
        </w:tblCellMar>
        <w:tblLook w:val="04A0" w:firstRow="1" w:lastRow="0" w:firstColumn="1" w:lastColumn="0" w:noHBand="0" w:noVBand="1"/>
      </w:tblPr>
      <w:tblGrid>
        <w:gridCol w:w="1986"/>
        <w:gridCol w:w="8211"/>
      </w:tblGrid>
      <w:tr w:rsidRPr="00FD1605" w:rsidR="009F6BA4" w:rsidTr="009C048F" w14:paraId="2A1D1D09" w14:textId="77777777">
        <w:trPr>
          <w:trHeight w:val="300"/>
        </w:trPr>
        <w:tc>
          <w:tcPr>
            <w:tcW w:w="1986" w:type="dxa"/>
            <w:tcBorders>
              <w:top w:val="single" w:color="auto" w:sz="8" w:space="0"/>
              <w:left w:val="single" w:color="auto" w:sz="8" w:space="0"/>
              <w:bottom w:val="single" w:color="auto" w:sz="4" w:space="0"/>
              <w:right w:val="nil"/>
            </w:tcBorders>
            <w:shd w:val="clear" w:color="auto" w:fill="auto"/>
            <w:noWrap/>
          </w:tcPr>
          <w:p w:rsidRPr="00704454" w:rsidR="009F6BA4" w:rsidP="00061051" w:rsidRDefault="009F6BA4" w14:paraId="1B73CD39" w14:textId="77777777">
            <w:pPr>
              <w:spacing w:after="0" w:line="240" w:lineRule="auto"/>
              <w:rPr>
                <w:rFonts w:eastAsia="Times New Roman" w:cs="Calibri"/>
                <w:b/>
                <w:bCs/>
                <w:color w:val="000000"/>
                <w:szCs w:val="18"/>
                <w:lang w:val="nl-NL" w:eastAsia="nl-NL"/>
              </w:rPr>
            </w:pPr>
          </w:p>
          <w:p w:rsidRPr="00704454" w:rsidR="009F6BA4" w:rsidP="00061051" w:rsidRDefault="009F6BA4" w14:paraId="4494C6C5"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Maatregel</w:t>
            </w:r>
          </w:p>
        </w:tc>
        <w:tc>
          <w:tcPr>
            <w:tcW w:w="8211" w:type="dxa"/>
            <w:tcBorders>
              <w:top w:val="single" w:color="auto" w:sz="8" w:space="0"/>
              <w:left w:val="single" w:color="auto" w:sz="4" w:space="0"/>
              <w:bottom w:val="single" w:color="auto" w:sz="4" w:space="0"/>
              <w:right w:val="single" w:color="auto" w:sz="4" w:space="0"/>
            </w:tcBorders>
            <w:shd w:val="clear" w:color="auto" w:fill="auto"/>
            <w:noWrap/>
          </w:tcPr>
          <w:p w:rsidRPr="00704454" w:rsidR="009F6BA4" w:rsidP="00061051" w:rsidRDefault="009F6BA4" w14:paraId="1A9A3CD9" w14:textId="6330E0F5">
            <w:pPr>
              <w:pStyle w:val="Kop1"/>
              <w:rPr>
                <w:rFonts w:ascii="Verdana" w:hAnsi="Verdana" w:eastAsia="Times New Roman"/>
                <w:b/>
                <w:bCs/>
                <w:color w:val="auto"/>
                <w:sz w:val="18"/>
                <w:szCs w:val="18"/>
                <w:lang w:val="nl-NL" w:eastAsia="nl-NL"/>
              </w:rPr>
            </w:pPr>
            <w:bookmarkStart w:name="_Toc223522234" w:id="13"/>
            <w:r>
              <w:rPr>
                <w:rFonts w:ascii="Verdana" w:hAnsi="Verdana" w:eastAsia="Times New Roman"/>
                <w:b/>
                <w:bCs/>
                <w:color w:val="auto"/>
                <w:sz w:val="18"/>
                <w:szCs w:val="18"/>
                <w:lang w:val="nl-NL" w:eastAsia="nl-NL"/>
              </w:rPr>
              <w:t>B</w:t>
            </w:r>
            <w:r w:rsidRPr="00913061">
              <w:rPr>
                <w:rFonts w:ascii="Verdana" w:hAnsi="Verdana" w:eastAsia="Times New Roman"/>
                <w:b/>
                <w:bCs/>
                <w:color w:val="auto"/>
                <w:sz w:val="18"/>
                <w:szCs w:val="18"/>
                <w:lang w:val="nl-NL" w:eastAsia="nl-NL"/>
              </w:rPr>
              <w:t>.</w:t>
            </w:r>
            <w:r>
              <w:rPr>
                <w:rFonts w:ascii="Verdana" w:hAnsi="Verdana" w:eastAsia="Times New Roman"/>
                <w:b/>
                <w:bCs/>
                <w:color w:val="auto"/>
                <w:sz w:val="18"/>
                <w:szCs w:val="18"/>
                <w:lang w:val="nl-NL" w:eastAsia="nl-NL"/>
              </w:rPr>
              <w:t>9</w:t>
            </w:r>
            <w:r w:rsidRPr="00913061">
              <w:rPr>
                <w:rFonts w:ascii="Verdana" w:hAnsi="Verdana" w:eastAsia="Times New Roman"/>
                <w:b/>
                <w:bCs/>
                <w:color w:val="auto"/>
                <w:sz w:val="18"/>
                <w:szCs w:val="18"/>
                <w:lang w:val="nl-NL" w:eastAsia="nl-NL"/>
              </w:rPr>
              <w:t xml:space="preserve"> Afschaffen 1990-</w:t>
            </w:r>
            <w:bookmarkEnd w:id="13"/>
            <w:r w:rsidR="00725043">
              <w:rPr>
                <w:rFonts w:ascii="Verdana" w:hAnsi="Verdana" w:eastAsia="Times New Roman"/>
                <w:b/>
                <w:bCs/>
                <w:color w:val="auto"/>
                <w:sz w:val="18"/>
                <w:szCs w:val="18"/>
                <w:lang w:val="nl-NL" w:eastAsia="nl-NL"/>
              </w:rPr>
              <w:t>maatregel</w:t>
            </w:r>
          </w:p>
        </w:tc>
      </w:tr>
      <w:tr w:rsidRPr="00725043" w:rsidR="009F6BA4" w:rsidTr="009C048F" w14:paraId="79E73543" w14:textId="77777777">
        <w:trPr>
          <w:trHeight w:val="315"/>
        </w:trPr>
        <w:tc>
          <w:tcPr>
            <w:tcW w:w="1986" w:type="dxa"/>
            <w:tcBorders>
              <w:top w:val="nil"/>
              <w:left w:val="single" w:color="auto" w:sz="8" w:space="0"/>
              <w:bottom w:val="single" w:color="auto" w:sz="8" w:space="0"/>
              <w:right w:val="nil"/>
            </w:tcBorders>
            <w:shd w:val="clear" w:color="auto" w:fill="auto"/>
            <w:noWrap/>
          </w:tcPr>
          <w:p w:rsidRPr="00704454" w:rsidR="009F6BA4" w:rsidP="00061051" w:rsidRDefault="009F6BA4" w14:paraId="39EFB1B2"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Korte uitleg maatregel</w:t>
            </w:r>
          </w:p>
        </w:tc>
        <w:tc>
          <w:tcPr>
            <w:tcW w:w="8211" w:type="dxa"/>
            <w:tcBorders>
              <w:top w:val="single" w:color="auto" w:sz="4" w:space="0"/>
              <w:left w:val="single" w:color="auto" w:sz="4" w:space="0"/>
              <w:bottom w:val="single" w:color="auto" w:sz="8" w:space="0"/>
              <w:right w:val="single" w:color="auto" w:sz="4" w:space="0"/>
            </w:tcBorders>
            <w:shd w:val="clear" w:color="auto" w:fill="auto"/>
            <w:noWrap/>
          </w:tcPr>
          <w:p w:rsidRPr="00FD1605" w:rsidR="009F6BA4" w:rsidP="00061051" w:rsidRDefault="009F6BA4" w14:paraId="3B80C1D2" w14:textId="5E5AB87D">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Artikel 3 van de Toeslagenwet regelt vanaf 1990 de uitsluitingsgrond dat een gehuwde wiens echtgenoot is geboren na 31 december 1971 geen recht heeft op toeslag (de zogenaamde 1990-</w:t>
            </w:r>
            <w:r w:rsidR="00725043">
              <w:rPr>
                <w:rFonts w:eastAsia="Times New Roman" w:cs="Calibri"/>
                <w:color w:val="000000"/>
                <w:szCs w:val="18"/>
                <w:lang w:val="nl-NL" w:eastAsia="nl-NL"/>
              </w:rPr>
              <w:t>maatregel</w:t>
            </w:r>
            <w:r w:rsidRPr="00FD1605">
              <w:rPr>
                <w:rFonts w:eastAsia="Times New Roman" w:cs="Calibri"/>
                <w:color w:val="000000"/>
                <w:szCs w:val="18"/>
                <w:lang w:val="nl-NL" w:eastAsia="nl-NL"/>
              </w:rPr>
              <w:t xml:space="preserve">), tenzij tot zijn huishouden een eigen kind, aangehuwd kind of pleegkind behoort dat jonger is dan 12 jaar (de zogenaamde </w:t>
            </w:r>
            <w:proofErr w:type="spellStart"/>
            <w:r w:rsidRPr="00FD1605">
              <w:rPr>
                <w:rFonts w:eastAsia="Times New Roman" w:cs="Calibri"/>
                <w:color w:val="000000"/>
                <w:szCs w:val="18"/>
                <w:lang w:val="nl-NL" w:eastAsia="nl-NL"/>
              </w:rPr>
              <w:t>kindregeling</w:t>
            </w:r>
            <w:proofErr w:type="spellEnd"/>
            <w:r w:rsidRPr="00FD1605">
              <w:rPr>
                <w:rFonts w:eastAsia="Times New Roman" w:cs="Calibri"/>
                <w:color w:val="000000"/>
                <w:szCs w:val="18"/>
                <w:lang w:val="nl-NL" w:eastAsia="nl-NL"/>
              </w:rPr>
              <w:t xml:space="preserve">). Ondanks dat het gezinsinkomen lager is dan de TW-norm, bestaat er geen recht op een TW-aanvulling. </w:t>
            </w:r>
            <w:r w:rsidRPr="00FD1605">
              <w:rPr>
                <w:rFonts w:eastAsia="DejaVu Sans" w:cs="Calibri Light"/>
                <w:color w:val="000000"/>
                <w:szCs w:val="18"/>
                <w:lang w:val="nl-NL"/>
              </w:rPr>
              <w:t>De echtgenoot, geregistreerde partner of huisgenoot met gezamenlijke huishouding (tenzij bloedverwant 1</w:t>
            </w:r>
            <w:r w:rsidRPr="00FD1605">
              <w:rPr>
                <w:rFonts w:eastAsia="DejaVu Sans" w:cs="Calibri Light"/>
                <w:color w:val="000000"/>
                <w:szCs w:val="18"/>
                <w:vertAlign w:val="superscript"/>
                <w:lang w:val="nl-NL"/>
              </w:rPr>
              <w:t>e</w:t>
            </w:r>
            <w:r w:rsidRPr="00FD1605">
              <w:rPr>
                <w:rFonts w:eastAsia="DejaVu Sans" w:cs="Calibri Light"/>
                <w:color w:val="000000"/>
                <w:szCs w:val="18"/>
                <w:lang w:val="nl-NL"/>
              </w:rPr>
              <w:t xml:space="preserve"> graad) wordt geacht inkomen voor het gezin te kunnen verdienen, waardoor een TW-aanvulling niet nodig wordt geacht.</w:t>
            </w:r>
          </w:p>
          <w:p w:rsidRPr="00FD1605" w:rsidR="009F6BA4" w:rsidP="00061051" w:rsidRDefault="009F6BA4" w14:paraId="55986C0E" w14:textId="77777777">
            <w:pPr>
              <w:spacing w:after="0" w:line="240" w:lineRule="auto"/>
              <w:rPr>
                <w:rFonts w:eastAsia="Times New Roman" w:cs="Calibri"/>
                <w:color w:val="000000"/>
                <w:szCs w:val="18"/>
                <w:lang w:val="nl-NL" w:eastAsia="nl-NL"/>
              </w:rPr>
            </w:pPr>
          </w:p>
          <w:p w:rsidRPr="00704454" w:rsidR="009F6BA4" w:rsidP="00061051" w:rsidRDefault="009F6BA4" w14:paraId="53763BF6" w14:textId="71F48327">
            <w:pPr>
              <w:spacing w:after="0" w:line="240" w:lineRule="auto"/>
              <w:rPr>
                <w:rFonts w:eastAsia="DejaVu Sans" w:cs="Lohit Hindi"/>
                <w:color w:val="000000"/>
                <w:szCs w:val="18"/>
                <w:lang w:val="nl-NL"/>
              </w:rPr>
            </w:pPr>
            <w:r w:rsidRPr="00FD1605">
              <w:rPr>
                <w:rFonts w:eastAsia="Times New Roman" w:cs="Calibri"/>
                <w:color w:val="000000"/>
                <w:szCs w:val="18"/>
                <w:lang w:val="nl-NL" w:eastAsia="nl-NL"/>
              </w:rPr>
              <w:t xml:space="preserve">Deze maatregel zou ertoe leiden dat deze uitsluitingsgrond wordt afgeschaft. Het </w:t>
            </w:r>
            <w:r w:rsidR="00725043">
              <w:rPr>
                <w:rFonts w:eastAsia="Times New Roman" w:cs="Calibri"/>
                <w:color w:val="000000"/>
                <w:szCs w:val="18"/>
                <w:lang w:val="nl-NL" w:eastAsia="nl-NL"/>
              </w:rPr>
              <w:t xml:space="preserve">feitelijke </w:t>
            </w:r>
            <w:r w:rsidRPr="00FD1605">
              <w:rPr>
                <w:rFonts w:eastAsia="Times New Roman" w:cs="Calibri"/>
                <w:color w:val="000000"/>
                <w:szCs w:val="18"/>
                <w:lang w:val="nl-NL" w:eastAsia="nl-NL"/>
              </w:rPr>
              <w:t xml:space="preserve">gezinsinkomen wordt leidend, ongeacht de leeftijd van een partner en/of de leeftijd van kinderen. </w:t>
            </w:r>
            <w:r w:rsidRPr="00704454">
              <w:rPr>
                <w:rFonts w:eastAsia="Times New Roman" w:cs="Calibri"/>
                <w:color w:val="000000"/>
                <w:szCs w:val="18"/>
                <w:lang w:val="nl-NL" w:eastAsia="nl-NL"/>
              </w:rPr>
              <w:t>M</w:t>
            </w:r>
            <w:r w:rsidRPr="00704454">
              <w:rPr>
                <w:rFonts w:eastAsia="DejaVu Sans" w:cs="Lohit Hindi"/>
                <w:color w:val="000000"/>
                <w:szCs w:val="18"/>
                <w:lang w:val="nl-NL"/>
              </w:rPr>
              <w:t xml:space="preserve">eer </w:t>
            </w:r>
            <w:r w:rsidRPr="00704454">
              <w:rPr>
                <w:rFonts w:eastAsia="Times New Roman" w:cs="Calibri"/>
                <w:color w:val="000000"/>
                <w:szCs w:val="18"/>
                <w:lang w:val="nl-NL" w:eastAsia="nl-NL"/>
              </w:rPr>
              <w:t xml:space="preserve">huishoudens </w:t>
            </w:r>
            <w:r w:rsidRPr="00704454">
              <w:rPr>
                <w:rFonts w:eastAsia="DejaVu Sans" w:cs="Lohit Hindi"/>
                <w:color w:val="000000"/>
                <w:szCs w:val="18"/>
                <w:lang w:val="nl-NL"/>
              </w:rPr>
              <w:t>hebben recht op een TW-aanvulling.</w:t>
            </w:r>
          </w:p>
        </w:tc>
      </w:tr>
      <w:tr w:rsidRPr="00EB3835" w:rsidR="009F6BA4" w:rsidTr="009C048F" w14:paraId="5E273B43" w14:textId="77777777">
        <w:trPr>
          <w:trHeight w:val="315"/>
        </w:trPr>
        <w:tc>
          <w:tcPr>
            <w:tcW w:w="1986" w:type="dxa"/>
            <w:tcBorders>
              <w:top w:val="nil"/>
              <w:left w:val="single" w:color="auto" w:sz="8" w:space="0"/>
              <w:bottom w:val="single" w:color="auto" w:sz="8" w:space="0"/>
              <w:right w:val="nil"/>
            </w:tcBorders>
            <w:shd w:val="clear" w:color="auto" w:fill="auto"/>
            <w:noWrap/>
          </w:tcPr>
          <w:p w:rsidRPr="00704454" w:rsidR="009F6BA4" w:rsidP="00061051" w:rsidRDefault="009F6BA4" w14:paraId="35F356EF"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Doel maatregel</w:t>
            </w:r>
          </w:p>
        </w:tc>
        <w:tc>
          <w:tcPr>
            <w:tcW w:w="8211" w:type="dxa"/>
            <w:tcBorders>
              <w:top w:val="single" w:color="auto" w:sz="4" w:space="0"/>
              <w:left w:val="single" w:color="auto" w:sz="4" w:space="0"/>
              <w:bottom w:val="single" w:color="auto" w:sz="8" w:space="0"/>
              <w:right w:val="single" w:color="auto" w:sz="4" w:space="0"/>
            </w:tcBorders>
            <w:shd w:val="clear" w:color="auto" w:fill="auto"/>
            <w:noWrap/>
          </w:tcPr>
          <w:p w:rsidRPr="00FD1605" w:rsidR="009F6BA4" w:rsidP="00061051" w:rsidRDefault="009F6BA4" w14:paraId="535AD196" w14:textId="77777777">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 xml:space="preserve">Vereenvoudiging van de wetgeving en vergroten van de voorspelbaarheid van de inkomenssituatie. </w:t>
            </w:r>
          </w:p>
        </w:tc>
      </w:tr>
      <w:tr w:rsidRPr="00EB3835" w:rsidR="009F6BA4" w:rsidTr="009C048F" w14:paraId="7018B146" w14:textId="77777777">
        <w:trPr>
          <w:trHeight w:val="315"/>
        </w:trPr>
        <w:tc>
          <w:tcPr>
            <w:tcW w:w="1986" w:type="dxa"/>
            <w:tcBorders>
              <w:top w:val="nil"/>
              <w:left w:val="single" w:color="auto" w:sz="8" w:space="0"/>
              <w:bottom w:val="single" w:color="auto" w:sz="8" w:space="0"/>
              <w:right w:val="nil"/>
            </w:tcBorders>
            <w:shd w:val="clear" w:color="auto" w:fill="auto"/>
            <w:noWrap/>
          </w:tcPr>
          <w:p w:rsidRPr="00FD1605" w:rsidR="009F6BA4" w:rsidP="00061051" w:rsidRDefault="009F6BA4" w14:paraId="22195607" w14:textId="77777777">
            <w:pPr>
              <w:spacing w:after="0" w:line="240" w:lineRule="auto"/>
              <w:rPr>
                <w:rFonts w:eastAsia="Times New Roman" w:cs="Calibri"/>
                <w:b/>
                <w:bCs/>
                <w:color w:val="000000"/>
                <w:szCs w:val="18"/>
                <w:lang w:val="nl-NL" w:eastAsia="nl-NL"/>
              </w:rPr>
            </w:pPr>
            <w:r w:rsidRPr="00FD1605">
              <w:rPr>
                <w:rFonts w:eastAsia="Times New Roman" w:cs="Calibri"/>
                <w:b/>
                <w:bCs/>
                <w:color w:val="000000"/>
                <w:szCs w:val="18"/>
                <w:lang w:val="nl-NL" w:eastAsia="nl-NL"/>
              </w:rPr>
              <w:t xml:space="preserve">Vereenvoudiging vanuit burgerperspectief (begrijpelijkheid, zekerheid en </w:t>
            </w:r>
            <w:proofErr w:type="spellStart"/>
            <w:r w:rsidRPr="00FD1605">
              <w:rPr>
                <w:rFonts w:eastAsia="Times New Roman" w:cs="Calibri"/>
                <w:b/>
                <w:bCs/>
                <w:color w:val="000000"/>
                <w:szCs w:val="18"/>
                <w:lang w:val="nl-NL" w:eastAsia="nl-NL"/>
              </w:rPr>
              <w:t>doenlijkheid</w:t>
            </w:r>
            <w:proofErr w:type="spellEnd"/>
            <w:r w:rsidRPr="00FD1605">
              <w:rPr>
                <w:rFonts w:eastAsia="Times New Roman" w:cs="Calibri"/>
                <w:b/>
                <w:bCs/>
                <w:color w:val="000000"/>
                <w:szCs w:val="18"/>
                <w:lang w:val="nl-NL" w:eastAsia="nl-NL"/>
              </w:rPr>
              <w:t>)</w:t>
            </w:r>
          </w:p>
        </w:tc>
        <w:tc>
          <w:tcPr>
            <w:tcW w:w="8211" w:type="dxa"/>
            <w:tcBorders>
              <w:top w:val="single" w:color="auto" w:sz="4" w:space="0"/>
              <w:left w:val="single" w:color="auto" w:sz="4" w:space="0"/>
              <w:bottom w:val="single" w:color="auto" w:sz="8" w:space="0"/>
              <w:right w:val="single" w:color="auto" w:sz="4" w:space="0"/>
            </w:tcBorders>
            <w:shd w:val="clear" w:color="auto" w:fill="auto"/>
            <w:noWrap/>
          </w:tcPr>
          <w:p w:rsidRPr="00FD1605" w:rsidR="009F6BA4" w:rsidP="00061051" w:rsidRDefault="009F6BA4" w14:paraId="41061878" w14:textId="77777777">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 xml:space="preserve">Voor verzekerden gelden er minder voorwaarden (of uitzonderingen op de voorwaarden), waardoor het makkelijker te begrijpen is of iemand recht heeft op de TW-aanvulling of niet. </w:t>
            </w:r>
          </w:p>
          <w:p w:rsidRPr="00FD1605" w:rsidR="009F6BA4" w:rsidP="00061051" w:rsidRDefault="009F6BA4" w14:paraId="21E589D7" w14:textId="77777777">
            <w:pPr>
              <w:spacing w:after="0" w:line="240" w:lineRule="auto"/>
              <w:rPr>
                <w:rFonts w:eastAsia="Times New Roman" w:cs="Calibri"/>
                <w:color w:val="000000"/>
                <w:szCs w:val="18"/>
                <w:lang w:val="nl-NL" w:eastAsia="nl-NL"/>
              </w:rPr>
            </w:pPr>
            <w:r w:rsidRPr="00FD1605">
              <w:rPr>
                <w:rFonts w:eastAsia="DejaVu Sans" w:cs="Lohit Hindi"/>
                <w:color w:val="000000"/>
                <w:szCs w:val="18"/>
                <w:lang w:val="nl-NL"/>
              </w:rPr>
              <w:t xml:space="preserve">Ook biedt het meer zekerheid. Nieuwe (jongere) partners en ouder wordende kinderen hebben niet langer invloed op het recht op de TW-aanvulling. Bijvoorbeeld </w:t>
            </w:r>
            <w:r w:rsidRPr="00FD1605">
              <w:rPr>
                <w:rFonts w:eastAsia="Times New Roman" w:cs="Calibri"/>
                <w:color w:val="000000"/>
                <w:szCs w:val="18"/>
                <w:lang w:val="nl-NL" w:eastAsia="nl-NL"/>
              </w:rPr>
              <w:t xml:space="preserve">dat gezinnen worden geconfronteerd met het plots vervallen van de TW-uitkering omdat het (jongste) kind 12 wordt. </w:t>
            </w:r>
          </w:p>
          <w:p w:rsidRPr="00FD1605" w:rsidR="009F6BA4" w:rsidP="00061051" w:rsidRDefault="009F6BA4" w14:paraId="7DE5B333" w14:textId="00F8D14D">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 xml:space="preserve">Tevens draagt de maatregel bij aan de </w:t>
            </w:r>
            <w:proofErr w:type="spellStart"/>
            <w:r w:rsidRPr="00FD1605">
              <w:rPr>
                <w:rFonts w:eastAsia="Times New Roman" w:cs="Calibri"/>
                <w:color w:val="000000"/>
                <w:szCs w:val="18"/>
                <w:lang w:val="nl-NL" w:eastAsia="nl-NL"/>
              </w:rPr>
              <w:t>doenlijkheid</w:t>
            </w:r>
            <w:proofErr w:type="spellEnd"/>
            <w:r w:rsidRPr="00FD1605">
              <w:rPr>
                <w:rFonts w:eastAsia="Times New Roman" w:cs="Calibri"/>
                <w:color w:val="000000"/>
                <w:szCs w:val="18"/>
                <w:lang w:val="nl-NL" w:eastAsia="nl-NL"/>
              </w:rPr>
              <w:t>, doordat minder huishoudens te maken zullen krijgen met de</w:t>
            </w:r>
            <w:r w:rsidR="008C2F34">
              <w:rPr>
                <w:rFonts w:eastAsia="Times New Roman" w:cs="Calibri"/>
                <w:color w:val="000000"/>
                <w:szCs w:val="18"/>
                <w:lang w:val="nl-NL" w:eastAsia="nl-NL"/>
              </w:rPr>
              <w:t xml:space="preserve"> aanvullende</w:t>
            </w:r>
            <w:r w:rsidRPr="00FD1605">
              <w:rPr>
                <w:rFonts w:eastAsia="Times New Roman" w:cs="Calibri"/>
                <w:color w:val="000000"/>
                <w:szCs w:val="18"/>
                <w:lang w:val="nl-NL" w:eastAsia="nl-NL"/>
              </w:rPr>
              <w:t xml:space="preserve"> bijstand van </w:t>
            </w:r>
            <w:r w:rsidR="008C2F34">
              <w:rPr>
                <w:rFonts w:eastAsia="Times New Roman" w:cs="Calibri"/>
                <w:color w:val="000000"/>
                <w:szCs w:val="18"/>
                <w:lang w:val="nl-NL" w:eastAsia="nl-NL"/>
              </w:rPr>
              <w:t>hun</w:t>
            </w:r>
            <w:r w:rsidRPr="00FD1605">
              <w:rPr>
                <w:rFonts w:eastAsia="Times New Roman" w:cs="Calibri"/>
                <w:color w:val="000000"/>
                <w:szCs w:val="18"/>
                <w:lang w:val="nl-NL" w:eastAsia="nl-NL"/>
              </w:rPr>
              <w:t xml:space="preserve"> gemeente. </w:t>
            </w:r>
          </w:p>
        </w:tc>
      </w:tr>
      <w:tr w:rsidRPr="00FD1605" w:rsidR="009F6BA4" w:rsidTr="009C048F" w14:paraId="4A849AA3" w14:textId="77777777">
        <w:trPr>
          <w:trHeight w:val="315"/>
        </w:trPr>
        <w:tc>
          <w:tcPr>
            <w:tcW w:w="1986" w:type="dxa"/>
            <w:tcBorders>
              <w:top w:val="nil"/>
              <w:left w:val="single" w:color="auto" w:sz="8" w:space="0"/>
              <w:bottom w:val="single" w:color="auto" w:sz="8" w:space="0"/>
              <w:right w:val="nil"/>
            </w:tcBorders>
            <w:shd w:val="clear" w:color="auto" w:fill="auto"/>
            <w:noWrap/>
          </w:tcPr>
          <w:p w:rsidRPr="00704454" w:rsidR="009F6BA4" w:rsidP="00061051" w:rsidRDefault="009F6BA4" w14:paraId="7E55AD1B"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 xml:space="preserve">Keuzes binnen maatregel </w:t>
            </w:r>
          </w:p>
        </w:tc>
        <w:tc>
          <w:tcPr>
            <w:tcW w:w="8211" w:type="dxa"/>
            <w:tcBorders>
              <w:top w:val="single" w:color="auto" w:sz="4" w:space="0"/>
              <w:left w:val="single" w:color="auto" w:sz="4" w:space="0"/>
              <w:bottom w:val="single" w:color="auto" w:sz="8" w:space="0"/>
              <w:right w:val="single" w:color="auto" w:sz="4" w:space="0"/>
            </w:tcBorders>
            <w:shd w:val="clear" w:color="auto" w:fill="auto"/>
            <w:noWrap/>
          </w:tcPr>
          <w:p w:rsidRPr="00704454" w:rsidR="009F6BA4" w:rsidP="00061051" w:rsidRDefault="009F6BA4" w14:paraId="37DEED8E" w14:textId="77777777">
            <w:pPr>
              <w:spacing w:after="0" w:line="240" w:lineRule="auto"/>
              <w:rPr>
                <w:rFonts w:eastAsia="Times New Roman" w:cs="Calibri"/>
                <w:color w:val="000000"/>
                <w:szCs w:val="18"/>
                <w:lang w:val="nl-NL" w:eastAsia="nl-NL"/>
              </w:rPr>
            </w:pPr>
            <w:r w:rsidRPr="00704454">
              <w:rPr>
                <w:rFonts w:eastAsia="Times New Roman" w:cs="Calibri"/>
                <w:color w:val="000000"/>
                <w:szCs w:val="18"/>
                <w:lang w:val="nl-NL" w:eastAsia="nl-NL"/>
              </w:rPr>
              <w:t xml:space="preserve">Niet van toepassing </w:t>
            </w:r>
          </w:p>
          <w:p w:rsidRPr="00704454" w:rsidR="009F6BA4" w:rsidP="00061051" w:rsidRDefault="009F6BA4" w14:paraId="7E4C2717" w14:textId="77777777">
            <w:pPr>
              <w:spacing w:after="0" w:line="240" w:lineRule="auto"/>
              <w:rPr>
                <w:rFonts w:eastAsia="Times New Roman" w:cs="Calibri"/>
                <w:color w:val="000000"/>
                <w:szCs w:val="18"/>
                <w:lang w:val="nl-NL" w:eastAsia="nl-NL"/>
              </w:rPr>
            </w:pPr>
          </w:p>
        </w:tc>
      </w:tr>
      <w:tr w:rsidRPr="00EB3835" w:rsidR="009F6BA4" w:rsidTr="009C048F" w14:paraId="7618CF7B" w14:textId="77777777">
        <w:trPr>
          <w:trHeight w:val="315"/>
        </w:trPr>
        <w:tc>
          <w:tcPr>
            <w:tcW w:w="1986" w:type="dxa"/>
            <w:tcBorders>
              <w:top w:val="nil"/>
              <w:left w:val="single" w:color="auto" w:sz="8" w:space="0"/>
              <w:bottom w:val="single" w:color="auto" w:sz="8" w:space="0"/>
              <w:right w:val="nil"/>
            </w:tcBorders>
            <w:shd w:val="clear" w:color="auto" w:fill="auto"/>
            <w:noWrap/>
          </w:tcPr>
          <w:p w:rsidRPr="00704454" w:rsidR="009F6BA4" w:rsidP="00061051" w:rsidRDefault="009F6BA4" w14:paraId="5C2D2DAA"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Tijdpad inwerkingtreding</w:t>
            </w:r>
          </w:p>
        </w:tc>
        <w:tc>
          <w:tcPr>
            <w:tcW w:w="8211" w:type="dxa"/>
            <w:tcBorders>
              <w:top w:val="single" w:color="auto" w:sz="4" w:space="0"/>
              <w:left w:val="single" w:color="auto" w:sz="4" w:space="0"/>
              <w:bottom w:val="single" w:color="auto" w:sz="8" w:space="0"/>
              <w:right w:val="single" w:color="auto" w:sz="4" w:space="0"/>
            </w:tcBorders>
            <w:shd w:val="clear" w:color="auto" w:fill="auto"/>
            <w:noWrap/>
          </w:tcPr>
          <w:p w:rsidRPr="00FD1605" w:rsidR="009F6BA4" w:rsidP="00061051" w:rsidRDefault="009F6BA4" w14:paraId="4C3DB36A" w14:textId="77777777">
            <w:pPr>
              <w:spacing w:after="0" w:line="240" w:lineRule="auto"/>
              <w:rPr>
                <w:iCs/>
                <w:szCs w:val="18"/>
                <w:lang w:val="nl-NL"/>
              </w:rPr>
            </w:pPr>
            <w:r w:rsidRPr="00FD1605">
              <w:rPr>
                <w:rFonts w:eastAsia="Times New Roman" w:cs="Calibri"/>
                <w:color w:val="000000"/>
                <w:szCs w:val="18"/>
                <w:lang w:val="nl-NL" w:eastAsia="nl-NL"/>
              </w:rPr>
              <w:t xml:space="preserve">Artikel 3 binnen de TW moet worden ingetrokken. </w:t>
            </w:r>
            <w:r w:rsidRPr="00FD1605">
              <w:rPr>
                <w:iCs/>
                <w:szCs w:val="18"/>
                <w:lang w:val="nl-NL"/>
              </w:rPr>
              <w:t>Dit betreft een wetswijziging. Als algemeen uitgangspunt wordt bij een wetswijziging uitgegaan van een wetgevingstraject dat gemiddeld 2 jaar duurt. Ook dient rekening te worden gehouden met eventuele extra tijd voor de implementatie door de uitvoerder. Hierbij kan worden gedacht aan aanpassingen van systemen en communicatie aan uitkeringsgerechtigden.</w:t>
            </w:r>
          </w:p>
        </w:tc>
      </w:tr>
      <w:tr w:rsidRPr="007111C5" w:rsidR="009F6BA4" w:rsidTr="009C048F" w14:paraId="228CE323" w14:textId="77777777">
        <w:trPr>
          <w:trHeight w:val="315"/>
        </w:trPr>
        <w:tc>
          <w:tcPr>
            <w:tcW w:w="1986" w:type="dxa"/>
            <w:tcBorders>
              <w:top w:val="nil"/>
              <w:left w:val="single" w:color="auto" w:sz="8" w:space="0"/>
              <w:bottom w:val="single" w:color="auto" w:sz="8" w:space="0"/>
              <w:right w:val="nil"/>
            </w:tcBorders>
            <w:shd w:val="clear" w:color="auto" w:fill="auto"/>
            <w:noWrap/>
          </w:tcPr>
          <w:p w:rsidRPr="00704454" w:rsidR="009F6BA4" w:rsidP="00061051" w:rsidRDefault="009F6BA4" w14:paraId="30DCAA0E"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Juridische haalbaarheid</w:t>
            </w:r>
          </w:p>
        </w:tc>
        <w:tc>
          <w:tcPr>
            <w:tcW w:w="8211" w:type="dxa"/>
            <w:tcBorders>
              <w:top w:val="single" w:color="auto" w:sz="4" w:space="0"/>
              <w:left w:val="single" w:color="auto" w:sz="4" w:space="0"/>
              <w:bottom w:val="single" w:color="auto" w:sz="8" w:space="0"/>
              <w:right w:val="single" w:color="auto" w:sz="4" w:space="0"/>
            </w:tcBorders>
            <w:shd w:val="clear" w:color="auto" w:fill="auto"/>
            <w:noWrap/>
          </w:tcPr>
          <w:p w:rsidRPr="00FD1605" w:rsidR="009F6BA4" w:rsidP="00061051" w:rsidRDefault="009F6BA4" w14:paraId="1C74A50B" w14:textId="3798E70B">
            <w:pPr>
              <w:spacing w:after="0" w:line="240" w:lineRule="auto"/>
              <w:rPr>
                <w:szCs w:val="18"/>
                <w:lang w:val="nl-NL"/>
              </w:rPr>
            </w:pPr>
            <w:r w:rsidRPr="00FD1605">
              <w:rPr>
                <w:iCs/>
                <w:szCs w:val="18"/>
                <w:lang w:val="nl-NL"/>
              </w:rPr>
              <w:t>Deze wijzigingen verg</w:t>
            </w:r>
            <w:r>
              <w:rPr>
                <w:iCs/>
                <w:szCs w:val="18"/>
                <w:lang w:val="nl-NL"/>
              </w:rPr>
              <w:t>en</w:t>
            </w:r>
            <w:r w:rsidRPr="00FD1605">
              <w:rPr>
                <w:iCs/>
                <w:szCs w:val="18"/>
                <w:lang w:val="nl-NL"/>
              </w:rPr>
              <w:t xml:space="preserve"> een aanpassing van de Toeslagenwet. </w:t>
            </w:r>
            <w:r>
              <w:rPr>
                <w:iCs/>
                <w:szCs w:val="18"/>
                <w:lang w:val="nl-NL"/>
              </w:rPr>
              <w:t>Er zijn geen gevolgen voor het gelijkheidsbeginsel of eigendomsrecht. Dit is een begunstigende maatregel.</w:t>
            </w:r>
          </w:p>
          <w:p w:rsidRPr="00FD1605" w:rsidR="009F6BA4" w:rsidP="00061051" w:rsidRDefault="009F6BA4" w14:paraId="41EC5530" w14:textId="77777777">
            <w:pPr>
              <w:spacing w:after="0" w:line="240" w:lineRule="auto"/>
              <w:rPr>
                <w:rFonts w:eastAsia="Times New Roman" w:cs="Calibri"/>
                <w:color w:val="000000"/>
                <w:szCs w:val="18"/>
                <w:lang w:val="nl-NL" w:eastAsia="nl-NL"/>
              </w:rPr>
            </w:pPr>
          </w:p>
        </w:tc>
      </w:tr>
      <w:tr w:rsidRPr="00EB3835" w:rsidR="009F6BA4" w:rsidTr="009C048F" w14:paraId="388F3856" w14:textId="77777777">
        <w:trPr>
          <w:trHeight w:val="315"/>
        </w:trPr>
        <w:tc>
          <w:tcPr>
            <w:tcW w:w="1986" w:type="dxa"/>
            <w:tcBorders>
              <w:top w:val="nil"/>
              <w:left w:val="single" w:color="auto" w:sz="8" w:space="0"/>
              <w:bottom w:val="single" w:color="auto" w:sz="8" w:space="0"/>
              <w:right w:val="nil"/>
            </w:tcBorders>
            <w:shd w:val="clear" w:color="auto" w:fill="auto"/>
            <w:noWrap/>
          </w:tcPr>
          <w:p w:rsidRPr="00704454" w:rsidR="009F6BA4" w:rsidP="00061051" w:rsidRDefault="009F6BA4" w14:paraId="11F2813F"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Uitvoerbaarheid</w:t>
            </w:r>
          </w:p>
        </w:tc>
        <w:tc>
          <w:tcPr>
            <w:tcW w:w="8211" w:type="dxa"/>
            <w:tcBorders>
              <w:top w:val="single" w:color="auto" w:sz="4" w:space="0"/>
              <w:left w:val="single" w:color="auto" w:sz="4" w:space="0"/>
              <w:bottom w:val="single" w:color="auto" w:sz="8" w:space="0"/>
              <w:right w:val="single" w:color="auto" w:sz="4" w:space="0"/>
            </w:tcBorders>
            <w:shd w:val="clear" w:color="auto" w:fill="auto"/>
            <w:noWrap/>
          </w:tcPr>
          <w:p w:rsidRPr="00FD1605" w:rsidR="009F6BA4" w:rsidP="00061051" w:rsidRDefault="009F6BA4" w14:paraId="1F5504F6" w14:textId="64821B03">
            <w:pPr>
              <w:spacing w:after="0" w:line="240" w:lineRule="auto"/>
              <w:rPr>
                <w:rFonts w:eastAsia="Times New Roman" w:cs="Calibri"/>
                <w:color w:val="000000"/>
                <w:szCs w:val="18"/>
                <w:lang w:val="nl-NL" w:eastAsia="nl-NL"/>
              </w:rPr>
            </w:pPr>
            <w:r w:rsidRPr="00FD1605">
              <w:rPr>
                <w:rFonts w:eastAsia="DejaVu Sans" w:cs="Calibri Light"/>
                <w:color w:val="000000"/>
                <w:szCs w:val="18"/>
                <w:lang w:val="nl-NL"/>
              </w:rPr>
              <w:t>Het afschaffen van de 1990-maatregel is een complexiteitsreductie voor UWV, omdat UWV met minder factoren rekening hoeft te houden tijdens de beoordeling van een aanvraag. Deze maatregel vraagt waarschijnlijk om een relatief kleine aanpassing in de systemen en zit vooral in het aanpassen van werkinstructies en communicatie. Aannemelijk is dat het aantal TW-gerechtigden toe zal nemen, vanwege het schrappen van een uitsluitingsgrond. De aanvragen zijn eenvoudiger te beoordelen en daardoor uitvoerbaar voor UWV.</w:t>
            </w:r>
            <w:r w:rsidRPr="00FD1605">
              <w:rPr>
                <w:rFonts w:eastAsia="Times New Roman" w:cs="Calibri"/>
                <w:color w:val="000000"/>
                <w:szCs w:val="18"/>
                <w:lang w:val="nl-NL" w:eastAsia="nl-NL"/>
              </w:rPr>
              <w:t xml:space="preserve"> </w:t>
            </w:r>
          </w:p>
          <w:p w:rsidRPr="00FD1605" w:rsidR="009F6BA4" w:rsidP="00061051" w:rsidRDefault="009F6BA4" w14:paraId="1BAC1840" w14:textId="77777777">
            <w:pPr>
              <w:spacing w:after="0" w:line="240" w:lineRule="auto"/>
              <w:rPr>
                <w:rFonts w:eastAsia="DejaVu Sans" w:cs="Calibri Light"/>
                <w:color w:val="000000"/>
                <w:szCs w:val="18"/>
                <w:lang w:val="nl-NL"/>
              </w:rPr>
            </w:pPr>
          </w:p>
          <w:p w:rsidRPr="00FD1605" w:rsidR="009F6BA4" w:rsidP="00061051" w:rsidRDefault="009F6BA4" w14:paraId="342B22A5" w14:textId="77777777">
            <w:pPr>
              <w:spacing w:after="0" w:line="240" w:lineRule="auto"/>
              <w:rPr>
                <w:szCs w:val="18"/>
                <w:lang w:val="nl-NL"/>
              </w:rPr>
            </w:pPr>
            <w:r w:rsidRPr="00FD1605">
              <w:rPr>
                <w:szCs w:val="18"/>
                <w:lang w:val="nl-NL"/>
              </w:rPr>
              <w:t xml:space="preserve">Voor deze maatregel geldt dat de doelgroep die eerder geen recht had op de aanvullende toeslag (en mogelijk een bijstandsuitkering ontvangt), recht kan krijgen op de aanvullende toeslag. </w:t>
            </w:r>
          </w:p>
          <w:p w:rsidRPr="00FD1605" w:rsidR="009F6BA4" w:rsidP="00061051" w:rsidRDefault="009F6BA4" w14:paraId="75DCF425" w14:textId="77777777">
            <w:pPr>
              <w:spacing w:after="0" w:line="240" w:lineRule="auto"/>
              <w:rPr>
                <w:szCs w:val="18"/>
                <w:lang w:val="nl-NL"/>
              </w:rPr>
            </w:pPr>
            <w:r w:rsidRPr="00FD1605">
              <w:rPr>
                <w:szCs w:val="18"/>
                <w:lang w:val="nl-NL"/>
              </w:rPr>
              <w:t xml:space="preserve">Uitkeringsgerechtigden met een lopende </w:t>
            </w:r>
            <w:r w:rsidRPr="00FD1605">
              <w:rPr>
                <w:rFonts w:eastAsia="Times New Roman" w:cs="Calibri"/>
                <w:color w:val="000000"/>
                <w:szCs w:val="18"/>
                <w:lang w:val="nl-NL" w:eastAsia="nl-NL"/>
              </w:rPr>
              <w:t xml:space="preserve">basiswetuitkeringen </w:t>
            </w:r>
            <w:r w:rsidRPr="00FD1605">
              <w:rPr>
                <w:szCs w:val="18"/>
                <w:lang w:val="nl-NL"/>
              </w:rPr>
              <w:t xml:space="preserve">zullen de TW (opnieuw) kunnen aanvragen, ook als deze eerder is afgewezen. Dit kan leiden tot een grotere hoeveelheid aanvragen in de eerste periode na inwerkingtreding van de maatregel. </w:t>
            </w:r>
          </w:p>
        </w:tc>
      </w:tr>
      <w:tr w:rsidRPr="00EB3835" w:rsidR="009F6BA4" w:rsidTr="009C048F" w14:paraId="509D5204" w14:textId="77777777">
        <w:trPr>
          <w:trHeight w:val="315"/>
        </w:trPr>
        <w:tc>
          <w:tcPr>
            <w:tcW w:w="1986" w:type="dxa"/>
            <w:tcBorders>
              <w:top w:val="nil"/>
              <w:left w:val="single" w:color="auto" w:sz="8" w:space="0"/>
              <w:bottom w:val="single" w:color="auto" w:sz="8" w:space="0"/>
              <w:right w:val="nil"/>
            </w:tcBorders>
            <w:shd w:val="clear" w:color="auto" w:fill="auto"/>
            <w:noWrap/>
          </w:tcPr>
          <w:p w:rsidRPr="00704454" w:rsidR="009F6BA4" w:rsidP="00061051" w:rsidRDefault="009F6BA4" w14:paraId="69710FAF"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Financiële effecten</w:t>
            </w:r>
          </w:p>
        </w:tc>
        <w:tc>
          <w:tcPr>
            <w:tcW w:w="8211" w:type="dxa"/>
            <w:tcBorders>
              <w:top w:val="single" w:color="auto" w:sz="4" w:space="0"/>
              <w:left w:val="single" w:color="auto" w:sz="4" w:space="0"/>
              <w:bottom w:val="single" w:color="auto" w:sz="8" w:space="0"/>
              <w:right w:val="single" w:color="auto" w:sz="4" w:space="0"/>
            </w:tcBorders>
            <w:shd w:val="clear" w:color="auto" w:fill="auto"/>
            <w:noWrap/>
          </w:tcPr>
          <w:p w:rsidRPr="00FD1605" w:rsidR="009F6BA4" w:rsidP="00061051" w:rsidRDefault="009F6BA4" w14:paraId="3173A19D" w14:textId="77777777">
            <w:pPr>
              <w:spacing w:after="0" w:line="240" w:lineRule="auto"/>
              <w:rPr>
                <w:rFonts w:eastAsia="Times New Roman" w:cs="Calibri"/>
                <w:i/>
                <w:iCs/>
                <w:color w:val="000000"/>
                <w:szCs w:val="18"/>
                <w:lang w:val="nl-NL" w:eastAsia="nl-NL"/>
              </w:rPr>
            </w:pPr>
          </w:p>
          <w:tbl>
            <w:tblPr>
              <w:tblStyle w:val="Tabelraster"/>
              <w:tblpPr w:leftFromText="141" w:rightFromText="141" w:vertAnchor="page" w:horzAnchor="margin" w:tblpY="541"/>
              <w:tblOverlap w:val="never"/>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1E0" w:firstRow="1" w:lastRow="1" w:firstColumn="1" w:lastColumn="1" w:noHBand="0" w:noVBand="0"/>
            </w:tblPr>
            <w:tblGrid>
              <w:gridCol w:w="2044"/>
              <w:gridCol w:w="810"/>
              <w:gridCol w:w="806"/>
              <w:gridCol w:w="806"/>
              <w:gridCol w:w="806"/>
              <w:gridCol w:w="806"/>
              <w:gridCol w:w="993"/>
              <w:gridCol w:w="992"/>
            </w:tblGrid>
            <w:tr w:rsidRPr="00EB3835" w:rsidR="00B732B7" w:rsidTr="00B732B7" w14:paraId="5DDD5987" w14:textId="77777777">
              <w:tc>
                <w:tcPr>
                  <w:tcW w:w="1267" w:type="pct"/>
                  <w:tcBorders>
                    <w:top w:val="single" w:color="auto" w:sz="4" w:space="0"/>
                    <w:left w:val="single" w:color="auto" w:sz="4" w:space="0"/>
                  </w:tcBorders>
                </w:tcPr>
                <w:p w:rsidRPr="004A1D8B" w:rsidR="00B732B7" w:rsidP="00061051" w:rsidRDefault="00B732B7" w14:paraId="3C0BD33C" w14:textId="77777777">
                  <w:pPr>
                    <w:rPr>
                      <w:rFonts w:ascii="Verdana" w:hAnsi="Verdana"/>
                      <w:b/>
                      <w:sz w:val="18"/>
                      <w:szCs w:val="18"/>
                    </w:rPr>
                  </w:pPr>
                  <w:r w:rsidRPr="004A1D8B">
                    <w:rPr>
                      <w:rFonts w:ascii="Verdana" w:hAnsi="Verdana"/>
                      <w:bCs/>
                      <w:i/>
                      <w:iCs/>
                      <w:sz w:val="18"/>
                      <w:szCs w:val="18"/>
                    </w:rPr>
                    <w:t>In miljoenen euro’s</w:t>
                  </w:r>
                </w:p>
              </w:tc>
              <w:tc>
                <w:tcPr>
                  <w:tcW w:w="502" w:type="pct"/>
                  <w:tcBorders>
                    <w:top w:val="single" w:color="auto" w:sz="4" w:space="0"/>
                  </w:tcBorders>
                </w:tcPr>
                <w:p w:rsidRPr="004A1D8B" w:rsidR="00B732B7" w:rsidP="00061051" w:rsidRDefault="00B732B7" w14:paraId="7D056545" w14:textId="77777777">
                  <w:pPr>
                    <w:jc w:val="right"/>
                    <w:rPr>
                      <w:rFonts w:ascii="Verdana" w:hAnsi="Verdana"/>
                      <w:b/>
                      <w:bCs/>
                      <w:sz w:val="18"/>
                      <w:szCs w:val="18"/>
                    </w:rPr>
                  </w:pPr>
                  <w:r w:rsidRPr="004A1D8B">
                    <w:rPr>
                      <w:rFonts w:ascii="Verdana" w:hAnsi="Verdana"/>
                      <w:b/>
                      <w:bCs/>
                      <w:sz w:val="18"/>
                      <w:szCs w:val="18"/>
                    </w:rPr>
                    <w:t>2026</w:t>
                  </w:r>
                </w:p>
              </w:tc>
              <w:tc>
                <w:tcPr>
                  <w:tcW w:w="500" w:type="pct"/>
                  <w:tcBorders>
                    <w:top w:val="single" w:color="auto" w:sz="4" w:space="0"/>
                  </w:tcBorders>
                </w:tcPr>
                <w:p w:rsidRPr="004A1D8B" w:rsidR="00B732B7" w:rsidP="00061051" w:rsidRDefault="00B732B7" w14:paraId="530B142E" w14:textId="77777777">
                  <w:pPr>
                    <w:jc w:val="right"/>
                    <w:rPr>
                      <w:rFonts w:ascii="Verdana" w:hAnsi="Verdana"/>
                      <w:b/>
                      <w:bCs/>
                      <w:sz w:val="18"/>
                      <w:szCs w:val="18"/>
                    </w:rPr>
                  </w:pPr>
                  <w:r w:rsidRPr="004A1D8B">
                    <w:rPr>
                      <w:rFonts w:ascii="Verdana" w:hAnsi="Verdana"/>
                      <w:b/>
                      <w:bCs/>
                      <w:sz w:val="18"/>
                      <w:szCs w:val="18"/>
                    </w:rPr>
                    <w:t>2027</w:t>
                  </w:r>
                </w:p>
              </w:tc>
              <w:tc>
                <w:tcPr>
                  <w:tcW w:w="500" w:type="pct"/>
                  <w:tcBorders>
                    <w:top w:val="single" w:color="auto" w:sz="4" w:space="0"/>
                  </w:tcBorders>
                </w:tcPr>
                <w:p w:rsidRPr="004A1D8B" w:rsidR="00B732B7" w:rsidP="00061051" w:rsidRDefault="00B732B7" w14:paraId="6B121C53" w14:textId="77777777">
                  <w:pPr>
                    <w:jc w:val="right"/>
                    <w:rPr>
                      <w:rFonts w:ascii="Verdana" w:hAnsi="Verdana"/>
                      <w:b/>
                      <w:bCs/>
                      <w:sz w:val="18"/>
                      <w:szCs w:val="18"/>
                    </w:rPr>
                  </w:pPr>
                  <w:r w:rsidRPr="004A1D8B">
                    <w:rPr>
                      <w:rFonts w:ascii="Verdana" w:hAnsi="Verdana"/>
                      <w:b/>
                      <w:bCs/>
                      <w:sz w:val="18"/>
                      <w:szCs w:val="18"/>
                    </w:rPr>
                    <w:t>2028</w:t>
                  </w:r>
                </w:p>
              </w:tc>
              <w:tc>
                <w:tcPr>
                  <w:tcW w:w="500" w:type="pct"/>
                  <w:tcBorders>
                    <w:top w:val="single" w:color="auto" w:sz="4" w:space="0"/>
                  </w:tcBorders>
                </w:tcPr>
                <w:p w:rsidRPr="004A1D8B" w:rsidR="00B732B7" w:rsidP="00061051" w:rsidRDefault="00B732B7" w14:paraId="30D58068" w14:textId="77777777">
                  <w:pPr>
                    <w:jc w:val="right"/>
                    <w:rPr>
                      <w:rFonts w:ascii="Verdana" w:hAnsi="Verdana"/>
                      <w:b/>
                      <w:bCs/>
                      <w:sz w:val="18"/>
                      <w:szCs w:val="18"/>
                    </w:rPr>
                  </w:pPr>
                  <w:r w:rsidRPr="004A1D8B">
                    <w:rPr>
                      <w:rFonts w:ascii="Verdana" w:hAnsi="Verdana"/>
                      <w:b/>
                      <w:bCs/>
                      <w:sz w:val="18"/>
                      <w:szCs w:val="18"/>
                    </w:rPr>
                    <w:t>2029</w:t>
                  </w:r>
                </w:p>
              </w:tc>
              <w:tc>
                <w:tcPr>
                  <w:tcW w:w="500" w:type="pct"/>
                  <w:tcBorders>
                    <w:top w:val="single" w:color="auto" w:sz="4" w:space="0"/>
                  </w:tcBorders>
                </w:tcPr>
                <w:p w:rsidRPr="004A1D8B" w:rsidR="00B732B7" w:rsidP="00061051" w:rsidRDefault="00B732B7" w14:paraId="09ABF11F" w14:textId="77777777">
                  <w:pPr>
                    <w:jc w:val="right"/>
                    <w:rPr>
                      <w:rFonts w:ascii="Verdana" w:hAnsi="Verdana"/>
                      <w:b/>
                      <w:bCs/>
                      <w:sz w:val="18"/>
                      <w:szCs w:val="18"/>
                    </w:rPr>
                  </w:pPr>
                  <w:r w:rsidRPr="004A1D8B">
                    <w:rPr>
                      <w:rFonts w:ascii="Verdana" w:hAnsi="Verdana"/>
                      <w:b/>
                      <w:bCs/>
                      <w:sz w:val="18"/>
                      <w:szCs w:val="18"/>
                    </w:rPr>
                    <w:t>2030</w:t>
                  </w:r>
                </w:p>
              </w:tc>
              <w:tc>
                <w:tcPr>
                  <w:tcW w:w="616" w:type="pct"/>
                  <w:tcBorders>
                    <w:top w:val="single" w:color="auto" w:sz="4" w:space="0"/>
                  </w:tcBorders>
                </w:tcPr>
                <w:p w:rsidRPr="004A1D8B" w:rsidR="00B732B7" w:rsidP="00061051" w:rsidRDefault="00B732B7" w14:paraId="5E2EA163" w14:textId="22C6550A">
                  <w:pPr>
                    <w:jc w:val="right"/>
                    <w:rPr>
                      <w:rFonts w:ascii="Verdana" w:hAnsi="Verdana"/>
                      <w:b/>
                      <w:bCs/>
                      <w:sz w:val="18"/>
                      <w:szCs w:val="18"/>
                    </w:rPr>
                  </w:pPr>
                  <w:r w:rsidRPr="004A1D8B">
                    <w:rPr>
                      <w:rFonts w:ascii="Verdana" w:hAnsi="Verdana"/>
                      <w:b/>
                      <w:bCs/>
                      <w:sz w:val="18"/>
                      <w:szCs w:val="18"/>
                    </w:rPr>
                    <w:t>2031</w:t>
                  </w:r>
                </w:p>
              </w:tc>
              <w:tc>
                <w:tcPr>
                  <w:tcW w:w="616" w:type="pct"/>
                  <w:tcBorders>
                    <w:top w:val="single" w:color="auto" w:sz="4" w:space="0"/>
                  </w:tcBorders>
                </w:tcPr>
                <w:p w:rsidRPr="004A1D8B" w:rsidR="00B732B7" w:rsidP="00061051" w:rsidRDefault="00B732B7" w14:paraId="244DF5D9" w14:textId="47673A26">
                  <w:pPr>
                    <w:jc w:val="right"/>
                    <w:rPr>
                      <w:rFonts w:ascii="Verdana" w:hAnsi="Verdana"/>
                      <w:b/>
                      <w:bCs/>
                      <w:sz w:val="18"/>
                      <w:szCs w:val="18"/>
                    </w:rPr>
                  </w:pPr>
                  <w:proofErr w:type="spellStart"/>
                  <w:r w:rsidRPr="004A1D8B">
                    <w:rPr>
                      <w:rFonts w:ascii="Verdana" w:hAnsi="Verdana"/>
                      <w:b/>
                      <w:bCs/>
                      <w:sz w:val="18"/>
                      <w:szCs w:val="18"/>
                    </w:rPr>
                    <w:t>Struc</w:t>
                  </w:r>
                  <w:proofErr w:type="spellEnd"/>
                  <w:r w:rsidRPr="004A1D8B">
                    <w:rPr>
                      <w:rFonts w:ascii="Verdana" w:hAnsi="Verdana"/>
                      <w:b/>
                      <w:bCs/>
                      <w:sz w:val="18"/>
                      <w:szCs w:val="18"/>
                    </w:rPr>
                    <w:t>.</w:t>
                  </w:r>
                </w:p>
              </w:tc>
            </w:tr>
            <w:tr w:rsidRPr="00EB3835" w:rsidR="00B732B7" w:rsidTr="00B732B7" w14:paraId="27A1840C" w14:textId="77777777">
              <w:tc>
                <w:tcPr>
                  <w:tcW w:w="1267" w:type="pct"/>
                </w:tcPr>
                <w:p w:rsidRPr="004A1D8B" w:rsidR="00B732B7" w:rsidP="00061051" w:rsidRDefault="00B732B7" w14:paraId="0FC065C4" w14:textId="77777777">
                  <w:pPr>
                    <w:rPr>
                      <w:rFonts w:ascii="Verdana" w:hAnsi="Verdana"/>
                      <w:sz w:val="18"/>
                      <w:szCs w:val="18"/>
                    </w:rPr>
                  </w:pPr>
                  <w:r w:rsidRPr="004A1D8B">
                    <w:rPr>
                      <w:rFonts w:ascii="Verdana" w:hAnsi="Verdana"/>
                      <w:sz w:val="18"/>
                      <w:szCs w:val="18"/>
                    </w:rPr>
                    <w:t>Algemene effecten</w:t>
                  </w:r>
                </w:p>
              </w:tc>
              <w:tc>
                <w:tcPr>
                  <w:tcW w:w="502" w:type="pct"/>
                </w:tcPr>
                <w:p w:rsidRPr="004A1D8B" w:rsidR="00B732B7" w:rsidP="00061051" w:rsidRDefault="00B732B7" w14:paraId="7A90C954" w14:textId="77777777">
                  <w:pPr>
                    <w:jc w:val="right"/>
                    <w:rPr>
                      <w:rFonts w:ascii="Verdana" w:hAnsi="Verdana"/>
                      <w:sz w:val="18"/>
                      <w:szCs w:val="18"/>
                    </w:rPr>
                  </w:pPr>
                </w:p>
              </w:tc>
              <w:tc>
                <w:tcPr>
                  <w:tcW w:w="500" w:type="pct"/>
                </w:tcPr>
                <w:p w:rsidRPr="004A1D8B" w:rsidR="00B732B7" w:rsidP="00061051" w:rsidRDefault="00B732B7" w14:paraId="1F88A1DD" w14:textId="4909EE81">
                  <w:pPr>
                    <w:jc w:val="right"/>
                    <w:rPr>
                      <w:rFonts w:ascii="Verdana" w:hAnsi="Verdana"/>
                      <w:sz w:val="18"/>
                      <w:szCs w:val="18"/>
                    </w:rPr>
                  </w:pPr>
                </w:p>
              </w:tc>
              <w:tc>
                <w:tcPr>
                  <w:tcW w:w="500" w:type="pct"/>
                </w:tcPr>
                <w:p w:rsidRPr="004A1D8B" w:rsidR="00B732B7" w:rsidP="00061051" w:rsidRDefault="00B732B7" w14:paraId="57B668FC" w14:textId="1D0F9498">
                  <w:pPr>
                    <w:jc w:val="right"/>
                    <w:rPr>
                      <w:rFonts w:ascii="Verdana" w:hAnsi="Verdana"/>
                      <w:sz w:val="18"/>
                      <w:szCs w:val="18"/>
                    </w:rPr>
                  </w:pPr>
                </w:p>
              </w:tc>
              <w:tc>
                <w:tcPr>
                  <w:tcW w:w="500" w:type="pct"/>
                </w:tcPr>
                <w:p w:rsidRPr="004A1D8B" w:rsidR="00B732B7" w:rsidP="00061051" w:rsidRDefault="00B732B7" w14:paraId="0BE67340" w14:textId="79C45ADD">
                  <w:pPr>
                    <w:jc w:val="right"/>
                    <w:rPr>
                      <w:rFonts w:ascii="Verdana" w:hAnsi="Verdana"/>
                      <w:sz w:val="18"/>
                      <w:szCs w:val="18"/>
                    </w:rPr>
                  </w:pPr>
                  <w:r w:rsidRPr="004A1D8B">
                    <w:rPr>
                      <w:rFonts w:ascii="Verdana" w:hAnsi="Verdana"/>
                      <w:sz w:val="18"/>
                      <w:szCs w:val="18"/>
                    </w:rPr>
                    <w:t>27,8</w:t>
                  </w:r>
                </w:p>
              </w:tc>
              <w:tc>
                <w:tcPr>
                  <w:tcW w:w="500" w:type="pct"/>
                </w:tcPr>
                <w:p w:rsidRPr="004A1D8B" w:rsidR="00B732B7" w:rsidP="00061051" w:rsidRDefault="00B732B7" w14:paraId="22E020B7" w14:textId="7CDED3B5">
                  <w:pPr>
                    <w:jc w:val="right"/>
                    <w:rPr>
                      <w:rFonts w:ascii="Verdana" w:hAnsi="Verdana"/>
                      <w:sz w:val="18"/>
                      <w:szCs w:val="18"/>
                    </w:rPr>
                  </w:pPr>
                  <w:r w:rsidRPr="004A1D8B">
                    <w:rPr>
                      <w:rFonts w:ascii="Verdana" w:hAnsi="Verdana"/>
                      <w:sz w:val="18"/>
                      <w:szCs w:val="18"/>
                    </w:rPr>
                    <w:t>2</w:t>
                  </w:r>
                  <w:r w:rsidRPr="004A1D8B" w:rsidR="004A1D8B">
                    <w:rPr>
                      <w:rFonts w:ascii="Verdana" w:hAnsi="Verdana"/>
                      <w:sz w:val="18"/>
                      <w:szCs w:val="18"/>
                    </w:rPr>
                    <w:t>8,1</w:t>
                  </w:r>
                </w:p>
              </w:tc>
              <w:tc>
                <w:tcPr>
                  <w:tcW w:w="616" w:type="pct"/>
                </w:tcPr>
                <w:p w:rsidRPr="004A1D8B" w:rsidR="00B732B7" w:rsidP="00061051" w:rsidRDefault="004A1D8B" w14:paraId="13ACD2F6" w14:textId="3F474B54">
                  <w:pPr>
                    <w:jc w:val="right"/>
                    <w:rPr>
                      <w:rFonts w:ascii="Verdana" w:hAnsi="Verdana"/>
                      <w:sz w:val="18"/>
                      <w:szCs w:val="18"/>
                    </w:rPr>
                  </w:pPr>
                  <w:r w:rsidRPr="004A1D8B">
                    <w:rPr>
                      <w:rFonts w:ascii="Verdana" w:hAnsi="Verdana"/>
                      <w:sz w:val="18"/>
                      <w:szCs w:val="18"/>
                    </w:rPr>
                    <w:t>28,4</w:t>
                  </w:r>
                </w:p>
              </w:tc>
              <w:tc>
                <w:tcPr>
                  <w:tcW w:w="616" w:type="pct"/>
                </w:tcPr>
                <w:p w:rsidRPr="004A1D8B" w:rsidR="00B732B7" w:rsidP="00061051" w:rsidRDefault="00B732B7" w14:paraId="0B53C461" w14:textId="0B6CB7AD">
                  <w:pPr>
                    <w:jc w:val="right"/>
                    <w:rPr>
                      <w:rFonts w:ascii="Verdana" w:hAnsi="Verdana"/>
                      <w:sz w:val="18"/>
                      <w:szCs w:val="18"/>
                    </w:rPr>
                  </w:pPr>
                  <w:r w:rsidRPr="004A1D8B">
                    <w:rPr>
                      <w:rFonts w:ascii="Verdana" w:hAnsi="Verdana"/>
                      <w:sz w:val="18"/>
                      <w:szCs w:val="18"/>
                    </w:rPr>
                    <w:t>2</w:t>
                  </w:r>
                  <w:r w:rsidRPr="004A1D8B" w:rsidR="004A1D8B">
                    <w:rPr>
                      <w:rFonts w:ascii="Verdana" w:hAnsi="Verdana"/>
                      <w:sz w:val="18"/>
                      <w:szCs w:val="18"/>
                    </w:rPr>
                    <w:t>8,8</w:t>
                  </w:r>
                </w:p>
              </w:tc>
            </w:tr>
            <w:tr w:rsidRPr="00EB3835" w:rsidR="00B732B7" w:rsidTr="00B732B7" w14:paraId="69FB1BBF" w14:textId="77777777">
              <w:tc>
                <w:tcPr>
                  <w:tcW w:w="1267" w:type="pct"/>
                </w:tcPr>
                <w:p w:rsidRPr="004A1D8B" w:rsidR="00B732B7" w:rsidP="00061051" w:rsidRDefault="00B732B7" w14:paraId="7A538CC8" w14:textId="77777777">
                  <w:pPr>
                    <w:rPr>
                      <w:rFonts w:ascii="Verdana" w:hAnsi="Verdana"/>
                      <w:sz w:val="18"/>
                      <w:szCs w:val="18"/>
                    </w:rPr>
                  </w:pPr>
                  <w:r w:rsidRPr="004A1D8B">
                    <w:rPr>
                      <w:rFonts w:ascii="Verdana" w:hAnsi="Verdana"/>
                      <w:sz w:val="18"/>
                      <w:szCs w:val="18"/>
                    </w:rPr>
                    <w:t>Weglekeffecten</w:t>
                  </w:r>
                </w:p>
              </w:tc>
              <w:tc>
                <w:tcPr>
                  <w:tcW w:w="502" w:type="pct"/>
                </w:tcPr>
                <w:p w:rsidRPr="004A1D8B" w:rsidR="00B732B7" w:rsidP="00061051" w:rsidRDefault="00B732B7" w14:paraId="0A213B91" w14:textId="77777777">
                  <w:pPr>
                    <w:jc w:val="right"/>
                    <w:rPr>
                      <w:rFonts w:ascii="Verdana" w:hAnsi="Verdana"/>
                      <w:sz w:val="18"/>
                      <w:szCs w:val="18"/>
                    </w:rPr>
                  </w:pPr>
                </w:p>
              </w:tc>
              <w:tc>
                <w:tcPr>
                  <w:tcW w:w="500" w:type="pct"/>
                </w:tcPr>
                <w:p w:rsidRPr="004A1D8B" w:rsidR="00B732B7" w:rsidP="00061051" w:rsidRDefault="00B732B7" w14:paraId="37F6E23F" w14:textId="77777777">
                  <w:pPr>
                    <w:jc w:val="right"/>
                    <w:rPr>
                      <w:rFonts w:ascii="Verdana" w:hAnsi="Verdana"/>
                      <w:sz w:val="18"/>
                      <w:szCs w:val="18"/>
                    </w:rPr>
                  </w:pPr>
                </w:p>
              </w:tc>
              <w:tc>
                <w:tcPr>
                  <w:tcW w:w="500" w:type="pct"/>
                </w:tcPr>
                <w:p w:rsidRPr="004A1D8B" w:rsidR="00B732B7" w:rsidP="00061051" w:rsidRDefault="00B732B7" w14:paraId="15526A0C" w14:textId="77777777">
                  <w:pPr>
                    <w:jc w:val="right"/>
                    <w:rPr>
                      <w:rFonts w:ascii="Verdana" w:hAnsi="Verdana"/>
                      <w:sz w:val="18"/>
                      <w:szCs w:val="18"/>
                    </w:rPr>
                  </w:pPr>
                </w:p>
              </w:tc>
              <w:tc>
                <w:tcPr>
                  <w:tcW w:w="500" w:type="pct"/>
                </w:tcPr>
                <w:p w:rsidRPr="004A1D8B" w:rsidR="00B732B7" w:rsidP="00061051" w:rsidRDefault="00B732B7" w14:paraId="15BB1C10" w14:textId="77777777">
                  <w:pPr>
                    <w:jc w:val="right"/>
                    <w:rPr>
                      <w:rFonts w:ascii="Verdana" w:hAnsi="Verdana"/>
                      <w:sz w:val="18"/>
                      <w:szCs w:val="18"/>
                    </w:rPr>
                  </w:pPr>
                </w:p>
              </w:tc>
              <w:tc>
                <w:tcPr>
                  <w:tcW w:w="500" w:type="pct"/>
                </w:tcPr>
                <w:p w:rsidRPr="004A1D8B" w:rsidR="00B732B7" w:rsidP="00061051" w:rsidRDefault="00B732B7" w14:paraId="46305326" w14:textId="77777777">
                  <w:pPr>
                    <w:jc w:val="right"/>
                    <w:rPr>
                      <w:rFonts w:ascii="Verdana" w:hAnsi="Verdana"/>
                      <w:sz w:val="18"/>
                      <w:szCs w:val="18"/>
                    </w:rPr>
                  </w:pPr>
                </w:p>
              </w:tc>
              <w:tc>
                <w:tcPr>
                  <w:tcW w:w="616" w:type="pct"/>
                </w:tcPr>
                <w:p w:rsidRPr="004A1D8B" w:rsidR="00B732B7" w:rsidP="00061051" w:rsidRDefault="00B732B7" w14:paraId="105A75DC" w14:textId="77777777">
                  <w:pPr>
                    <w:jc w:val="right"/>
                    <w:rPr>
                      <w:rFonts w:ascii="Verdana" w:hAnsi="Verdana"/>
                      <w:sz w:val="18"/>
                      <w:szCs w:val="18"/>
                    </w:rPr>
                  </w:pPr>
                </w:p>
              </w:tc>
              <w:tc>
                <w:tcPr>
                  <w:tcW w:w="616" w:type="pct"/>
                </w:tcPr>
                <w:p w:rsidRPr="004A1D8B" w:rsidR="00B732B7" w:rsidP="00061051" w:rsidRDefault="00B732B7" w14:paraId="46F2C1A1" w14:textId="6825E1F6">
                  <w:pPr>
                    <w:jc w:val="right"/>
                    <w:rPr>
                      <w:rFonts w:ascii="Verdana" w:hAnsi="Verdana"/>
                      <w:sz w:val="18"/>
                      <w:szCs w:val="18"/>
                    </w:rPr>
                  </w:pPr>
                </w:p>
              </w:tc>
            </w:tr>
            <w:tr w:rsidRPr="00EB3835" w:rsidR="00B732B7" w:rsidTr="00B732B7" w14:paraId="081B475A" w14:textId="77777777">
              <w:tc>
                <w:tcPr>
                  <w:tcW w:w="1267" w:type="pct"/>
                </w:tcPr>
                <w:p w:rsidRPr="004A1D8B" w:rsidR="00B732B7" w:rsidP="00061051" w:rsidRDefault="00B732B7" w14:paraId="61645B8E" w14:textId="77777777">
                  <w:pPr>
                    <w:rPr>
                      <w:rFonts w:ascii="Verdana" w:hAnsi="Verdana"/>
                      <w:sz w:val="18"/>
                      <w:szCs w:val="18"/>
                    </w:rPr>
                  </w:pPr>
                  <w:r w:rsidRPr="004A1D8B">
                    <w:rPr>
                      <w:rFonts w:ascii="Verdana" w:hAnsi="Verdana"/>
                      <w:sz w:val="18"/>
                      <w:szCs w:val="18"/>
                    </w:rPr>
                    <w:t>Uitvoeringskosten</w:t>
                  </w:r>
                </w:p>
              </w:tc>
              <w:tc>
                <w:tcPr>
                  <w:tcW w:w="502" w:type="pct"/>
                </w:tcPr>
                <w:p w:rsidRPr="004A1D8B" w:rsidR="00B732B7" w:rsidP="00061051" w:rsidRDefault="00B732B7" w14:paraId="7F20CC33" w14:textId="77777777">
                  <w:pPr>
                    <w:jc w:val="right"/>
                    <w:rPr>
                      <w:rFonts w:ascii="Verdana" w:hAnsi="Verdana"/>
                      <w:sz w:val="18"/>
                      <w:szCs w:val="18"/>
                    </w:rPr>
                  </w:pPr>
                </w:p>
              </w:tc>
              <w:tc>
                <w:tcPr>
                  <w:tcW w:w="500" w:type="pct"/>
                </w:tcPr>
                <w:p w:rsidRPr="004A1D8B" w:rsidR="00B732B7" w:rsidP="00061051" w:rsidRDefault="00B732B7" w14:paraId="2846C90C" w14:textId="77777777">
                  <w:pPr>
                    <w:jc w:val="right"/>
                    <w:rPr>
                      <w:rFonts w:ascii="Verdana" w:hAnsi="Verdana"/>
                      <w:sz w:val="18"/>
                      <w:szCs w:val="18"/>
                    </w:rPr>
                  </w:pPr>
                </w:p>
              </w:tc>
              <w:tc>
                <w:tcPr>
                  <w:tcW w:w="500" w:type="pct"/>
                </w:tcPr>
                <w:p w:rsidRPr="004A1D8B" w:rsidR="00B732B7" w:rsidP="00061051" w:rsidRDefault="00B732B7" w14:paraId="3E9BA967" w14:textId="77777777">
                  <w:pPr>
                    <w:jc w:val="right"/>
                    <w:rPr>
                      <w:rFonts w:ascii="Verdana" w:hAnsi="Verdana"/>
                      <w:sz w:val="18"/>
                      <w:szCs w:val="18"/>
                    </w:rPr>
                  </w:pPr>
                </w:p>
              </w:tc>
              <w:tc>
                <w:tcPr>
                  <w:tcW w:w="500" w:type="pct"/>
                </w:tcPr>
                <w:p w:rsidRPr="004A1D8B" w:rsidR="00B732B7" w:rsidP="00061051" w:rsidRDefault="00B732B7" w14:paraId="74BE984D" w14:textId="77777777">
                  <w:pPr>
                    <w:jc w:val="right"/>
                    <w:rPr>
                      <w:rFonts w:ascii="Verdana" w:hAnsi="Verdana"/>
                      <w:sz w:val="18"/>
                      <w:szCs w:val="18"/>
                    </w:rPr>
                  </w:pPr>
                </w:p>
              </w:tc>
              <w:tc>
                <w:tcPr>
                  <w:tcW w:w="500" w:type="pct"/>
                </w:tcPr>
                <w:p w:rsidRPr="004A1D8B" w:rsidR="00B732B7" w:rsidP="00061051" w:rsidRDefault="00B732B7" w14:paraId="4EE5B18A" w14:textId="77777777">
                  <w:pPr>
                    <w:jc w:val="right"/>
                    <w:rPr>
                      <w:rFonts w:ascii="Verdana" w:hAnsi="Verdana"/>
                      <w:sz w:val="18"/>
                      <w:szCs w:val="18"/>
                    </w:rPr>
                  </w:pPr>
                </w:p>
              </w:tc>
              <w:tc>
                <w:tcPr>
                  <w:tcW w:w="616" w:type="pct"/>
                </w:tcPr>
                <w:p w:rsidRPr="004A1D8B" w:rsidR="00B732B7" w:rsidP="00061051" w:rsidRDefault="00B732B7" w14:paraId="2B3D0515" w14:textId="77777777">
                  <w:pPr>
                    <w:jc w:val="right"/>
                    <w:rPr>
                      <w:rFonts w:ascii="Verdana" w:hAnsi="Verdana"/>
                      <w:sz w:val="18"/>
                      <w:szCs w:val="18"/>
                    </w:rPr>
                  </w:pPr>
                </w:p>
              </w:tc>
              <w:tc>
                <w:tcPr>
                  <w:tcW w:w="616" w:type="pct"/>
                </w:tcPr>
                <w:p w:rsidRPr="004A1D8B" w:rsidR="00B732B7" w:rsidP="00061051" w:rsidRDefault="00B732B7" w14:paraId="5CD8E6CE" w14:textId="79682414">
                  <w:pPr>
                    <w:jc w:val="right"/>
                    <w:rPr>
                      <w:rFonts w:ascii="Verdana" w:hAnsi="Verdana"/>
                      <w:sz w:val="18"/>
                      <w:szCs w:val="18"/>
                    </w:rPr>
                  </w:pPr>
                </w:p>
              </w:tc>
            </w:tr>
            <w:tr w:rsidRPr="00EB3835" w:rsidR="00B732B7" w:rsidTr="00B732B7" w14:paraId="284FBF6E" w14:textId="77777777">
              <w:tc>
                <w:tcPr>
                  <w:tcW w:w="1267" w:type="pct"/>
                </w:tcPr>
                <w:p w:rsidRPr="004A1D8B" w:rsidR="00B732B7" w:rsidP="00061051" w:rsidRDefault="00B732B7" w14:paraId="198D0B5C" w14:textId="77777777">
                  <w:pPr>
                    <w:rPr>
                      <w:rFonts w:ascii="Verdana" w:hAnsi="Verdana"/>
                      <w:sz w:val="18"/>
                      <w:szCs w:val="18"/>
                    </w:rPr>
                  </w:pPr>
                </w:p>
              </w:tc>
              <w:tc>
                <w:tcPr>
                  <w:tcW w:w="502" w:type="pct"/>
                </w:tcPr>
                <w:p w:rsidRPr="004A1D8B" w:rsidR="00B732B7" w:rsidP="00061051" w:rsidRDefault="00B732B7" w14:paraId="483296CE" w14:textId="77777777">
                  <w:pPr>
                    <w:jc w:val="right"/>
                    <w:rPr>
                      <w:rFonts w:ascii="Verdana" w:hAnsi="Verdana"/>
                      <w:sz w:val="18"/>
                      <w:szCs w:val="18"/>
                    </w:rPr>
                  </w:pPr>
                </w:p>
              </w:tc>
              <w:tc>
                <w:tcPr>
                  <w:tcW w:w="500" w:type="pct"/>
                </w:tcPr>
                <w:p w:rsidRPr="004A1D8B" w:rsidR="00B732B7" w:rsidP="00061051" w:rsidRDefault="00B732B7" w14:paraId="57D02F42" w14:textId="77777777">
                  <w:pPr>
                    <w:jc w:val="right"/>
                    <w:rPr>
                      <w:rFonts w:ascii="Verdana" w:hAnsi="Verdana"/>
                      <w:sz w:val="18"/>
                      <w:szCs w:val="18"/>
                    </w:rPr>
                  </w:pPr>
                </w:p>
              </w:tc>
              <w:tc>
                <w:tcPr>
                  <w:tcW w:w="500" w:type="pct"/>
                </w:tcPr>
                <w:p w:rsidRPr="004A1D8B" w:rsidR="00B732B7" w:rsidP="00061051" w:rsidRDefault="00B732B7" w14:paraId="68B1C952" w14:textId="77777777">
                  <w:pPr>
                    <w:jc w:val="right"/>
                    <w:rPr>
                      <w:rFonts w:ascii="Verdana" w:hAnsi="Verdana"/>
                      <w:sz w:val="18"/>
                      <w:szCs w:val="18"/>
                    </w:rPr>
                  </w:pPr>
                </w:p>
              </w:tc>
              <w:tc>
                <w:tcPr>
                  <w:tcW w:w="500" w:type="pct"/>
                </w:tcPr>
                <w:p w:rsidRPr="004A1D8B" w:rsidR="00B732B7" w:rsidP="00061051" w:rsidRDefault="00B732B7" w14:paraId="07854089" w14:textId="77777777">
                  <w:pPr>
                    <w:jc w:val="right"/>
                    <w:rPr>
                      <w:rFonts w:ascii="Verdana" w:hAnsi="Verdana"/>
                      <w:sz w:val="18"/>
                      <w:szCs w:val="18"/>
                    </w:rPr>
                  </w:pPr>
                </w:p>
              </w:tc>
              <w:tc>
                <w:tcPr>
                  <w:tcW w:w="500" w:type="pct"/>
                </w:tcPr>
                <w:p w:rsidRPr="004A1D8B" w:rsidR="00B732B7" w:rsidP="00061051" w:rsidRDefault="00B732B7" w14:paraId="1E0970E8" w14:textId="77777777">
                  <w:pPr>
                    <w:jc w:val="right"/>
                    <w:rPr>
                      <w:rFonts w:ascii="Verdana" w:hAnsi="Verdana"/>
                      <w:sz w:val="18"/>
                      <w:szCs w:val="18"/>
                    </w:rPr>
                  </w:pPr>
                </w:p>
              </w:tc>
              <w:tc>
                <w:tcPr>
                  <w:tcW w:w="616" w:type="pct"/>
                </w:tcPr>
                <w:p w:rsidRPr="004A1D8B" w:rsidR="00B732B7" w:rsidP="00061051" w:rsidRDefault="00B732B7" w14:paraId="09E3E2F6" w14:textId="77777777">
                  <w:pPr>
                    <w:jc w:val="right"/>
                    <w:rPr>
                      <w:rFonts w:ascii="Verdana" w:hAnsi="Verdana"/>
                      <w:sz w:val="18"/>
                      <w:szCs w:val="18"/>
                    </w:rPr>
                  </w:pPr>
                </w:p>
              </w:tc>
              <w:tc>
                <w:tcPr>
                  <w:tcW w:w="616" w:type="pct"/>
                </w:tcPr>
                <w:p w:rsidRPr="004A1D8B" w:rsidR="00B732B7" w:rsidP="00061051" w:rsidRDefault="00B732B7" w14:paraId="6B3D4367" w14:textId="5EF8CD2B">
                  <w:pPr>
                    <w:jc w:val="right"/>
                    <w:rPr>
                      <w:rFonts w:ascii="Verdana" w:hAnsi="Verdana"/>
                      <w:sz w:val="18"/>
                      <w:szCs w:val="18"/>
                    </w:rPr>
                  </w:pPr>
                </w:p>
              </w:tc>
            </w:tr>
            <w:tr w:rsidRPr="00EB3835" w:rsidR="00B732B7" w:rsidTr="00B732B7" w14:paraId="4808D057" w14:textId="77777777">
              <w:tc>
                <w:tcPr>
                  <w:tcW w:w="1267" w:type="pct"/>
                </w:tcPr>
                <w:p w:rsidRPr="004A1D8B" w:rsidR="00B732B7" w:rsidP="00061051" w:rsidRDefault="00B732B7" w14:paraId="166F9FED" w14:textId="77777777">
                  <w:pPr>
                    <w:rPr>
                      <w:rFonts w:ascii="Verdana" w:hAnsi="Verdana"/>
                      <w:b/>
                      <w:bCs/>
                      <w:sz w:val="18"/>
                      <w:szCs w:val="18"/>
                    </w:rPr>
                  </w:pPr>
                  <w:r w:rsidRPr="004A1D8B">
                    <w:rPr>
                      <w:rFonts w:ascii="Verdana" w:hAnsi="Verdana"/>
                      <w:b/>
                      <w:bCs/>
                      <w:sz w:val="18"/>
                      <w:szCs w:val="18"/>
                    </w:rPr>
                    <w:t>Totaal</w:t>
                  </w:r>
                </w:p>
              </w:tc>
              <w:tc>
                <w:tcPr>
                  <w:tcW w:w="502" w:type="pct"/>
                </w:tcPr>
                <w:p w:rsidRPr="004A1D8B" w:rsidR="00B732B7" w:rsidP="00061051" w:rsidRDefault="00B732B7" w14:paraId="4D9DAB21" w14:textId="77777777">
                  <w:pPr>
                    <w:jc w:val="right"/>
                    <w:rPr>
                      <w:rFonts w:ascii="Verdana" w:hAnsi="Verdana"/>
                      <w:b/>
                      <w:bCs/>
                      <w:sz w:val="18"/>
                      <w:szCs w:val="18"/>
                    </w:rPr>
                  </w:pPr>
                </w:p>
              </w:tc>
              <w:tc>
                <w:tcPr>
                  <w:tcW w:w="500" w:type="pct"/>
                </w:tcPr>
                <w:p w:rsidRPr="004A1D8B" w:rsidR="00B732B7" w:rsidP="00061051" w:rsidRDefault="00B732B7" w14:paraId="34BAFC49" w14:textId="64CF1122">
                  <w:pPr>
                    <w:jc w:val="right"/>
                    <w:rPr>
                      <w:rFonts w:ascii="Verdana" w:hAnsi="Verdana"/>
                      <w:b/>
                      <w:bCs/>
                      <w:sz w:val="18"/>
                      <w:szCs w:val="18"/>
                    </w:rPr>
                  </w:pPr>
                </w:p>
              </w:tc>
              <w:tc>
                <w:tcPr>
                  <w:tcW w:w="500" w:type="pct"/>
                </w:tcPr>
                <w:p w:rsidRPr="004A1D8B" w:rsidR="00B732B7" w:rsidP="00061051" w:rsidRDefault="00B732B7" w14:paraId="046D5A8F" w14:textId="76D12269">
                  <w:pPr>
                    <w:jc w:val="right"/>
                    <w:rPr>
                      <w:rFonts w:ascii="Verdana" w:hAnsi="Verdana"/>
                      <w:b/>
                      <w:bCs/>
                      <w:sz w:val="18"/>
                      <w:szCs w:val="18"/>
                    </w:rPr>
                  </w:pPr>
                </w:p>
              </w:tc>
              <w:tc>
                <w:tcPr>
                  <w:tcW w:w="500" w:type="pct"/>
                </w:tcPr>
                <w:p w:rsidRPr="004A1D8B" w:rsidR="00B732B7" w:rsidP="00061051" w:rsidRDefault="00B732B7" w14:paraId="7237D1D9" w14:textId="502206E9">
                  <w:pPr>
                    <w:jc w:val="right"/>
                    <w:rPr>
                      <w:rFonts w:ascii="Verdana" w:hAnsi="Verdana"/>
                      <w:b/>
                      <w:bCs/>
                      <w:sz w:val="18"/>
                      <w:szCs w:val="18"/>
                    </w:rPr>
                  </w:pPr>
                  <w:r w:rsidRPr="004A1D8B">
                    <w:rPr>
                      <w:rFonts w:ascii="Verdana" w:hAnsi="Verdana"/>
                      <w:sz w:val="18"/>
                      <w:szCs w:val="18"/>
                    </w:rPr>
                    <w:t>2</w:t>
                  </w:r>
                  <w:r w:rsidRPr="004A1D8B" w:rsidR="004A1D8B">
                    <w:rPr>
                      <w:rFonts w:ascii="Verdana" w:hAnsi="Verdana"/>
                      <w:sz w:val="18"/>
                      <w:szCs w:val="18"/>
                    </w:rPr>
                    <w:t>7</w:t>
                  </w:r>
                  <w:r w:rsidRPr="004A1D8B">
                    <w:rPr>
                      <w:rFonts w:ascii="Verdana" w:hAnsi="Verdana"/>
                      <w:sz w:val="18"/>
                      <w:szCs w:val="18"/>
                    </w:rPr>
                    <w:t>,8</w:t>
                  </w:r>
                </w:p>
              </w:tc>
              <w:tc>
                <w:tcPr>
                  <w:tcW w:w="500" w:type="pct"/>
                </w:tcPr>
                <w:p w:rsidRPr="004A1D8B" w:rsidR="00B732B7" w:rsidP="00061051" w:rsidRDefault="00B732B7" w14:paraId="627A70FC" w14:textId="447000B8">
                  <w:pPr>
                    <w:jc w:val="right"/>
                    <w:rPr>
                      <w:rFonts w:ascii="Verdana" w:hAnsi="Verdana"/>
                      <w:b/>
                      <w:bCs/>
                      <w:sz w:val="18"/>
                      <w:szCs w:val="18"/>
                    </w:rPr>
                  </w:pPr>
                  <w:r w:rsidRPr="004A1D8B">
                    <w:rPr>
                      <w:rFonts w:ascii="Verdana" w:hAnsi="Verdana"/>
                      <w:sz w:val="18"/>
                      <w:szCs w:val="18"/>
                    </w:rPr>
                    <w:t>2</w:t>
                  </w:r>
                  <w:r w:rsidRPr="004A1D8B" w:rsidR="004A1D8B">
                    <w:rPr>
                      <w:rFonts w:ascii="Verdana" w:hAnsi="Verdana"/>
                      <w:sz w:val="18"/>
                      <w:szCs w:val="18"/>
                    </w:rPr>
                    <w:t>8,1</w:t>
                  </w:r>
                </w:p>
              </w:tc>
              <w:tc>
                <w:tcPr>
                  <w:tcW w:w="616" w:type="pct"/>
                </w:tcPr>
                <w:p w:rsidRPr="004A1D8B" w:rsidR="00B732B7" w:rsidP="00061051" w:rsidRDefault="004A1D8B" w14:paraId="75B14505" w14:textId="3681AD3E">
                  <w:pPr>
                    <w:jc w:val="right"/>
                    <w:rPr>
                      <w:rFonts w:ascii="Verdana" w:hAnsi="Verdana"/>
                      <w:sz w:val="18"/>
                      <w:szCs w:val="18"/>
                    </w:rPr>
                  </w:pPr>
                  <w:r w:rsidRPr="004A1D8B">
                    <w:rPr>
                      <w:rFonts w:ascii="Verdana" w:hAnsi="Verdana"/>
                      <w:sz w:val="18"/>
                      <w:szCs w:val="18"/>
                    </w:rPr>
                    <w:t>28,4</w:t>
                  </w:r>
                </w:p>
              </w:tc>
              <w:tc>
                <w:tcPr>
                  <w:tcW w:w="616" w:type="pct"/>
                </w:tcPr>
                <w:p w:rsidRPr="004A1D8B" w:rsidR="00B732B7" w:rsidP="00061051" w:rsidRDefault="00B732B7" w14:paraId="0E4D56D5" w14:textId="17D87826">
                  <w:pPr>
                    <w:jc w:val="right"/>
                    <w:rPr>
                      <w:rFonts w:ascii="Verdana" w:hAnsi="Verdana"/>
                      <w:b/>
                      <w:bCs/>
                      <w:sz w:val="18"/>
                      <w:szCs w:val="18"/>
                    </w:rPr>
                  </w:pPr>
                  <w:r w:rsidRPr="004A1D8B">
                    <w:rPr>
                      <w:rFonts w:ascii="Verdana" w:hAnsi="Verdana"/>
                      <w:sz w:val="18"/>
                      <w:szCs w:val="18"/>
                    </w:rPr>
                    <w:t>2</w:t>
                  </w:r>
                  <w:r w:rsidRPr="004A1D8B" w:rsidR="004A1D8B">
                    <w:rPr>
                      <w:rFonts w:ascii="Verdana" w:hAnsi="Verdana"/>
                      <w:sz w:val="18"/>
                      <w:szCs w:val="18"/>
                    </w:rPr>
                    <w:t>8,8</w:t>
                  </w:r>
                </w:p>
              </w:tc>
            </w:tr>
          </w:tbl>
          <w:p w:rsidRPr="00FD1605" w:rsidR="009F6BA4" w:rsidP="00061051" w:rsidRDefault="009F6BA4" w14:paraId="152D84D5" w14:textId="77777777">
            <w:pPr>
              <w:spacing w:after="0" w:line="240" w:lineRule="auto"/>
              <w:rPr>
                <w:rFonts w:eastAsia="Times New Roman" w:cs="Calibri"/>
                <w:i/>
                <w:iCs/>
                <w:color w:val="000000"/>
                <w:szCs w:val="18"/>
                <w:lang w:val="nl-NL" w:eastAsia="nl-NL"/>
              </w:rPr>
            </w:pPr>
          </w:p>
          <w:p w:rsidRPr="00FD1605" w:rsidR="009F6BA4" w:rsidP="00061051" w:rsidRDefault="009F6BA4" w14:paraId="0E4D9016" w14:textId="77777777">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Het budgettaire effect is exclusief uitvoeringskosten. Deze zouden in een uitvoeringstoets moeten worden uitgezocht.</w:t>
            </w:r>
          </w:p>
        </w:tc>
      </w:tr>
      <w:tr w:rsidRPr="00EB3835" w:rsidR="009F6BA4" w:rsidTr="009C048F" w14:paraId="5F602FD6" w14:textId="77777777">
        <w:trPr>
          <w:trHeight w:val="315"/>
        </w:trPr>
        <w:tc>
          <w:tcPr>
            <w:tcW w:w="1986" w:type="dxa"/>
            <w:tcBorders>
              <w:top w:val="nil"/>
              <w:left w:val="single" w:color="auto" w:sz="8" w:space="0"/>
              <w:bottom w:val="single" w:color="auto" w:sz="8" w:space="0"/>
              <w:right w:val="nil"/>
            </w:tcBorders>
            <w:shd w:val="clear" w:color="auto" w:fill="auto"/>
            <w:noWrap/>
          </w:tcPr>
          <w:p w:rsidRPr="00704454" w:rsidR="009F6BA4" w:rsidP="00061051" w:rsidRDefault="009F6BA4" w14:paraId="3E603BDE"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Toelichting raming</w:t>
            </w:r>
          </w:p>
        </w:tc>
        <w:tc>
          <w:tcPr>
            <w:tcW w:w="8211" w:type="dxa"/>
            <w:tcBorders>
              <w:top w:val="single" w:color="auto" w:sz="4" w:space="0"/>
              <w:left w:val="single" w:color="auto" w:sz="4" w:space="0"/>
              <w:bottom w:val="single" w:color="auto" w:sz="8" w:space="0"/>
              <w:right w:val="single" w:color="auto" w:sz="4" w:space="0"/>
            </w:tcBorders>
            <w:shd w:val="clear" w:color="auto" w:fill="auto"/>
            <w:noWrap/>
          </w:tcPr>
          <w:p w:rsidRPr="00FD1605" w:rsidR="009F6BA4" w:rsidP="00061051" w:rsidRDefault="009F6BA4" w14:paraId="0CE59A61" w14:textId="38FA2A4A">
            <w:pPr>
              <w:spacing w:after="0" w:line="240" w:lineRule="auto"/>
              <w:rPr>
                <w:rFonts w:eastAsia="Times New Roman" w:cs="Calibri"/>
                <w:i/>
                <w:iCs/>
                <w:szCs w:val="18"/>
                <w:lang w:val="nl-NL" w:eastAsia="nl-NL"/>
              </w:rPr>
            </w:pPr>
            <w:r w:rsidRPr="00FD1605">
              <w:rPr>
                <w:rFonts w:eastAsia="Times New Roman" w:cs="Calibri"/>
                <w:szCs w:val="18"/>
                <w:lang w:val="nl-NL" w:eastAsia="nl-NL"/>
              </w:rPr>
              <w:t>Met deze maatregel hoeven gehuwden of samenwon</w:t>
            </w:r>
            <w:r w:rsidR="0078534B">
              <w:rPr>
                <w:rFonts w:eastAsia="Times New Roman" w:cs="Calibri"/>
                <w:szCs w:val="18"/>
                <w:lang w:val="nl-NL" w:eastAsia="nl-NL"/>
              </w:rPr>
              <w:t>en</w:t>
            </w:r>
            <w:r w:rsidRPr="00FD1605">
              <w:rPr>
                <w:rFonts w:eastAsia="Times New Roman" w:cs="Calibri"/>
                <w:szCs w:val="18"/>
                <w:lang w:val="nl-NL" w:eastAsia="nl-NL"/>
              </w:rPr>
              <w:t xml:space="preserve">den die geboren zijn na 31 december 1971 geen kind jonger dan 12 jaar te hebben voor een recht op TW. Hierdoor </w:t>
            </w:r>
            <w:r w:rsidRPr="00FD1605">
              <w:rPr>
                <w:rFonts w:eastAsia="Times New Roman" w:cs="Calibri"/>
                <w:szCs w:val="18"/>
                <w:lang w:val="nl-NL" w:eastAsia="nl-NL"/>
              </w:rPr>
              <w:lastRenderedPageBreak/>
              <w:t xml:space="preserve">neemt de groep uitkeringsgerechtigden toe. </w:t>
            </w:r>
            <w:r w:rsidR="0078534B">
              <w:rPr>
                <w:rFonts w:eastAsia="Times New Roman" w:cs="Calibri"/>
                <w:szCs w:val="18"/>
                <w:lang w:val="nl-NL" w:eastAsia="nl-NL"/>
              </w:rPr>
              <w:t>Minder mensen hoeven een beroep te doen op aanvullende bijstand van hun gemeente</w:t>
            </w:r>
            <w:r w:rsidRPr="00FD1605" w:rsidR="0078534B">
              <w:rPr>
                <w:rFonts w:eastAsia="Times New Roman" w:cs="Calibri"/>
                <w:szCs w:val="18"/>
                <w:lang w:val="nl-NL" w:eastAsia="nl-NL"/>
              </w:rPr>
              <w:t>.</w:t>
            </w:r>
            <w:r w:rsidRPr="00FD1605">
              <w:rPr>
                <w:rFonts w:eastAsia="Times New Roman" w:cs="Calibri"/>
                <w:szCs w:val="18"/>
                <w:lang w:val="nl-NL" w:eastAsia="nl-NL"/>
              </w:rPr>
              <w:t xml:space="preserve">. De maatregel leidt tot extra uitgaven omdat niet iedereen voldoet aan de </w:t>
            </w:r>
            <w:r w:rsidR="0078534B">
              <w:rPr>
                <w:rFonts w:eastAsia="Times New Roman" w:cs="Calibri"/>
                <w:szCs w:val="18"/>
                <w:lang w:val="nl-NL" w:eastAsia="nl-NL"/>
              </w:rPr>
              <w:t>strengere voorwaarden die gelden in</w:t>
            </w:r>
            <w:r w:rsidRPr="00FD1605">
              <w:rPr>
                <w:rFonts w:eastAsia="Times New Roman" w:cs="Calibri"/>
                <w:szCs w:val="18"/>
                <w:lang w:val="nl-NL" w:eastAsia="nl-NL"/>
              </w:rPr>
              <w:t xml:space="preserve"> de bijstand</w:t>
            </w:r>
            <w:r w:rsidR="0078534B">
              <w:rPr>
                <w:rFonts w:eastAsia="Times New Roman" w:cs="Calibri"/>
                <w:szCs w:val="18"/>
                <w:lang w:val="nl-NL" w:eastAsia="nl-NL"/>
              </w:rPr>
              <w:t xml:space="preserve"> (zoals de vermogenstoets)</w:t>
            </w:r>
            <w:r w:rsidRPr="00FD1605">
              <w:rPr>
                <w:rFonts w:eastAsia="Times New Roman" w:cs="Calibri"/>
                <w:szCs w:val="18"/>
                <w:lang w:val="nl-NL" w:eastAsia="nl-NL"/>
              </w:rPr>
              <w:t xml:space="preserve">.   </w:t>
            </w:r>
          </w:p>
        </w:tc>
      </w:tr>
      <w:tr w:rsidRPr="00EB3835" w:rsidR="009F6BA4" w:rsidTr="009C048F" w14:paraId="71768A81" w14:textId="77777777">
        <w:trPr>
          <w:trHeight w:val="315"/>
        </w:trPr>
        <w:tc>
          <w:tcPr>
            <w:tcW w:w="1986" w:type="dxa"/>
            <w:tcBorders>
              <w:top w:val="nil"/>
              <w:left w:val="single" w:color="auto" w:sz="8" w:space="0"/>
              <w:bottom w:val="single" w:color="auto" w:sz="8" w:space="0"/>
              <w:right w:val="nil"/>
            </w:tcBorders>
            <w:shd w:val="clear" w:color="auto" w:fill="auto"/>
            <w:noWrap/>
          </w:tcPr>
          <w:p w:rsidRPr="00704454" w:rsidR="009F6BA4" w:rsidP="00061051" w:rsidRDefault="009F6BA4" w14:paraId="08181237"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lastRenderedPageBreak/>
              <w:t>Inkomens-</w:t>
            </w:r>
          </w:p>
          <w:p w:rsidRPr="00704454" w:rsidR="009F6BA4" w:rsidP="00061051" w:rsidRDefault="009F6BA4" w14:paraId="1E7F89EB"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effecten</w:t>
            </w:r>
          </w:p>
        </w:tc>
        <w:tc>
          <w:tcPr>
            <w:tcW w:w="8211" w:type="dxa"/>
            <w:tcBorders>
              <w:top w:val="single" w:color="auto" w:sz="4" w:space="0"/>
              <w:left w:val="single" w:color="auto" w:sz="4" w:space="0"/>
              <w:bottom w:val="single" w:color="auto" w:sz="8" w:space="0"/>
              <w:right w:val="single" w:color="auto" w:sz="4" w:space="0"/>
            </w:tcBorders>
            <w:shd w:val="clear" w:color="auto" w:fill="auto"/>
            <w:noWrap/>
          </w:tcPr>
          <w:p w:rsidR="009F6BA4" w:rsidP="00061051" w:rsidRDefault="009F6BA4" w14:paraId="1DDAD038" w14:textId="703536D7">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Na inwerkingtreding krijgen meer huishoudens recht op een aanvullende toeslag. Dit is een positief inkomenseffect voor uitkeringsgerechtigden met geen of een lager partnerinkomen</w:t>
            </w:r>
            <w:r>
              <w:rPr>
                <w:rFonts w:eastAsia="Times New Roman" w:cs="Calibri"/>
                <w:color w:val="000000"/>
                <w:szCs w:val="18"/>
                <w:lang w:val="nl-NL" w:eastAsia="nl-NL"/>
              </w:rPr>
              <w:t xml:space="preserve"> en die geen recht hebben op een aanvullende bijstandsuitkering</w:t>
            </w:r>
            <w:r w:rsidRPr="006122F2">
              <w:rPr>
                <w:rFonts w:eastAsia="Times New Roman" w:cs="Calibri"/>
                <w:color w:val="000000"/>
                <w:szCs w:val="18"/>
                <w:lang w:val="nl-NL" w:eastAsia="nl-NL"/>
              </w:rPr>
              <w:t>.</w:t>
            </w:r>
            <w:r>
              <w:rPr>
                <w:rFonts w:eastAsia="Times New Roman" w:cs="Calibri"/>
                <w:color w:val="000000"/>
                <w:szCs w:val="18"/>
                <w:lang w:val="nl-NL" w:eastAsia="nl-NL"/>
              </w:rPr>
              <w:t xml:space="preserve"> </w:t>
            </w:r>
          </w:p>
          <w:p w:rsidR="009F6BA4" w:rsidP="00061051" w:rsidRDefault="009F6BA4" w14:paraId="6E72B1A2" w14:textId="77777777">
            <w:pPr>
              <w:spacing w:after="0" w:line="240" w:lineRule="auto"/>
              <w:rPr>
                <w:rFonts w:eastAsia="Times New Roman" w:cs="Calibri"/>
                <w:color w:val="000000"/>
                <w:szCs w:val="18"/>
                <w:lang w:val="nl-NL" w:eastAsia="nl-NL"/>
              </w:rPr>
            </w:pPr>
          </w:p>
          <w:p w:rsidRPr="00FD1605" w:rsidR="009F6BA4" w:rsidP="00061051" w:rsidRDefault="009F6BA4" w14:paraId="41158405" w14:textId="5C33B530">
            <w:pPr>
              <w:spacing w:after="0" w:line="240" w:lineRule="auto"/>
              <w:rPr>
                <w:rFonts w:eastAsia="Times New Roman" w:cs="Calibri"/>
                <w:color w:val="000000"/>
                <w:szCs w:val="18"/>
                <w:lang w:val="nl-NL" w:eastAsia="nl-NL"/>
              </w:rPr>
            </w:pPr>
            <w:r>
              <w:rPr>
                <w:rFonts w:eastAsia="Times New Roman" w:cs="Calibri"/>
                <w:color w:val="000000"/>
                <w:szCs w:val="18"/>
                <w:lang w:val="nl-NL" w:eastAsia="nl-NL"/>
              </w:rPr>
              <w:t xml:space="preserve">Als er </w:t>
            </w:r>
            <w:r w:rsidR="0078534B">
              <w:rPr>
                <w:rFonts w:eastAsia="Times New Roman" w:cs="Calibri"/>
                <w:color w:val="000000"/>
                <w:szCs w:val="18"/>
                <w:lang w:val="nl-NL" w:eastAsia="nl-NL"/>
              </w:rPr>
              <w:t>wel recht</w:t>
            </w:r>
            <w:r>
              <w:rPr>
                <w:rFonts w:eastAsia="Times New Roman" w:cs="Calibri"/>
                <w:color w:val="000000"/>
                <w:szCs w:val="18"/>
                <w:lang w:val="nl-NL" w:eastAsia="nl-NL"/>
              </w:rPr>
              <w:t xml:space="preserve"> is </w:t>
            </w:r>
            <w:r w:rsidR="0078534B">
              <w:rPr>
                <w:rFonts w:eastAsia="Times New Roman" w:cs="Calibri"/>
                <w:color w:val="000000"/>
                <w:szCs w:val="18"/>
                <w:lang w:val="nl-NL" w:eastAsia="nl-NL"/>
              </w:rPr>
              <w:t>op</w:t>
            </w:r>
            <w:r>
              <w:rPr>
                <w:rFonts w:eastAsia="Times New Roman" w:cs="Calibri"/>
                <w:color w:val="000000"/>
                <w:szCs w:val="18"/>
                <w:lang w:val="nl-NL" w:eastAsia="nl-NL"/>
              </w:rPr>
              <w:t xml:space="preserve"> een aanvullende bijstandsuitkering, dan kunnen huishoudens er ook op achteruit gaan, doordat de toeslag aan één van de huishoudleden wordt toegekend (waar de bijstand verdeeld wordt over beide partners). Hierdoor ontstaat er mogelijk minder recht op zorg- en huurtoeslag of </w:t>
            </w:r>
            <w:proofErr w:type="spellStart"/>
            <w:r>
              <w:rPr>
                <w:rFonts w:eastAsia="Times New Roman" w:cs="Calibri"/>
                <w:color w:val="000000"/>
                <w:szCs w:val="18"/>
                <w:lang w:val="nl-NL" w:eastAsia="nl-NL"/>
              </w:rPr>
              <w:t>kindgebonden</w:t>
            </w:r>
            <w:proofErr w:type="spellEnd"/>
            <w:r>
              <w:rPr>
                <w:rFonts w:eastAsia="Times New Roman" w:cs="Calibri"/>
                <w:color w:val="000000"/>
                <w:szCs w:val="18"/>
                <w:lang w:val="nl-NL" w:eastAsia="nl-NL"/>
              </w:rPr>
              <w:t xml:space="preserve"> budget. </w:t>
            </w:r>
          </w:p>
        </w:tc>
      </w:tr>
      <w:tr w:rsidRPr="00EB3835" w:rsidR="009F6BA4" w:rsidTr="009C048F" w14:paraId="27BC173B" w14:textId="77777777">
        <w:trPr>
          <w:trHeight w:val="315"/>
        </w:trPr>
        <w:tc>
          <w:tcPr>
            <w:tcW w:w="1986" w:type="dxa"/>
            <w:tcBorders>
              <w:top w:val="nil"/>
              <w:left w:val="single" w:color="auto" w:sz="8" w:space="0"/>
              <w:bottom w:val="single" w:color="auto" w:sz="8" w:space="0"/>
              <w:right w:val="nil"/>
            </w:tcBorders>
            <w:shd w:val="clear" w:color="auto" w:fill="auto"/>
            <w:noWrap/>
          </w:tcPr>
          <w:p w:rsidRPr="00704454" w:rsidR="009F6BA4" w:rsidP="00061051" w:rsidRDefault="009F6BA4" w14:paraId="6BAC7D22"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Arbeidsmarkt-effecten</w:t>
            </w:r>
          </w:p>
        </w:tc>
        <w:tc>
          <w:tcPr>
            <w:tcW w:w="8211" w:type="dxa"/>
            <w:tcBorders>
              <w:top w:val="single" w:color="auto" w:sz="4" w:space="0"/>
              <w:left w:val="single" w:color="auto" w:sz="4" w:space="0"/>
              <w:bottom w:val="single" w:color="auto" w:sz="8" w:space="0"/>
              <w:right w:val="single" w:color="auto" w:sz="4" w:space="0"/>
            </w:tcBorders>
            <w:shd w:val="clear" w:color="auto" w:fill="auto"/>
            <w:noWrap/>
          </w:tcPr>
          <w:p w:rsidRPr="00FD1605" w:rsidR="009F6BA4" w:rsidP="00061051" w:rsidRDefault="009F6BA4" w14:paraId="431C1771" w14:textId="3603585B">
            <w:pPr>
              <w:spacing w:after="0" w:line="240" w:lineRule="auto"/>
              <w:rPr>
                <w:rFonts w:eastAsia="Times New Roman" w:cs="Calibri"/>
                <w:color w:val="000000"/>
                <w:szCs w:val="18"/>
                <w:lang w:val="nl-NL" w:eastAsia="nl-NL"/>
              </w:rPr>
            </w:pPr>
            <w:r>
              <w:rPr>
                <w:rFonts w:eastAsia="Times New Roman" w:cs="Calibri"/>
                <w:color w:val="000000"/>
                <w:szCs w:val="18"/>
                <w:lang w:val="nl-NL" w:eastAsia="nl-NL"/>
              </w:rPr>
              <w:t xml:space="preserve">Een vereenvoudiging van de TW en een in sommige gevallen hogere toeslag bieden meer zekerheid en dat kan een positief effect hebben op het zetten van de stap naar werk. </w:t>
            </w:r>
            <w:r w:rsidRPr="006122F2">
              <w:rPr>
                <w:rFonts w:eastAsia="Times New Roman" w:cs="Calibri"/>
                <w:color w:val="000000"/>
                <w:szCs w:val="18"/>
                <w:lang w:val="nl-NL" w:eastAsia="nl-NL"/>
              </w:rPr>
              <w:t xml:space="preserve">Aan de andere kant kan een hogere toeslag de </w:t>
            </w:r>
            <w:r>
              <w:rPr>
                <w:rFonts w:eastAsia="Times New Roman" w:cs="Calibri"/>
                <w:color w:val="000000"/>
                <w:szCs w:val="18"/>
                <w:lang w:val="nl-NL" w:eastAsia="nl-NL"/>
              </w:rPr>
              <w:t xml:space="preserve">financiële </w:t>
            </w:r>
            <w:r w:rsidRPr="006122F2">
              <w:rPr>
                <w:rFonts w:eastAsia="Times New Roman" w:cs="Calibri"/>
                <w:color w:val="000000"/>
                <w:szCs w:val="18"/>
                <w:lang w:val="nl-NL" w:eastAsia="nl-NL"/>
              </w:rPr>
              <w:t>prikkel tot werken verkleinen</w:t>
            </w:r>
            <w:r>
              <w:rPr>
                <w:rFonts w:eastAsia="Times New Roman" w:cs="Calibri"/>
                <w:color w:val="000000"/>
                <w:szCs w:val="18"/>
                <w:lang w:val="nl-NL" w:eastAsia="nl-NL"/>
              </w:rPr>
              <w:t xml:space="preserve">. </w:t>
            </w:r>
          </w:p>
        </w:tc>
      </w:tr>
      <w:tr w:rsidRPr="00EB3835" w:rsidR="009F6BA4" w:rsidTr="009C048F" w14:paraId="4E5A73E5" w14:textId="77777777">
        <w:trPr>
          <w:trHeight w:val="315"/>
        </w:trPr>
        <w:tc>
          <w:tcPr>
            <w:tcW w:w="1986" w:type="dxa"/>
            <w:tcBorders>
              <w:top w:val="nil"/>
              <w:left w:val="single" w:color="auto" w:sz="8" w:space="0"/>
              <w:bottom w:val="single" w:color="auto" w:sz="8" w:space="0"/>
              <w:right w:val="nil"/>
            </w:tcBorders>
            <w:shd w:val="clear" w:color="auto" w:fill="auto"/>
            <w:noWrap/>
          </w:tcPr>
          <w:p w:rsidRPr="00704454" w:rsidR="009F6BA4" w:rsidP="00061051" w:rsidRDefault="009F6BA4" w14:paraId="75D3E95A"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Overige relevante aspecten</w:t>
            </w:r>
          </w:p>
        </w:tc>
        <w:tc>
          <w:tcPr>
            <w:tcW w:w="8211" w:type="dxa"/>
            <w:tcBorders>
              <w:top w:val="single" w:color="auto" w:sz="4" w:space="0"/>
              <w:left w:val="single" w:color="auto" w:sz="4" w:space="0"/>
              <w:bottom w:val="single" w:color="auto" w:sz="8" w:space="0"/>
              <w:right w:val="single" w:color="auto" w:sz="4" w:space="0"/>
            </w:tcBorders>
            <w:shd w:val="clear" w:color="auto" w:fill="auto"/>
            <w:noWrap/>
          </w:tcPr>
          <w:p w:rsidRPr="00FD1605" w:rsidR="009F6BA4" w:rsidP="00061051" w:rsidRDefault="009F6BA4" w14:paraId="5DAC275E" w14:textId="77777777">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 xml:space="preserve">Een nadeel van deze maatregel is dat de alleenverdienersproblematiek vaker kan optreden, als </w:t>
            </w:r>
            <w:r w:rsidRPr="00FD1605">
              <w:rPr>
                <w:rFonts w:eastAsiaTheme="minorEastAsia"/>
                <w:lang w:val="nl-NL"/>
              </w:rPr>
              <w:t>één van beide partners de enige of de belangrijkste bron van inkomen van het stel is</w:t>
            </w:r>
            <w:r w:rsidRPr="00FD1605">
              <w:rPr>
                <w:rFonts w:eastAsia="Times New Roman" w:cs="Calibri"/>
                <w:color w:val="000000"/>
                <w:szCs w:val="18"/>
                <w:lang w:val="nl-NL" w:eastAsia="nl-NL"/>
              </w:rPr>
              <w:t xml:space="preserve">. Doordat meer huishoudens recht krijgen op TW, zullen minder mensen bijstand aanvragen. Huishoudens in de bijstand hebben niet te maken met de alleenverdienersproblematiek.  </w:t>
            </w:r>
          </w:p>
          <w:p w:rsidRPr="00FD1605" w:rsidR="009F6BA4" w:rsidP="00061051" w:rsidRDefault="009F6BA4" w14:paraId="306F1CC9" w14:textId="77777777">
            <w:pPr>
              <w:spacing w:after="0" w:line="240" w:lineRule="auto"/>
              <w:rPr>
                <w:rFonts w:eastAsia="Times New Roman" w:cs="Calibri"/>
                <w:color w:val="000000"/>
                <w:szCs w:val="18"/>
                <w:lang w:val="nl-NL" w:eastAsia="nl-NL"/>
              </w:rPr>
            </w:pPr>
          </w:p>
          <w:p w:rsidRPr="00FD1605" w:rsidR="009F6BA4" w:rsidP="00061051" w:rsidRDefault="009F6BA4" w14:paraId="31B02A7B" w14:textId="014B7213">
            <w:pPr>
              <w:spacing w:after="0" w:line="240" w:lineRule="auto"/>
              <w:rPr>
                <w:rFonts w:eastAsia="DejaVu Sans" w:cs="Calibri Light"/>
                <w:color w:val="000000"/>
                <w:szCs w:val="18"/>
                <w:lang w:val="nl-NL"/>
              </w:rPr>
            </w:pPr>
            <w:r w:rsidRPr="00FD1605">
              <w:rPr>
                <w:rFonts w:eastAsia="DejaVu Sans" w:cs="Lohit Hindi"/>
                <w:color w:val="000000"/>
                <w:szCs w:val="18"/>
                <w:lang w:val="nl-NL"/>
              </w:rPr>
              <w:t>De vraag is of deze maatregel kan worden gezien in lijn met de bedoeling van de wetgever</w:t>
            </w:r>
            <w:r w:rsidR="0078534B">
              <w:rPr>
                <w:rFonts w:eastAsia="DejaVu Sans" w:cs="Lohit Hindi"/>
                <w:color w:val="000000"/>
                <w:szCs w:val="18"/>
                <w:lang w:val="nl-NL"/>
              </w:rPr>
              <w:t xml:space="preserve"> ten aanzien van het meebewegen met maatschappelijke ontwikkelingen</w:t>
            </w:r>
            <w:r w:rsidRPr="00FD1605" w:rsidR="0078534B">
              <w:rPr>
                <w:rFonts w:eastAsia="DejaVu Sans" w:cs="Lohit Hindi"/>
                <w:color w:val="000000"/>
                <w:szCs w:val="18"/>
                <w:lang w:val="nl-NL"/>
              </w:rPr>
              <w:t>,</w:t>
            </w:r>
            <w:r w:rsidRPr="00FD1605">
              <w:rPr>
                <w:rFonts w:eastAsia="DejaVu Sans" w:cs="Lohit Hindi"/>
                <w:color w:val="000000"/>
                <w:szCs w:val="18"/>
                <w:lang w:val="nl-NL"/>
              </w:rPr>
              <w:t xml:space="preserve"> zie fiche </w:t>
            </w:r>
            <w:r w:rsidR="00ED633E">
              <w:rPr>
                <w:rFonts w:eastAsia="DejaVu Sans" w:cs="Lohit Hindi"/>
                <w:color w:val="000000"/>
                <w:szCs w:val="18"/>
                <w:lang w:val="nl-NL"/>
              </w:rPr>
              <w:t>B</w:t>
            </w:r>
            <w:r w:rsidRPr="00FD1605">
              <w:rPr>
                <w:rFonts w:eastAsia="DejaVu Sans" w:cs="Lohit Hindi"/>
                <w:color w:val="000000"/>
                <w:szCs w:val="18"/>
                <w:lang w:val="nl-NL"/>
              </w:rPr>
              <w:t>.</w:t>
            </w:r>
            <w:r w:rsidR="00E9072B">
              <w:rPr>
                <w:rFonts w:eastAsia="DejaVu Sans" w:cs="Lohit Hindi"/>
                <w:color w:val="000000"/>
                <w:szCs w:val="18"/>
                <w:lang w:val="nl-NL"/>
              </w:rPr>
              <w:t>8</w:t>
            </w:r>
            <w:r w:rsidRPr="00FD1605">
              <w:rPr>
                <w:rFonts w:eastAsia="DejaVu Sans" w:cs="Lohit Hindi"/>
                <w:color w:val="000000"/>
                <w:szCs w:val="18"/>
                <w:lang w:val="nl-NL"/>
              </w:rPr>
              <w:t xml:space="preserve">. </w:t>
            </w:r>
          </w:p>
        </w:tc>
      </w:tr>
    </w:tbl>
    <w:p w:rsidRPr="00FD1605" w:rsidR="009F6BA4" w:rsidP="009F6BA4" w:rsidRDefault="009F6BA4" w14:paraId="7F1CEF68" w14:textId="77777777">
      <w:pPr>
        <w:rPr>
          <w:lang w:val="nl-NL"/>
        </w:rPr>
      </w:pPr>
    </w:p>
    <w:p w:rsidRPr="00FD1605" w:rsidR="009F6BA4" w:rsidP="009F6BA4" w:rsidRDefault="009F6BA4" w14:paraId="1419531C" w14:textId="77777777">
      <w:pPr>
        <w:rPr>
          <w:lang w:val="nl-NL"/>
        </w:rPr>
      </w:pPr>
      <w:r w:rsidRPr="00FD1605">
        <w:rPr>
          <w:lang w:val="nl-NL"/>
        </w:rPr>
        <w:br w:type="page"/>
      </w:r>
    </w:p>
    <w:tbl>
      <w:tblPr>
        <w:tblW w:w="10308" w:type="dxa"/>
        <w:tblInd w:w="-436" w:type="dxa"/>
        <w:tblCellMar>
          <w:left w:w="70" w:type="dxa"/>
          <w:right w:w="70" w:type="dxa"/>
        </w:tblCellMar>
        <w:tblLook w:val="04A0" w:firstRow="1" w:lastRow="0" w:firstColumn="1" w:lastColumn="0" w:noHBand="0" w:noVBand="1"/>
      </w:tblPr>
      <w:tblGrid>
        <w:gridCol w:w="2228"/>
        <w:gridCol w:w="8080"/>
      </w:tblGrid>
      <w:tr w:rsidRPr="00EB3835" w:rsidR="006F2012" w:rsidTr="0076223D" w14:paraId="2BDC0D49" w14:textId="77777777">
        <w:trPr>
          <w:trHeight w:val="300"/>
        </w:trPr>
        <w:tc>
          <w:tcPr>
            <w:tcW w:w="2228" w:type="dxa"/>
            <w:tcBorders>
              <w:top w:val="single" w:color="auto" w:sz="8" w:space="0"/>
              <w:left w:val="single" w:color="auto" w:sz="8" w:space="0"/>
              <w:bottom w:val="single" w:color="auto" w:sz="4" w:space="0"/>
              <w:right w:val="nil"/>
            </w:tcBorders>
            <w:shd w:val="clear" w:color="auto" w:fill="auto"/>
            <w:noWrap/>
          </w:tcPr>
          <w:p w:rsidRPr="00FD1605" w:rsidR="006F2012" w:rsidP="0076223D" w:rsidRDefault="006F2012" w14:paraId="3D34B0B9" w14:textId="77777777">
            <w:pPr>
              <w:spacing w:after="0" w:line="240" w:lineRule="auto"/>
              <w:rPr>
                <w:rFonts w:eastAsia="Times New Roman" w:cs="Calibri"/>
                <w:b/>
                <w:bCs/>
                <w:color w:val="000000"/>
                <w:szCs w:val="18"/>
                <w:lang w:val="nl-NL" w:eastAsia="nl-NL"/>
              </w:rPr>
            </w:pPr>
          </w:p>
          <w:p w:rsidRPr="00704454" w:rsidR="006F2012" w:rsidP="0076223D" w:rsidRDefault="006F2012" w14:paraId="296C872B"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Maatregel</w:t>
            </w:r>
          </w:p>
        </w:tc>
        <w:tc>
          <w:tcPr>
            <w:tcW w:w="8080" w:type="dxa"/>
            <w:tcBorders>
              <w:top w:val="single" w:color="auto" w:sz="8" w:space="0"/>
              <w:left w:val="single" w:color="auto" w:sz="4" w:space="0"/>
              <w:bottom w:val="single" w:color="auto" w:sz="4" w:space="0"/>
              <w:right w:val="single" w:color="auto" w:sz="4" w:space="0"/>
            </w:tcBorders>
            <w:shd w:val="clear" w:color="auto" w:fill="auto"/>
            <w:noWrap/>
          </w:tcPr>
          <w:p w:rsidRPr="00FD1605" w:rsidR="006F2012" w:rsidP="0076223D" w:rsidRDefault="006F2012" w14:paraId="438A4DEB" w14:textId="5B07F904">
            <w:pPr>
              <w:pStyle w:val="Kop1"/>
              <w:rPr>
                <w:rFonts w:ascii="Verdana" w:hAnsi="Verdana" w:eastAsia="Times New Roman"/>
                <w:b/>
                <w:bCs/>
                <w:color w:val="auto"/>
                <w:sz w:val="18"/>
                <w:szCs w:val="18"/>
                <w:lang w:val="nl-NL" w:eastAsia="nl-NL"/>
              </w:rPr>
            </w:pPr>
            <w:r w:rsidRPr="00FD1605">
              <w:rPr>
                <w:rFonts w:ascii="Verdana" w:hAnsi="Verdana" w:eastAsia="Times New Roman"/>
                <w:b/>
                <w:bCs/>
                <w:color w:val="auto"/>
                <w:sz w:val="18"/>
                <w:szCs w:val="18"/>
                <w:lang w:val="nl-NL" w:eastAsia="nl-NL"/>
              </w:rPr>
              <w:t> </w:t>
            </w:r>
            <w:bookmarkStart w:name="_Toc223522235" w:id="14"/>
            <w:r>
              <w:rPr>
                <w:rFonts w:ascii="Verdana" w:hAnsi="Verdana" w:eastAsia="Times New Roman"/>
                <w:b/>
                <w:bCs/>
                <w:color w:val="auto"/>
                <w:sz w:val="18"/>
                <w:szCs w:val="18"/>
                <w:lang w:val="nl-NL" w:eastAsia="nl-NL"/>
              </w:rPr>
              <w:t>C</w:t>
            </w:r>
            <w:r w:rsidRPr="00FD1605">
              <w:rPr>
                <w:rFonts w:ascii="Verdana" w:hAnsi="Verdana" w:eastAsia="Times New Roman"/>
                <w:b/>
                <w:bCs/>
                <w:color w:val="auto"/>
                <w:sz w:val="18"/>
                <w:szCs w:val="18"/>
                <w:lang w:val="nl-NL" w:eastAsia="nl-NL"/>
              </w:rPr>
              <w:t>.</w:t>
            </w:r>
            <w:r>
              <w:rPr>
                <w:rFonts w:ascii="Verdana" w:hAnsi="Verdana" w:eastAsia="Times New Roman"/>
                <w:b/>
                <w:bCs/>
                <w:color w:val="auto"/>
                <w:sz w:val="18"/>
                <w:szCs w:val="18"/>
                <w:lang w:val="nl-NL" w:eastAsia="nl-NL"/>
              </w:rPr>
              <w:t>1</w:t>
            </w:r>
            <w:r w:rsidRPr="00FD1605">
              <w:rPr>
                <w:rFonts w:ascii="Verdana" w:hAnsi="Verdana" w:eastAsia="Times New Roman"/>
                <w:b/>
                <w:bCs/>
                <w:color w:val="auto"/>
                <w:sz w:val="18"/>
                <w:szCs w:val="18"/>
                <w:lang w:val="nl-NL" w:eastAsia="nl-NL"/>
              </w:rPr>
              <w:t xml:space="preserve"> Ophogen basiswetten tot het sociaal minimum</w:t>
            </w:r>
            <w:bookmarkEnd w:id="14"/>
            <w:r w:rsidRPr="00FD1605">
              <w:rPr>
                <w:rFonts w:ascii="Verdana" w:hAnsi="Verdana" w:eastAsia="Times New Roman"/>
                <w:b/>
                <w:bCs/>
                <w:color w:val="auto"/>
                <w:sz w:val="18"/>
                <w:szCs w:val="18"/>
                <w:lang w:val="nl-NL" w:eastAsia="nl-NL"/>
              </w:rPr>
              <w:t xml:space="preserve"> </w:t>
            </w:r>
          </w:p>
        </w:tc>
      </w:tr>
      <w:tr w:rsidRPr="00EB3835" w:rsidR="006F2012" w:rsidTr="0076223D" w14:paraId="1EF170BD" w14:textId="77777777">
        <w:trPr>
          <w:trHeight w:val="315"/>
        </w:trPr>
        <w:tc>
          <w:tcPr>
            <w:tcW w:w="2228" w:type="dxa"/>
            <w:tcBorders>
              <w:top w:val="nil"/>
              <w:left w:val="single" w:color="auto" w:sz="8" w:space="0"/>
              <w:bottom w:val="single" w:color="auto" w:sz="8" w:space="0"/>
              <w:right w:val="nil"/>
            </w:tcBorders>
            <w:shd w:val="clear" w:color="auto" w:fill="auto"/>
            <w:noWrap/>
          </w:tcPr>
          <w:p w:rsidRPr="00704454" w:rsidR="006F2012" w:rsidP="0076223D" w:rsidRDefault="006F2012" w14:paraId="33F665FD"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Korte uitleg maatregel</w:t>
            </w:r>
          </w:p>
        </w:tc>
        <w:tc>
          <w:tcPr>
            <w:tcW w:w="8080" w:type="dxa"/>
            <w:tcBorders>
              <w:top w:val="single" w:color="auto" w:sz="4" w:space="0"/>
              <w:left w:val="single" w:color="auto" w:sz="4" w:space="0"/>
              <w:bottom w:val="single" w:color="auto" w:sz="8" w:space="0"/>
              <w:right w:val="single" w:color="auto" w:sz="4" w:space="0"/>
            </w:tcBorders>
            <w:shd w:val="clear" w:color="auto" w:fill="auto"/>
            <w:noWrap/>
          </w:tcPr>
          <w:p w:rsidR="006F2012" w:rsidP="0076223D" w:rsidRDefault="006F2012" w14:paraId="7896DCE9" w14:textId="22A6E1CF">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 xml:space="preserve">Deze maatregel </w:t>
            </w:r>
            <w:r w:rsidR="00FB4B4E">
              <w:rPr>
                <w:rFonts w:eastAsia="Times New Roman" w:cs="Calibri"/>
                <w:color w:val="000000"/>
                <w:szCs w:val="18"/>
                <w:lang w:val="nl-NL" w:eastAsia="nl-NL"/>
              </w:rPr>
              <w:t>houdt in dat</w:t>
            </w:r>
            <w:r w:rsidRPr="00FD1605">
              <w:rPr>
                <w:rFonts w:eastAsia="Times New Roman" w:cs="Calibri"/>
                <w:color w:val="000000"/>
                <w:szCs w:val="18"/>
                <w:lang w:val="nl-NL" w:eastAsia="nl-NL"/>
              </w:rPr>
              <w:t xml:space="preserve"> de basisuitkering </w:t>
            </w:r>
            <w:r w:rsidR="00FB4B4E">
              <w:rPr>
                <w:rFonts w:eastAsia="Times New Roman" w:cs="Calibri"/>
                <w:color w:val="000000"/>
                <w:szCs w:val="18"/>
                <w:lang w:val="nl-NL" w:eastAsia="nl-NL"/>
              </w:rPr>
              <w:t>wordt verhoogd</w:t>
            </w:r>
            <w:r w:rsidRPr="00FD1605">
              <w:rPr>
                <w:rFonts w:eastAsia="Times New Roman" w:cs="Calibri"/>
                <w:color w:val="000000"/>
                <w:szCs w:val="18"/>
                <w:lang w:val="nl-NL" w:eastAsia="nl-NL"/>
              </w:rPr>
              <w:t xml:space="preserve"> tot de alleenstaandennorm van de Toeslagenwet in de gevallen dat de uitkering minder bedraagt. Gevolg is dat de aanvullende TW-uitkering overbodig wordt voor alleenstaanden.</w:t>
            </w:r>
            <w:r w:rsidR="00FB4B4E">
              <w:rPr>
                <w:rFonts w:eastAsia="Times New Roman" w:cs="Calibri"/>
                <w:color w:val="000000"/>
                <w:szCs w:val="18"/>
                <w:lang w:val="nl-NL" w:eastAsia="nl-NL"/>
              </w:rPr>
              <w:t xml:space="preserve"> De Toeslagenwet wordt afgeschaft.</w:t>
            </w:r>
          </w:p>
          <w:p w:rsidRPr="00FD1605" w:rsidR="006F2012" w:rsidP="0076223D" w:rsidRDefault="006F2012" w14:paraId="4EA5C829" w14:textId="77777777">
            <w:pPr>
              <w:spacing w:after="0" w:line="240" w:lineRule="auto"/>
              <w:rPr>
                <w:rFonts w:eastAsia="Times New Roman" w:cs="Calibri"/>
                <w:color w:val="000000"/>
                <w:szCs w:val="18"/>
                <w:lang w:val="nl-NL" w:eastAsia="nl-NL"/>
              </w:rPr>
            </w:pPr>
          </w:p>
          <w:p w:rsidR="006F2012" w:rsidP="0076223D" w:rsidRDefault="006F2012" w14:paraId="48FCADED" w14:textId="77777777">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 xml:space="preserve">Doordat de basisuitkering wordt opgehoogd tot de alleenstaandennorm voor uitkeringsgerechtigden met een lage(re) uitkering, geldt dat er sprake is van individualisering van de aanvulling en dat niet meer wordt gekeken naar het partnerinkomen. Het criterium van de leefvorm (gehuwd/samenwonend, alleenstaand of kostendeler) wordt dus ook losgelaten. </w:t>
            </w:r>
            <w:r>
              <w:rPr>
                <w:rFonts w:eastAsia="Times New Roman" w:cs="Calibri"/>
                <w:color w:val="000000"/>
                <w:szCs w:val="18"/>
                <w:lang w:val="nl-NL" w:eastAsia="nl-NL"/>
              </w:rPr>
              <w:t xml:space="preserve">Voor gehuwden betekent dit dat de TW vervalt en zij voor een aanvulling tot aan het sociaal minimum naar de gemeente moeten voor een aanvullende bijstandsuitkering. </w:t>
            </w:r>
          </w:p>
          <w:p w:rsidRPr="00FD1605" w:rsidR="006F2012" w:rsidP="0076223D" w:rsidRDefault="006F2012" w14:paraId="20A93F8E" w14:textId="77777777">
            <w:pPr>
              <w:spacing w:after="0" w:line="240" w:lineRule="auto"/>
              <w:rPr>
                <w:rFonts w:eastAsia="Times New Roman" w:cs="Calibri"/>
                <w:color w:val="000000"/>
                <w:szCs w:val="18"/>
                <w:lang w:val="nl-NL" w:eastAsia="nl-NL"/>
              </w:rPr>
            </w:pPr>
          </w:p>
          <w:p w:rsidRPr="00FD1605" w:rsidR="006F2012" w:rsidP="0076223D" w:rsidRDefault="006F2012" w14:paraId="17F7F7FD" w14:textId="42D7B8DA">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 xml:space="preserve">De uitkering </w:t>
            </w:r>
            <w:r w:rsidR="00FB4B4E">
              <w:rPr>
                <w:rFonts w:eastAsia="Times New Roman" w:cs="Calibri"/>
                <w:color w:val="000000"/>
                <w:szCs w:val="18"/>
                <w:lang w:val="nl-NL" w:eastAsia="nl-NL"/>
              </w:rPr>
              <w:t>blijft</w:t>
            </w:r>
            <w:r w:rsidRPr="00FD1605">
              <w:rPr>
                <w:rFonts w:eastAsia="Times New Roman" w:cs="Calibri"/>
                <w:color w:val="000000"/>
                <w:szCs w:val="18"/>
                <w:lang w:val="nl-NL" w:eastAsia="nl-NL"/>
              </w:rPr>
              <w:t xml:space="preserve"> wel gemaximeerd op het dagloon om het uitgangspunt te bewaren dat de uitkering niet hoger kan zijn dan hetgeen iemand verdiende toen er nog werd gewerkt. Hierdoor blijft het mogelijk dat een deel van de </w:t>
            </w:r>
            <w:r>
              <w:rPr>
                <w:rFonts w:eastAsia="Times New Roman" w:cs="Calibri"/>
                <w:color w:val="000000"/>
                <w:szCs w:val="18"/>
                <w:lang w:val="nl-NL" w:eastAsia="nl-NL"/>
              </w:rPr>
              <w:t xml:space="preserve">alleenstaande </w:t>
            </w:r>
            <w:r w:rsidRPr="00FD1605">
              <w:rPr>
                <w:rFonts w:eastAsia="Times New Roman" w:cs="Calibri"/>
                <w:color w:val="000000"/>
                <w:szCs w:val="18"/>
                <w:lang w:val="nl-NL" w:eastAsia="nl-NL"/>
              </w:rPr>
              <w:t>uitkeringsgerechtigden nog een aanvullende bijstandsuitkering moet aanvragen.</w:t>
            </w:r>
          </w:p>
        </w:tc>
      </w:tr>
      <w:tr w:rsidRPr="00EB3835" w:rsidR="006F2012" w:rsidTr="0076223D" w14:paraId="5FD06D40" w14:textId="77777777">
        <w:trPr>
          <w:trHeight w:val="315"/>
        </w:trPr>
        <w:tc>
          <w:tcPr>
            <w:tcW w:w="2228" w:type="dxa"/>
            <w:tcBorders>
              <w:top w:val="nil"/>
              <w:left w:val="single" w:color="auto" w:sz="8" w:space="0"/>
              <w:bottom w:val="single" w:color="auto" w:sz="8" w:space="0"/>
              <w:right w:val="nil"/>
            </w:tcBorders>
            <w:shd w:val="clear" w:color="auto" w:fill="auto"/>
            <w:noWrap/>
          </w:tcPr>
          <w:p w:rsidRPr="00704454" w:rsidR="006F2012" w:rsidP="0076223D" w:rsidRDefault="006F2012" w14:paraId="2F7ED59B"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Doel maatregel</w:t>
            </w:r>
          </w:p>
        </w:tc>
        <w:tc>
          <w:tcPr>
            <w:tcW w:w="8080" w:type="dxa"/>
            <w:tcBorders>
              <w:top w:val="single" w:color="auto" w:sz="4" w:space="0"/>
              <w:left w:val="single" w:color="auto" w:sz="4" w:space="0"/>
              <w:bottom w:val="single" w:color="auto" w:sz="8" w:space="0"/>
              <w:right w:val="single" w:color="auto" w:sz="4" w:space="0"/>
            </w:tcBorders>
            <w:shd w:val="clear" w:color="auto" w:fill="auto"/>
            <w:noWrap/>
          </w:tcPr>
          <w:p w:rsidRPr="00FD1605" w:rsidR="006F2012" w:rsidP="0076223D" w:rsidRDefault="006F2012" w14:paraId="2FD57812" w14:textId="68DB5816">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 xml:space="preserve">Bevorderen bestaanszekerheid, doordat voor meer mensen via de basisuitkering al ten minste het sociaal minimum wordt uitgekeerd. </w:t>
            </w:r>
            <w:r w:rsidR="00FB4B4E">
              <w:rPr>
                <w:rFonts w:eastAsia="Times New Roman" w:cs="Calibri"/>
                <w:color w:val="000000"/>
                <w:szCs w:val="18"/>
                <w:lang w:val="nl-NL" w:eastAsia="nl-NL"/>
              </w:rPr>
              <w:t>Alleenstaanden</w:t>
            </w:r>
            <w:r w:rsidRPr="00FD1605" w:rsidR="00FB4B4E">
              <w:rPr>
                <w:rFonts w:eastAsia="Times New Roman" w:cs="Calibri"/>
                <w:color w:val="000000"/>
                <w:szCs w:val="18"/>
                <w:lang w:val="nl-NL" w:eastAsia="nl-NL"/>
              </w:rPr>
              <w:t xml:space="preserve"> </w:t>
            </w:r>
            <w:r w:rsidRPr="00FD1605">
              <w:rPr>
                <w:rFonts w:eastAsia="Times New Roman" w:cs="Calibri"/>
                <w:color w:val="000000"/>
                <w:szCs w:val="18"/>
                <w:lang w:val="nl-NL" w:eastAsia="nl-NL"/>
              </w:rPr>
              <w:t xml:space="preserve">hebben zo minder vaak meerdere regelingen nodig om te komen tot het sociaal minimum. </w:t>
            </w:r>
          </w:p>
          <w:p w:rsidRPr="00FD1605" w:rsidR="006F2012" w:rsidP="0076223D" w:rsidRDefault="006F2012" w14:paraId="2B6C1F6F" w14:textId="77777777">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Verzekerden krijgen te maken met minder regels en hoeven minder gegevens te overleggen.</w:t>
            </w:r>
          </w:p>
          <w:p w:rsidRPr="00FD1605" w:rsidR="006F2012" w:rsidP="0076223D" w:rsidRDefault="006F2012" w14:paraId="6DFEB771" w14:textId="464FF128">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 xml:space="preserve">Het niet-gebruik van de </w:t>
            </w:r>
            <w:r w:rsidR="00FB4B4E">
              <w:rPr>
                <w:rFonts w:eastAsia="Times New Roman" w:cs="Calibri"/>
                <w:color w:val="000000"/>
                <w:szCs w:val="18"/>
                <w:lang w:val="nl-NL" w:eastAsia="nl-NL"/>
              </w:rPr>
              <w:t>Toeslagenwet verdwijnt</w:t>
            </w:r>
            <w:r w:rsidRPr="00FD1605">
              <w:rPr>
                <w:rFonts w:eastAsia="Times New Roman" w:cs="Calibri"/>
                <w:color w:val="000000"/>
                <w:szCs w:val="18"/>
                <w:lang w:val="nl-NL" w:eastAsia="nl-NL"/>
              </w:rPr>
              <w:t xml:space="preserve">. Doordat meer mensen vanuit de basisuitkering al worden aangevuld tot het geldend sociaal minimum, hoeven alleen uitkeringsgerechtigden met een lager dagloon en gehuwden (en daaraan gelijkgestelden) beroep te doen op een aanvullende </w:t>
            </w:r>
            <w:r w:rsidR="00FB4B4E">
              <w:rPr>
                <w:rFonts w:eastAsia="Times New Roman" w:cs="Calibri"/>
                <w:color w:val="000000"/>
                <w:szCs w:val="18"/>
                <w:lang w:val="nl-NL" w:eastAsia="nl-NL"/>
              </w:rPr>
              <w:t>bijstandsuitkering</w:t>
            </w:r>
            <w:r w:rsidRPr="00FD1605">
              <w:rPr>
                <w:rFonts w:eastAsia="Times New Roman" w:cs="Calibri"/>
                <w:color w:val="000000"/>
                <w:szCs w:val="18"/>
                <w:lang w:val="nl-NL" w:eastAsia="nl-NL"/>
              </w:rPr>
              <w:t xml:space="preserve">. </w:t>
            </w:r>
          </w:p>
        </w:tc>
      </w:tr>
      <w:tr w:rsidRPr="00EB3835" w:rsidR="006F2012" w:rsidTr="0076223D" w14:paraId="60EB81AD" w14:textId="77777777">
        <w:trPr>
          <w:trHeight w:val="315"/>
        </w:trPr>
        <w:tc>
          <w:tcPr>
            <w:tcW w:w="2228" w:type="dxa"/>
            <w:tcBorders>
              <w:top w:val="nil"/>
              <w:left w:val="single" w:color="auto" w:sz="8" w:space="0"/>
              <w:bottom w:val="single" w:color="auto" w:sz="8" w:space="0"/>
              <w:right w:val="nil"/>
            </w:tcBorders>
            <w:shd w:val="clear" w:color="auto" w:fill="auto"/>
            <w:noWrap/>
          </w:tcPr>
          <w:p w:rsidRPr="00FD1605" w:rsidR="006F2012" w:rsidP="0076223D" w:rsidRDefault="006F2012" w14:paraId="59FC0C30" w14:textId="77777777">
            <w:pPr>
              <w:spacing w:after="0" w:line="240" w:lineRule="auto"/>
              <w:rPr>
                <w:rFonts w:eastAsia="Times New Roman" w:cs="Calibri"/>
                <w:b/>
                <w:bCs/>
                <w:color w:val="000000"/>
                <w:szCs w:val="18"/>
                <w:lang w:val="nl-NL" w:eastAsia="nl-NL"/>
              </w:rPr>
            </w:pPr>
            <w:r w:rsidRPr="00FD1605">
              <w:rPr>
                <w:rFonts w:eastAsia="Times New Roman" w:cs="Calibri"/>
                <w:b/>
                <w:bCs/>
                <w:color w:val="000000"/>
                <w:szCs w:val="18"/>
                <w:lang w:val="nl-NL" w:eastAsia="nl-NL"/>
              </w:rPr>
              <w:t xml:space="preserve">Vereenvoudiging vanuit burgerperspectief (begrijpelijkheid, zekerheid en </w:t>
            </w:r>
            <w:proofErr w:type="spellStart"/>
            <w:r w:rsidRPr="00FD1605">
              <w:rPr>
                <w:rFonts w:eastAsia="Times New Roman" w:cs="Calibri"/>
                <w:b/>
                <w:bCs/>
                <w:color w:val="000000"/>
                <w:szCs w:val="18"/>
                <w:lang w:val="nl-NL" w:eastAsia="nl-NL"/>
              </w:rPr>
              <w:t>doenlijkheid</w:t>
            </w:r>
            <w:proofErr w:type="spellEnd"/>
            <w:r w:rsidRPr="00FD1605">
              <w:rPr>
                <w:rFonts w:eastAsia="Times New Roman" w:cs="Calibri"/>
                <w:b/>
                <w:bCs/>
                <w:color w:val="000000"/>
                <w:szCs w:val="18"/>
                <w:lang w:val="nl-NL" w:eastAsia="nl-NL"/>
              </w:rPr>
              <w:t>)</w:t>
            </w:r>
          </w:p>
        </w:tc>
        <w:tc>
          <w:tcPr>
            <w:tcW w:w="8080" w:type="dxa"/>
            <w:tcBorders>
              <w:top w:val="single" w:color="auto" w:sz="4" w:space="0"/>
              <w:left w:val="single" w:color="auto" w:sz="4" w:space="0"/>
              <w:bottom w:val="single" w:color="auto" w:sz="8" w:space="0"/>
              <w:right w:val="single" w:color="auto" w:sz="4" w:space="0"/>
            </w:tcBorders>
            <w:shd w:val="clear" w:color="auto" w:fill="auto"/>
            <w:noWrap/>
          </w:tcPr>
          <w:p w:rsidRPr="00FD1605" w:rsidR="006F2012" w:rsidP="0076223D" w:rsidRDefault="006F2012" w14:paraId="356C6268" w14:textId="77777777">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 xml:space="preserve">Verzekerden krijgen te maken met minder samenloop van UWV-uitkeringen. </w:t>
            </w:r>
          </w:p>
          <w:p w:rsidRPr="00FD1605" w:rsidR="006F2012" w:rsidP="0076223D" w:rsidRDefault="005C0014" w14:paraId="1A0808E0" w14:textId="03E36766">
            <w:pPr>
              <w:spacing w:after="0" w:line="240" w:lineRule="auto"/>
              <w:rPr>
                <w:rFonts w:eastAsia="Times New Roman" w:cs="Calibri"/>
                <w:color w:val="000000"/>
                <w:szCs w:val="18"/>
                <w:lang w:val="nl-NL" w:eastAsia="nl-NL"/>
              </w:rPr>
            </w:pPr>
            <w:r>
              <w:rPr>
                <w:rFonts w:eastAsia="Times New Roman" w:cs="Calibri"/>
                <w:color w:val="000000"/>
                <w:szCs w:val="18"/>
                <w:lang w:val="nl-NL" w:eastAsia="nl-NL"/>
              </w:rPr>
              <w:t>Alleenstaanden</w:t>
            </w:r>
            <w:r w:rsidRPr="00FD1605">
              <w:rPr>
                <w:rFonts w:eastAsia="Times New Roman" w:cs="Calibri"/>
                <w:color w:val="000000"/>
                <w:szCs w:val="18"/>
                <w:lang w:val="nl-NL" w:eastAsia="nl-NL"/>
              </w:rPr>
              <w:t xml:space="preserve"> </w:t>
            </w:r>
            <w:r w:rsidRPr="00FD1605" w:rsidR="006F2012">
              <w:rPr>
                <w:rFonts w:eastAsia="Times New Roman" w:cs="Calibri"/>
                <w:color w:val="000000"/>
                <w:szCs w:val="18"/>
                <w:lang w:val="nl-NL" w:eastAsia="nl-NL"/>
              </w:rPr>
              <w:t xml:space="preserve">hoeven minder verschillende uitkeringen aan te vragen, waardoor zij eerder overzicht in hun inkomen kunnen krijgen. </w:t>
            </w:r>
          </w:p>
          <w:p w:rsidRPr="00FD1605" w:rsidR="006F2012" w:rsidP="0076223D" w:rsidRDefault="005C0014" w14:paraId="41492BBA" w14:textId="63847282">
            <w:pPr>
              <w:spacing w:after="0" w:line="240" w:lineRule="auto"/>
              <w:rPr>
                <w:rFonts w:eastAsia="Times New Roman" w:cs="Calibri"/>
                <w:color w:val="000000"/>
                <w:szCs w:val="18"/>
                <w:lang w:val="nl-NL" w:eastAsia="nl-NL"/>
              </w:rPr>
            </w:pPr>
            <w:r>
              <w:rPr>
                <w:rFonts w:eastAsia="Times New Roman" w:cs="Calibri"/>
                <w:color w:val="000000"/>
                <w:szCs w:val="18"/>
                <w:lang w:val="nl-NL" w:eastAsia="nl-NL"/>
              </w:rPr>
              <w:t>De</w:t>
            </w:r>
            <w:r w:rsidRPr="00FD1605" w:rsidR="006F2012">
              <w:rPr>
                <w:rFonts w:eastAsia="Times New Roman" w:cs="Calibri"/>
                <w:color w:val="000000"/>
                <w:szCs w:val="18"/>
                <w:lang w:val="nl-NL" w:eastAsia="nl-NL"/>
              </w:rPr>
              <w:t xml:space="preserve"> Toeslagenwet</w:t>
            </w:r>
            <w:r>
              <w:rPr>
                <w:rFonts w:eastAsia="Times New Roman" w:cs="Calibri"/>
                <w:color w:val="000000"/>
                <w:szCs w:val="18"/>
                <w:lang w:val="nl-NL" w:eastAsia="nl-NL"/>
              </w:rPr>
              <w:t xml:space="preserve"> verdwijnt en daarmee ook</w:t>
            </w:r>
            <w:r w:rsidRPr="00FD1605" w:rsidR="006F2012">
              <w:rPr>
                <w:rFonts w:eastAsia="Times New Roman" w:cs="Calibri"/>
                <w:color w:val="000000"/>
                <w:szCs w:val="18"/>
                <w:lang w:val="nl-NL" w:eastAsia="nl-NL"/>
              </w:rPr>
              <w:t xml:space="preserve"> een complexiteit rondom verrekening van eventueel inkomen met verschillende uitkeringen, omdat bij inkomsten de berekeningsmethode van de basisuitkering wordt toegepast. </w:t>
            </w:r>
          </w:p>
          <w:p w:rsidRPr="00FD1605" w:rsidR="006F2012" w:rsidP="0076223D" w:rsidRDefault="006F2012" w14:paraId="2F1F5ACF" w14:textId="77777777">
            <w:pPr>
              <w:spacing w:after="0" w:line="240" w:lineRule="auto"/>
              <w:rPr>
                <w:rFonts w:eastAsia="Times New Roman" w:cs="Calibri"/>
                <w:color w:val="000000"/>
                <w:szCs w:val="18"/>
                <w:lang w:val="nl-NL" w:eastAsia="nl-NL"/>
              </w:rPr>
            </w:pPr>
          </w:p>
        </w:tc>
      </w:tr>
      <w:tr w:rsidRPr="00EB3835" w:rsidR="006F2012" w:rsidTr="0076223D" w14:paraId="2D939C02" w14:textId="77777777">
        <w:trPr>
          <w:trHeight w:val="315"/>
        </w:trPr>
        <w:tc>
          <w:tcPr>
            <w:tcW w:w="2228" w:type="dxa"/>
            <w:tcBorders>
              <w:top w:val="nil"/>
              <w:left w:val="single" w:color="auto" w:sz="8" w:space="0"/>
              <w:bottom w:val="single" w:color="auto" w:sz="8" w:space="0"/>
              <w:right w:val="nil"/>
            </w:tcBorders>
            <w:shd w:val="clear" w:color="auto" w:fill="auto"/>
            <w:noWrap/>
          </w:tcPr>
          <w:p w:rsidRPr="00704454" w:rsidR="006F2012" w:rsidP="0076223D" w:rsidRDefault="006F2012" w14:paraId="45DAB8D1"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 xml:space="preserve">Keuzes binnen maatregel </w:t>
            </w:r>
          </w:p>
        </w:tc>
        <w:tc>
          <w:tcPr>
            <w:tcW w:w="8080" w:type="dxa"/>
            <w:tcBorders>
              <w:top w:val="single" w:color="auto" w:sz="4" w:space="0"/>
              <w:left w:val="single" w:color="auto" w:sz="4" w:space="0"/>
              <w:bottom w:val="single" w:color="auto" w:sz="8" w:space="0"/>
              <w:right w:val="single" w:color="auto" w:sz="4" w:space="0"/>
            </w:tcBorders>
            <w:shd w:val="clear" w:color="auto" w:fill="auto"/>
            <w:noWrap/>
          </w:tcPr>
          <w:p w:rsidRPr="00FD1605" w:rsidR="006F2012" w:rsidP="0076223D" w:rsidRDefault="006F2012" w14:paraId="72F10423" w14:textId="1ABFF4C8">
            <w:pPr>
              <w:spacing w:after="0" w:line="240" w:lineRule="auto"/>
              <w:rPr>
                <w:szCs w:val="18"/>
                <w:lang w:val="nl-NL"/>
              </w:rPr>
            </w:pPr>
            <w:r w:rsidRPr="00FD1605">
              <w:rPr>
                <w:szCs w:val="18"/>
                <w:lang w:val="nl-NL"/>
              </w:rPr>
              <w:t>In de huidige maatregel wordt het criterium van de leefvorm losgelaten</w:t>
            </w:r>
            <w:r>
              <w:rPr>
                <w:szCs w:val="18"/>
                <w:lang w:val="nl-NL"/>
              </w:rPr>
              <w:t xml:space="preserve"> en de </w:t>
            </w:r>
            <w:r w:rsidR="005C0014">
              <w:rPr>
                <w:szCs w:val="18"/>
                <w:lang w:val="nl-NL"/>
              </w:rPr>
              <w:t>basisuitkering voor iedereen opgehoogd tot het sociaal minimum voor een alleenstaande</w:t>
            </w:r>
            <w:r w:rsidRPr="00FD1605">
              <w:rPr>
                <w:szCs w:val="18"/>
                <w:lang w:val="nl-NL"/>
              </w:rPr>
              <w:t xml:space="preserve">. </w:t>
            </w:r>
            <w:r w:rsidR="005C0014">
              <w:rPr>
                <w:szCs w:val="18"/>
                <w:lang w:val="nl-NL"/>
              </w:rPr>
              <w:t>In beginsel zouden</w:t>
            </w:r>
            <w:r>
              <w:rPr>
                <w:szCs w:val="18"/>
                <w:lang w:val="nl-NL"/>
              </w:rPr>
              <w:t xml:space="preserve"> de basiswetten </w:t>
            </w:r>
            <w:r w:rsidR="005C0014">
              <w:rPr>
                <w:szCs w:val="18"/>
                <w:lang w:val="nl-NL"/>
              </w:rPr>
              <w:t xml:space="preserve">ook </w:t>
            </w:r>
            <w:r>
              <w:rPr>
                <w:szCs w:val="18"/>
                <w:lang w:val="nl-NL"/>
              </w:rPr>
              <w:t>leefvormafhankelijk</w:t>
            </w:r>
            <w:r w:rsidR="005C0014">
              <w:rPr>
                <w:szCs w:val="18"/>
                <w:lang w:val="nl-NL"/>
              </w:rPr>
              <w:t xml:space="preserve"> kunnen</w:t>
            </w:r>
            <w:r>
              <w:rPr>
                <w:szCs w:val="18"/>
                <w:lang w:val="nl-NL"/>
              </w:rPr>
              <w:t xml:space="preserve"> worden </w:t>
            </w:r>
            <w:r w:rsidR="005C0014">
              <w:rPr>
                <w:szCs w:val="18"/>
                <w:lang w:val="nl-NL"/>
              </w:rPr>
              <w:t xml:space="preserve">gemaakt </w:t>
            </w:r>
            <w:r>
              <w:rPr>
                <w:szCs w:val="18"/>
                <w:lang w:val="nl-NL"/>
              </w:rPr>
              <w:t>(gehuwd/samenwonend, alleenstaand of kostendeler)</w:t>
            </w:r>
            <w:r w:rsidR="005C0014">
              <w:rPr>
                <w:szCs w:val="18"/>
                <w:lang w:val="nl-NL"/>
              </w:rPr>
              <w:t>.</w:t>
            </w:r>
            <w:r w:rsidRPr="00FD1605">
              <w:rPr>
                <w:szCs w:val="18"/>
                <w:lang w:val="nl-NL"/>
              </w:rPr>
              <w:t xml:space="preserve"> D</w:t>
            </w:r>
            <w:r w:rsidRPr="00704454">
              <w:rPr>
                <w:szCs w:val="18"/>
                <w:lang w:val="nl-NL"/>
              </w:rPr>
              <w:t>aarmee wordt het doel van vereenvoudiging</w:t>
            </w:r>
            <w:r w:rsidR="005C0014">
              <w:rPr>
                <w:szCs w:val="18"/>
                <w:lang w:val="nl-NL"/>
              </w:rPr>
              <w:t xml:space="preserve"> echter</w:t>
            </w:r>
            <w:r w:rsidRPr="00704454">
              <w:rPr>
                <w:szCs w:val="18"/>
                <w:lang w:val="nl-NL"/>
              </w:rPr>
              <w:t xml:space="preserve"> niet bereikt en wordt de complexiteit ten gevolge van leefvormafhankelijkheid </w:t>
            </w:r>
            <w:r w:rsidR="005C0014">
              <w:rPr>
                <w:szCs w:val="18"/>
                <w:lang w:val="nl-NL"/>
              </w:rPr>
              <w:t xml:space="preserve"> vooral verplaatst naar de basisuitkeringen</w:t>
            </w:r>
            <w:r w:rsidRPr="00704454">
              <w:rPr>
                <w:szCs w:val="18"/>
                <w:lang w:val="nl-NL"/>
              </w:rPr>
              <w:t>.</w:t>
            </w:r>
            <w:r w:rsidRPr="00FD1605">
              <w:rPr>
                <w:szCs w:val="18"/>
                <w:lang w:val="nl-NL"/>
              </w:rPr>
              <w:t xml:space="preserve"> Bovendien zou de hele inrichting en uitvoering van UWV omgevormd moeten worden.</w:t>
            </w:r>
          </w:p>
          <w:p w:rsidRPr="00FD1605" w:rsidR="006F2012" w:rsidP="0076223D" w:rsidRDefault="006F2012" w14:paraId="2338A73B" w14:textId="77777777">
            <w:pPr>
              <w:spacing w:after="0" w:line="240" w:lineRule="auto"/>
              <w:rPr>
                <w:szCs w:val="18"/>
                <w:lang w:val="nl-NL"/>
              </w:rPr>
            </w:pPr>
          </w:p>
          <w:p w:rsidR="006F2012" w:rsidP="0076223D" w:rsidRDefault="006F2012" w14:paraId="4F74474B" w14:textId="6E2D7A35">
            <w:pPr>
              <w:spacing w:after="0" w:line="240" w:lineRule="auto"/>
              <w:rPr>
                <w:rFonts w:eastAsia="Times New Roman"/>
                <w:szCs w:val="18"/>
                <w:lang w:val="nl-NL" w:eastAsia="nl-NL"/>
              </w:rPr>
            </w:pPr>
            <w:r w:rsidRPr="00FD1605">
              <w:rPr>
                <w:rFonts w:eastAsia="Times New Roman"/>
                <w:szCs w:val="18"/>
                <w:lang w:val="nl-NL" w:eastAsia="nl-NL"/>
              </w:rPr>
              <w:t xml:space="preserve">De keuze kan gemaakt worden om geen maximering toe te passen op het oude loon. Daarmee </w:t>
            </w:r>
            <w:r w:rsidR="005C0014">
              <w:rPr>
                <w:rFonts w:eastAsia="Times New Roman"/>
                <w:szCs w:val="18"/>
                <w:lang w:val="nl-NL" w:eastAsia="nl-NL"/>
              </w:rPr>
              <w:t>krijgen meer mensen</w:t>
            </w:r>
            <w:r w:rsidRPr="00FD1605">
              <w:rPr>
                <w:rFonts w:eastAsia="Times New Roman"/>
                <w:szCs w:val="18"/>
                <w:lang w:val="nl-NL" w:eastAsia="nl-NL"/>
              </w:rPr>
              <w:t xml:space="preserve"> een </w:t>
            </w:r>
            <w:r w:rsidR="005C0014">
              <w:rPr>
                <w:rFonts w:eastAsia="Times New Roman"/>
                <w:szCs w:val="18"/>
                <w:lang w:val="nl-NL" w:eastAsia="nl-NL"/>
              </w:rPr>
              <w:t>uitkering</w:t>
            </w:r>
            <w:r w:rsidRPr="00FD1605" w:rsidR="005C0014">
              <w:rPr>
                <w:rFonts w:eastAsia="Times New Roman"/>
                <w:szCs w:val="18"/>
                <w:lang w:val="nl-NL" w:eastAsia="nl-NL"/>
              </w:rPr>
              <w:t xml:space="preserve"> </w:t>
            </w:r>
            <w:r w:rsidRPr="00FD1605">
              <w:rPr>
                <w:rFonts w:eastAsia="Times New Roman"/>
                <w:szCs w:val="18"/>
                <w:lang w:val="nl-NL" w:eastAsia="nl-NL"/>
              </w:rPr>
              <w:t xml:space="preserve">van tenminste het sociaal minimum. Dit komt echter niet overeen met het doel van de werknemersverzekeringen, namelijk om het inkomen uit arbeid bij bepaalde risico’s te verzekeren. Door geen maximering toe te passen, zou een deel van de verzekerden een hoger inkomen krijgen dan toen zij nog werkten. </w:t>
            </w:r>
          </w:p>
          <w:p w:rsidRPr="00FD1605" w:rsidR="006F2012" w:rsidP="0076223D" w:rsidRDefault="006F2012" w14:paraId="3ADFDF50" w14:textId="77777777">
            <w:pPr>
              <w:spacing w:after="0" w:line="240" w:lineRule="auto"/>
              <w:rPr>
                <w:rFonts w:eastAsia="Times New Roman"/>
                <w:szCs w:val="18"/>
                <w:lang w:val="nl-NL"/>
              </w:rPr>
            </w:pPr>
          </w:p>
          <w:p w:rsidRPr="00FD1605" w:rsidR="00C7474D" w:rsidP="0076223D" w:rsidRDefault="006F2012" w14:paraId="2457E76D" w14:textId="61B62542">
            <w:pPr>
              <w:spacing w:after="0" w:line="240" w:lineRule="auto"/>
              <w:rPr>
                <w:rFonts w:eastAsia="Times New Roman"/>
                <w:szCs w:val="18"/>
                <w:lang w:val="nl-NL"/>
              </w:rPr>
            </w:pPr>
            <w:r w:rsidRPr="00FD1605">
              <w:rPr>
                <w:rFonts w:eastAsia="Times New Roman"/>
                <w:szCs w:val="18"/>
                <w:lang w:val="nl-NL"/>
              </w:rPr>
              <w:t xml:space="preserve">Gevolg hiervan kan zijn dat </w:t>
            </w:r>
            <w:r w:rsidRPr="00FD1605" w:rsidR="00C7474D">
              <w:rPr>
                <w:rFonts w:cstheme="minorHAnsi"/>
                <w:lang w:val="nl-NL" w:eastAsia="nl-NL"/>
              </w:rPr>
              <w:t xml:space="preserve">een tweede ‘bijstandsvangnet’ gecreëerd </w:t>
            </w:r>
            <w:r w:rsidR="00C7474D">
              <w:rPr>
                <w:rFonts w:cstheme="minorHAnsi"/>
                <w:lang w:val="nl-NL" w:eastAsia="nl-NL"/>
              </w:rPr>
              <w:t xml:space="preserve">wordt </w:t>
            </w:r>
            <w:r w:rsidRPr="00FD1605" w:rsidR="00C7474D">
              <w:rPr>
                <w:rFonts w:cstheme="minorHAnsi"/>
                <w:lang w:val="nl-NL" w:eastAsia="nl-NL"/>
              </w:rPr>
              <w:t xml:space="preserve">met een afwijkende </w:t>
            </w:r>
            <w:proofErr w:type="spellStart"/>
            <w:r w:rsidRPr="00FD1605" w:rsidR="00C7474D">
              <w:rPr>
                <w:rFonts w:cstheme="minorHAnsi"/>
                <w:lang w:val="nl-NL" w:eastAsia="nl-NL"/>
              </w:rPr>
              <w:t>brutonorm</w:t>
            </w:r>
            <w:proofErr w:type="spellEnd"/>
            <w:r w:rsidRPr="00FD1605" w:rsidR="00C7474D">
              <w:rPr>
                <w:rFonts w:cstheme="minorHAnsi"/>
                <w:lang w:val="nl-NL" w:eastAsia="nl-NL"/>
              </w:rPr>
              <w:t xml:space="preserve"> en afwijkende voorwaarden</w:t>
            </w:r>
            <w:r w:rsidR="00C7474D">
              <w:rPr>
                <w:rFonts w:cstheme="minorHAnsi"/>
                <w:lang w:val="nl-NL" w:eastAsia="nl-NL"/>
              </w:rPr>
              <w:t>, waarmee een sterker onderscheid gemaakt wordt tussen voormalig werknemers en anderen</w:t>
            </w:r>
            <w:r w:rsidRPr="00FD1605" w:rsidR="00C7474D">
              <w:rPr>
                <w:rFonts w:cstheme="minorHAnsi"/>
                <w:lang w:val="nl-NL" w:eastAsia="nl-NL"/>
              </w:rPr>
              <w:t>.</w:t>
            </w:r>
            <w:r w:rsidRPr="00FD1605">
              <w:rPr>
                <w:rFonts w:eastAsia="Times New Roman"/>
                <w:szCs w:val="18"/>
                <w:lang w:val="nl-NL"/>
              </w:rPr>
              <w:t>. Er dient sprake te zijn van een rechtvaardiging voor dit onderscheid, om deze groepen anders te behandelen (zie ook fiche A</w:t>
            </w:r>
            <w:r>
              <w:rPr>
                <w:rFonts w:eastAsia="Times New Roman"/>
                <w:szCs w:val="18"/>
                <w:lang w:val="nl-NL"/>
              </w:rPr>
              <w:t>.2</w:t>
            </w:r>
            <w:r w:rsidRPr="00FD1605">
              <w:rPr>
                <w:rFonts w:eastAsia="Times New Roman"/>
                <w:szCs w:val="18"/>
                <w:lang w:val="nl-NL"/>
              </w:rPr>
              <w:t xml:space="preserve">). </w:t>
            </w:r>
          </w:p>
          <w:p w:rsidRPr="00FD1605" w:rsidR="006F2012" w:rsidP="0076223D" w:rsidRDefault="006F2012" w14:paraId="05C40032" w14:textId="77777777">
            <w:pPr>
              <w:spacing w:after="0" w:line="240" w:lineRule="auto"/>
              <w:rPr>
                <w:szCs w:val="18"/>
                <w:lang w:val="nl-NL"/>
              </w:rPr>
            </w:pPr>
          </w:p>
          <w:p w:rsidRPr="00FD1605" w:rsidR="006F2012" w:rsidP="0076223D" w:rsidRDefault="006F2012" w14:paraId="4B483E87" w14:textId="312B267F">
            <w:pPr>
              <w:spacing w:after="0" w:line="240" w:lineRule="auto"/>
              <w:rPr>
                <w:rFonts w:eastAsia="Times New Roman" w:cs="Calibri"/>
                <w:color w:val="000000"/>
                <w:szCs w:val="18"/>
                <w:lang w:val="nl-NL" w:eastAsia="nl-NL"/>
              </w:rPr>
            </w:pPr>
            <w:r w:rsidRPr="00FD1605">
              <w:rPr>
                <w:szCs w:val="18"/>
                <w:lang w:val="nl-NL"/>
              </w:rPr>
              <w:t>Er moeten keuzes worden gemaakt over het overgangsrecht van uitkeringsgerechtigden van het zittend bestand</w:t>
            </w:r>
            <w:r>
              <w:rPr>
                <w:szCs w:val="18"/>
                <w:lang w:val="nl-NL"/>
              </w:rPr>
              <w:t>, met name voor de groep gehuwden</w:t>
            </w:r>
            <w:r w:rsidR="005C0014">
              <w:rPr>
                <w:szCs w:val="18"/>
                <w:lang w:val="nl-NL"/>
              </w:rPr>
              <w:t xml:space="preserve"> die er door afschaffing van de Toeslagenwet op achteruit gaat</w:t>
            </w:r>
            <w:r>
              <w:rPr>
                <w:szCs w:val="18"/>
                <w:lang w:val="nl-NL"/>
              </w:rPr>
              <w:t>.</w:t>
            </w:r>
          </w:p>
        </w:tc>
      </w:tr>
      <w:tr w:rsidRPr="00EB3835" w:rsidR="006F2012" w:rsidTr="0076223D" w14:paraId="7CCE850D" w14:textId="77777777">
        <w:trPr>
          <w:trHeight w:val="315"/>
        </w:trPr>
        <w:tc>
          <w:tcPr>
            <w:tcW w:w="2228" w:type="dxa"/>
            <w:tcBorders>
              <w:top w:val="nil"/>
              <w:left w:val="single" w:color="auto" w:sz="8" w:space="0"/>
              <w:bottom w:val="single" w:color="auto" w:sz="8" w:space="0"/>
              <w:right w:val="nil"/>
            </w:tcBorders>
            <w:shd w:val="clear" w:color="auto" w:fill="auto"/>
            <w:noWrap/>
          </w:tcPr>
          <w:p w:rsidRPr="00704454" w:rsidR="006F2012" w:rsidP="0076223D" w:rsidRDefault="006F2012" w14:paraId="12D4BFD6"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Tijdpad inwerkingtreding</w:t>
            </w:r>
          </w:p>
        </w:tc>
        <w:tc>
          <w:tcPr>
            <w:tcW w:w="8080" w:type="dxa"/>
            <w:tcBorders>
              <w:top w:val="single" w:color="auto" w:sz="4" w:space="0"/>
              <w:left w:val="single" w:color="auto" w:sz="4" w:space="0"/>
              <w:bottom w:val="single" w:color="auto" w:sz="8" w:space="0"/>
              <w:right w:val="single" w:color="auto" w:sz="4" w:space="0"/>
            </w:tcBorders>
            <w:shd w:val="clear" w:color="auto" w:fill="auto"/>
            <w:noWrap/>
          </w:tcPr>
          <w:p w:rsidRPr="00FD1605" w:rsidR="006F2012" w:rsidP="0076223D" w:rsidRDefault="006F2012" w14:paraId="06D036AF" w14:textId="4756C549">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 xml:space="preserve">Alle wetten van de basisuitkeringen moeten worden aangepast en de Toeslagenwet </w:t>
            </w:r>
            <w:r w:rsidR="003874A6">
              <w:rPr>
                <w:rFonts w:eastAsia="Times New Roman" w:cs="Calibri"/>
                <w:color w:val="000000"/>
                <w:szCs w:val="18"/>
                <w:lang w:val="nl-NL" w:eastAsia="nl-NL"/>
              </w:rPr>
              <w:t>ingetrokken</w:t>
            </w:r>
            <w:r w:rsidRPr="00FD1605">
              <w:rPr>
                <w:rFonts w:eastAsia="Times New Roman" w:cs="Calibri"/>
                <w:color w:val="000000"/>
                <w:szCs w:val="18"/>
                <w:lang w:val="nl-NL" w:eastAsia="nl-NL"/>
              </w:rPr>
              <w:t xml:space="preserve">. </w:t>
            </w:r>
            <w:r w:rsidR="003874A6">
              <w:rPr>
                <w:rFonts w:eastAsia="Times New Roman" w:cs="Calibri"/>
                <w:color w:val="000000"/>
                <w:szCs w:val="18"/>
                <w:lang w:val="nl-NL" w:eastAsia="nl-NL"/>
              </w:rPr>
              <w:t xml:space="preserve">Een omvangrijke </w:t>
            </w:r>
            <w:r w:rsidRPr="00FD1605">
              <w:rPr>
                <w:rFonts w:eastAsia="Times New Roman" w:cs="Calibri"/>
                <w:color w:val="000000"/>
                <w:szCs w:val="18"/>
                <w:lang w:val="nl-NL" w:eastAsia="nl-NL"/>
              </w:rPr>
              <w:t xml:space="preserve">wetswijziging </w:t>
            </w:r>
            <w:r w:rsidR="003874A6">
              <w:rPr>
                <w:rFonts w:eastAsia="Times New Roman" w:cs="Calibri"/>
                <w:color w:val="000000"/>
                <w:szCs w:val="18"/>
                <w:lang w:val="nl-NL" w:eastAsia="nl-NL"/>
              </w:rPr>
              <w:t xml:space="preserve">duurt gemiddeld </w:t>
            </w:r>
            <w:r w:rsidRPr="00FD1605">
              <w:rPr>
                <w:rFonts w:eastAsia="Times New Roman" w:cs="Calibri"/>
                <w:color w:val="000000"/>
                <w:szCs w:val="18"/>
                <w:lang w:val="nl-NL" w:eastAsia="nl-NL"/>
              </w:rPr>
              <w:t xml:space="preserve"> 2 </w:t>
            </w:r>
            <w:r w:rsidR="003874A6">
              <w:rPr>
                <w:rFonts w:eastAsia="Times New Roman" w:cs="Calibri"/>
                <w:color w:val="000000"/>
                <w:szCs w:val="18"/>
                <w:lang w:val="nl-NL" w:eastAsia="nl-NL"/>
              </w:rPr>
              <w:t xml:space="preserve">a 3 </w:t>
            </w:r>
            <w:r w:rsidRPr="00FD1605">
              <w:rPr>
                <w:rFonts w:eastAsia="Times New Roman" w:cs="Calibri"/>
                <w:color w:val="000000"/>
                <w:szCs w:val="18"/>
                <w:lang w:val="nl-NL" w:eastAsia="nl-NL"/>
              </w:rPr>
              <w:t xml:space="preserve">jaar. Ook dient rekening te worden gehouden met eventuele extra tijd voor de implementatie door de </w:t>
            </w:r>
            <w:r w:rsidRPr="00FD1605">
              <w:rPr>
                <w:rFonts w:eastAsia="Times New Roman" w:cs="Calibri"/>
                <w:color w:val="000000"/>
                <w:szCs w:val="18"/>
                <w:lang w:val="nl-NL" w:eastAsia="nl-NL"/>
              </w:rPr>
              <w:lastRenderedPageBreak/>
              <w:t>uitvoerder. Hierbij kan worden gedacht aan aanpassingen van systemen en communicatie aan uitkeringsgerechtigden.</w:t>
            </w:r>
          </w:p>
        </w:tc>
      </w:tr>
      <w:tr w:rsidRPr="00EB3835" w:rsidR="006F2012" w:rsidTr="0076223D" w14:paraId="4D29F3EE" w14:textId="77777777">
        <w:trPr>
          <w:trHeight w:val="315"/>
        </w:trPr>
        <w:tc>
          <w:tcPr>
            <w:tcW w:w="2228" w:type="dxa"/>
            <w:tcBorders>
              <w:top w:val="nil"/>
              <w:left w:val="single" w:color="auto" w:sz="8" w:space="0"/>
              <w:bottom w:val="single" w:color="auto" w:sz="8" w:space="0"/>
              <w:right w:val="nil"/>
            </w:tcBorders>
            <w:shd w:val="clear" w:color="auto" w:fill="auto"/>
            <w:noWrap/>
          </w:tcPr>
          <w:p w:rsidRPr="00704454" w:rsidR="006F2012" w:rsidP="0076223D" w:rsidRDefault="006F2012" w14:paraId="19D34DBE"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lastRenderedPageBreak/>
              <w:t>Juridische haalbaarheid</w:t>
            </w:r>
          </w:p>
        </w:tc>
        <w:tc>
          <w:tcPr>
            <w:tcW w:w="8080" w:type="dxa"/>
            <w:tcBorders>
              <w:top w:val="single" w:color="auto" w:sz="4" w:space="0"/>
              <w:left w:val="single" w:color="auto" w:sz="4" w:space="0"/>
              <w:bottom w:val="single" w:color="auto" w:sz="8" w:space="0"/>
              <w:right w:val="single" w:color="auto" w:sz="4" w:space="0"/>
            </w:tcBorders>
            <w:shd w:val="clear" w:color="auto" w:fill="auto"/>
            <w:noWrap/>
          </w:tcPr>
          <w:p w:rsidR="006F2012" w:rsidP="0076223D" w:rsidRDefault="006F2012" w14:paraId="5A5A3BFA" w14:textId="77777777">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 xml:space="preserve">Er is een wetswijziging nodig van zowel de Toeslagenwet, de wetten van de basisuitkeringen en toepasselijke lagere regelgeving. De instroom in de Toeslagenwet moet worden beëindigd. Samenloop met mogelijke andere wetten dient in kaart te worden gebracht. </w:t>
            </w:r>
          </w:p>
          <w:p w:rsidRPr="00FD1605" w:rsidR="006F2012" w:rsidP="0076223D" w:rsidRDefault="006F2012" w14:paraId="52BBCA60" w14:textId="77777777">
            <w:pPr>
              <w:spacing w:after="0" w:line="240" w:lineRule="auto"/>
              <w:rPr>
                <w:rFonts w:eastAsia="Times New Roman" w:cs="Calibri"/>
                <w:color w:val="000000"/>
                <w:szCs w:val="18"/>
                <w:lang w:val="nl-NL" w:eastAsia="nl-NL"/>
              </w:rPr>
            </w:pPr>
          </w:p>
          <w:p w:rsidRPr="00FD1605" w:rsidR="006F2012" w:rsidP="0076223D" w:rsidRDefault="006F2012" w14:paraId="094F9594" w14:textId="77777777">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Er dient overgangsrecht opgesteld te worden. Ook moet worden uitgezocht of er sprake is van eigendomsrechten die gerespecteerd moeten worden.</w:t>
            </w:r>
            <w:r>
              <w:rPr>
                <w:rFonts w:eastAsia="Times New Roman" w:cs="Calibri"/>
                <w:color w:val="000000"/>
                <w:szCs w:val="18"/>
                <w:lang w:val="nl-NL" w:eastAsia="nl-NL"/>
              </w:rPr>
              <w:t xml:space="preserve"> </w:t>
            </w:r>
            <w:r w:rsidRPr="00FD1605">
              <w:rPr>
                <w:rFonts w:eastAsia="Times New Roman" w:cs="Calibri"/>
                <w:color w:val="000000"/>
                <w:szCs w:val="18"/>
                <w:lang w:val="nl-NL" w:eastAsia="nl-NL"/>
              </w:rPr>
              <w:t xml:space="preserve">Daarbij dient ook aandacht te worden gegeven aan de export van aanvullende toeslagen in enkele gevallen waarin bilaterale verdragen een rol spelen.  </w:t>
            </w:r>
          </w:p>
        </w:tc>
      </w:tr>
      <w:tr w:rsidRPr="00EB3835" w:rsidR="006F2012" w:rsidTr="0076223D" w14:paraId="31617A2E" w14:textId="77777777">
        <w:trPr>
          <w:trHeight w:val="315"/>
        </w:trPr>
        <w:tc>
          <w:tcPr>
            <w:tcW w:w="2228" w:type="dxa"/>
            <w:tcBorders>
              <w:top w:val="nil"/>
              <w:left w:val="single" w:color="auto" w:sz="8" w:space="0"/>
              <w:bottom w:val="single" w:color="auto" w:sz="8" w:space="0"/>
              <w:right w:val="nil"/>
            </w:tcBorders>
            <w:shd w:val="clear" w:color="auto" w:fill="auto"/>
            <w:noWrap/>
          </w:tcPr>
          <w:p w:rsidRPr="00704454" w:rsidR="006F2012" w:rsidP="0076223D" w:rsidRDefault="006F2012" w14:paraId="5D7FCEE5"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Uitvoerbaarheid</w:t>
            </w:r>
          </w:p>
        </w:tc>
        <w:tc>
          <w:tcPr>
            <w:tcW w:w="8080" w:type="dxa"/>
            <w:tcBorders>
              <w:top w:val="single" w:color="auto" w:sz="4" w:space="0"/>
              <w:left w:val="single" w:color="auto" w:sz="4" w:space="0"/>
              <w:bottom w:val="single" w:color="auto" w:sz="8" w:space="0"/>
              <w:right w:val="single" w:color="auto" w:sz="4" w:space="0"/>
            </w:tcBorders>
            <w:shd w:val="clear" w:color="auto" w:fill="auto"/>
            <w:noWrap/>
          </w:tcPr>
          <w:p w:rsidR="006F2012" w:rsidP="0076223D" w:rsidRDefault="006F2012" w14:paraId="0B311471" w14:textId="77777777">
            <w:pPr>
              <w:spacing w:after="0" w:line="240" w:lineRule="auto"/>
              <w:rPr>
                <w:rFonts w:eastAsia="Times New Roman" w:cs="Calibri"/>
                <w:color w:val="000000"/>
                <w:szCs w:val="18"/>
                <w:lang w:val="nl-NL" w:eastAsia="nl-NL"/>
              </w:rPr>
            </w:pPr>
            <w:r w:rsidRPr="00FD1605">
              <w:rPr>
                <w:rFonts w:eastAsia="DejaVu Sans" w:cs="Calibri Light"/>
                <w:color w:val="000000"/>
                <w:szCs w:val="18"/>
                <w:lang w:val="nl-NL"/>
              </w:rPr>
              <w:t xml:space="preserve">Deze individualisering is een complexiteitsreductie voor UWV, omdat UWV met minder factoren rekening hoeft te houden tijdens de beoordeling. </w:t>
            </w:r>
            <w:r w:rsidRPr="00FD1605">
              <w:rPr>
                <w:rFonts w:eastAsia="Times New Roman" w:cs="Calibri"/>
                <w:color w:val="000000"/>
                <w:szCs w:val="18"/>
                <w:lang w:val="nl-NL" w:eastAsia="nl-NL"/>
              </w:rPr>
              <w:t xml:space="preserve">De toegangsvereisten worden eenvoudiger. Alvorens inwerkingtreding kan plaatsvinden zullen systemen en werkprocessen moeten worden aangepast. Ook zullen medewerkers moeten worden opgeleid voor de nieuwe werkwijze. </w:t>
            </w:r>
          </w:p>
          <w:p w:rsidRPr="00FD1605" w:rsidR="006F2012" w:rsidP="0076223D" w:rsidRDefault="006F2012" w14:paraId="74E9E014" w14:textId="77777777">
            <w:pPr>
              <w:spacing w:after="0" w:line="240" w:lineRule="auto"/>
              <w:rPr>
                <w:rFonts w:eastAsia="Times New Roman" w:cs="Calibri"/>
                <w:color w:val="000000"/>
                <w:szCs w:val="18"/>
                <w:lang w:val="nl-NL" w:eastAsia="nl-NL"/>
              </w:rPr>
            </w:pPr>
          </w:p>
          <w:p w:rsidRPr="00FD1605" w:rsidR="006F2012" w:rsidP="0076223D" w:rsidRDefault="006F2012" w14:paraId="4B4665D6" w14:textId="77777777">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 xml:space="preserve">Het wegvallen van een aparte </w:t>
            </w:r>
            <w:proofErr w:type="spellStart"/>
            <w:r w:rsidRPr="00FD1605">
              <w:rPr>
                <w:rFonts w:eastAsia="Times New Roman" w:cs="Calibri"/>
                <w:color w:val="000000"/>
                <w:szCs w:val="18"/>
                <w:lang w:val="nl-NL" w:eastAsia="nl-NL"/>
              </w:rPr>
              <w:t>verrekeningssystematiek</w:t>
            </w:r>
            <w:proofErr w:type="spellEnd"/>
            <w:r w:rsidRPr="00FD1605">
              <w:rPr>
                <w:rFonts w:eastAsia="Times New Roman" w:cs="Calibri"/>
                <w:color w:val="000000"/>
                <w:szCs w:val="18"/>
                <w:lang w:val="nl-NL" w:eastAsia="nl-NL"/>
              </w:rPr>
              <w:t xml:space="preserve"> voor de aanvullende toeslag zal een verregaande vereenvoudiging voor de uitvoering</w:t>
            </w:r>
            <w:r>
              <w:rPr>
                <w:rFonts w:eastAsia="Times New Roman" w:cs="Calibri"/>
                <w:color w:val="000000"/>
                <w:szCs w:val="18"/>
                <w:lang w:val="nl-NL" w:eastAsia="nl-NL"/>
              </w:rPr>
              <w:t xml:space="preserve"> van UWV</w:t>
            </w:r>
            <w:r w:rsidRPr="00FD1605">
              <w:rPr>
                <w:rFonts w:eastAsia="Times New Roman" w:cs="Calibri"/>
                <w:color w:val="000000"/>
                <w:szCs w:val="18"/>
                <w:lang w:val="nl-NL" w:eastAsia="nl-NL"/>
              </w:rPr>
              <w:t xml:space="preserve"> betekenen. Dat maakt het ook begrijpelijker voor uitkeringsgerechtigden. </w:t>
            </w:r>
          </w:p>
          <w:p w:rsidRPr="00FD1605" w:rsidR="006F2012" w:rsidP="0076223D" w:rsidRDefault="006F2012" w14:paraId="66BDA545" w14:textId="77777777">
            <w:pPr>
              <w:spacing w:after="0" w:line="240" w:lineRule="auto"/>
              <w:rPr>
                <w:rFonts w:eastAsia="Times New Roman" w:cs="Calibri"/>
                <w:color w:val="000000"/>
                <w:szCs w:val="18"/>
                <w:lang w:val="nl-NL" w:eastAsia="nl-NL"/>
              </w:rPr>
            </w:pPr>
          </w:p>
          <w:p w:rsidRPr="00FD1605" w:rsidR="006F2012" w:rsidP="0076223D" w:rsidRDefault="006F2012" w14:paraId="147A42CD" w14:textId="77777777">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Wanneer de keuze wordt gemaakt om de hoogte van de aanvulling afhankelijk te laten zijn van de leefvorm of kostendelers wordt de complexiteit voor de uitvoering behouden en geïncorporeerd in de basisuitkeringen. Hiervoor moet UWV namelijk alsnog gegevens uitvragen over de leefsituatie, waarbij de al bestaande situatie rondom toetsing en handhaafbaarheid van deze informatie blijft. Dit zou ook betekenen dat UWV de inrichting van de organisatie moet wijzigen, omdat systemen en instructies van de basiswetten niet ingericht zijn op deze begrippen.</w:t>
            </w:r>
          </w:p>
        </w:tc>
      </w:tr>
      <w:tr w:rsidRPr="00EB3835" w:rsidR="006F2012" w:rsidTr="0076223D" w14:paraId="17E80218" w14:textId="77777777">
        <w:trPr>
          <w:trHeight w:val="315"/>
        </w:trPr>
        <w:tc>
          <w:tcPr>
            <w:tcW w:w="2228" w:type="dxa"/>
            <w:tcBorders>
              <w:top w:val="nil"/>
              <w:left w:val="single" w:color="auto" w:sz="8" w:space="0"/>
              <w:bottom w:val="single" w:color="auto" w:sz="8" w:space="0"/>
              <w:right w:val="nil"/>
            </w:tcBorders>
            <w:shd w:val="clear" w:color="auto" w:fill="auto"/>
            <w:noWrap/>
          </w:tcPr>
          <w:p w:rsidRPr="00704454" w:rsidR="006F2012" w:rsidP="0076223D" w:rsidRDefault="006F2012" w14:paraId="03990A09"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Financiële effecten</w:t>
            </w:r>
          </w:p>
        </w:tc>
        <w:tc>
          <w:tcPr>
            <w:tcW w:w="8080" w:type="dxa"/>
            <w:tcBorders>
              <w:top w:val="single" w:color="auto" w:sz="4" w:space="0"/>
              <w:left w:val="single" w:color="auto" w:sz="4" w:space="0"/>
              <w:bottom w:val="single" w:color="auto" w:sz="8" w:space="0"/>
              <w:right w:val="single" w:color="auto" w:sz="4" w:space="0"/>
            </w:tcBorders>
            <w:shd w:val="clear" w:color="auto" w:fill="auto"/>
            <w:noWrap/>
          </w:tcPr>
          <w:p w:rsidRPr="00FD1605" w:rsidR="006F2012" w:rsidP="0076223D" w:rsidRDefault="006F2012" w14:paraId="2122AE26" w14:textId="77777777">
            <w:pPr>
              <w:spacing w:after="0" w:line="240" w:lineRule="auto"/>
              <w:rPr>
                <w:rFonts w:eastAsia="Times New Roman" w:cs="Calibri"/>
                <w:color w:val="000000"/>
                <w:szCs w:val="18"/>
                <w:lang w:val="nl-NL" w:eastAsia="nl-NL"/>
              </w:rPr>
            </w:pPr>
          </w:p>
          <w:tbl>
            <w:tblPr>
              <w:tblStyle w:val="Tabelraster"/>
              <w:tblpPr w:leftFromText="141" w:rightFromText="141" w:vertAnchor="page" w:horzAnchor="margin" w:tblpY="541"/>
              <w:tblOverlap w:val="never"/>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1E0" w:firstRow="1" w:lastRow="1" w:firstColumn="1" w:lastColumn="1" w:noHBand="0" w:noVBand="0"/>
            </w:tblPr>
            <w:tblGrid>
              <w:gridCol w:w="2007"/>
              <w:gridCol w:w="795"/>
              <w:gridCol w:w="795"/>
              <w:gridCol w:w="795"/>
              <w:gridCol w:w="795"/>
              <w:gridCol w:w="795"/>
              <w:gridCol w:w="976"/>
              <w:gridCol w:w="974"/>
            </w:tblGrid>
            <w:tr w:rsidRPr="00EB3835" w:rsidR="00A60E28" w:rsidTr="00A60E28" w14:paraId="74068380" w14:textId="77777777">
              <w:tc>
                <w:tcPr>
                  <w:tcW w:w="1265" w:type="pct"/>
                  <w:tcBorders>
                    <w:top w:val="single" w:color="auto" w:sz="4" w:space="0"/>
                    <w:left w:val="single" w:color="auto" w:sz="4" w:space="0"/>
                  </w:tcBorders>
                </w:tcPr>
                <w:p w:rsidRPr="00FD1605" w:rsidR="00A60E28" w:rsidP="0076223D" w:rsidRDefault="00A60E28" w14:paraId="4A7FA818" w14:textId="77777777">
                  <w:pPr>
                    <w:rPr>
                      <w:rFonts w:ascii="Verdana" w:hAnsi="Verdana"/>
                      <w:b/>
                      <w:sz w:val="18"/>
                      <w:szCs w:val="18"/>
                    </w:rPr>
                  </w:pPr>
                  <w:r w:rsidRPr="00FD1605">
                    <w:rPr>
                      <w:rFonts w:ascii="Verdana" w:hAnsi="Verdana"/>
                      <w:bCs/>
                      <w:i/>
                      <w:iCs/>
                      <w:sz w:val="18"/>
                      <w:szCs w:val="18"/>
                    </w:rPr>
                    <w:t>In miljoenen euro’s</w:t>
                  </w:r>
                </w:p>
              </w:tc>
              <w:tc>
                <w:tcPr>
                  <w:tcW w:w="501" w:type="pct"/>
                  <w:tcBorders>
                    <w:top w:val="single" w:color="auto" w:sz="4" w:space="0"/>
                  </w:tcBorders>
                </w:tcPr>
                <w:p w:rsidRPr="00FD1605" w:rsidR="00A60E28" w:rsidP="0076223D" w:rsidRDefault="00A60E28" w14:paraId="756A5BB5" w14:textId="77777777">
                  <w:pPr>
                    <w:jc w:val="right"/>
                    <w:rPr>
                      <w:rFonts w:ascii="Verdana" w:hAnsi="Verdana"/>
                      <w:b/>
                      <w:bCs/>
                      <w:sz w:val="18"/>
                      <w:szCs w:val="18"/>
                    </w:rPr>
                  </w:pPr>
                  <w:r w:rsidRPr="00FD1605">
                    <w:rPr>
                      <w:rFonts w:ascii="Verdana" w:hAnsi="Verdana"/>
                      <w:b/>
                      <w:bCs/>
                      <w:sz w:val="18"/>
                      <w:szCs w:val="18"/>
                    </w:rPr>
                    <w:t>2026</w:t>
                  </w:r>
                </w:p>
              </w:tc>
              <w:tc>
                <w:tcPr>
                  <w:tcW w:w="501" w:type="pct"/>
                  <w:tcBorders>
                    <w:top w:val="single" w:color="auto" w:sz="4" w:space="0"/>
                  </w:tcBorders>
                </w:tcPr>
                <w:p w:rsidRPr="00FD1605" w:rsidR="00A60E28" w:rsidP="0076223D" w:rsidRDefault="00A60E28" w14:paraId="0C4D16AF" w14:textId="77777777">
                  <w:pPr>
                    <w:jc w:val="right"/>
                    <w:rPr>
                      <w:rFonts w:ascii="Verdana" w:hAnsi="Verdana"/>
                      <w:b/>
                      <w:bCs/>
                      <w:sz w:val="18"/>
                      <w:szCs w:val="18"/>
                    </w:rPr>
                  </w:pPr>
                  <w:r w:rsidRPr="00FD1605">
                    <w:rPr>
                      <w:rFonts w:ascii="Verdana" w:hAnsi="Verdana"/>
                      <w:b/>
                      <w:bCs/>
                      <w:sz w:val="18"/>
                      <w:szCs w:val="18"/>
                    </w:rPr>
                    <w:t>2027</w:t>
                  </w:r>
                </w:p>
              </w:tc>
              <w:tc>
                <w:tcPr>
                  <w:tcW w:w="501" w:type="pct"/>
                  <w:tcBorders>
                    <w:top w:val="single" w:color="auto" w:sz="4" w:space="0"/>
                  </w:tcBorders>
                </w:tcPr>
                <w:p w:rsidRPr="00FD1605" w:rsidR="00A60E28" w:rsidP="0076223D" w:rsidRDefault="00A60E28" w14:paraId="046BE8A8" w14:textId="77777777">
                  <w:pPr>
                    <w:jc w:val="right"/>
                    <w:rPr>
                      <w:rFonts w:ascii="Verdana" w:hAnsi="Verdana"/>
                      <w:b/>
                      <w:bCs/>
                      <w:sz w:val="18"/>
                      <w:szCs w:val="18"/>
                    </w:rPr>
                  </w:pPr>
                  <w:r w:rsidRPr="00FD1605">
                    <w:rPr>
                      <w:rFonts w:ascii="Verdana" w:hAnsi="Verdana"/>
                      <w:b/>
                      <w:bCs/>
                      <w:sz w:val="18"/>
                      <w:szCs w:val="18"/>
                    </w:rPr>
                    <w:t>2028</w:t>
                  </w:r>
                </w:p>
              </w:tc>
              <w:tc>
                <w:tcPr>
                  <w:tcW w:w="501" w:type="pct"/>
                  <w:tcBorders>
                    <w:top w:val="single" w:color="auto" w:sz="4" w:space="0"/>
                  </w:tcBorders>
                </w:tcPr>
                <w:p w:rsidRPr="00FD1605" w:rsidR="00A60E28" w:rsidP="0076223D" w:rsidRDefault="00A60E28" w14:paraId="3AC92789" w14:textId="77777777">
                  <w:pPr>
                    <w:jc w:val="right"/>
                    <w:rPr>
                      <w:rFonts w:ascii="Verdana" w:hAnsi="Verdana"/>
                      <w:b/>
                      <w:bCs/>
                      <w:sz w:val="18"/>
                      <w:szCs w:val="18"/>
                    </w:rPr>
                  </w:pPr>
                  <w:r w:rsidRPr="00FD1605">
                    <w:rPr>
                      <w:rFonts w:ascii="Verdana" w:hAnsi="Verdana"/>
                      <w:b/>
                      <w:bCs/>
                      <w:sz w:val="18"/>
                      <w:szCs w:val="18"/>
                    </w:rPr>
                    <w:t>2029</w:t>
                  </w:r>
                </w:p>
              </w:tc>
              <w:tc>
                <w:tcPr>
                  <w:tcW w:w="501" w:type="pct"/>
                  <w:tcBorders>
                    <w:top w:val="single" w:color="auto" w:sz="4" w:space="0"/>
                  </w:tcBorders>
                </w:tcPr>
                <w:p w:rsidRPr="00FD1605" w:rsidR="00A60E28" w:rsidP="0076223D" w:rsidRDefault="00A60E28" w14:paraId="51FE7694" w14:textId="77777777">
                  <w:pPr>
                    <w:jc w:val="right"/>
                    <w:rPr>
                      <w:rFonts w:ascii="Verdana" w:hAnsi="Verdana"/>
                      <w:b/>
                      <w:bCs/>
                      <w:sz w:val="18"/>
                      <w:szCs w:val="18"/>
                    </w:rPr>
                  </w:pPr>
                  <w:r w:rsidRPr="00FD1605">
                    <w:rPr>
                      <w:rFonts w:ascii="Verdana" w:hAnsi="Verdana"/>
                      <w:b/>
                      <w:bCs/>
                      <w:sz w:val="18"/>
                      <w:szCs w:val="18"/>
                    </w:rPr>
                    <w:t>2030</w:t>
                  </w:r>
                </w:p>
              </w:tc>
              <w:tc>
                <w:tcPr>
                  <w:tcW w:w="615" w:type="pct"/>
                  <w:tcBorders>
                    <w:top w:val="single" w:color="auto" w:sz="4" w:space="0"/>
                  </w:tcBorders>
                </w:tcPr>
                <w:p w:rsidRPr="00A60E28" w:rsidR="00A60E28" w:rsidP="0076223D" w:rsidRDefault="00A60E28" w14:paraId="5C897F55" w14:textId="5C902ED9">
                  <w:pPr>
                    <w:jc w:val="right"/>
                    <w:rPr>
                      <w:rFonts w:ascii="Verdana" w:hAnsi="Verdana"/>
                      <w:b/>
                      <w:bCs/>
                      <w:sz w:val="18"/>
                      <w:szCs w:val="18"/>
                    </w:rPr>
                  </w:pPr>
                  <w:r w:rsidRPr="00A60E28">
                    <w:rPr>
                      <w:rFonts w:ascii="Verdana" w:hAnsi="Verdana"/>
                      <w:b/>
                      <w:bCs/>
                      <w:sz w:val="18"/>
                      <w:szCs w:val="18"/>
                    </w:rPr>
                    <w:t>2031</w:t>
                  </w:r>
                </w:p>
              </w:tc>
              <w:tc>
                <w:tcPr>
                  <w:tcW w:w="614" w:type="pct"/>
                  <w:tcBorders>
                    <w:top w:val="single" w:color="auto" w:sz="4" w:space="0"/>
                  </w:tcBorders>
                </w:tcPr>
                <w:p w:rsidRPr="00FD1605" w:rsidR="00A60E28" w:rsidP="0076223D" w:rsidRDefault="00A60E28" w14:paraId="2A17F45E" w14:textId="4E638F9E">
                  <w:pPr>
                    <w:jc w:val="right"/>
                    <w:rPr>
                      <w:rFonts w:ascii="Verdana" w:hAnsi="Verdana"/>
                      <w:b/>
                      <w:bCs/>
                      <w:sz w:val="18"/>
                      <w:szCs w:val="18"/>
                    </w:rPr>
                  </w:pPr>
                  <w:proofErr w:type="spellStart"/>
                  <w:r w:rsidRPr="00FD1605">
                    <w:rPr>
                      <w:rFonts w:ascii="Verdana" w:hAnsi="Verdana"/>
                      <w:b/>
                      <w:bCs/>
                      <w:sz w:val="18"/>
                      <w:szCs w:val="18"/>
                    </w:rPr>
                    <w:t>Struc</w:t>
                  </w:r>
                  <w:proofErr w:type="spellEnd"/>
                  <w:r w:rsidRPr="00FD1605">
                    <w:rPr>
                      <w:rFonts w:ascii="Verdana" w:hAnsi="Verdana"/>
                      <w:b/>
                      <w:bCs/>
                      <w:sz w:val="18"/>
                      <w:szCs w:val="18"/>
                    </w:rPr>
                    <w:t>.</w:t>
                  </w:r>
                </w:p>
              </w:tc>
            </w:tr>
            <w:tr w:rsidRPr="00EB3835" w:rsidR="00A60E28" w:rsidTr="00A60E28" w14:paraId="310D708B" w14:textId="77777777">
              <w:tc>
                <w:tcPr>
                  <w:tcW w:w="1265" w:type="pct"/>
                </w:tcPr>
                <w:p w:rsidRPr="00FD1605" w:rsidR="00A60E28" w:rsidP="0076223D" w:rsidRDefault="00A60E28" w14:paraId="38EFBF09" w14:textId="77777777">
                  <w:pPr>
                    <w:rPr>
                      <w:rFonts w:ascii="Verdana" w:hAnsi="Verdana"/>
                      <w:sz w:val="18"/>
                      <w:szCs w:val="18"/>
                    </w:rPr>
                  </w:pPr>
                  <w:r w:rsidRPr="00FD1605">
                    <w:rPr>
                      <w:rFonts w:ascii="Verdana" w:hAnsi="Verdana"/>
                      <w:sz w:val="18"/>
                      <w:szCs w:val="18"/>
                    </w:rPr>
                    <w:t>Algemene effecten</w:t>
                  </w:r>
                </w:p>
              </w:tc>
              <w:tc>
                <w:tcPr>
                  <w:tcW w:w="501" w:type="pct"/>
                </w:tcPr>
                <w:p w:rsidRPr="00FD1605" w:rsidR="00A60E28" w:rsidP="0076223D" w:rsidRDefault="00A60E28" w14:paraId="3DE39AAD" w14:textId="77777777">
                  <w:pPr>
                    <w:jc w:val="right"/>
                    <w:rPr>
                      <w:rFonts w:ascii="Verdana" w:hAnsi="Verdana"/>
                      <w:sz w:val="18"/>
                      <w:szCs w:val="18"/>
                    </w:rPr>
                  </w:pPr>
                </w:p>
              </w:tc>
              <w:tc>
                <w:tcPr>
                  <w:tcW w:w="501" w:type="pct"/>
                </w:tcPr>
                <w:p w:rsidRPr="00FD1605" w:rsidR="00A60E28" w:rsidP="0076223D" w:rsidRDefault="00A60E28" w14:paraId="5FB1A9D9" w14:textId="77777777">
                  <w:pPr>
                    <w:jc w:val="right"/>
                    <w:rPr>
                      <w:rFonts w:ascii="Verdana" w:hAnsi="Verdana"/>
                      <w:sz w:val="18"/>
                      <w:szCs w:val="18"/>
                    </w:rPr>
                  </w:pPr>
                </w:p>
              </w:tc>
              <w:tc>
                <w:tcPr>
                  <w:tcW w:w="501" w:type="pct"/>
                </w:tcPr>
                <w:p w:rsidRPr="00FD1605" w:rsidR="00A60E28" w:rsidP="0076223D" w:rsidRDefault="00A60E28" w14:paraId="3DCDE337" w14:textId="77777777">
                  <w:pPr>
                    <w:jc w:val="right"/>
                    <w:rPr>
                      <w:rFonts w:ascii="Verdana" w:hAnsi="Verdana"/>
                      <w:sz w:val="18"/>
                      <w:szCs w:val="18"/>
                    </w:rPr>
                  </w:pPr>
                </w:p>
              </w:tc>
              <w:tc>
                <w:tcPr>
                  <w:tcW w:w="501" w:type="pct"/>
                </w:tcPr>
                <w:p w:rsidRPr="00FD1605" w:rsidR="00A60E28" w:rsidP="0076223D" w:rsidRDefault="00A60E28" w14:paraId="1E9298B6" w14:textId="77777777">
                  <w:pPr>
                    <w:jc w:val="right"/>
                    <w:rPr>
                      <w:rFonts w:ascii="Verdana" w:hAnsi="Verdana"/>
                      <w:sz w:val="18"/>
                      <w:szCs w:val="18"/>
                    </w:rPr>
                  </w:pPr>
                </w:p>
              </w:tc>
              <w:tc>
                <w:tcPr>
                  <w:tcW w:w="501" w:type="pct"/>
                </w:tcPr>
                <w:p w:rsidRPr="00FD1605" w:rsidR="00A60E28" w:rsidP="0076223D" w:rsidRDefault="00A60E28" w14:paraId="78F94EE3" w14:textId="77777777">
                  <w:pPr>
                    <w:jc w:val="right"/>
                    <w:rPr>
                      <w:rFonts w:ascii="Verdana" w:hAnsi="Verdana"/>
                      <w:sz w:val="18"/>
                      <w:szCs w:val="18"/>
                    </w:rPr>
                  </w:pPr>
                </w:p>
              </w:tc>
              <w:tc>
                <w:tcPr>
                  <w:tcW w:w="615" w:type="pct"/>
                </w:tcPr>
                <w:p w:rsidRPr="00FD1605" w:rsidR="00A60E28" w:rsidP="0076223D" w:rsidRDefault="00A60E28" w14:paraId="2C3BB056" w14:textId="77777777">
                  <w:pPr>
                    <w:jc w:val="right"/>
                    <w:rPr>
                      <w:szCs w:val="18"/>
                    </w:rPr>
                  </w:pPr>
                </w:p>
              </w:tc>
              <w:tc>
                <w:tcPr>
                  <w:tcW w:w="614" w:type="pct"/>
                </w:tcPr>
                <w:p w:rsidRPr="00FD1605" w:rsidR="00A60E28" w:rsidP="0076223D" w:rsidRDefault="00A60E28" w14:paraId="0F545354" w14:textId="21E6BF0A">
                  <w:pPr>
                    <w:jc w:val="right"/>
                    <w:rPr>
                      <w:rFonts w:ascii="Verdana" w:hAnsi="Verdana"/>
                      <w:sz w:val="18"/>
                      <w:szCs w:val="18"/>
                    </w:rPr>
                  </w:pPr>
                </w:p>
              </w:tc>
            </w:tr>
            <w:tr w:rsidRPr="00EB3835" w:rsidR="00A60E28" w:rsidTr="00A60E28" w14:paraId="308388FC" w14:textId="77777777">
              <w:tc>
                <w:tcPr>
                  <w:tcW w:w="1265" w:type="pct"/>
                </w:tcPr>
                <w:p w:rsidRPr="00FD1605" w:rsidR="00A60E28" w:rsidP="0076223D" w:rsidRDefault="00A60E28" w14:paraId="6BA352B8" w14:textId="77777777">
                  <w:pPr>
                    <w:rPr>
                      <w:rFonts w:ascii="Verdana" w:hAnsi="Verdana"/>
                      <w:sz w:val="18"/>
                      <w:szCs w:val="18"/>
                    </w:rPr>
                  </w:pPr>
                  <w:r w:rsidRPr="00FD1605">
                    <w:rPr>
                      <w:rFonts w:ascii="Verdana" w:hAnsi="Verdana"/>
                      <w:sz w:val="18"/>
                      <w:szCs w:val="18"/>
                    </w:rPr>
                    <w:t>Weglekeffecten</w:t>
                  </w:r>
                </w:p>
              </w:tc>
              <w:tc>
                <w:tcPr>
                  <w:tcW w:w="501" w:type="pct"/>
                </w:tcPr>
                <w:p w:rsidRPr="00FD1605" w:rsidR="00A60E28" w:rsidP="0076223D" w:rsidRDefault="00A60E28" w14:paraId="4146FF6B" w14:textId="77777777">
                  <w:pPr>
                    <w:jc w:val="right"/>
                    <w:rPr>
                      <w:rFonts w:ascii="Verdana" w:hAnsi="Verdana"/>
                      <w:sz w:val="18"/>
                      <w:szCs w:val="18"/>
                    </w:rPr>
                  </w:pPr>
                </w:p>
              </w:tc>
              <w:tc>
                <w:tcPr>
                  <w:tcW w:w="501" w:type="pct"/>
                </w:tcPr>
                <w:p w:rsidRPr="00FD1605" w:rsidR="00A60E28" w:rsidP="0076223D" w:rsidRDefault="00A60E28" w14:paraId="5BC193CC" w14:textId="77777777">
                  <w:pPr>
                    <w:jc w:val="right"/>
                    <w:rPr>
                      <w:rFonts w:ascii="Verdana" w:hAnsi="Verdana"/>
                      <w:sz w:val="18"/>
                      <w:szCs w:val="18"/>
                    </w:rPr>
                  </w:pPr>
                </w:p>
              </w:tc>
              <w:tc>
                <w:tcPr>
                  <w:tcW w:w="501" w:type="pct"/>
                </w:tcPr>
                <w:p w:rsidRPr="00FD1605" w:rsidR="00A60E28" w:rsidP="0076223D" w:rsidRDefault="00A60E28" w14:paraId="2C4FD07A" w14:textId="77777777">
                  <w:pPr>
                    <w:jc w:val="right"/>
                    <w:rPr>
                      <w:rFonts w:ascii="Verdana" w:hAnsi="Verdana"/>
                      <w:sz w:val="18"/>
                      <w:szCs w:val="18"/>
                    </w:rPr>
                  </w:pPr>
                </w:p>
              </w:tc>
              <w:tc>
                <w:tcPr>
                  <w:tcW w:w="501" w:type="pct"/>
                </w:tcPr>
                <w:p w:rsidRPr="00FD1605" w:rsidR="00A60E28" w:rsidP="0076223D" w:rsidRDefault="00A60E28" w14:paraId="0CFDAA38" w14:textId="77777777">
                  <w:pPr>
                    <w:jc w:val="right"/>
                    <w:rPr>
                      <w:rFonts w:ascii="Verdana" w:hAnsi="Verdana"/>
                      <w:sz w:val="18"/>
                      <w:szCs w:val="18"/>
                    </w:rPr>
                  </w:pPr>
                </w:p>
              </w:tc>
              <w:tc>
                <w:tcPr>
                  <w:tcW w:w="501" w:type="pct"/>
                </w:tcPr>
                <w:p w:rsidRPr="00FD1605" w:rsidR="00A60E28" w:rsidP="0076223D" w:rsidRDefault="00A60E28" w14:paraId="7A77EE46" w14:textId="77777777">
                  <w:pPr>
                    <w:jc w:val="right"/>
                    <w:rPr>
                      <w:rFonts w:ascii="Verdana" w:hAnsi="Verdana"/>
                      <w:sz w:val="18"/>
                      <w:szCs w:val="18"/>
                    </w:rPr>
                  </w:pPr>
                </w:p>
              </w:tc>
              <w:tc>
                <w:tcPr>
                  <w:tcW w:w="615" w:type="pct"/>
                </w:tcPr>
                <w:p w:rsidRPr="00FD1605" w:rsidR="00A60E28" w:rsidP="0076223D" w:rsidRDefault="00A60E28" w14:paraId="5D98DA97" w14:textId="77777777">
                  <w:pPr>
                    <w:jc w:val="right"/>
                    <w:rPr>
                      <w:szCs w:val="18"/>
                    </w:rPr>
                  </w:pPr>
                </w:p>
              </w:tc>
              <w:tc>
                <w:tcPr>
                  <w:tcW w:w="614" w:type="pct"/>
                </w:tcPr>
                <w:p w:rsidRPr="00FD1605" w:rsidR="00A60E28" w:rsidP="0076223D" w:rsidRDefault="00A60E28" w14:paraId="65FCDBA7" w14:textId="08E89495">
                  <w:pPr>
                    <w:jc w:val="right"/>
                    <w:rPr>
                      <w:rFonts w:ascii="Verdana" w:hAnsi="Verdana"/>
                      <w:sz w:val="18"/>
                      <w:szCs w:val="18"/>
                    </w:rPr>
                  </w:pPr>
                </w:p>
              </w:tc>
            </w:tr>
            <w:tr w:rsidRPr="00EB3835" w:rsidR="00A60E28" w:rsidTr="00A60E28" w14:paraId="668288CA" w14:textId="77777777">
              <w:tc>
                <w:tcPr>
                  <w:tcW w:w="1265" w:type="pct"/>
                </w:tcPr>
                <w:p w:rsidRPr="00FD1605" w:rsidR="00A60E28" w:rsidP="0076223D" w:rsidRDefault="00A60E28" w14:paraId="412AF3EE" w14:textId="77777777">
                  <w:pPr>
                    <w:rPr>
                      <w:rFonts w:ascii="Verdana" w:hAnsi="Verdana"/>
                      <w:sz w:val="18"/>
                      <w:szCs w:val="18"/>
                    </w:rPr>
                  </w:pPr>
                  <w:r w:rsidRPr="00FD1605">
                    <w:rPr>
                      <w:rFonts w:ascii="Verdana" w:hAnsi="Verdana"/>
                      <w:sz w:val="18"/>
                      <w:szCs w:val="18"/>
                    </w:rPr>
                    <w:t>Uitvoeringskosten</w:t>
                  </w:r>
                </w:p>
              </w:tc>
              <w:tc>
                <w:tcPr>
                  <w:tcW w:w="501" w:type="pct"/>
                </w:tcPr>
                <w:p w:rsidRPr="00FD1605" w:rsidR="00A60E28" w:rsidP="0076223D" w:rsidRDefault="00A60E28" w14:paraId="595C7E14" w14:textId="77777777">
                  <w:pPr>
                    <w:jc w:val="right"/>
                    <w:rPr>
                      <w:rFonts w:ascii="Verdana" w:hAnsi="Verdana"/>
                      <w:sz w:val="18"/>
                      <w:szCs w:val="18"/>
                    </w:rPr>
                  </w:pPr>
                </w:p>
              </w:tc>
              <w:tc>
                <w:tcPr>
                  <w:tcW w:w="501" w:type="pct"/>
                </w:tcPr>
                <w:p w:rsidRPr="00FD1605" w:rsidR="00A60E28" w:rsidP="0076223D" w:rsidRDefault="00A60E28" w14:paraId="4C5DAF4A" w14:textId="77777777">
                  <w:pPr>
                    <w:jc w:val="right"/>
                    <w:rPr>
                      <w:rFonts w:ascii="Verdana" w:hAnsi="Verdana"/>
                      <w:sz w:val="18"/>
                      <w:szCs w:val="18"/>
                    </w:rPr>
                  </w:pPr>
                </w:p>
              </w:tc>
              <w:tc>
                <w:tcPr>
                  <w:tcW w:w="501" w:type="pct"/>
                </w:tcPr>
                <w:p w:rsidRPr="00FD1605" w:rsidR="00A60E28" w:rsidP="0076223D" w:rsidRDefault="00A60E28" w14:paraId="411A848C" w14:textId="77777777">
                  <w:pPr>
                    <w:jc w:val="right"/>
                    <w:rPr>
                      <w:rFonts w:ascii="Verdana" w:hAnsi="Verdana"/>
                      <w:sz w:val="18"/>
                      <w:szCs w:val="18"/>
                    </w:rPr>
                  </w:pPr>
                </w:p>
              </w:tc>
              <w:tc>
                <w:tcPr>
                  <w:tcW w:w="501" w:type="pct"/>
                </w:tcPr>
                <w:p w:rsidRPr="00FD1605" w:rsidR="00A60E28" w:rsidP="0076223D" w:rsidRDefault="00A60E28" w14:paraId="315BC075" w14:textId="77777777">
                  <w:pPr>
                    <w:jc w:val="right"/>
                    <w:rPr>
                      <w:rFonts w:ascii="Verdana" w:hAnsi="Verdana"/>
                      <w:sz w:val="18"/>
                      <w:szCs w:val="18"/>
                    </w:rPr>
                  </w:pPr>
                </w:p>
              </w:tc>
              <w:tc>
                <w:tcPr>
                  <w:tcW w:w="501" w:type="pct"/>
                </w:tcPr>
                <w:p w:rsidRPr="00FD1605" w:rsidR="00A60E28" w:rsidP="0076223D" w:rsidRDefault="00A60E28" w14:paraId="27F31AED" w14:textId="77777777">
                  <w:pPr>
                    <w:jc w:val="right"/>
                    <w:rPr>
                      <w:rFonts w:ascii="Verdana" w:hAnsi="Verdana"/>
                      <w:sz w:val="18"/>
                      <w:szCs w:val="18"/>
                    </w:rPr>
                  </w:pPr>
                </w:p>
              </w:tc>
              <w:tc>
                <w:tcPr>
                  <w:tcW w:w="615" w:type="pct"/>
                </w:tcPr>
                <w:p w:rsidRPr="00FD1605" w:rsidR="00A60E28" w:rsidP="0076223D" w:rsidRDefault="00A60E28" w14:paraId="37C592B5" w14:textId="77777777">
                  <w:pPr>
                    <w:jc w:val="right"/>
                    <w:rPr>
                      <w:szCs w:val="18"/>
                    </w:rPr>
                  </w:pPr>
                </w:p>
              </w:tc>
              <w:tc>
                <w:tcPr>
                  <w:tcW w:w="614" w:type="pct"/>
                </w:tcPr>
                <w:p w:rsidRPr="00FD1605" w:rsidR="00A60E28" w:rsidP="0076223D" w:rsidRDefault="00A60E28" w14:paraId="345CC872" w14:textId="4C06B11D">
                  <w:pPr>
                    <w:jc w:val="right"/>
                    <w:rPr>
                      <w:rFonts w:ascii="Verdana" w:hAnsi="Verdana"/>
                      <w:sz w:val="18"/>
                      <w:szCs w:val="18"/>
                    </w:rPr>
                  </w:pPr>
                </w:p>
              </w:tc>
            </w:tr>
            <w:tr w:rsidRPr="00EB3835" w:rsidR="00A60E28" w:rsidTr="00A60E28" w14:paraId="29D2EFDE" w14:textId="77777777">
              <w:tc>
                <w:tcPr>
                  <w:tcW w:w="1265" w:type="pct"/>
                </w:tcPr>
                <w:p w:rsidRPr="00FD1605" w:rsidR="00A60E28" w:rsidP="0076223D" w:rsidRDefault="00A60E28" w14:paraId="38C6A33F" w14:textId="77777777">
                  <w:pPr>
                    <w:rPr>
                      <w:rFonts w:ascii="Verdana" w:hAnsi="Verdana"/>
                      <w:sz w:val="18"/>
                      <w:szCs w:val="18"/>
                    </w:rPr>
                  </w:pPr>
                </w:p>
              </w:tc>
              <w:tc>
                <w:tcPr>
                  <w:tcW w:w="501" w:type="pct"/>
                </w:tcPr>
                <w:p w:rsidRPr="00FD1605" w:rsidR="00A60E28" w:rsidP="0076223D" w:rsidRDefault="00A60E28" w14:paraId="16EF80BD" w14:textId="77777777">
                  <w:pPr>
                    <w:jc w:val="right"/>
                    <w:rPr>
                      <w:rFonts w:ascii="Verdana" w:hAnsi="Verdana"/>
                      <w:sz w:val="18"/>
                      <w:szCs w:val="18"/>
                    </w:rPr>
                  </w:pPr>
                </w:p>
              </w:tc>
              <w:tc>
                <w:tcPr>
                  <w:tcW w:w="501" w:type="pct"/>
                </w:tcPr>
                <w:p w:rsidRPr="00FD1605" w:rsidR="00A60E28" w:rsidP="0076223D" w:rsidRDefault="00A60E28" w14:paraId="7D2A938B" w14:textId="77777777">
                  <w:pPr>
                    <w:jc w:val="right"/>
                    <w:rPr>
                      <w:rFonts w:ascii="Verdana" w:hAnsi="Verdana"/>
                      <w:sz w:val="18"/>
                      <w:szCs w:val="18"/>
                    </w:rPr>
                  </w:pPr>
                </w:p>
              </w:tc>
              <w:tc>
                <w:tcPr>
                  <w:tcW w:w="501" w:type="pct"/>
                </w:tcPr>
                <w:p w:rsidRPr="00FD1605" w:rsidR="00A60E28" w:rsidP="0076223D" w:rsidRDefault="00A60E28" w14:paraId="656B473C" w14:textId="77777777">
                  <w:pPr>
                    <w:jc w:val="right"/>
                    <w:rPr>
                      <w:rFonts w:ascii="Verdana" w:hAnsi="Verdana"/>
                      <w:sz w:val="18"/>
                      <w:szCs w:val="18"/>
                    </w:rPr>
                  </w:pPr>
                </w:p>
              </w:tc>
              <w:tc>
                <w:tcPr>
                  <w:tcW w:w="501" w:type="pct"/>
                </w:tcPr>
                <w:p w:rsidRPr="00FD1605" w:rsidR="00A60E28" w:rsidP="0076223D" w:rsidRDefault="00A60E28" w14:paraId="5F98BFDB" w14:textId="77777777">
                  <w:pPr>
                    <w:jc w:val="right"/>
                    <w:rPr>
                      <w:rFonts w:ascii="Verdana" w:hAnsi="Verdana"/>
                      <w:sz w:val="18"/>
                      <w:szCs w:val="18"/>
                    </w:rPr>
                  </w:pPr>
                </w:p>
              </w:tc>
              <w:tc>
                <w:tcPr>
                  <w:tcW w:w="501" w:type="pct"/>
                </w:tcPr>
                <w:p w:rsidRPr="00FD1605" w:rsidR="00A60E28" w:rsidP="0076223D" w:rsidRDefault="00A60E28" w14:paraId="02052674" w14:textId="77777777">
                  <w:pPr>
                    <w:jc w:val="right"/>
                    <w:rPr>
                      <w:rFonts w:ascii="Verdana" w:hAnsi="Verdana"/>
                      <w:sz w:val="18"/>
                      <w:szCs w:val="18"/>
                    </w:rPr>
                  </w:pPr>
                </w:p>
              </w:tc>
              <w:tc>
                <w:tcPr>
                  <w:tcW w:w="615" w:type="pct"/>
                </w:tcPr>
                <w:p w:rsidRPr="00FD1605" w:rsidR="00A60E28" w:rsidP="0076223D" w:rsidRDefault="00A60E28" w14:paraId="7A862709" w14:textId="77777777">
                  <w:pPr>
                    <w:jc w:val="right"/>
                    <w:rPr>
                      <w:szCs w:val="18"/>
                    </w:rPr>
                  </w:pPr>
                </w:p>
              </w:tc>
              <w:tc>
                <w:tcPr>
                  <w:tcW w:w="614" w:type="pct"/>
                </w:tcPr>
                <w:p w:rsidRPr="00FD1605" w:rsidR="00A60E28" w:rsidP="0076223D" w:rsidRDefault="00A60E28" w14:paraId="1AA0E737" w14:textId="3199F62F">
                  <w:pPr>
                    <w:jc w:val="right"/>
                    <w:rPr>
                      <w:rFonts w:ascii="Verdana" w:hAnsi="Verdana"/>
                      <w:sz w:val="18"/>
                      <w:szCs w:val="18"/>
                    </w:rPr>
                  </w:pPr>
                </w:p>
              </w:tc>
            </w:tr>
            <w:tr w:rsidRPr="00EB3835" w:rsidR="00A60E28" w:rsidTr="00A60E28" w14:paraId="2987E4DF" w14:textId="77777777">
              <w:tc>
                <w:tcPr>
                  <w:tcW w:w="1265" w:type="pct"/>
                </w:tcPr>
                <w:p w:rsidRPr="00FD1605" w:rsidR="00A60E28" w:rsidP="0076223D" w:rsidRDefault="00A60E28" w14:paraId="1C48DBB0" w14:textId="77777777">
                  <w:pPr>
                    <w:rPr>
                      <w:rFonts w:ascii="Verdana" w:hAnsi="Verdana"/>
                      <w:b/>
                      <w:bCs/>
                      <w:sz w:val="18"/>
                      <w:szCs w:val="18"/>
                    </w:rPr>
                  </w:pPr>
                  <w:r w:rsidRPr="00FD1605">
                    <w:rPr>
                      <w:rFonts w:ascii="Verdana" w:hAnsi="Verdana"/>
                      <w:b/>
                      <w:bCs/>
                      <w:sz w:val="18"/>
                      <w:szCs w:val="18"/>
                    </w:rPr>
                    <w:t>Totaal</w:t>
                  </w:r>
                </w:p>
              </w:tc>
              <w:tc>
                <w:tcPr>
                  <w:tcW w:w="501" w:type="pct"/>
                </w:tcPr>
                <w:p w:rsidRPr="00FD1605" w:rsidR="00A60E28" w:rsidP="0076223D" w:rsidRDefault="00A60E28" w14:paraId="289C12D6" w14:textId="77777777">
                  <w:pPr>
                    <w:jc w:val="right"/>
                    <w:rPr>
                      <w:rFonts w:ascii="Verdana" w:hAnsi="Verdana"/>
                      <w:b/>
                      <w:bCs/>
                      <w:sz w:val="18"/>
                      <w:szCs w:val="18"/>
                    </w:rPr>
                  </w:pPr>
                </w:p>
              </w:tc>
              <w:tc>
                <w:tcPr>
                  <w:tcW w:w="501" w:type="pct"/>
                </w:tcPr>
                <w:p w:rsidRPr="00FD1605" w:rsidR="00A60E28" w:rsidP="0076223D" w:rsidRDefault="00A60E28" w14:paraId="068B700A" w14:textId="77777777">
                  <w:pPr>
                    <w:jc w:val="right"/>
                    <w:rPr>
                      <w:rFonts w:ascii="Verdana" w:hAnsi="Verdana"/>
                      <w:b/>
                      <w:bCs/>
                      <w:sz w:val="18"/>
                      <w:szCs w:val="18"/>
                    </w:rPr>
                  </w:pPr>
                </w:p>
              </w:tc>
              <w:tc>
                <w:tcPr>
                  <w:tcW w:w="501" w:type="pct"/>
                </w:tcPr>
                <w:p w:rsidRPr="00FD1605" w:rsidR="00A60E28" w:rsidP="0076223D" w:rsidRDefault="00A60E28" w14:paraId="2E55F05F" w14:textId="77777777">
                  <w:pPr>
                    <w:jc w:val="right"/>
                    <w:rPr>
                      <w:rFonts w:ascii="Verdana" w:hAnsi="Verdana"/>
                      <w:b/>
                      <w:bCs/>
                      <w:sz w:val="18"/>
                      <w:szCs w:val="18"/>
                    </w:rPr>
                  </w:pPr>
                </w:p>
              </w:tc>
              <w:tc>
                <w:tcPr>
                  <w:tcW w:w="501" w:type="pct"/>
                </w:tcPr>
                <w:p w:rsidRPr="00FD1605" w:rsidR="00A60E28" w:rsidP="0076223D" w:rsidRDefault="00A60E28" w14:paraId="31F343F4" w14:textId="77777777">
                  <w:pPr>
                    <w:jc w:val="right"/>
                    <w:rPr>
                      <w:rFonts w:ascii="Verdana" w:hAnsi="Verdana"/>
                      <w:b/>
                      <w:bCs/>
                      <w:sz w:val="18"/>
                      <w:szCs w:val="18"/>
                    </w:rPr>
                  </w:pPr>
                </w:p>
              </w:tc>
              <w:tc>
                <w:tcPr>
                  <w:tcW w:w="501" w:type="pct"/>
                </w:tcPr>
                <w:p w:rsidRPr="00FD1605" w:rsidR="00A60E28" w:rsidP="0076223D" w:rsidRDefault="00A60E28" w14:paraId="5C82C081" w14:textId="77777777">
                  <w:pPr>
                    <w:jc w:val="right"/>
                    <w:rPr>
                      <w:rFonts w:ascii="Verdana" w:hAnsi="Verdana"/>
                      <w:b/>
                      <w:bCs/>
                      <w:sz w:val="18"/>
                      <w:szCs w:val="18"/>
                    </w:rPr>
                  </w:pPr>
                </w:p>
              </w:tc>
              <w:tc>
                <w:tcPr>
                  <w:tcW w:w="615" w:type="pct"/>
                </w:tcPr>
                <w:p w:rsidRPr="00FD1605" w:rsidR="00A60E28" w:rsidP="0076223D" w:rsidRDefault="00A60E28" w14:paraId="68E9F96C" w14:textId="77777777">
                  <w:pPr>
                    <w:jc w:val="right"/>
                    <w:rPr>
                      <w:b/>
                      <w:bCs/>
                      <w:szCs w:val="18"/>
                    </w:rPr>
                  </w:pPr>
                </w:p>
              </w:tc>
              <w:tc>
                <w:tcPr>
                  <w:tcW w:w="614" w:type="pct"/>
                </w:tcPr>
                <w:p w:rsidRPr="00FD1605" w:rsidR="00A60E28" w:rsidP="0076223D" w:rsidRDefault="00A60E28" w14:paraId="1F1FFF0A" w14:textId="07948CCB">
                  <w:pPr>
                    <w:jc w:val="right"/>
                    <w:rPr>
                      <w:rFonts w:ascii="Verdana" w:hAnsi="Verdana"/>
                      <w:b/>
                      <w:bCs/>
                      <w:sz w:val="18"/>
                      <w:szCs w:val="18"/>
                    </w:rPr>
                  </w:pPr>
                </w:p>
              </w:tc>
            </w:tr>
          </w:tbl>
          <w:p w:rsidRPr="00FD1605" w:rsidR="006F2012" w:rsidP="0076223D" w:rsidRDefault="006F2012" w14:paraId="5D64085D" w14:textId="77777777">
            <w:pPr>
              <w:spacing w:after="0" w:line="240" w:lineRule="auto"/>
              <w:rPr>
                <w:rFonts w:eastAsia="Times New Roman" w:cs="Calibri"/>
                <w:color w:val="000000"/>
                <w:szCs w:val="18"/>
                <w:lang w:val="nl-NL" w:eastAsia="nl-NL"/>
              </w:rPr>
            </w:pPr>
          </w:p>
          <w:p w:rsidRPr="00FD1605" w:rsidR="006F2012" w:rsidP="0076223D" w:rsidRDefault="006F2012" w14:paraId="61A1D151" w14:textId="77777777">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 xml:space="preserve">Het budgettaire effect is exclusief uitvoeringskosten. </w:t>
            </w:r>
          </w:p>
        </w:tc>
      </w:tr>
      <w:tr w:rsidRPr="003F0A09" w:rsidR="006F2012" w:rsidTr="0076223D" w14:paraId="5B918F68" w14:textId="77777777">
        <w:trPr>
          <w:trHeight w:val="315"/>
        </w:trPr>
        <w:tc>
          <w:tcPr>
            <w:tcW w:w="2228" w:type="dxa"/>
            <w:tcBorders>
              <w:top w:val="nil"/>
              <w:left w:val="single" w:color="auto" w:sz="8" w:space="0"/>
              <w:bottom w:val="single" w:color="auto" w:sz="8" w:space="0"/>
              <w:right w:val="nil"/>
            </w:tcBorders>
            <w:shd w:val="clear" w:color="auto" w:fill="auto"/>
            <w:noWrap/>
          </w:tcPr>
          <w:p w:rsidRPr="00704454" w:rsidR="006F2012" w:rsidP="0076223D" w:rsidRDefault="006F2012" w14:paraId="3AA51B40"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Toelichting raming</w:t>
            </w:r>
          </w:p>
        </w:tc>
        <w:tc>
          <w:tcPr>
            <w:tcW w:w="8080" w:type="dxa"/>
            <w:tcBorders>
              <w:top w:val="single" w:color="auto" w:sz="4" w:space="0"/>
              <w:left w:val="single" w:color="auto" w:sz="4" w:space="0"/>
              <w:bottom w:val="single" w:color="auto" w:sz="8" w:space="0"/>
              <w:right w:val="single" w:color="auto" w:sz="4" w:space="0"/>
            </w:tcBorders>
            <w:shd w:val="clear" w:color="auto" w:fill="auto"/>
            <w:noWrap/>
          </w:tcPr>
          <w:p w:rsidRPr="00FD1605" w:rsidR="006F2012" w:rsidP="0076223D" w:rsidRDefault="006F2012" w14:paraId="6B13397E" w14:textId="36B46B6A">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 xml:space="preserve">Het afschaffen van de TW en ophogen van de basiswetten is een grote wijziging. Voorwaarden zoals een toets op gezinsinkomen en de aanwezigheid van jonge kinderen wordt losgelaten. Aanvullend op het individualiseren van de TW zou er met deze maatregel geen niet-gebruik meer zijn. Een ingrijpende wijziging brengt meer onzekerheid met zich mee voor de raming. De extra uitgaven worden geschat op </w:t>
            </w:r>
            <w:r w:rsidRPr="00FD1605">
              <w:rPr>
                <w:rFonts w:eastAsia="Times New Roman" w:cs="Calibri"/>
                <w:b/>
                <w:bCs/>
                <w:color w:val="000000"/>
                <w:szCs w:val="18"/>
                <w:lang w:val="nl-NL" w:eastAsia="nl-NL"/>
              </w:rPr>
              <w:t xml:space="preserve">ongeveer € 1,5 tot € </w:t>
            </w:r>
            <w:r w:rsidR="00495CCD">
              <w:rPr>
                <w:rFonts w:eastAsia="Times New Roman" w:cs="Calibri"/>
                <w:b/>
                <w:bCs/>
                <w:color w:val="000000"/>
                <w:szCs w:val="18"/>
                <w:lang w:val="nl-NL" w:eastAsia="nl-NL"/>
              </w:rPr>
              <w:t>2,0</w:t>
            </w:r>
            <w:r w:rsidRPr="00FD1605">
              <w:rPr>
                <w:rFonts w:eastAsia="Times New Roman" w:cs="Calibri"/>
                <w:b/>
                <w:bCs/>
                <w:color w:val="000000"/>
                <w:szCs w:val="18"/>
                <w:lang w:val="nl-NL" w:eastAsia="nl-NL"/>
              </w:rPr>
              <w:t xml:space="preserve"> miljard per jaar</w:t>
            </w:r>
            <w:r w:rsidRPr="00FD1605">
              <w:rPr>
                <w:rFonts w:eastAsia="Times New Roman" w:cs="Calibri"/>
                <w:color w:val="000000"/>
                <w:szCs w:val="18"/>
                <w:lang w:val="nl-NL" w:eastAsia="nl-NL"/>
              </w:rPr>
              <w:t>. Dit is exclusief een effect op de uitvoeringskosten van UWV. Deze zouden in een uitvoeringstoets uitgezocht moeten worden.</w:t>
            </w:r>
          </w:p>
        </w:tc>
      </w:tr>
      <w:tr w:rsidRPr="00EB3835" w:rsidR="006F2012" w:rsidTr="0076223D" w14:paraId="292CDDBB" w14:textId="77777777">
        <w:trPr>
          <w:trHeight w:val="315"/>
        </w:trPr>
        <w:tc>
          <w:tcPr>
            <w:tcW w:w="2228" w:type="dxa"/>
            <w:tcBorders>
              <w:top w:val="nil"/>
              <w:left w:val="single" w:color="auto" w:sz="8" w:space="0"/>
              <w:bottom w:val="single" w:color="auto" w:sz="8" w:space="0"/>
              <w:right w:val="nil"/>
            </w:tcBorders>
            <w:shd w:val="clear" w:color="auto" w:fill="auto"/>
            <w:noWrap/>
          </w:tcPr>
          <w:p w:rsidRPr="00704454" w:rsidR="006F2012" w:rsidP="0076223D" w:rsidRDefault="006F2012" w14:paraId="7A3773B3"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Inkomens-</w:t>
            </w:r>
          </w:p>
          <w:p w:rsidRPr="00704454" w:rsidR="006F2012" w:rsidP="0076223D" w:rsidRDefault="006F2012" w14:paraId="3C5EA1F3"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effecten</w:t>
            </w:r>
          </w:p>
        </w:tc>
        <w:tc>
          <w:tcPr>
            <w:tcW w:w="8080" w:type="dxa"/>
            <w:tcBorders>
              <w:top w:val="single" w:color="auto" w:sz="4" w:space="0"/>
              <w:left w:val="single" w:color="auto" w:sz="4" w:space="0"/>
              <w:bottom w:val="single" w:color="auto" w:sz="8" w:space="0"/>
              <w:right w:val="single" w:color="auto" w:sz="4" w:space="0"/>
            </w:tcBorders>
            <w:shd w:val="clear" w:color="auto" w:fill="auto"/>
            <w:noWrap/>
          </w:tcPr>
          <w:p w:rsidR="006F2012" w:rsidP="0076223D" w:rsidRDefault="006F2012" w14:paraId="1577ADF0" w14:textId="23C0454C">
            <w:pPr>
              <w:spacing w:after="0" w:line="240" w:lineRule="auto"/>
              <w:rPr>
                <w:rFonts w:eastAsia="Times New Roman"/>
                <w:szCs w:val="18"/>
                <w:lang w:val="nl-NL"/>
              </w:rPr>
            </w:pPr>
            <w:r>
              <w:rPr>
                <w:rFonts w:eastAsia="Times New Roman"/>
                <w:szCs w:val="18"/>
                <w:lang w:val="nl-NL"/>
              </w:rPr>
              <w:t>Alleenstaande u</w:t>
            </w:r>
            <w:r w:rsidRPr="00FD1605">
              <w:rPr>
                <w:rFonts w:eastAsia="Times New Roman"/>
                <w:szCs w:val="18"/>
                <w:lang w:val="nl-NL"/>
              </w:rPr>
              <w:t xml:space="preserve">itkeringsgerechtigden met een basisuitkering plus aanvullende toeslag zullen in een vergelijkbare inkomenssituatie blijven. </w:t>
            </w:r>
            <w:r w:rsidR="005C0014">
              <w:rPr>
                <w:rFonts w:eastAsia="Times New Roman"/>
                <w:szCs w:val="18"/>
                <w:lang w:val="nl-NL"/>
              </w:rPr>
              <w:t>Alleenstaanden</w:t>
            </w:r>
            <w:r w:rsidRPr="00FD1605" w:rsidR="005C0014">
              <w:rPr>
                <w:rFonts w:eastAsia="Times New Roman"/>
                <w:szCs w:val="18"/>
                <w:lang w:val="nl-NL"/>
              </w:rPr>
              <w:t xml:space="preserve"> </w:t>
            </w:r>
            <w:r w:rsidRPr="00FD1605">
              <w:rPr>
                <w:rFonts w:eastAsia="Times New Roman"/>
                <w:szCs w:val="18"/>
                <w:lang w:val="nl-NL"/>
              </w:rPr>
              <w:t xml:space="preserve">die eerder geen toeslag </w:t>
            </w:r>
            <w:r>
              <w:rPr>
                <w:rFonts w:eastAsia="Times New Roman"/>
                <w:szCs w:val="18"/>
                <w:lang w:val="nl-NL"/>
              </w:rPr>
              <w:t>kregen</w:t>
            </w:r>
            <w:r w:rsidRPr="00FD1605">
              <w:rPr>
                <w:rFonts w:eastAsia="Times New Roman"/>
                <w:szCs w:val="18"/>
                <w:lang w:val="nl-NL"/>
              </w:rPr>
              <w:t xml:space="preserve">, </w:t>
            </w:r>
            <w:r>
              <w:rPr>
                <w:rFonts w:eastAsia="Times New Roman"/>
                <w:szCs w:val="18"/>
                <w:lang w:val="nl-NL"/>
              </w:rPr>
              <w:t>omdat zij daar geen recht op hadden of</w:t>
            </w:r>
            <w:r w:rsidRPr="00FD1605" w:rsidDel="0064173A">
              <w:rPr>
                <w:rFonts w:eastAsia="Times New Roman"/>
                <w:szCs w:val="18"/>
                <w:lang w:val="nl-NL"/>
              </w:rPr>
              <w:t xml:space="preserve"> </w:t>
            </w:r>
            <w:r w:rsidRPr="00FD1605">
              <w:rPr>
                <w:rFonts w:eastAsia="Times New Roman"/>
                <w:szCs w:val="18"/>
                <w:lang w:val="nl-NL"/>
              </w:rPr>
              <w:t xml:space="preserve">door onbekendheid met de regeling, zullen er in inkomen op vooruitgaan doordat </w:t>
            </w:r>
            <w:r>
              <w:rPr>
                <w:rFonts w:eastAsia="Times New Roman"/>
                <w:szCs w:val="18"/>
                <w:lang w:val="nl-NL"/>
              </w:rPr>
              <w:t>ze automatisch een hogere basisuitkering gaan krijgen.</w:t>
            </w:r>
          </w:p>
          <w:p w:rsidR="006F2012" w:rsidP="0076223D" w:rsidRDefault="006F2012" w14:paraId="2B588EAE" w14:textId="77777777">
            <w:pPr>
              <w:spacing w:after="0" w:line="240" w:lineRule="auto"/>
              <w:rPr>
                <w:rFonts w:eastAsia="Times New Roman"/>
                <w:szCs w:val="18"/>
                <w:lang w:val="nl-NL"/>
              </w:rPr>
            </w:pPr>
          </w:p>
          <w:p w:rsidR="006F2012" w:rsidP="0076223D" w:rsidRDefault="006F2012" w14:paraId="7F666F6A" w14:textId="77777777">
            <w:pPr>
              <w:spacing w:after="0" w:line="240" w:lineRule="auto"/>
              <w:rPr>
                <w:rFonts w:eastAsia="Times New Roman"/>
                <w:szCs w:val="18"/>
                <w:lang w:val="nl-NL"/>
              </w:rPr>
            </w:pPr>
            <w:r>
              <w:rPr>
                <w:rFonts w:eastAsia="Times New Roman"/>
                <w:szCs w:val="18"/>
                <w:lang w:val="nl-NL"/>
              </w:rPr>
              <w:t xml:space="preserve">Omdat de basiswetuitkering een individuele uitkering is, </w:t>
            </w:r>
            <w:r w:rsidRPr="00FD1605">
              <w:rPr>
                <w:rFonts w:eastAsia="Times New Roman" w:cs="Calibri"/>
                <w:color w:val="000000"/>
                <w:szCs w:val="18"/>
                <w:lang w:val="nl-NL" w:eastAsia="nl-NL"/>
              </w:rPr>
              <w:t xml:space="preserve">kan binnen een huishouden het gezinsinkomen </w:t>
            </w:r>
            <w:r>
              <w:rPr>
                <w:rFonts w:eastAsia="Times New Roman" w:cs="Calibri"/>
                <w:color w:val="000000"/>
                <w:szCs w:val="18"/>
                <w:lang w:val="nl-NL" w:eastAsia="nl-NL"/>
              </w:rPr>
              <w:t>hoger worden als</w:t>
            </w:r>
            <w:r w:rsidRPr="00FD1605">
              <w:rPr>
                <w:rFonts w:eastAsia="Times New Roman" w:cs="Calibri"/>
                <w:color w:val="000000"/>
                <w:szCs w:val="18"/>
                <w:lang w:val="nl-NL" w:eastAsia="nl-NL"/>
              </w:rPr>
              <w:t xml:space="preserve"> </w:t>
            </w:r>
            <w:r>
              <w:rPr>
                <w:rFonts w:eastAsia="Times New Roman" w:cs="Calibri"/>
                <w:color w:val="000000"/>
                <w:szCs w:val="18"/>
                <w:lang w:val="nl-NL" w:eastAsia="nl-NL"/>
              </w:rPr>
              <w:t>er een</w:t>
            </w:r>
            <w:r w:rsidRPr="00FD1605">
              <w:rPr>
                <w:rFonts w:eastAsia="Times New Roman" w:cs="Calibri"/>
                <w:color w:val="000000"/>
                <w:szCs w:val="18"/>
                <w:lang w:val="nl-NL" w:eastAsia="nl-NL"/>
              </w:rPr>
              <w:t xml:space="preserve"> partner </w:t>
            </w:r>
            <w:r>
              <w:rPr>
                <w:rFonts w:eastAsia="Times New Roman" w:cs="Calibri"/>
                <w:color w:val="000000"/>
                <w:szCs w:val="18"/>
                <w:lang w:val="nl-NL" w:eastAsia="nl-NL"/>
              </w:rPr>
              <w:t xml:space="preserve">is die </w:t>
            </w:r>
            <w:r w:rsidRPr="00FD1605">
              <w:rPr>
                <w:rFonts w:eastAsia="Times New Roman" w:cs="Calibri"/>
                <w:color w:val="000000"/>
                <w:szCs w:val="18"/>
                <w:lang w:val="nl-NL" w:eastAsia="nl-NL"/>
              </w:rPr>
              <w:t xml:space="preserve">inkomen uit arbeid heeft of </w:t>
            </w:r>
            <w:r>
              <w:rPr>
                <w:rFonts w:eastAsia="Times New Roman" w:cs="Calibri"/>
                <w:color w:val="000000"/>
                <w:szCs w:val="18"/>
                <w:lang w:val="nl-NL" w:eastAsia="nl-NL"/>
              </w:rPr>
              <w:t>die zelf ook</w:t>
            </w:r>
            <w:r w:rsidRPr="00FD1605">
              <w:rPr>
                <w:rFonts w:eastAsia="Times New Roman" w:cs="Calibri"/>
                <w:color w:val="000000"/>
                <w:szCs w:val="18"/>
                <w:lang w:val="nl-NL" w:eastAsia="nl-NL"/>
              </w:rPr>
              <w:t xml:space="preserve"> een uitkering </w:t>
            </w:r>
            <w:r>
              <w:rPr>
                <w:rFonts w:eastAsia="Times New Roman" w:cs="Calibri"/>
                <w:color w:val="000000"/>
                <w:szCs w:val="18"/>
                <w:lang w:val="nl-NL" w:eastAsia="nl-NL"/>
              </w:rPr>
              <w:t>heeft</w:t>
            </w:r>
            <w:r w:rsidRPr="00FD1605">
              <w:rPr>
                <w:rFonts w:eastAsia="Times New Roman" w:cs="Calibri"/>
                <w:color w:val="000000"/>
                <w:szCs w:val="18"/>
                <w:lang w:val="nl-NL" w:eastAsia="nl-NL"/>
              </w:rPr>
              <w:t>.</w:t>
            </w:r>
            <w:r>
              <w:rPr>
                <w:rFonts w:eastAsia="Times New Roman" w:cs="Calibri"/>
                <w:color w:val="000000"/>
                <w:szCs w:val="18"/>
                <w:lang w:val="nl-NL" w:eastAsia="nl-NL"/>
              </w:rPr>
              <w:t xml:space="preserve"> Als er een partner zonder inkomen is, kan het huishoudinkomen juist lager worden in gevallen waarin iemand nu een TW-aanvulling tot de gehuwdennorm krijgt. Met deze maatregel krijgt diegene immers een uitkering ter hoogte van maximaal de alleenstaandennorm. Er is dan mogelijk recht op een aanvullende bijstandsuitkering van de gemeente</w:t>
            </w:r>
            <w:r>
              <w:rPr>
                <w:rFonts w:eastAsia="Times New Roman"/>
                <w:szCs w:val="18"/>
                <w:lang w:val="nl-NL"/>
              </w:rPr>
              <w:t>.</w:t>
            </w:r>
          </w:p>
          <w:p w:rsidR="006F2012" w:rsidP="0076223D" w:rsidRDefault="006F2012" w14:paraId="17CD3D48" w14:textId="77777777">
            <w:pPr>
              <w:spacing w:after="0" w:line="240" w:lineRule="auto"/>
              <w:rPr>
                <w:rFonts w:eastAsia="Times New Roman"/>
                <w:szCs w:val="18"/>
                <w:lang w:val="nl-NL"/>
              </w:rPr>
            </w:pPr>
          </w:p>
          <w:p w:rsidRPr="00397F2D" w:rsidR="006F2012" w:rsidP="0076223D" w:rsidRDefault="006F2012" w14:paraId="37B4ABBA" w14:textId="77777777">
            <w:pPr>
              <w:spacing w:after="0" w:line="240" w:lineRule="auto"/>
              <w:rPr>
                <w:rFonts w:eastAsia="Times New Roman" w:cs="Calibri"/>
                <w:color w:val="000000"/>
                <w:szCs w:val="18"/>
                <w:lang w:val="nl-NL" w:eastAsia="nl-NL"/>
              </w:rPr>
            </w:pPr>
            <w:r>
              <w:rPr>
                <w:rFonts w:eastAsia="Times New Roman" w:cs="Calibri"/>
                <w:color w:val="000000"/>
                <w:szCs w:val="18"/>
                <w:lang w:val="nl-NL" w:eastAsia="nl-NL"/>
              </w:rPr>
              <w:t xml:space="preserve">Mensen die nu een ‘toeslag op loon’ ontvangen, kunnen straks geen aanvulling van UWV meer krijgen. </w:t>
            </w:r>
            <w:r>
              <w:rPr>
                <w:szCs w:val="18"/>
                <w:lang w:val="nl-NL"/>
              </w:rPr>
              <w:t>Zij ontvangen immers geen basiswetuitkering van UWV.</w:t>
            </w:r>
            <w:r w:rsidRPr="00FD1605">
              <w:rPr>
                <w:szCs w:val="18"/>
                <w:lang w:val="nl-NL"/>
              </w:rPr>
              <w:t xml:space="preserve"> Dit betreft werknemers in loondienst die tijdens </w:t>
            </w:r>
            <w:r>
              <w:rPr>
                <w:szCs w:val="18"/>
                <w:lang w:val="nl-NL"/>
              </w:rPr>
              <w:t>ziekte door verminderde loondoorbetaling</w:t>
            </w:r>
            <w:r w:rsidRPr="00FD1605">
              <w:rPr>
                <w:szCs w:val="18"/>
                <w:lang w:val="nl-NL"/>
              </w:rPr>
              <w:t xml:space="preserve"> onder </w:t>
            </w:r>
            <w:r w:rsidRPr="00FD1605">
              <w:rPr>
                <w:szCs w:val="18"/>
                <w:lang w:val="nl-NL"/>
              </w:rPr>
              <w:lastRenderedPageBreak/>
              <w:t>het sociaal minimum komen</w:t>
            </w:r>
            <w:r>
              <w:rPr>
                <w:szCs w:val="18"/>
                <w:lang w:val="nl-NL"/>
              </w:rPr>
              <w:t xml:space="preserve">. </w:t>
            </w:r>
            <w:r>
              <w:rPr>
                <w:rFonts w:eastAsia="Times New Roman" w:cs="Calibri"/>
                <w:color w:val="000000"/>
                <w:szCs w:val="18"/>
                <w:lang w:val="nl-NL" w:eastAsia="nl-NL"/>
              </w:rPr>
              <w:t>In sommige gevallen kunnen zij wel recht krijgen op een aanvullende bijstandsuitkering van de gemeente. Desgewenst kan onderzocht worden of de Ziektewet kan worden uitgebreid met deze groep.</w:t>
            </w:r>
          </w:p>
        </w:tc>
      </w:tr>
      <w:tr w:rsidRPr="00EB3835" w:rsidR="006F2012" w:rsidTr="0076223D" w14:paraId="5E57C577" w14:textId="77777777">
        <w:trPr>
          <w:trHeight w:val="315"/>
        </w:trPr>
        <w:tc>
          <w:tcPr>
            <w:tcW w:w="2228" w:type="dxa"/>
            <w:tcBorders>
              <w:top w:val="nil"/>
              <w:left w:val="single" w:color="auto" w:sz="8" w:space="0"/>
              <w:bottom w:val="single" w:color="auto" w:sz="8" w:space="0"/>
              <w:right w:val="nil"/>
            </w:tcBorders>
            <w:shd w:val="clear" w:color="auto" w:fill="auto"/>
            <w:noWrap/>
          </w:tcPr>
          <w:p w:rsidRPr="00704454" w:rsidR="006F2012" w:rsidP="0076223D" w:rsidRDefault="006F2012" w14:paraId="39431CA3"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lastRenderedPageBreak/>
              <w:t>Arbeidsmarkt-effecten</w:t>
            </w:r>
          </w:p>
        </w:tc>
        <w:tc>
          <w:tcPr>
            <w:tcW w:w="8080" w:type="dxa"/>
            <w:tcBorders>
              <w:top w:val="single" w:color="auto" w:sz="4" w:space="0"/>
              <w:left w:val="single" w:color="auto" w:sz="4" w:space="0"/>
              <w:bottom w:val="single" w:color="auto" w:sz="8" w:space="0"/>
              <w:right w:val="single" w:color="auto" w:sz="4" w:space="0"/>
            </w:tcBorders>
            <w:shd w:val="clear" w:color="auto" w:fill="auto"/>
            <w:noWrap/>
          </w:tcPr>
          <w:p w:rsidRPr="006122F2" w:rsidR="006F2012" w:rsidP="0076223D" w:rsidRDefault="006F2012" w14:paraId="5EAE5A8D" w14:textId="77777777">
            <w:pPr>
              <w:spacing w:after="0" w:line="240" w:lineRule="auto"/>
              <w:rPr>
                <w:rFonts w:eastAsia="Times New Roman" w:cs="Calibri"/>
                <w:color w:val="000000"/>
                <w:szCs w:val="18"/>
                <w:lang w:val="nl-NL" w:eastAsia="nl-NL"/>
              </w:rPr>
            </w:pPr>
            <w:r>
              <w:rPr>
                <w:rFonts w:eastAsia="Times New Roman" w:cs="Calibri"/>
                <w:color w:val="000000"/>
                <w:szCs w:val="18"/>
                <w:lang w:val="nl-NL" w:eastAsia="nl-NL"/>
              </w:rPr>
              <w:t xml:space="preserve">Een vereenvoudigde en een in sommige gevallen hogere uitkering biedt meer zekerheid en dat kan een positief effect hebben op het zetten van de stap naar werk. </w:t>
            </w:r>
          </w:p>
          <w:p w:rsidR="006F2012" w:rsidP="0076223D" w:rsidRDefault="006F2012" w14:paraId="61D4BC0C" w14:textId="77777777">
            <w:pPr>
              <w:spacing w:after="0" w:line="240" w:lineRule="auto"/>
              <w:rPr>
                <w:rFonts w:eastAsia="Times New Roman"/>
                <w:szCs w:val="18"/>
                <w:lang w:val="nl-NL"/>
              </w:rPr>
            </w:pPr>
            <w:r w:rsidRPr="006122F2">
              <w:rPr>
                <w:rFonts w:eastAsia="Times New Roman" w:cs="Calibri"/>
                <w:color w:val="000000"/>
                <w:szCs w:val="18"/>
                <w:lang w:val="nl-NL" w:eastAsia="nl-NL"/>
              </w:rPr>
              <w:t xml:space="preserve">Aan de andere kant kan een hogere </w:t>
            </w:r>
            <w:r>
              <w:rPr>
                <w:rFonts w:eastAsia="Times New Roman" w:cs="Calibri"/>
                <w:color w:val="000000"/>
                <w:szCs w:val="18"/>
                <w:lang w:val="nl-NL" w:eastAsia="nl-NL"/>
              </w:rPr>
              <w:t>uitkering</w:t>
            </w:r>
            <w:r w:rsidRPr="006122F2">
              <w:rPr>
                <w:rFonts w:eastAsia="Times New Roman" w:cs="Calibri"/>
                <w:color w:val="000000"/>
                <w:szCs w:val="18"/>
                <w:lang w:val="nl-NL" w:eastAsia="nl-NL"/>
              </w:rPr>
              <w:t xml:space="preserve"> de </w:t>
            </w:r>
            <w:r>
              <w:rPr>
                <w:rFonts w:eastAsia="Times New Roman" w:cs="Calibri"/>
                <w:color w:val="000000"/>
                <w:szCs w:val="18"/>
                <w:lang w:val="nl-NL" w:eastAsia="nl-NL"/>
              </w:rPr>
              <w:t xml:space="preserve">financiële </w:t>
            </w:r>
            <w:r w:rsidRPr="006122F2">
              <w:rPr>
                <w:rFonts w:eastAsia="Times New Roman" w:cs="Calibri"/>
                <w:color w:val="000000"/>
                <w:szCs w:val="18"/>
                <w:lang w:val="nl-NL" w:eastAsia="nl-NL"/>
              </w:rPr>
              <w:t>prikkel tot werken verkleinen</w:t>
            </w:r>
            <w:r>
              <w:rPr>
                <w:rFonts w:eastAsia="Times New Roman" w:cs="Calibri"/>
                <w:color w:val="000000"/>
                <w:szCs w:val="18"/>
                <w:lang w:val="nl-NL" w:eastAsia="nl-NL"/>
              </w:rPr>
              <w:t>.</w:t>
            </w:r>
          </w:p>
          <w:p w:rsidR="006F2012" w:rsidP="0076223D" w:rsidRDefault="006F2012" w14:paraId="393EF69F" w14:textId="77777777">
            <w:pPr>
              <w:spacing w:after="0" w:line="240" w:lineRule="auto"/>
              <w:rPr>
                <w:rFonts w:eastAsia="Times New Roman"/>
                <w:szCs w:val="18"/>
                <w:lang w:val="nl-NL"/>
              </w:rPr>
            </w:pPr>
          </w:p>
          <w:p w:rsidRPr="00FD1605" w:rsidR="006F2012" w:rsidP="0076223D" w:rsidRDefault="006F2012" w14:paraId="3F87F892" w14:textId="07BCB32D">
            <w:pPr>
              <w:spacing w:after="0" w:line="240" w:lineRule="auto"/>
              <w:rPr>
                <w:rFonts w:eastAsia="Times New Roman"/>
                <w:szCs w:val="18"/>
                <w:lang w:val="nl-NL"/>
              </w:rPr>
            </w:pPr>
            <w:r w:rsidRPr="00FD1605">
              <w:rPr>
                <w:rFonts w:eastAsia="Times New Roman" w:cs="Calibri"/>
                <w:color w:val="000000"/>
                <w:szCs w:val="18"/>
                <w:lang w:val="nl-NL" w:eastAsia="nl-NL"/>
              </w:rPr>
              <w:t>Voor de WIA verdwijnt deels het effect van de werkhervattingsprikkels in de verschillende WIA-</w:t>
            </w:r>
            <w:r w:rsidR="00F07A2C">
              <w:rPr>
                <w:rFonts w:eastAsia="Times New Roman" w:cs="Calibri"/>
                <w:color w:val="000000"/>
                <w:szCs w:val="18"/>
                <w:lang w:val="nl-NL" w:eastAsia="nl-NL"/>
              </w:rPr>
              <w:t>uitkeringen</w:t>
            </w:r>
            <w:r w:rsidRPr="00FD1605">
              <w:rPr>
                <w:rFonts w:eastAsia="Times New Roman" w:cs="Calibri"/>
                <w:color w:val="000000"/>
                <w:szCs w:val="18"/>
                <w:lang w:val="nl-NL" w:eastAsia="nl-NL"/>
              </w:rPr>
              <w:t xml:space="preserve"> voor uitkeringen lager dan het sociaal minimum. </w:t>
            </w:r>
          </w:p>
        </w:tc>
      </w:tr>
      <w:tr w:rsidRPr="00EB3835" w:rsidR="006F2012" w:rsidTr="0076223D" w14:paraId="2EC1FFA1" w14:textId="77777777">
        <w:trPr>
          <w:trHeight w:val="315"/>
        </w:trPr>
        <w:tc>
          <w:tcPr>
            <w:tcW w:w="2228" w:type="dxa"/>
            <w:tcBorders>
              <w:top w:val="nil"/>
              <w:left w:val="single" w:color="auto" w:sz="8" w:space="0"/>
              <w:bottom w:val="single" w:color="auto" w:sz="8" w:space="0"/>
              <w:right w:val="nil"/>
            </w:tcBorders>
            <w:shd w:val="clear" w:color="auto" w:fill="auto"/>
            <w:noWrap/>
          </w:tcPr>
          <w:p w:rsidRPr="00704454" w:rsidR="006F2012" w:rsidP="0076223D" w:rsidRDefault="006F2012" w14:paraId="683F4A8F"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Overige relevante aspecten</w:t>
            </w:r>
          </w:p>
        </w:tc>
        <w:tc>
          <w:tcPr>
            <w:tcW w:w="8080" w:type="dxa"/>
            <w:tcBorders>
              <w:top w:val="single" w:color="auto" w:sz="4" w:space="0"/>
              <w:left w:val="single" w:color="auto" w:sz="4" w:space="0"/>
              <w:bottom w:val="single" w:color="auto" w:sz="8" w:space="0"/>
              <w:right w:val="single" w:color="auto" w:sz="4" w:space="0"/>
            </w:tcBorders>
            <w:shd w:val="clear" w:color="auto" w:fill="auto"/>
            <w:noWrap/>
          </w:tcPr>
          <w:p w:rsidR="006F2012" w:rsidP="0076223D" w:rsidRDefault="006F2012" w14:paraId="5F1C321B" w14:textId="77777777">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 xml:space="preserve">Deze maatregel leidt tot enkele fundamentele wijzigingen in de systematiek van zowel de werknemersverzekeringen als sociale voorzieningen. In dit scenario zijn de toegangsvereisten van de basiswetten van toepassing. Dit zijn individuele uitkeringen. Er wordt niet langer rekening gehouden met het gezinsinkomen, wat het karakter van de sociale voorziening wijzigt. </w:t>
            </w:r>
          </w:p>
          <w:p w:rsidRPr="00FD1605" w:rsidR="006F2012" w:rsidP="0076223D" w:rsidRDefault="006F2012" w14:paraId="57BB0DB3" w14:textId="77777777">
            <w:pPr>
              <w:spacing w:after="0" w:line="240" w:lineRule="auto"/>
              <w:rPr>
                <w:rFonts w:eastAsia="Times New Roman" w:cs="Calibri"/>
                <w:color w:val="000000"/>
                <w:szCs w:val="18"/>
                <w:lang w:val="nl-NL" w:eastAsia="nl-NL"/>
              </w:rPr>
            </w:pPr>
          </w:p>
          <w:p w:rsidRPr="00FD1605" w:rsidR="006F2012" w:rsidP="0076223D" w:rsidRDefault="006F2012" w14:paraId="3E096857" w14:textId="400E5F69">
            <w:pPr>
              <w:spacing w:after="0" w:line="240" w:lineRule="auto"/>
              <w:rPr>
                <w:rFonts w:eastAsia="Times New Roman"/>
                <w:szCs w:val="18"/>
                <w:lang w:val="nl-NL"/>
              </w:rPr>
            </w:pPr>
            <w:r w:rsidRPr="00FD1605">
              <w:rPr>
                <w:rFonts w:eastAsia="Times New Roman" w:cs="Calibri"/>
                <w:color w:val="000000"/>
                <w:szCs w:val="18"/>
                <w:lang w:val="nl-NL" w:eastAsia="nl-NL"/>
              </w:rPr>
              <w:t>Ook moet aandacht worden besteed aan de financieringssystematiek nu de aanvullende toeslag vanuit andere fondsen wordt bekostigd dan de werknemersverzekeringen (Toeslagenfonds vs. Werkhervattingskas</w:t>
            </w:r>
            <w:r w:rsidR="00AA64BF">
              <w:rPr>
                <w:rFonts w:eastAsia="Times New Roman" w:cs="Calibri"/>
                <w:color w:val="000000"/>
                <w:szCs w:val="18"/>
                <w:lang w:val="nl-NL" w:eastAsia="nl-NL"/>
              </w:rPr>
              <w:t>,</w:t>
            </w:r>
            <w:r w:rsidRPr="00FD1605">
              <w:rPr>
                <w:rFonts w:eastAsia="Times New Roman" w:cs="Calibri"/>
                <w:color w:val="000000"/>
                <w:szCs w:val="18"/>
                <w:lang w:val="nl-NL" w:eastAsia="nl-NL"/>
              </w:rPr>
              <w:t xml:space="preserve"> Arbeidsongeschiktheidsfonds</w:t>
            </w:r>
            <w:r w:rsidR="00AA64BF">
              <w:rPr>
                <w:rFonts w:eastAsia="Times New Roman" w:cs="Calibri"/>
                <w:color w:val="000000"/>
                <w:szCs w:val="18"/>
                <w:lang w:val="nl-NL" w:eastAsia="nl-NL"/>
              </w:rPr>
              <w:t xml:space="preserve"> en/of Algemeen Werkloosheidsfonds</w:t>
            </w:r>
            <w:r w:rsidRPr="00FD1605">
              <w:rPr>
                <w:rFonts w:eastAsia="Times New Roman" w:cs="Calibri"/>
                <w:color w:val="000000"/>
                <w:szCs w:val="18"/>
                <w:lang w:val="nl-NL" w:eastAsia="nl-NL"/>
              </w:rPr>
              <w:t>). Wijzigingen in de financieringssystematiek zouden gevolgen kunnen hebben voor de hybride markt.</w:t>
            </w:r>
          </w:p>
          <w:p w:rsidRPr="00FD1605" w:rsidR="006F2012" w:rsidP="0076223D" w:rsidRDefault="006F2012" w14:paraId="09F4A30E" w14:textId="77777777">
            <w:pPr>
              <w:spacing w:after="0" w:line="240" w:lineRule="auto"/>
              <w:rPr>
                <w:rFonts w:eastAsia="Times New Roman"/>
                <w:szCs w:val="18"/>
                <w:lang w:val="nl-NL"/>
              </w:rPr>
            </w:pPr>
          </w:p>
          <w:p w:rsidRPr="00FD1605" w:rsidR="006F2012" w:rsidP="0076223D" w:rsidRDefault="006F2012" w14:paraId="09201493" w14:textId="77777777">
            <w:pPr>
              <w:spacing w:after="0" w:line="240" w:lineRule="auto"/>
              <w:rPr>
                <w:rFonts w:eastAsia="Times New Roman"/>
                <w:szCs w:val="18"/>
                <w:lang w:val="nl-NL"/>
              </w:rPr>
            </w:pPr>
            <w:r>
              <w:rPr>
                <w:rFonts w:eastAsia="Times New Roman"/>
                <w:szCs w:val="18"/>
                <w:lang w:val="nl-NL"/>
              </w:rPr>
              <w:t xml:space="preserve">Het aantal gehuwden dat recht krijgt op een aanvullende bijstandsuitkering van de gemeente neemt toe met deze maatregel. </w:t>
            </w:r>
            <w:r w:rsidRPr="00FD1605">
              <w:rPr>
                <w:rFonts w:eastAsia="Times New Roman"/>
                <w:szCs w:val="18"/>
                <w:lang w:val="nl-NL"/>
              </w:rPr>
              <w:t>Ondanks dat</w:t>
            </w:r>
            <w:r>
              <w:rPr>
                <w:rFonts w:eastAsia="Times New Roman"/>
                <w:szCs w:val="18"/>
                <w:lang w:val="nl-NL"/>
              </w:rPr>
              <w:t xml:space="preserve"> met deze maatregel</w:t>
            </w:r>
            <w:r w:rsidRPr="00FD1605">
              <w:rPr>
                <w:rFonts w:eastAsia="Times New Roman"/>
                <w:szCs w:val="18"/>
                <w:lang w:val="nl-NL"/>
              </w:rPr>
              <w:t xml:space="preserve"> een </w:t>
            </w:r>
            <w:r>
              <w:rPr>
                <w:rFonts w:eastAsia="Times New Roman"/>
                <w:szCs w:val="18"/>
                <w:lang w:val="nl-NL"/>
              </w:rPr>
              <w:t>basiswet</w:t>
            </w:r>
            <w:r w:rsidRPr="00FD1605">
              <w:rPr>
                <w:rFonts w:eastAsia="Times New Roman"/>
                <w:szCs w:val="18"/>
                <w:lang w:val="nl-NL"/>
              </w:rPr>
              <w:t>uitkering wordt verstrekt tot het (</w:t>
            </w:r>
            <w:r w:rsidRPr="00FD1605">
              <w:rPr>
                <w:rFonts w:eastAsia="Times New Roman"/>
                <w:i/>
                <w:iCs/>
                <w:szCs w:val="18"/>
                <w:lang w:val="nl-NL"/>
              </w:rPr>
              <w:t>bruto</w:t>
            </w:r>
            <w:r w:rsidRPr="00FD1605">
              <w:rPr>
                <w:rFonts w:eastAsia="Times New Roman"/>
                <w:szCs w:val="18"/>
                <w:lang w:val="nl-NL"/>
              </w:rPr>
              <w:t>) sociaal minimum</w:t>
            </w:r>
            <w:r>
              <w:rPr>
                <w:rFonts w:eastAsia="Times New Roman"/>
                <w:szCs w:val="18"/>
                <w:lang w:val="nl-NL"/>
              </w:rPr>
              <w:t xml:space="preserve"> van een alleenstaande</w:t>
            </w:r>
            <w:r w:rsidRPr="00FD1605">
              <w:rPr>
                <w:rFonts w:eastAsia="Times New Roman"/>
                <w:szCs w:val="18"/>
                <w:lang w:val="nl-NL"/>
              </w:rPr>
              <w:t xml:space="preserve">, kan dit </w:t>
            </w:r>
            <w:r>
              <w:rPr>
                <w:rFonts w:eastAsia="Times New Roman"/>
                <w:szCs w:val="18"/>
                <w:lang w:val="nl-NL"/>
              </w:rPr>
              <w:t xml:space="preserve">afwijken van het </w:t>
            </w:r>
            <w:r w:rsidRPr="00FD1605">
              <w:rPr>
                <w:rFonts w:eastAsia="Times New Roman"/>
                <w:szCs w:val="18"/>
                <w:lang w:val="nl-NL"/>
              </w:rPr>
              <w:t xml:space="preserve"> </w:t>
            </w:r>
            <w:r>
              <w:rPr>
                <w:rFonts w:eastAsia="Times New Roman"/>
                <w:szCs w:val="18"/>
                <w:lang w:val="nl-NL"/>
              </w:rPr>
              <w:t>(</w:t>
            </w:r>
            <w:r w:rsidRPr="00FD1605">
              <w:rPr>
                <w:rFonts w:eastAsia="Times New Roman"/>
                <w:i/>
                <w:iCs/>
                <w:szCs w:val="18"/>
                <w:lang w:val="nl-NL"/>
              </w:rPr>
              <w:t>netto</w:t>
            </w:r>
            <w:r>
              <w:rPr>
                <w:rFonts w:eastAsia="Times New Roman"/>
                <w:i/>
                <w:iCs/>
                <w:szCs w:val="18"/>
                <w:lang w:val="nl-NL"/>
              </w:rPr>
              <w:t>)</w:t>
            </w:r>
            <w:r>
              <w:rPr>
                <w:rFonts w:eastAsia="Times New Roman"/>
                <w:szCs w:val="18"/>
                <w:lang w:val="nl-NL"/>
              </w:rPr>
              <w:t xml:space="preserve"> sociaal minimum van de bijstand </w:t>
            </w:r>
            <w:r w:rsidRPr="00FD1605">
              <w:rPr>
                <w:rFonts w:eastAsia="Times New Roman"/>
                <w:szCs w:val="18"/>
                <w:lang w:val="nl-NL"/>
              </w:rPr>
              <w:t xml:space="preserve">(zie ook fiche </w:t>
            </w:r>
            <w:r>
              <w:rPr>
                <w:rFonts w:eastAsia="Times New Roman"/>
                <w:szCs w:val="18"/>
                <w:lang w:val="nl-NL"/>
              </w:rPr>
              <w:t>B.7</w:t>
            </w:r>
            <w:r w:rsidRPr="00FD1605">
              <w:rPr>
                <w:rFonts w:eastAsia="Times New Roman"/>
                <w:szCs w:val="18"/>
                <w:lang w:val="nl-NL"/>
              </w:rPr>
              <w:t xml:space="preserve">). </w:t>
            </w:r>
            <w:r>
              <w:rPr>
                <w:rFonts w:eastAsia="Times New Roman"/>
                <w:szCs w:val="18"/>
                <w:lang w:val="nl-NL"/>
              </w:rPr>
              <w:t>Daardoor kan er in enkele gevallen ook voor alleenstaanden nog recht zijn op een aanvullende bijstandsuitkering van de gemeente.</w:t>
            </w:r>
          </w:p>
        </w:tc>
      </w:tr>
    </w:tbl>
    <w:p w:rsidRPr="00FD1605" w:rsidR="006F2012" w:rsidP="006F2012" w:rsidRDefault="006F2012" w14:paraId="63788E1D" w14:textId="77777777">
      <w:pPr>
        <w:rPr>
          <w:lang w:val="nl-NL"/>
        </w:rPr>
      </w:pPr>
    </w:p>
    <w:p w:rsidRPr="00FD1605" w:rsidR="006F2012" w:rsidP="006F2012" w:rsidRDefault="006F2012" w14:paraId="22F0EB71" w14:textId="77777777">
      <w:pPr>
        <w:rPr>
          <w:lang w:val="nl-NL"/>
        </w:rPr>
      </w:pPr>
    </w:p>
    <w:p w:rsidRPr="00FD1605" w:rsidR="006F2012" w:rsidP="006F2012" w:rsidRDefault="006F2012" w14:paraId="0F852007" w14:textId="77777777">
      <w:pPr>
        <w:rPr>
          <w:lang w:val="nl-NL"/>
        </w:rPr>
      </w:pPr>
    </w:p>
    <w:p w:rsidRPr="00FD1605" w:rsidR="006F2012" w:rsidP="006F2012" w:rsidRDefault="006F2012" w14:paraId="012A5515" w14:textId="77777777">
      <w:pPr>
        <w:rPr>
          <w:lang w:val="nl-NL"/>
        </w:rPr>
      </w:pPr>
    </w:p>
    <w:p w:rsidRPr="00FD1605" w:rsidR="006F2012" w:rsidP="006F2012" w:rsidRDefault="006F2012" w14:paraId="500EC45F" w14:textId="77777777">
      <w:pPr>
        <w:rPr>
          <w:lang w:val="nl-NL"/>
        </w:rPr>
      </w:pPr>
    </w:p>
    <w:p w:rsidRPr="00FD1605" w:rsidR="006F2012" w:rsidP="006F2012" w:rsidRDefault="006F2012" w14:paraId="61903DC3" w14:textId="77777777">
      <w:pPr>
        <w:rPr>
          <w:lang w:val="nl-NL"/>
        </w:rPr>
      </w:pPr>
    </w:p>
    <w:p w:rsidR="006F2012" w:rsidRDefault="006F2012" w14:paraId="1674BB8D" w14:textId="386CB4CB">
      <w:pPr>
        <w:rPr>
          <w:lang w:val="nl-NL"/>
        </w:rPr>
      </w:pPr>
    </w:p>
    <w:p w:rsidR="006F2012" w:rsidRDefault="006F2012" w14:paraId="3D609A73" w14:textId="77777777">
      <w:pPr>
        <w:rPr>
          <w:lang w:val="nl-NL"/>
        </w:rPr>
      </w:pPr>
      <w:r>
        <w:rPr>
          <w:lang w:val="nl-NL"/>
        </w:rPr>
        <w:br w:type="page"/>
      </w:r>
    </w:p>
    <w:p w:rsidRPr="00FD1605" w:rsidR="00836AF5" w:rsidRDefault="00836AF5" w14:paraId="22F8A8B4" w14:textId="77777777">
      <w:pPr>
        <w:rPr>
          <w:lang w:val="nl-NL"/>
        </w:rPr>
      </w:pPr>
    </w:p>
    <w:tbl>
      <w:tblPr>
        <w:tblW w:w="10085" w:type="dxa"/>
        <w:tblInd w:w="-436" w:type="dxa"/>
        <w:tblCellMar>
          <w:left w:w="70" w:type="dxa"/>
          <w:right w:w="70" w:type="dxa"/>
        </w:tblCellMar>
        <w:tblLook w:val="04A0" w:firstRow="1" w:lastRow="0" w:firstColumn="1" w:lastColumn="0" w:noHBand="0" w:noVBand="1"/>
      </w:tblPr>
      <w:tblGrid>
        <w:gridCol w:w="2005"/>
        <w:gridCol w:w="8080"/>
      </w:tblGrid>
      <w:tr w:rsidRPr="00EB3835" w:rsidR="00836AF5" w:rsidTr="00836AF5" w14:paraId="6682E3A3" w14:textId="77777777">
        <w:trPr>
          <w:trHeight w:val="300"/>
        </w:trPr>
        <w:tc>
          <w:tcPr>
            <w:tcW w:w="2005" w:type="dxa"/>
            <w:tcBorders>
              <w:top w:val="single" w:color="auto" w:sz="8" w:space="0"/>
              <w:left w:val="single" w:color="auto" w:sz="8" w:space="0"/>
              <w:bottom w:val="single" w:color="auto" w:sz="4" w:space="0"/>
              <w:right w:val="nil"/>
            </w:tcBorders>
            <w:shd w:val="clear" w:color="auto" w:fill="auto"/>
            <w:noWrap/>
          </w:tcPr>
          <w:p w:rsidRPr="00FD1605" w:rsidR="00E2272F" w:rsidP="00836AF5" w:rsidRDefault="00E2272F" w14:paraId="1735686F" w14:textId="77777777">
            <w:pPr>
              <w:spacing w:after="0" w:line="240" w:lineRule="auto"/>
              <w:rPr>
                <w:rFonts w:eastAsia="Times New Roman" w:cs="Calibri"/>
                <w:b/>
                <w:bCs/>
                <w:color w:val="000000"/>
                <w:szCs w:val="18"/>
                <w:lang w:val="nl-NL" w:eastAsia="nl-NL"/>
              </w:rPr>
            </w:pPr>
          </w:p>
          <w:p w:rsidRPr="00704454" w:rsidR="00836AF5" w:rsidP="00836AF5" w:rsidRDefault="00836AF5" w14:paraId="5DAF9FE8" w14:textId="4A8CD0DC">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Maatregel</w:t>
            </w:r>
          </w:p>
        </w:tc>
        <w:tc>
          <w:tcPr>
            <w:tcW w:w="8080" w:type="dxa"/>
            <w:tcBorders>
              <w:top w:val="single" w:color="auto" w:sz="8" w:space="0"/>
              <w:left w:val="single" w:color="auto" w:sz="4" w:space="0"/>
              <w:bottom w:val="single" w:color="auto" w:sz="4" w:space="0"/>
              <w:right w:val="single" w:color="auto" w:sz="4" w:space="0"/>
            </w:tcBorders>
            <w:shd w:val="clear" w:color="auto" w:fill="auto"/>
            <w:noWrap/>
          </w:tcPr>
          <w:p w:rsidRPr="00FD1605" w:rsidR="00836AF5" w:rsidP="00E2272F" w:rsidRDefault="009F6BA4" w14:paraId="35966A90" w14:textId="0E59D098">
            <w:pPr>
              <w:pStyle w:val="Kop1"/>
              <w:rPr>
                <w:rFonts w:ascii="Verdana" w:hAnsi="Verdana" w:eastAsia="Times New Roman"/>
                <w:b/>
                <w:bCs/>
                <w:color w:val="auto"/>
                <w:sz w:val="18"/>
                <w:szCs w:val="18"/>
                <w:lang w:val="nl-NL" w:eastAsia="nl-NL"/>
              </w:rPr>
            </w:pPr>
            <w:bookmarkStart w:name="_Toc223522236" w:id="15"/>
            <w:r>
              <w:rPr>
                <w:rFonts w:ascii="Verdana" w:hAnsi="Verdana" w:eastAsia="Times New Roman"/>
                <w:b/>
                <w:bCs/>
                <w:color w:val="auto"/>
                <w:sz w:val="18"/>
                <w:szCs w:val="18"/>
                <w:lang w:val="nl-NL" w:eastAsia="nl-NL"/>
              </w:rPr>
              <w:t>C</w:t>
            </w:r>
            <w:r w:rsidRPr="00913061" w:rsidR="00836AF5">
              <w:rPr>
                <w:rFonts w:ascii="Verdana" w:hAnsi="Verdana" w:eastAsia="Times New Roman"/>
                <w:b/>
                <w:bCs/>
                <w:color w:val="auto"/>
                <w:sz w:val="18"/>
                <w:szCs w:val="18"/>
                <w:lang w:val="nl-NL" w:eastAsia="nl-NL"/>
              </w:rPr>
              <w:t>.</w:t>
            </w:r>
            <w:r w:rsidR="006F2012">
              <w:rPr>
                <w:rFonts w:ascii="Verdana" w:hAnsi="Verdana" w:eastAsia="Times New Roman"/>
                <w:b/>
                <w:bCs/>
                <w:color w:val="auto"/>
                <w:sz w:val="18"/>
                <w:szCs w:val="18"/>
                <w:lang w:val="nl-NL" w:eastAsia="nl-NL"/>
              </w:rPr>
              <w:t>2</w:t>
            </w:r>
            <w:r w:rsidRPr="00913061" w:rsidR="00836AF5">
              <w:rPr>
                <w:rFonts w:ascii="Verdana" w:hAnsi="Verdana" w:eastAsia="Times New Roman"/>
                <w:b/>
                <w:bCs/>
                <w:color w:val="auto"/>
                <w:sz w:val="18"/>
                <w:szCs w:val="18"/>
                <w:lang w:val="nl-NL" w:eastAsia="nl-NL"/>
              </w:rPr>
              <w:t xml:space="preserve"> TW overhevelen naar een andere uitvoerder</w:t>
            </w:r>
            <w:bookmarkEnd w:id="15"/>
          </w:p>
        </w:tc>
      </w:tr>
      <w:tr w:rsidRPr="00EB3835" w:rsidR="00836AF5" w:rsidTr="00D50797" w14:paraId="29B4F39D" w14:textId="77777777">
        <w:trPr>
          <w:trHeight w:val="315"/>
        </w:trPr>
        <w:tc>
          <w:tcPr>
            <w:tcW w:w="2005" w:type="dxa"/>
            <w:tcBorders>
              <w:top w:val="nil"/>
              <w:left w:val="single" w:color="auto" w:sz="8" w:space="0"/>
              <w:bottom w:val="single" w:color="auto" w:sz="8" w:space="0"/>
              <w:right w:val="nil"/>
            </w:tcBorders>
            <w:shd w:val="clear" w:color="auto" w:fill="auto"/>
            <w:noWrap/>
          </w:tcPr>
          <w:p w:rsidRPr="00704454" w:rsidR="00836AF5" w:rsidP="00836AF5" w:rsidRDefault="00836AF5" w14:paraId="095C6BA7"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Korte uitleg maatregel</w:t>
            </w:r>
          </w:p>
        </w:tc>
        <w:tc>
          <w:tcPr>
            <w:tcW w:w="8080" w:type="dxa"/>
            <w:tcBorders>
              <w:top w:val="single" w:color="auto" w:sz="4" w:space="0"/>
              <w:left w:val="single" w:color="auto" w:sz="4" w:space="0"/>
              <w:bottom w:val="single" w:color="auto" w:sz="8" w:space="0"/>
              <w:right w:val="single" w:color="auto" w:sz="4" w:space="0"/>
            </w:tcBorders>
            <w:shd w:val="clear" w:color="auto" w:fill="auto"/>
            <w:noWrap/>
          </w:tcPr>
          <w:p w:rsidRPr="00FD1605" w:rsidR="00836AF5" w:rsidP="00836AF5" w:rsidRDefault="00836AF5" w14:paraId="6EB17A7D" w14:textId="2C5F3473">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 xml:space="preserve">Deze maatregel stelt voor om de Toeslagenwet over te hevelen naar </w:t>
            </w:r>
            <w:r w:rsidR="004D27FD">
              <w:rPr>
                <w:rFonts w:eastAsia="Times New Roman" w:cs="Calibri"/>
                <w:color w:val="000000"/>
                <w:szCs w:val="18"/>
                <w:lang w:val="nl-NL" w:eastAsia="nl-NL"/>
              </w:rPr>
              <w:t xml:space="preserve">een andere uitvoerder. Een voor de hand liggende uitvoerder zou de gemeente kunnen zijn, aangezien zij al een vangnetregeling uitvoeren. </w:t>
            </w:r>
            <w:r w:rsidRPr="00FD1605">
              <w:rPr>
                <w:rFonts w:eastAsia="Times New Roman" w:cs="Calibri"/>
                <w:color w:val="000000"/>
                <w:szCs w:val="18"/>
                <w:lang w:val="nl-NL" w:eastAsia="nl-NL"/>
              </w:rPr>
              <w:t xml:space="preserve">De systematiek van de TW blijft behouden (dus geen vermogenstoets en maximering op dagloon werknemersuitkering). Het is dan niet meer mogelijk om een toeslag te krijgen vanuit UWV. De </w:t>
            </w:r>
            <w:r w:rsidRPr="00FD1605" w:rsidR="00851ACA">
              <w:rPr>
                <w:rFonts w:eastAsia="Times New Roman" w:cs="Calibri"/>
                <w:color w:val="000000"/>
                <w:szCs w:val="18"/>
                <w:lang w:val="nl-NL" w:eastAsia="nl-NL"/>
              </w:rPr>
              <w:t xml:space="preserve">uitkeringsgerechtigden </w:t>
            </w:r>
            <w:r w:rsidRPr="00FD1605">
              <w:rPr>
                <w:rFonts w:eastAsia="Times New Roman" w:cs="Calibri"/>
                <w:color w:val="000000"/>
                <w:szCs w:val="18"/>
                <w:lang w:val="nl-NL" w:eastAsia="nl-NL"/>
              </w:rPr>
              <w:t xml:space="preserve">van UWV moeten voor een aanvulling tot het sociaal minimum naar de gemeente. </w:t>
            </w:r>
          </w:p>
        </w:tc>
      </w:tr>
      <w:tr w:rsidRPr="00EB3835" w:rsidR="00836AF5" w:rsidTr="00D50797" w14:paraId="43BAA9E8" w14:textId="77777777">
        <w:trPr>
          <w:trHeight w:val="315"/>
        </w:trPr>
        <w:tc>
          <w:tcPr>
            <w:tcW w:w="2005" w:type="dxa"/>
            <w:tcBorders>
              <w:top w:val="nil"/>
              <w:left w:val="single" w:color="auto" w:sz="8" w:space="0"/>
              <w:bottom w:val="single" w:color="auto" w:sz="8" w:space="0"/>
              <w:right w:val="nil"/>
            </w:tcBorders>
            <w:shd w:val="clear" w:color="auto" w:fill="auto"/>
            <w:noWrap/>
          </w:tcPr>
          <w:p w:rsidRPr="00704454" w:rsidR="00836AF5" w:rsidP="00836AF5" w:rsidRDefault="00836AF5" w14:paraId="1DF29E96"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Doel maatregel</w:t>
            </w:r>
          </w:p>
        </w:tc>
        <w:tc>
          <w:tcPr>
            <w:tcW w:w="8080" w:type="dxa"/>
            <w:tcBorders>
              <w:top w:val="single" w:color="auto" w:sz="4" w:space="0"/>
              <w:left w:val="single" w:color="auto" w:sz="4" w:space="0"/>
              <w:bottom w:val="single" w:color="auto" w:sz="8" w:space="0"/>
              <w:right w:val="single" w:color="auto" w:sz="4" w:space="0"/>
            </w:tcBorders>
            <w:shd w:val="clear" w:color="auto" w:fill="auto"/>
            <w:noWrap/>
          </w:tcPr>
          <w:p w:rsidRPr="00FD1605" w:rsidR="00836AF5" w:rsidP="00836AF5" w:rsidRDefault="000E40E7" w14:paraId="354F714F" w14:textId="53F8A63F">
            <w:pPr>
              <w:spacing w:after="0" w:line="240" w:lineRule="auto"/>
              <w:rPr>
                <w:rFonts w:eastAsia="Times New Roman" w:cs="Calibri"/>
                <w:color w:val="000000"/>
                <w:szCs w:val="18"/>
                <w:lang w:val="nl-NL" w:eastAsia="nl-NL"/>
              </w:rPr>
            </w:pPr>
            <w:r>
              <w:rPr>
                <w:rFonts w:eastAsia="Times New Roman" w:cs="Calibri"/>
                <w:color w:val="000000"/>
                <w:szCs w:val="18"/>
                <w:lang w:val="nl-NL" w:eastAsia="nl-NL"/>
              </w:rPr>
              <w:t xml:space="preserve">Voor uitkeringsgerechtigden is er één instantie om een aanvulling te krijgen tot het sociaal minimum. Hierdoor kunnen mensen beter inschatten waar zij terecht kunnen en wordt mogelijk potentieel niet-gebruik beperkt. </w:t>
            </w:r>
            <w:r w:rsidRPr="00FD1605" w:rsidR="00836AF5">
              <w:rPr>
                <w:rFonts w:eastAsia="Times New Roman" w:cs="Calibri"/>
                <w:color w:val="000000"/>
                <w:szCs w:val="18"/>
                <w:lang w:val="nl-NL" w:eastAsia="nl-NL"/>
              </w:rPr>
              <w:t>D</w:t>
            </w:r>
            <w:r>
              <w:rPr>
                <w:rFonts w:eastAsia="Times New Roman" w:cs="Calibri"/>
                <w:color w:val="000000"/>
                <w:szCs w:val="18"/>
                <w:lang w:val="nl-NL" w:eastAsia="nl-NL"/>
              </w:rPr>
              <w:t>aarnaast betekent d</w:t>
            </w:r>
            <w:r w:rsidRPr="00FD1605" w:rsidR="00836AF5">
              <w:rPr>
                <w:rFonts w:eastAsia="Times New Roman" w:cs="Calibri"/>
                <w:color w:val="000000"/>
                <w:szCs w:val="18"/>
                <w:lang w:val="nl-NL" w:eastAsia="nl-NL"/>
              </w:rPr>
              <w:t xml:space="preserve">eze maatregel vooral een vereenvoudiging voor de uitvoering van UWV. De TW vraagt op dit moment veel van </w:t>
            </w:r>
            <w:r w:rsidRPr="00FD1605" w:rsidR="00141E15">
              <w:rPr>
                <w:rFonts w:eastAsia="Times New Roman" w:cs="Calibri"/>
                <w:color w:val="000000"/>
                <w:szCs w:val="18"/>
                <w:lang w:val="nl-NL" w:eastAsia="nl-NL"/>
              </w:rPr>
              <w:t>UWV en is voor UWV op onderdelen niet goed uitvoerbaar of handhaafbaar</w:t>
            </w:r>
            <w:r w:rsidRPr="00FD1605" w:rsidR="00836AF5">
              <w:rPr>
                <w:rFonts w:eastAsia="Times New Roman" w:cs="Calibri"/>
                <w:color w:val="000000"/>
                <w:szCs w:val="18"/>
                <w:lang w:val="nl-NL" w:eastAsia="nl-NL"/>
              </w:rPr>
              <w:t xml:space="preserve">. De andere uitkeringen van UWV zijn gekoppeld aan de </w:t>
            </w:r>
            <w:r w:rsidRPr="00FD1605" w:rsidR="00851ACA">
              <w:rPr>
                <w:rFonts w:eastAsia="Times New Roman" w:cs="Calibri"/>
                <w:color w:val="000000"/>
                <w:szCs w:val="18"/>
                <w:lang w:val="nl-NL" w:eastAsia="nl-NL"/>
              </w:rPr>
              <w:t xml:space="preserve">uitkeringsgerechtigde </w:t>
            </w:r>
            <w:r w:rsidRPr="00FD1605" w:rsidR="00836AF5">
              <w:rPr>
                <w:rFonts w:eastAsia="Times New Roman" w:cs="Calibri"/>
                <w:color w:val="000000"/>
                <w:szCs w:val="18"/>
                <w:lang w:val="nl-NL" w:eastAsia="nl-NL"/>
              </w:rPr>
              <w:t xml:space="preserve">(individu) en zijn dus onafhankelijk van leefvorm en partnerinkomen. De uitvoering van de TW vraagt een heel andere logistiek, die daarnaast veel mutatiemomenten kent in relatie tot wisselende gezins- en inkomenssituaties. Gemeentes zijn vanuit de uitvoering van de Participatiewet </w:t>
            </w:r>
            <w:r w:rsidRPr="00FD1605" w:rsidR="004C4BEF">
              <w:rPr>
                <w:rFonts w:eastAsia="Times New Roman" w:cs="Calibri"/>
                <w:color w:val="000000"/>
                <w:szCs w:val="18"/>
                <w:lang w:val="nl-NL" w:eastAsia="nl-NL"/>
              </w:rPr>
              <w:t>bekend met de leefvorm en partnerinkomen</w:t>
            </w:r>
            <w:r w:rsidRPr="00FD1605" w:rsidR="00836AF5">
              <w:rPr>
                <w:rFonts w:eastAsia="Times New Roman" w:cs="Calibri"/>
                <w:color w:val="000000"/>
                <w:szCs w:val="18"/>
                <w:lang w:val="nl-NL" w:eastAsia="nl-NL"/>
              </w:rPr>
              <w:t>, waardoor de TW</w:t>
            </w:r>
            <w:r w:rsidR="00431FA7">
              <w:rPr>
                <w:rFonts w:eastAsia="Times New Roman" w:cs="Calibri"/>
                <w:color w:val="000000"/>
                <w:szCs w:val="18"/>
                <w:lang w:val="nl-NL" w:eastAsia="nl-NL"/>
              </w:rPr>
              <w:t xml:space="preserve"> mogelijk</w:t>
            </w:r>
            <w:r w:rsidRPr="00FD1605" w:rsidR="00836AF5">
              <w:rPr>
                <w:rFonts w:eastAsia="Times New Roman" w:cs="Calibri"/>
                <w:color w:val="000000"/>
                <w:szCs w:val="18"/>
                <w:lang w:val="nl-NL" w:eastAsia="nl-NL"/>
              </w:rPr>
              <w:t xml:space="preserve"> beter uitgevoerd en gehandhaafd </w:t>
            </w:r>
            <w:r w:rsidRPr="00FD1605" w:rsidR="004C4BEF">
              <w:rPr>
                <w:rFonts w:eastAsia="Times New Roman" w:cs="Calibri"/>
                <w:color w:val="000000"/>
                <w:szCs w:val="18"/>
                <w:lang w:val="nl-NL" w:eastAsia="nl-NL"/>
              </w:rPr>
              <w:t xml:space="preserve">zou </w:t>
            </w:r>
            <w:r w:rsidRPr="00FD1605" w:rsidR="00836AF5">
              <w:rPr>
                <w:rFonts w:eastAsia="Times New Roman" w:cs="Calibri"/>
                <w:color w:val="000000"/>
                <w:szCs w:val="18"/>
                <w:lang w:val="nl-NL" w:eastAsia="nl-NL"/>
              </w:rPr>
              <w:t>k</w:t>
            </w:r>
            <w:r w:rsidRPr="00FD1605" w:rsidR="004C4BEF">
              <w:rPr>
                <w:rFonts w:eastAsia="Times New Roman" w:cs="Calibri"/>
                <w:color w:val="000000"/>
                <w:szCs w:val="18"/>
                <w:lang w:val="nl-NL" w:eastAsia="nl-NL"/>
              </w:rPr>
              <w:t>u</w:t>
            </w:r>
            <w:r w:rsidRPr="00FD1605" w:rsidR="00836AF5">
              <w:rPr>
                <w:rFonts w:eastAsia="Times New Roman" w:cs="Calibri"/>
                <w:color w:val="000000"/>
                <w:szCs w:val="18"/>
                <w:lang w:val="nl-NL" w:eastAsia="nl-NL"/>
              </w:rPr>
              <w:t>n</w:t>
            </w:r>
            <w:r w:rsidRPr="00FD1605" w:rsidR="004C4BEF">
              <w:rPr>
                <w:rFonts w:eastAsia="Times New Roman" w:cs="Calibri"/>
                <w:color w:val="000000"/>
                <w:szCs w:val="18"/>
                <w:lang w:val="nl-NL" w:eastAsia="nl-NL"/>
              </w:rPr>
              <w:t>nen</w:t>
            </w:r>
            <w:r w:rsidRPr="00FD1605" w:rsidR="00836AF5">
              <w:rPr>
                <w:rFonts w:eastAsia="Times New Roman" w:cs="Calibri"/>
                <w:color w:val="000000"/>
                <w:szCs w:val="18"/>
                <w:lang w:val="nl-NL" w:eastAsia="nl-NL"/>
              </w:rPr>
              <w:t xml:space="preserve"> worden. Hier </w:t>
            </w:r>
            <w:r w:rsidR="002D753F">
              <w:rPr>
                <w:rFonts w:eastAsia="Times New Roman" w:cs="Calibri"/>
                <w:color w:val="000000"/>
                <w:szCs w:val="18"/>
                <w:lang w:val="nl-NL" w:eastAsia="nl-NL"/>
              </w:rPr>
              <w:t>zouden</w:t>
            </w:r>
            <w:r w:rsidRPr="00FD1605" w:rsidR="002D753F">
              <w:rPr>
                <w:rFonts w:eastAsia="Times New Roman" w:cs="Calibri"/>
                <w:color w:val="000000"/>
                <w:szCs w:val="18"/>
                <w:lang w:val="nl-NL" w:eastAsia="nl-NL"/>
              </w:rPr>
              <w:t xml:space="preserve"> </w:t>
            </w:r>
            <w:r w:rsidRPr="00FD1605" w:rsidR="00836AF5">
              <w:rPr>
                <w:rFonts w:eastAsia="Times New Roman" w:cs="Calibri"/>
                <w:color w:val="000000"/>
                <w:szCs w:val="18"/>
                <w:lang w:val="nl-NL" w:eastAsia="nl-NL"/>
              </w:rPr>
              <w:t>ook uitkeringsgerechtigden profijt van</w:t>
            </w:r>
            <w:r w:rsidR="002D753F">
              <w:rPr>
                <w:rFonts w:eastAsia="Times New Roman" w:cs="Calibri"/>
                <w:color w:val="000000"/>
                <w:szCs w:val="18"/>
                <w:lang w:val="nl-NL" w:eastAsia="nl-NL"/>
              </w:rPr>
              <w:t xml:space="preserve"> kunnen hebben</w:t>
            </w:r>
            <w:r w:rsidRPr="00FD1605" w:rsidR="00836AF5">
              <w:rPr>
                <w:rFonts w:eastAsia="Times New Roman" w:cs="Calibri"/>
                <w:color w:val="000000"/>
                <w:szCs w:val="18"/>
                <w:lang w:val="nl-NL" w:eastAsia="nl-NL"/>
              </w:rPr>
              <w:t>, omdat er een kleinere kans ontstaat op terugvorderingen.</w:t>
            </w:r>
          </w:p>
        </w:tc>
      </w:tr>
      <w:tr w:rsidRPr="00EB3835" w:rsidR="00836AF5" w:rsidTr="00D50797" w14:paraId="67D8B62A" w14:textId="77777777">
        <w:trPr>
          <w:trHeight w:val="315"/>
        </w:trPr>
        <w:tc>
          <w:tcPr>
            <w:tcW w:w="2005" w:type="dxa"/>
            <w:tcBorders>
              <w:top w:val="nil"/>
              <w:left w:val="single" w:color="auto" w:sz="8" w:space="0"/>
              <w:bottom w:val="single" w:color="auto" w:sz="8" w:space="0"/>
              <w:right w:val="nil"/>
            </w:tcBorders>
            <w:shd w:val="clear" w:color="auto" w:fill="auto"/>
            <w:noWrap/>
          </w:tcPr>
          <w:p w:rsidRPr="00FD1605" w:rsidR="00836AF5" w:rsidP="00836AF5" w:rsidRDefault="00836AF5" w14:paraId="6B150AB0" w14:textId="77777777">
            <w:pPr>
              <w:spacing w:after="0" w:line="240" w:lineRule="auto"/>
              <w:rPr>
                <w:rFonts w:eastAsia="Times New Roman" w:cs="Calibri"/>
                <w:b/>
                <w:bCs/>
                <w:color w:val="000000"/>
                <w:szCs w:val="18"/>
                <w:lang w:val="nl-NL" w:eastAsia="nl-NL"/>
              </w:rPr>
            </w:pPr>
            <w:r w:rsidRPr="00FD1605">
              <w:rPr>
                <w:rFonts w:eastAsia="Times New Roman" w:cs="Calibri"/>
                <w:b/>
                <w:bCs/>
                <w:color w:val="000000"/>
                <w:szCs w:val="18"/>
                <w:lang w:val="nl-NL" w:eastAsia="nl-NL"/>
              </w:rPr>
              <w:t xml:space="preserve">Vereenvoudiging vanuit burgerperspectief (begrijpelijkheid, zekerheid en </w:t>
            </w:r>
            <w:proofErr w:type="spellStart"/>
            <w:r w:rsidRPr="00FD1605">
              <w:rPr>
                <w:rFonts w:eastAsia="Times New Roman" w:cs="Calibri"/>
                <w:b/>
                <w:bCs/>
                <w:color w:val="000000"/>
                <w:szCs w:val="18"/>
                <w:lang w:val="nl-NL" w:eastAsia="nl-NL"/>
              </w:rPr>
              <w:t>doenlijkheid</w:t>
            </w:r>
            <w:proofErr w:type="spellEnd"/>
            <w:r w:rsidRPr="00FD1605">
              <w:rPr>
                <w:rFonts w:eastAsia="Times New Roman" w:cs="Calibri"/>
                <w:b/>
                <w:bCs/>
                <w:color w:val="000000"/>
                <w:szCs w:val="18"/>
                <w:lang w:val="nl-NL" w:eastAsia="nl-NL"/>
              </w:rPr>
              <w:t>)</w:t>
            </w:r>
          </w:p>
        </w:tc>
        <w:tc>
          <w:tcPr>
            <w:tcW w:w="8080" w:type="dxa"/>
            <w:tcBorders>
              <w:top w:val="single" w:color="auto" w:sz="4" w:space="0"/>
              <w:left w:val="single" w:color="auto" w:sz="4" w:space="0"/>
              <w:bottom w:val="single" w:color="auto" w:sz="8" w:space="0"/>
              <w:right w:val="single" w:color="auto" w:sz="4" w:space="0"/>
            </w:tcBorders>
            <w:shd w:val="clear" w:color="auto" w:fill="auto"/>
            <w:noWrap/>
          </w:tcPr>
          <w:p w:rsidR="002A4DE0" w:rsidP="00836AF5" w:rsidRDefault="002A4DE0" w14:paraId="4CEE5B37" w14:textId="162A0EC2">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 xml:space="preserve">Voor uitkeringsgerechtigden </w:t>
            </w:r>
            <w:r>
              <w:rPr>
                <w:rFonts w:eastAsia="Times New Roman" w:cs="Calibri"/>
                <w:color w:val="000000"/>
                <w:szCs w:val="18"/>
                <w:lang w:val="nl-NL" w:eastAsia="nl-NL"/>
              </w:rPr>
              <w:t>kan</w:t>
            </w:r>
            <w:r w:rsidRPr="00FD1605">
              <w:rPr>
                <w:rFonts w:eastAsia="Times New Roman" w:cs="Calibri"/>
                <w:color w:val="000000"/>
                <w:szCs w:val="18"/>
                <w:lang w:val="nl-NL" w:eastAsia="nl-NL"/>
              </w:rPr>
              <w:t xml:space="preserve"> het begrijpelijker</w:t>
            </w:r>
            <w:r>
              <w:rPr>
                <w:rFonts w:eastAsia="Times New Roman" w:cs="Calibri"/>
                <w:color w:val="000000"/>
                <w:szCs w:val="18"/>
                <w:lang w:val="nl-NL" w:eastAsia="nl-NL"/>
              </w:rPr>
              <w:t xml:space="preserve"> worden</w:t>
            </w:r>
            <w:r w:rsidRPr="00FD1605">
              <w:rPr>
                <w:rFonts w:eastAsia="Times New Roman" w:cs="Calibri"/>
                <w:color w:val="000000"/>
                <w:szCs w:val="18"/>
                <w:lang w:val="nl-NL" w:eastAsia="nl-NL"/>
              </w:rPr>
              <w:t xml:space="preserve"> een aanvulling tot aan het sociaal minimum aan te vragen. Voor een aanvulling tot aan het sociaal minimum bestaat er</w:t>
            </w:r>
            <w:r>
              <w:rPr>
                <w:rFonts w:eastAsia="Times New Roman" w:cs="Calibri"/>
                <w:color w:val="000000"/>
                <w:szCs w:val="18"/>
                <w:lang w:val="nl-NL" w:eastAsia="nl-NL"/>
              </w:rPr>
              <w:t xml:space="preserve"> met deze maatregel</w:t>
            </w:r>
            <w:r w:rsidRPr="00FD1605">
              <w:rPr>
                <w:rFonts w:eastAsia="Times New Roman" w:cs="Calibri"/>
                <w:color w:val="000000"/>
                <w:szCs w:val="18"/>
                <w:lang w:val="nl-NL" w:eastAsia="nl-NL"/>
              </w:rPr>
              <w:t xml:space="preserve"> één loket</w:t>
            </w:r>
            <w:r>
              <w:rPr>
                <w:rFonts w:eastAsia="Times New Roman" w:cs="Calibri"/>
                <w:color w:val="000000"/>
                <w:szCs w:val="18"/>
                <w:lang w:val="nl-NL" w:eastAsia="nl-NL"/>
              </w:rPr>
              <w:t>.</w:t>
            </w:r>
          </w:p>
          <w:p w:rsidR="002A4DE0" w:rsidP="00836AF5" w:rsidRDefault="002A4DE0" w14:paraId="2E7E8A70" w14:textId="77777777">
            <w:pPr>
              <w:spacing w:after="0" w:line="240" w:lineRule="auto"/>
              <w:rPr>
                <w:rFonts w:eastAsia="Times New Roman" w:cs="Calibri"/>
                <w:color w:val="000000"/>
                <w:szCs w:val="18"/>
                <w:lang w:val="nl-NL" w:eastAsia="nl-NL"/>
              </w:rPr>
            </w:pPr>
          </w:p>
          <w:p w:rsidRPr="00FD1605" w:rsidR="00836AF5" w:rsidP="00836AF5" w:rsidRDefault="002A4DE0" w14:paraId="2147E0E0" w14:textId="050EB25B">
            <w:pPr>
              <w:spacing w:after="0" w:line="240" w:lineRule="auto"/>
              <w:rPr>
                <w:rFonts w:eastAsia="Times New Roman" w:cs="Calibri"/>
                <w:color w:val="000000"/>
                <w:szCs w:val="18"/>
                <w:lang w:val="nl-NL" w:eastAsia="nl-NL"/>
              </w:rPr>
            </w:pPr>
            <w:r>
              <w:rPr>
                <w:rFonts w:eastAsia="Times New Roman" w:cs="Calibri"/>
                <w:color w:val="000000"/>
                <w:szCs w:val="18"/>
                <w:lang w:val="nl-NL" w:eastAsia="nl-NL"/>
              </w:rPr>
              <w:t>Uitkeringsgerechtigden</w:t>
            </w:r>
            <w:r w:rsidRPr="00FD1605">
              <w:rPr>
                <w:rFonts w:eastAsia="Times New Roman" w:cs="Calibri"/>
                <w:color w:val="000000"/>
                <w:szCs w:val="18"/>
                <w:lang w:val="nl-NL" w:eastAsia="nl-NL"/>
              </w:rPr>
              <w:t xml:space="preserve"> </w:t>
            </w:r>
            <w:r w:rsidRPr="00FD1605" w:rsidR="00836AF5">
              <w:rPr>
                <w:rFonts w:eastAsia="Times New Roman" w:cs="Calibri"/>
                <w:color w:val="000000"/>
                <w:szCs w:val="18"/>
                <w:lang w:val="nl-NL" w:eastAsia="nl-NL"/>
              </w:rPr>
              <w:t xml:space="preserve">die eerder niet te maken hadden met de gemeente, hebben dat met deze maatregel wel. </w:t>
            </w:r>
            <w:r>
              <w:rPr>
                <w:rFonts w:eastAsia="Times New Roman" w:cs="Calibri"/>
                <w:color w:val="000000"/>
                <w:szCs w:val="18"/>
                <w:lang w:val="nl-NL" w:eastAsia="nl-NL"/>
              </w:rPr>
              <w:t xml:space="preserve">Voor hen betekent </w:t>
            </w:r>
            <w:r w:rsidR="00125FF6">
              <w:rPr>
                <w:rFonts w:eastAsia="Times New Roman" w:cs="Calibri"/>
                <w:color w:val="000000"/>
                <w:szCs w:val="18"/>
                <w:lang w:val="nl-NL" w:eastAsia="nl-NL"/>
              </w:rPr>
              <w:t xml:space="preserve">dit </w:t>
            </w:r>
            <w:r>
              <w:rPr>
                <w:rFonts w:eastAsia="Times New Roman" w:cs="Calibri"/>
                <w:color w:val="000000"/>
                <w:szCs w:val="18"/>
                <w:lang w:val="nl-NL" w:eastAsia="nl-NL"/>
              </w:rPr>
              <w:t xml:space="preserve">dat zij een tweede loket krijgen. </w:t>
            </w:r>
            <w:r w:rsidRPr="00FD1605" w:rsidR="00836AF5">
              <w:rPr>
                <w:rFonts w:eastAsia="Times New Roman" w:cs="Calibri"/>
                <w:color w:val="000000"/>
                <w:szCs w:val="18"/>
                <w:lang w:val="nl-NL" w:eastAsia="nl-NL"/>
              </w:rPr>
              <w:t xml:space="preserve">De uitkeringsgerechtigden die voor de uitkering bij UWV al een inkomen onder het sociaal minimum hadden, waren al aangewezen op de bijstand. </w:t>
            </w:r>
          </w:p>
          <w:p w:rsidRPr="00FD1605" w:rsidR="00836AF5" w:rsidP="00836AF5" w:rsidRDefault="00836AF5" w14:paraId="2BB2078F" w14:textId="178197B9">
            <w:pPr>
              <w:spacing w:after="0" w:line="240" w:lineRule="auto"/>
              <w:rPr>
                <w:rFonts w:eastAsia="Times New Roman" w:cs="Calibri"/>
                <w:color w:val="000000"/>
                <w:szCs w:val="18"/>
                <w:lang w:val="nl-NL" w:eastAsia="nl-NL"/>
              </w:rPr>
            </w:pPr>
          </w:p>
        </w:tc>
      </w:tr>
      <w:tr w:rsidRPr="00EB3835" w:rsidR="00836AF5" w:rsidTr="00D50797" w14:paraId="49898B7D" w14:textId="77777777">
        <w:trPr>
          <w:trHeight w:val="315"/>
        </w:trPr>
        <w:tc>
          <w:tcPr>
            <w:tcW w:w="2005" w:type="dxa"/>
            <w:tcBorders>
              <w:top w:val="nil"/>
              <w:left w:val="single" w:color="auto" w:sz="8" w:space="0"/>
              <w:bottom w:val="single" w:color="auto" w:sz="8" w:space="0"/>
              <w:right w:val="nil"/>
            </w:tcBorders>
            <w:shd w:val="clear" w:color="auto" w:fill="auto"/>
            <w:noWrap/>
          </w:tcPr>
          <w:p w:rsidRPr="00704454" w:rsidR="00836AF5" w:rsidP="00836AF5" w:rsidRDefault="00836AF5" w14:paraId="7FD15274"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 xml:space="preserve">Keuzes binnen maatregel </w:t>
            </w:r>
          </w:p>
        </w:tc>
        <w:tc>
          <w:tcPr>
            <w:tcW w:w="8080" w:type="dxa"/>
            <w:tcBorders>
              <w:top w:val="single" w:color="auto" w:sz="4" w:space="0"/>
              <w:left w:val="single" w:color="auto" w:sz="4" w:space="0"/>
              <w:bottom w:val="single" w:color="auto" w:sz="8" w:space="0"/>
              <w:right w:val="single" w:color="auto" w:sz="4" w:space="0"/>
            </w:tcBorders>
            <w:shd w:val="clear" w:color="auto" w:fill="auto"/>
            <w:noWrap/>
          </w:tcPr>
          <w:p w:rsidRPr="00FD1605" w:rsidR="00836AF5" w:rsidP="00836AF5" w:rsidRDefault="00836AF5" w14:paraId="1C552D3F" w14:textId="4B7B3536">
            <w:pPr>
              <w:spacing w:after="0" w:line="240" w:lineRule="auto"/>
              <w:rPr>
                <w:rFonts w:eastAsia="Times New Roman" w:cs="Calibri"/>
                <w:szCs w:val="18"/>
                <w:lang w:val="nl-NL" w:eastAsia="nl-NL"/>
              </w:rPr>
            </w:pPr>
            <w:r w:rsidRPr="00FD1605">
              <w:rPr>
                <w:rFonts w:eastAsia="Times New Roman" w:cs="Calibri"/>
                <w:szCs w:val="18"/>
                <w:lang w:val="nl-NL" w:eastAsia="nl-NL"/>
              </w:rPr>
              <w:t xml:space="preserve">Er moet een keuze worden gemaakt over hoe dit in de wet vormgegeven wordt. Er kan voor gekozen worden om alleen de uitvoerder te veranderen (mogelijk alleen aanpassing in Wet SUWI) of de wettelijke bepalingen van de Toeslagenwet kunnen worden opgenomen in een (apart) deel van de Participatiewet. </w:t>
            </w:r>
            <w:r w:rsidRPr="00FD1605" w:rsidR="006C293D">
              <w:rPr>
                <w:rFonts w:eastAsia="Times New Roman" w:cs="Calibri"/>
                <w:szCs w:val="18"/>
                <w:lang w:val="nl-NL" w:eastAsia="nl-NL"/>
              </w:rPr>
              <w:t xml:space="preserve">Daarnaast zal er een keuze gemaakt moeten worden </w:t>
            </w:r>
            <w:r w:rsidRPr="00FD1605" w:rsidR="00761F14">
              <w:rPr>
                <w:rFonts w:eastAsia="Times New Roman" w:cs="Calibri"/>
                <w:szCs w:val="18"/>
                <w:lang w:val="nl-NL" w:eastAsia="nl-NL"/>
              </w:rPr>
              <w:t xml:space="preserve">in het bruto of netto vaststellen van de TW-aanvulling. </w:t>
            </w:r>
            <w:r w:rsidRPr="00FD1605" w:rsidR="006C293D">
              <w:rPr>
                <w:rFonts w:eastAsia="Times New Roman" w:cs="Calibri"/>
                <w:szCs w:val="18"/>
                <w:lang w:val="nl-NL" w:eastAsia="nl-NL"/>
              </w:rPr>
              <w:t xml:space="preserve">Momenteel hanteert UWV bruto normen voor de Toeslagenwet en basisuitkeringen, waar gemeenten een netto inkomensnorm voor het sociaalminimum </w:t>
            </w:r>
            <w:r w:rsidRPr="00FD1605" w:rsidR="00EF5A7E">
              <w:rPr>
                <w:rFonts w:eastAsia="Times New Roman" w:cs="Calibri"/>
                <w:szCs w:val="18"/>
                <w:lang w:val="nl-NL" w:eastAsia="nl-NL"/>
              </w:rPr>
              <w:t>toepassen</w:t>
            </w:r>
            <w:r w:rsidRPr="00FD1605" w:rsidR="006C293D">
              <w:rPr>
                <w:rFonts w:eastAsia="Times New Roman" w:cs="Calibri"/>
                <w:szCs w:val="18"/>
                <w:lang w:val="nl-NL" w:eastAsia="nl-NL"/>
              </w:rPr>
              <w:t xml:space="preserve"> (zie fiche </w:t>
            </w:r>
            <w:r w:rsidR="003D14C2">
              <w:rPr>
                <w:rFonts w:eastAsia="Times New Roman" w:cs="Calibri"/>
                <w:szCs w:val="18"/>
                <w:lang w:val="nl-NL" w:eastAsia="nl-NL"/>
              </w:rPr>
              <w:t>B.7</w:t>
            </w:r>
            <w:r w:rsidRPr="00FD1605" w:rsidR="006C293D">
              <w:rPr>
                <w:rFonts w:eastAsia="Times New Roman" w:cs="Calibri"/>
                <w:szCs w:val="18"/>
                <w:lang w:val="nl-NL" w:eastAsia="nl-NL"/>
              </w:rPr>
              <w:t>).</w:t>
            </w:r>
          </w:p>
          <w:p w:rsidRPr="00FD1605" w:rsidR="00836AF5" w:rsidP="00836AF5" w:rsidRDefault="00836AF5" w14:paraId="0AB57C2B" w14:textId="77777777">
            <w:pPr>
              <w:spacing w:after="0" w:line="240" w:lineRule="auto"/>
              <w:rPr>
                <w:rFonts w:eastAsia="Times New Roman" w:cs="Calibri"/>
                <w:color w:val="000000"/>
                <w:szCs w:val="18"/>
                <w:lang w:val="nl-NL" w:eastAsia="nl-NL"/>
              </w:rPr>
            </w:pPr>
          </w:p>
          <w:p w:rsidRPr="00FD1605" w:rsidR="00836AF5" w:rsidP="00836AF5" w:rsidRDefault="00836AF5" w14:paraId="6F692C86" w14:textId="4E7F769F">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 xml:space="preserve">Een alternatief op deze maatregel is dat de TW helemaal wordt afgeschaft, zie fiche </w:t>
            </w:r>
            <w:r w:rsidR="003D14C2">
              <w:rPr>
                <w:rFonts w:eastAsia="Times New Roman" w:cs="Calibri"/>
                <w:color w:val="000000"/>
                <w:szCs w:val="18"/>
                <w:lang w:val="nl-NL" w:eastAsia="nl-NL"/>
              </w:rPr>
              <w:t>C.2</w:t>
            </w:r>
            <w:r w:rsidRPr="00FD1605">
              <w:rPr>
                <w:rFonts w:eastAsia="Times New Roman" w:cs="Calibri"/>
                <w:color w:val="000000"/>
                <w:szCs w:val="18"/>
                <w:lang w:val="nl-NL" w:eastAsia="nl-NL"/>
              </w:rPr>
              <w:t xml:space="preserve">. </w:t>
            </w:r>
          </w:p>
          <w:p w:rsidRPr="00FD1605" w:rsidR="00836AF5" w:rsidP="00836AF5" w:rsidRDefault="00836AF5" w14:paraId="30DE05A5" w14:textId="77777777">
            <w:pPr>
              <w:spacing w:after="0" w:line="240" w:lineRule="auto"/>
              <w:rPr>
                <w:rFonts w:eastAsia="Times New Roman" w:cs="Calibri"/>
                <w:color w:val="000000"/>
                <w:szCs w:val="18"/>
                <w:lang w:val="nl-NL" w:eastAsia="nl-NL"/>
              </w:rPr>
            </w:pPr>
          </w:p>
          <w:p w:rsidRPr="00FD1605" w:rsidR="00836AF5" w:rsidP="00836AF5" w:rsidRDefault="00836AF5" w14:paraId="0C057C98" w14:textId="0B1B8715">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 xml:space="preserve">Er moeten keuzes worden gemaakt over het overgangsrecht van mensen die nu een aanvullende toeslag van UWV ontvangen. Onderzocht dient te worden of zij kunnen worden overgenomen door gemeenten of dat zij tot beëindiging van het recht vanuit UWV de aanvullende toeslag dienen te blijven ontvangen. </w:t>
            </w:r>
          </w:p>
        </w:tc>
      </w:tr>
      <w:tr w:rsidRPr="00EB3835" w:rsidR="00836AF5" w:rsidTr="00D50797" w14:paraId="0642BBA3" w14:textId="77777777">
        <w:trPr>
          <w:trHeight w:val="315"/>
        </w:trPr>
        <w:tc>
          <w:tcPr>
            <w:tcW w:w="2005" w:type="dxa"/>
            <w:tcBorders>
              <w:top w:val="nil"/>
              <w:left w:val="single" w:color="auto" w:sz="8" w:space="0"/>
              <w:bottom w:val="single" w:color="auto" w:sz="8" w:space="0"/>
              <w:right w:val="nil"/>
            </w:tcBorders>
            <w:shd w:val="clear" w:color="auto" w:fill="auto"/>
            <w:noWrap/>
          </w:tcPr>
          <w:p w:rsidRPr="00704454" w:rsidR="00836AF5" w:rsidP="00836AF5" w:rsidRDefault="00836AF5" w14:paraId="3CB9240F"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Tijdpad inwerkingtreding</w:t>
            </w:r>
          </w:p>
        </w:tc>
        <w:tc>
          <w:tcPr>
            <w:tcW w:w="8080" w:type="dxa"/>
            <w:tcBorders>
              <w:top w:val="single" w:color="auto" w:sz="4" w:space="0"/>
              <w:left w:val="single" w:color="auto" w:sz="4" w:space="0"/>
              <w:bottom w:val="single" w:color="auto" w:sz="8" w:space="0"/>
              <w:right w:val="single" w:color="auto" w:sz="4" w:space="0"/>
            </w:tcBorders>
            <w:shd w:val="clear" w:color="auto" w:fill="auto"/>
            <w:noWrap/>
          </w:tcPr>
          <w:p w:rsidRPr="00FD1605" w:rsidR="00836AF5" w:rsidP="00836AF5" w:rsidRDefault="00836AF5" w14:paraId="66E1FA0D" w14:textId="3363D2F3">
            <w:pPr>
              <w:spacing w:after="0" w:line="240" w:lineRule="auto"/>
              <w:rPr>
                <w:rFonts w:eastAsia="Times New Roman" w:cs="Calibri"/>
                <w:szCs w:val="18"/>
                <w:lang w:val="nl-NL" w:eastAsia="nl-NL"/>
              </w:rPr>
            </w:pPr>
            <w:r w:rsidRPr="00FD1605">
              <w:rPr>
                <w:rFonts w:eastAsia="Times New Roman" w:cs="Calibri"/>
                <w:szCs w:val="18"/>
                <w:lang w:val="nl-NL" w:eastAsia="nl-NL"/>
              </w:rPr>
              <w:t xml:space="preserve">De Toeslagenwet moet worden beëindigd of aangepast en/of de Participatiewet moet worden aangepast. Voor </w:t>
            </w:r>
            <w:r w:rsidRPr="00FD1605" w:rsidR="00312BAD">
              <w:rPr>
                <w:rFonts w:eastAsia="Times New Roman" w:cs="Calibri"/>
                <w:szCs w:val="18"/>
                <w:lang w:val="nl-NL" w:eastAsia="nl-NL"/>
              </w:rPr>
              <w:t xml:space="preserve">een </w:t>
            </w:r>
            <w:r w:rsidR="003874A6">
              <w:rPr>
                <w:rFonts w:eastAsia="Times New Roman" w:cs="Calibri"/>
                <w:szCs w:val="18"/>
                <w:lang w:val="nl-NL" w:eastAsia="nl-NL"/>
              </w:rPr>
              <w:t xml:space="preserve">omvangrijke </w:t>
            </w:r>
            <w:r w:rsidRPr="00FD1605" w:rsidR="00312BAD">
              <w:rPr>
                <w:rFonts w:eastAsia="Times New Roman" w:cs="Calibri"/>
                <w:szCs w:val="18"/>
                <w:lang w:val="nl-NL" w:eastAsia="nl-NL"/>
              </w:rPr>
              <w:t>wetswijziging</w:t>
            </w:r>
            <w:r w:rsidRPr="00FD1605">
              <w:rPr>
                <w:rFonts w:eastAsia="Times New Roman" w:cs="Calibri"/>
                <w:szCs w:val="18"/>
                <w:lang w:val="nl-NL" w:eastAsia="nl-NL"/>
              </w:rPr>
              <w:t xml:space="preserve"> wordt een gemiddelde duur van 2</w:t>
            </w:r>
            <w:r w:rsidR="003874A6">
              <w:rPr>
                <w:rFonts w:eastAsia="Times New Roman" w:cs="Calibri"/>
                <w:szCs w:val="18"/>
                <w:lang w:val="nl-NL" w:eastAsia="nl-NL"/>
              </w:rPr>
              <w:t xml:space="preserve"> a 3</w:t>
            </w:r>
            <w:r w:rsidRPr="00FD1605">
              <w:rPr>
                <w:rFonts w:eastAsia="Times New Roman" w:cs="Calibri"/>
                <w:szCs w:val="18"/>
                <w:lang w:val="nl-NL" w:eastAsia="nl-NL"/>
              </w:rPr>
              <w:t xml:space="preserve"> jaar gehanteerd. </w:t>
            </w:r>
            <w:r w:rsidRPr="00FD1605" w:rsidR="00AD0AEF">
              <w:rPr>
                <w:rFonts w:eastAsia="Times New Roman" w:cs="Calibri"/>
                <w:szCs w:val="18"/>
                <w:lang w:val="nl-NL" w:eastAsia="nl-NL"/>
              </w:rPr>
              <w:t>Gemeenten</w:t>
            </w:r>
            <w:r w:rsidRPr="00FD1605">
              <w:rPr>
                <w:rFonts w:eastAsia="Times New Roman" w:cs="Calibri"/>
                <w:szCs w:val="18"/>
                <w:lang w:val="nl-NL" w:eastAsia="nl-NL"/>
              </w:rPr>
              <w:t xml:space="preserve"> hebben extra tijd nodig om de extra instroom op te kunnen vangen</w:t>
            </w:r>
            <w:r w:rsidR="003B1591">
              <w:rPr>
                <w:rFonts w:eastAsia="Times New Roman" w:cs="Calibri"/>
                <w:szCs w:val="18"/>
                <w:lang w:val="nl-NL" w:eastAsia="nl-NL"/>
              </w:rPr>
              <w:t xml:space="preserve"> en onder andere de ICT-systemen in te richten om een nieuwe regeling uit te kunnen voeren</w:t>
            </w:r>
            <w:r w:rsidRPr="00FD1605">
              <w:rPr>
                <w:rFonts w:eastAsia="Times New Roman" w:cs="Calibri"/>
                <w:szCs w:val="18"/>
                <w:lang w:val="nl-NL" w:eastAsia="nl-NL"/>
              </w:rPr>
              <w:t xml:space="preserve">. </w:t>
            </w:r>
          </w:p>
        </w:tc>
      </w:tr>
      <w:tr w:rsidRPr="00EB3835" w:rsidR="00836AF5" w:rsidTr="00D50797" w14:paraId="304A1D6F" w14:textId="77777777">
        <w:trPr>
          <w:trHeight w:val="315"/>
        </w:trPr>
        <w:tc>
          <w:tcPr>
            <w:tcW w:w="2005" w:type="dxa"/>
            <w:tcBorders>
              <w:top w:val="nil"/>
              <w:left w:val="single" w:color="auto" w:sz="8" w:space="0"/>
              <w:bottom w:val="single" w:color="auto" w:sz="8" w:space="0"/>
              <w:right w:val="nil"/>
            </w:tcBorders>
            <w:shd w:val="clear" w:color="auto" w:fill="auto"/>
            <w:noWrap/>
          </w:tcPr>
          <w:p w:rsidRPr="00704454" w:rsidR="00836AF5" w:rsidP="00836AF5" w:rsidRDefault="00836AF5" w14:paraId="492519CE"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Juridische haalbaarheid</w:t>
            </w:r>
          </w:p>
        </w:tc>
        <w:tc>
          <w:tcPr>
            <w:tcW w:w="8080" w:type="dxa"/>
            <w:tcBorders>
              <w:top w:val="single" w:color="auto" w:sz="4" w:space="0"/>
              <w:left w:val="single" w:color="auto" w:sz="4" w:space="0"/>
              <w:bottom w:val="single" w:color="auto" w:sz="8" w:space="0"/>
              <w:right w:val="single" w:color="auto" w:sz="4" w:space="0"/>
            </w:tcBorders>
            <w:shd w:val="clear" w:color="auto" w:fill="auto"/>
            <w:noWrap/>
          </w:tcPr>
          <w:p w:rsidRPr="00FD1605" w:rsidR="00836AF5" w:rsidP="00836AF5" w:rsidRDefault="00836AF5" w14:paraId="6D3C7DB4" w14:textId="58692A03">
            <w:pPr>
              <w:spacing w:after="0" w:line="240" w:lineRule="auto"/>
              <w:rPr>
                <w:rFonts w:eastAsia="Times New Roman" w:cs="Calibri"/>
                <w:szCs w:val="18"/>
                <w:lang w:val="nl-NL" w:eastAsia="nl-NL"/>
              </w:rPr>
            </w:pPr>
            <w:r w:rsidRPr="00FD1605">
              <w:rPr>
                <w:rFonts w:eastAsia="Times New Roman" w:cs="Calibri"/>
                <w:szCs w:val="18"/>
                <w:lang w:val="nl-NL" w:eastAsia="nl-NL"/>
              </w:rPr>
              <w:t xml:space="preserve">De Toeslagenwet moet worden afgeschaft of aangepast en/of de Participatiewet moet worden aangepast. </w:t>
            </w:r>
            <w:r w:rsidRPr="00FD1605" w:rsidR="00141E15">
              <w:rPr>
                <w:rFonts w:eastAsia="Times New Roman" w:cs="Calibri"/>
                <w:szCs w:val="18"/>
                <w:lang w:val="nl-NL" w:eastAsia="nl-NL"/>
              </w:rPr>
              <w:t xml:space="preserve">Ook zullen er wijzigingen in diverse lagere regelgeving moeten worden doorgevoerd. </w:t>
            </w:r>
          </w:p>
          <w:p w:rsidRPr="00FD1605" w:rsidR="00382D63" w:rsidP="00836AF5" w:rsidRDefault="00382D63" w14:paraId="71B46315" w14:textId="557D8DCE">
            <w:pPr>
              <w:spacing w:after="0" w:line="240" w:lineRule="auto"/>
              <w:rPr>
                <w:rFonts w:eastAsia="Times New Roman" w:cs="Calibri"/>
                <w:szCs w:val="18"/>
                <w:lang w:val="nl-NL" w:eastAsia="nl-NL"/>
              </w:rPr>
            </w:pPr>
            <w:r w:rsidRPr="00FD1605">
              <w:rPr>
                <w:rFonts w:eastAsia="Times New Roman" w:cs="Calibri"/>
                <w:szCs w:val="18"/>
                <w:lang w:val="nl-NL" w:eastAsia="nl-NL"/>
              </w:rPr>
              <w:t xml:space="preserve">Er dient overgangsrecht vastgesteld te worden voor mensen die op het moment van afschaffing van de Toeslagenwet al een aanvullende toeslag ontvangen. Besloten moet worden of zij deze via UWV blijven ontvangen of dat zij worden overgedragen naar de gemeenten en de toekomstige betalingen via hen ontvangen. </w:t>
            </w:r>
            <w:r w:rsidRPr="00FD1605" w:rsidR="00496454">
              <w:rPr>
                <w:rFonts w:eastAsia="Times New Roman" w:cs="Calibri"/>
                <w:color w:val="000000"/>
                <w:szCs w:val="18"/>
                <w:lang w:val="nl-NL" w:eastAsia="nl-NL"/>
              </w:rPr>
              <w:t xml:space="preserve">Daarbij dient ook </w:t>
            </w:r>
            <w:r w:rsidRPr="00FD1605" w:rsidR="00496454">
              <w:rPr>
                <w:rFonts w:eastAsia="Times New Roman" w:cs="Calibri"/>
                <w:color w:val="000000"/>
                <w:szCs w:val="18"/>
                <w:lang w:val="nl-NL" w:eastAsia="nl-NL"/>
              </w:rPr>
              <w:lastRenderedPageBreak/>
              <w:t xml:space="preserve">aandacht te worden gegeven aan de export van aanvullende toeslagen in enkele gevallen waarin bilaterale verdragen een rol spelen. </w:t>
            </w:r>
          </w:p>
        </w:tc>
      </w:tr>
      <w:tr w:rsidRPr="00EB3835" w:rsidR="00836AF5" w:rsidTr="00D50797" w14:paraId="72322D30" w14:textId="77777777">
        <w:trPr>
          <w:trHeight w:val="315"/>
        </w:trPr>
        <w:tc>
          <w:tcPr>
            <w:tcW w:w="2005" w:type="dxa"/>
            <w:tcBorders>
              <w:top w:val="nil"/>
              <w:left w:val="single" w:color="auto" w:sz="8" w:space="0"/>
              <w:bottom w:val="single" w:color="auto" w:sz="8" w:space="0"/>
              <w:right w:val="nil"/>
            </w:tcBorders>
            <w:shd w:val="clear" w:color="auto" w:fill="auto"/>
            <w:noWrap/>
          </w:tcPr>
          <w:p w:rsidRPr="00704454" w:rsidR="00836AF5" w:rsidP="00836AF5" w:rsidRDefault="00836AF5" w14:paraId="2657E818"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lastRenderedPageBreak/>
              <w:t>Uitvoerbaarheid</w:t>
            </w:r>
          </w:p>
        </w:tc>
        <w:tc>
          <w:tcPr>
            <w:tcW w:w="8080" w:type="dxa"/>
            <w:tcBorders>
              <w:top w:val="single" w:color="auto" w:sz="4" w:space="0"/>
              <w:left w:val="single" w:color="auto" w:sz="4" w:space="0"/>
              <w:bottom w:val="single" w:color="auto" w:sz="8" w:space="0"/>
              <w:right w:val="single" w:color="auto" w:sz="4" w:space="0"/>
            </w:tcBorders>
            <w:shd w:val="clear" w:color="auto" w:fill="auto"/>
            <w:noWrap/>
          </w:tcPr>
          <w:p w:rsidRPr="00FD1605" w:rsidR="00836AF5" w:rsidP="00836AF5" w:rsidRDefault="00836AF5" w14:paraId="156FA01C" w14:textId="5808AC94">
            <w:pPr>
              <w:spacing w:after="0" w:line="240" w:lineRule="auto"/>
              <w:rPr>
                <w:rFonts w:eastAsia="DejaVu Sans" w:cs="Calibri Light"/>
                <w:color w:val="000000"/>
                <w:szCs w:val="18"/>
                <w:lang w:val="nl-NL"/>
              </w:rPr>
            </w:pPr>
            <w:r w:rsidRPr="00FD1605">
              <w:rPr>
                <w:rFonts w:eastAsia="DejaVu Sans" w:cs="Calibri Light"/>
                <w:color w:val="000000"/>
                <w:szCs w:val="18"/>
                <w:lang w:val="nl-NL"/>
              </w:rPr>
              <w:t>Deze maatregel is een sterke vereenvoudiging voor UWV. UWV is niet goed uitgerust om de Toeslagenwet uit te voeren. De andere uitkeringen van UWV zijn gekoppeld aan de uitkeringsgerechtigde (individu) en zijn dus onafhankelijk van leefvorm en e</w:t>
            </w:r>
            <w:r w:rsidR="002D753F">
              <w:rPr>
                <w:rFonts w:eastAsia="DejaVu Sans" w:cs="Calibri Light"/>
                <w:color w:val="000000"/>
                <w:szCs w:val="18"/>
                <w:lang w:val="nl-NL"/>
              </w:rPr>
              <w:t>vent</w:t>
            </w:r>
            <w:r w:rsidR="007C6CE0">
              <w:rPr>
                <w:rFonts w:eastAsia="DejaVu Sans" w:cs="Calibri Light"/>
                <w:color w:val="000000"/>
                <w:szCs w:val="18"/>
                <w:lang w:val="nl-NL"/>
              </w:rPr>
              <w:t>u</w:t>
            </w:r>
            <w:r w:rsidR="002D753F">
              <w:rPr>
                <w:rFonts w:eastAsia="DejaVu Sans" w:cs="Calibri Light"/>
                <w:color w:val="000000"/>
                <w:szCs w:val="18"/>
                <w:lang w:val="nl-NL"/>
              </w:rPr>
              <w:t>eel</w:t>
            </w:r>
            <w:r w:rsidRPr="00FD1605">
              <w:rPr>
                <w:rFonts w:eastAsia="DejaVu Sans" w:cs="Calibri Light"/>
                <w:color w:val="000000"/>
                <w:szCs w:val="18"/>
                <w:lang w:val="nl-NL"/>
              </w:rPr>
              <w:t xml:space="preserve"> partnerinkomen. De TW vraagt een heel andere logistiek, die daarnaast veel mutatiemomenten kent in relatie tot wisselende gezins- en inkomenssituaties. De uitvoering van de TW is daarnaast per domein georganiseerd, gekoppeld aan de uitvoering van de </w:t>
            </w:r>
            <w:r w:rsidRPr="00FD1605" w:rsidR="0087348C">
              <w:rPr>
                <w:rFonts w:eastAsia="DejaVu Sans" w:cs="Calibri Light"/>
                <w:color w:val="000000"/>
                <w:szCs w:val="18"/>
                <w:lang w:val="nl-NL"/>
              </w:rPr>
              <w:t>basiswet</w:t>
            </w:r>
            <w:r w:rsidRPr="00FD1605">
              <w:rPr>
                <w:rFonts w:eastAsia="DejaVu Sans" w:cs="Calibri Light"/>
                <w:color w:val="000000"/>
                <w:szCs w:val="18"/>
                <w:lang w:val="nl-NL"/>
              </w:rPr>
              <w:t xml:space="preserve">. Hierdoor is het kostenefficiënt geregeld, maar </w:t>
            </w:r>
            <w:r w:rsidRPr="00FD1605" w:rsidR="00141E15">
              <w:rPr>
                <w:rFonts w:eastAsia="DejaVu Sans" w:cs="Calibri Light"/>
                <w:color w:val="000000"/>
                <w:szCs w:val="18"/>
                <w:lang w:val="nl-NL"/>
              </w:rPr>
              <w:t xml:space="preserve">dit leidt ook tot knelpunten en risico’s in de </w:t>
            </w:r>
            <w:r w:rsidRPr="00FD1605">
              <w:rPr>
                <w:rFonts w:eastAsia="DejaVu Sans" w:cs="Calibri Light"/>
                <w:color w:val="000000"/>
                <w:szCs w:val="18"/>
                <w:lang w:val="nl-NL"/>
              </w:rPr>
              <w:t>uitvoering</w:t>
            </w:r>
            <w:r w:rsidRPr="00FD1605" w:rsidR="00141E15">
              <w:rPr>
                <w:rFonts w:eastAsia="DejaVu Sans" w:cs="Calibri Light"/>
                <w:color w:val="000000"/>
                <w:szCs w:val="18"/>
                <w:lang w:val="nl-NL"/>
              </w:rPr>
              <w:t>.</w:t>
            </w:r>
          </w:p>
          <w:p w:rsidRPr="00FD1605" w:rsidR="00836AF5" w:rsidP="00836AF5" w:rsidRDefault="00836AF5" w14:paraId="765E1F45" w14:textId="77777777">
            <w:pPr>
              <w:spacing w:after="0" w:line="240" w:lineRule="auto"/>
              <w:rPr>
                <w:rFonts w:eastAsia="DejaVu Sans" w:cs="Calibri Light"/>
                <w:color w:val="000000"/>
                <w:szCs w:val="18"/>
                <w:lang w:val="nl-NL"/>
              </w:rPr>
            </w:pPr>
          </w:p>
          <w:p w:rsidRPr="002B05B0" w:rsidR="00836AF5" w:rsidP="00836AF5" w:rsidRDefault="00A27C63" w14:paraId="76BE00D0" w14:textId="01BFD6A4">
            <w:pPr>
              <w:spacing w:after="0" w:line="240" w:lineRule="auto"/>
              <w:rPr>
                <w:rFonts w:eastAsia="DejaVu Sans" w:cs="Calibri Light"/>
                <w:color w:val="000000"/>
                <w:szCs w:val="18"/>
                <w:lang w:val="nl-NL"/>
              </w:rPr>
            </w:pPr>
            <w:r>
              <w:rPr>
                <w:rFonts w:eastAsia="DejaVu Sans" w:cs="Calibri Light"/>
                <w:color w:val="000000"/>
                <w:szCs w:val="18"/>
                <w:lang w:val="nl-NL"/>
              </w:rPr>
              <w:t>Voor gemeenten betekent deze maatregel extra complexiteit, omdat zij</w:t>
            </w:r>
            <w:r w:rsidRPr="00FD1605" w:rsidR="00836AF5">
              <w:rPr>
                <w:rFonts w:eastAsia="DejaVu Sans" w:cs="Calibri Light"/>
                <w:color w:val="000000"/>
                <w:szCs w:val="18"/>
                <w:lang w:val="nl-NL"/>
              </w:rPr>
              <w:t xml:space="preserve"> een nieuwe regeling </w:t>
            </w:r>
            <w:r>
              <w:rPr>
                <w:rFonts w:eastAsia="DejaVu Sans" w:cs="Calibri Light"/>
                <w:color w:val="000000"/>
                <w:szCs w:val="18"/>
                <w:lang w:val="nl-NL"/>
              </w:rPr>
              <w:t xml:space="preserve">moeten </w:t>
            </w:r>
            <w:r w:rsidRPr="00FD1605" w:rsidR="00836AF5">
              <w:rPr>
                <w:rFonts w:eastAsia="DejaVu Sans" w:cs="Calibri Light"/>
                <w:color w:val="000000"/>
                <w:szCs w:val="18"/>
                <w:lang w:val="nl-NL"/>
              </w:rPr>
              <w:t xml:space="preserve">uitvoeren of de Participatiewet moet anders ingericht en uitgevoerd worden. Wanneer hier andere voorwaarden gelden voor mensen die voorheen TW kregen, betekent dit een extra </w:t>
            </w:r>
            <w:r w:rsidRPr="00FD1605" w:rsidR="00141E15">
              <w:rPr>
                <w:rFonts w:eastAsia="DejaVu Sans" w:cs="Calibri Light"/>
                <w:color w:val="000000"/>
                <w:szCs w:val="18"/>
                <w:lang w:val="nl-NL"/>
              </w:rPr>
              <w:t>beoordelings</w:t>
            </w:r>
            <w:r w:rsidRPr="00FD1605" w:rsidR="00836AF5">
              <w:rPr>
                <w:rFonts w:eastAsia="DejaVu Sans" w:cs="Calibri Light"/>
                <w:color w:val="000000"/>
                <w:szCs w:val="18"/>
                <w:lang w:val="nl-NL"/>
              </w:rPr>
              <w:t>taak voor gemeenten</w:t>
            </w:r>
            <w:r w:rsidR="00801532">
              <w:rPr>
                <w:rFonts w:eastAsia="DejaVu Sans" w:cs="Calibri Light"/>
                <w:color w:val="000000"/>
                <w:szCs w:val="18"/>
                <w:lang w:val="nl-NL"/>
              </w:rPr>
              <w:t>, waar gemeenten niet goed voor zijn uitgerust</w:t>
            </w:r>
            <w:r w:rsidR="00125FF6">
              <w:rPr>
                <w:rFonts w:eastAsia="DejaVu Sans" w:cs="Calibri Light"/>
                <w:color w:val="000000"/>
                <w:szCs w:val="18"/>
                <w:lang w:val="nl-NL"/>
              </w:rPr>
              <w:t>. Tevens zorgt het voor verschillende regelingen binnen de Participatiewet</w:t>
            </w:r>
            <w:r w:rsidRPr="00FD1605" w:rsidR="00836AF5">
              <w:rPr>
                <w:rFonts w:eastAsia="DejaVu Sans" w:cs="Calibri Light"/>
                <w:color w:val="000000"/>
                <w:szCs w:val="18"/>
                <w:lang w:val="nl-NL"/>
              </w:rPr>
              <w:t xml:space="preserve"> en daarmee extra complexiteit.</w:t>
            </w:r>
            <w:r>
              <w:rPr>
                <w:rFonts w:eastAsia="DejaVu Sans" w:cs="Calibri Light"/>
                <w:color w:val="000000"/>
                <w:szCs w:val="18"/>
                <w:lang w:val="nl-NL"/>
              </w:rPr>
              <w:t xml:space="preserve"> </w:t>
            </w:r>
            <w:r w:rsidR="002B05B0">
              <w:rPr>
                <w:rFonts w:eastAsia="DejaVu Sans" w:cs="Calibri Light"/>
                <w:color w:val="000000"/>
                <w:szCs w:val="18"/>
                <w:lang w:val="nl-NL"/>
              </w:rPr>
              <w:t>Daarnaast moeten gemeenten voor een grotere groep een aanvulling verstrekken op een loondervingsuitkering van UWV. Hiervoor zou de gegevensuitwisseling tussen UWV en gemeenten een belangrijke randvoorwaarde zijn. Tenslotte</w:t>
            </w:r>
            <w:r w:rsidRPr="00FD1605" w:rsidR="002B05B0">
              <w:rPr>
                <w:rFonts w:eastAsia="DejaVu Sans" w:cs="Calibri Light"/>
                <w:color w:val="000000"/>
                <w:szCs w:val="18"/>
                <w:lang w:val="nl-NL"/>
              </w:rPr>
              <w:t xml:space="preserve"> </w:t>
            </w:r>
            <w:r w:rsidRPr="00FD1605" w:rsidR="00836AF5">
              <w:rPr>
                <w:rFonts w:eastAsia="DejaVu Sans" w:cs="Calibri Light"/>
                <w:color w:val="000000"/>
                <w:szCs w:val="18"/>
                <w:lang w:val="nl-NL"/>
              </w:rPr>
              <w:t>wordt de instroom naar gemeente</w:t>
            </w:r>
            <w:r w:rsidRPr="00FD1605" w:rsidR="00521594">
              <w:rPr>
                <w:rFonts w:eastAsia="DejaVu Sans" w:cs="Calibri Light"/>
                <w:color w:val="000000"/>
                <w:szCs w:val="18"/>
                <w:lang w:val="nl-NL"/>
              </w:rPr>
              <w:t>n</w:t>
            </w:r>
            <w:r w:rsidRPr="00FD1605" w:rsidR="00836AF5">
              <w:rPr>
                <w:rFonts w:eastAsia="DejaVu Sans" w:cs="Calibri Light"/>
                <w:color w:val="000000"/>
                <w:szCs w:val="18"/>
                <w:lang w:val="nl-NL"/>
              </w:rPr>
              <w:t xml:space="preserve"> groter</w:t>
            </w:r>
            <w:r w:rsidR="00125FF6">
              <w:rPr>
                <w:rFonts w:eastAsia="DejaVu Sans" w:cs="Calibri Light"/>
                <w:color w:val="000000"/>
                <w:szCs w:val="18"/>
                <w:lang w:val="nl-NL"/>
              </w:rPr>
              <w:t xml:space="preserve"> en blijven er veel mutatiemomenten</w:t>
            </w:r>
            <w:r w:rsidR="00D537ED">
              <w:rPr>
                <w:rFonts w:eastAsia="DejaVu Sans" w:cs="Calibri Light"/>
                <w:color w:val="000000"/>
                <w:szCs w:val="18"/>
                <w:lang w:val="nl-NL"/>
              </w:rPr>
              <w:t xml:space="preserve"> wanneer de TW wordt overgezet naar gemeenten</w:t>
            </w:r>
            <w:r w:rsidR="00125FF6">
              <w:rPr>
                <w:rFonts w:eastAsia="DejaVu Sans" w:cs="Calibri Light"/>
                <w:color w:val="000000"/>
                <w:szCs w:val="18"/>
                <w:lang w:val="nl-NL"/>
              </w:rPr>
              <w:t>. Dit vraagt veel uitvoeringscapaciteit en benodigde experti</w:t>
            </w:r>
            <w:r w:rsidR="00D537ED">
              <w:rPr>
                <w:rFonts w:eastAsia="DejaVu Sans" w:cs="Calibri Light"/>
                <w:color w:val="000000"/>
                <w:szCs w:val="18"/>
                <w:lang w:val="nl-NL"/>
              </w:rPr>
              <w:t>s</w:t>
            </w:r>
            <w:r w:rsidR="00125FF6">
              <w:rPr>
                <w:rFonts w:eastAsia="DejaVu Sans" w:cs="Calibri Light"/>
                <w:color w:val="000000"/>
                <w:szCs w:val="18"/>
                <w:lang w:val="nl-NL"/>
              </w:rPr>
              <w:t>e</w:t>
            </w:r>
            <w:r w:rsidR="000608CB">
              <w:rPr>
                <w:rFonts w:eastAsia="DejaVu Sans" w:cs="Calibri Light"/>
                <w:color w:val="000000"/>
                <w:szCs w:val="18"/>
                <w:lang w:val="nl-NL"/>
              </w:rPr>
              <w:t>,</w:t>
            </w:r>
            <w:r w:rsidR="002D753F">
              <w:rPr>
                <w:rFonts w:eastAsia="DejaVu Sans" w:cs="Calibri Light"/>
                <w:color w:val="000000"/>
                <w:szCs w:val="18"/>
                <w:lang w:val="nl-NL"/>
              </w:rPr>
              <w:t xml:space="preserve"> wat </w:t>
            </w:r>
            <w:r w:rsidR="000608CB">
              <w:rPr>
                <w:rFonts w:eastAsia="DejaVu Sans" w:cs="Calibri Light"/>
                <w:color w:val="000000"/>
                <w:szCs w:val="18"/>
                <w:lang w:val="nl-NL"/>
              </w:rPr>
              <w:t>n</w:t>
            </w:r>
            <w:r w:rsidR="002B05B0">
              <w:rPr>
                <w:rFonts w:eastAsia="DejaVu Sans" w:cs="Calibri Light"/>
                <w:color w:val="000000"/>
                <w:szCs w:val="18"/>
                <w:lang w:val="nl-NL"/>
              </w:rPr>
              <w:t>egatieve</w:t>
            </w:r>
            <w:r w:rsidR="000608CB">
              <w:rPr>
                <w:rFonts w:eastAsia="DejaVu Sans" w:cs="Calibri Light"/>
                <w:color w:val="000000"/>
                <w:szCs w:val="18"/>
                <w:lang w:val="nl-NL"/>
              </w:rPr>
              <w:t xml:space="preserve"> </w:t>
            </w:r>
            <w:r w:rsidR="002D753F">
              <w:rPr>
                <w:rFonts w:eastAsia="DejaVu Sans" w:cs="Calibri Light"/>
                <w:color w:val="000000"/>
                <w:szCs w:val="18"/>
                <w:lang w:val="nl-NL"/>
              </w:rPr>
              <w:t>gevolgen heeft voor de uitvoerbaarheid</w:t>
            </w:r>
            <w:r w:rsidRPr="00FD1605" w:rsidR="00836AF5">
              <w:rPr>
                <w:rFonts w:eastAsia="DejaVu Sans" w:cs="Calibri Light"/>
                <w:color w:val="000000"/>
                <w:szCs w:val="18"/>
                <w:lang w:val="nl-NL"/>
              </w:rPr>
              <w:t xml:space="preserve">. </w:t>
            </w:r>
            <w:r w:rsidR="00965CDA">
              <w:rPr>
                <w:rFonts w:eastAsia="DejaVu Sans" w:cs="Calibri Light"/>
                <w:color w:val="000000"/>
                <w:szCs w:val="18"/>
                <w:lang w:val="nl-NL"/>
              </w:rPr>
              <w:t xml:space="preserve">Door de krapte op de arbeidsmarkt </w:t>
            </w:r>
            <w:r w:rsidR="00921340">
              <w:rPr>
                <w:rFonts w:eastAsia="DejaVu Sans" w:cs="Calibri Light"/>
                <w:color w:val="000000"/>
                <w:szCs w:val="18"/>
                <w:lang w:val="nl-NL"/>
              </w:rPr>
              <w:t xml:space="preserve">geven gemeenten aan dat het niet haalbaar is </w:t>
            </w:r>
            <w:r w:rsidR="00965CDA">
              <w:rPr>
                <w:rFonts w:eastAsia="DejaVu Sans" w:cs="Calibri Light"/>
                <w:color w:val="000000"/>
                <w:szCs w:val="18"/>
                <w:lang w:val="nl-NL"/>
              </w:rPr>
              <w:t>om deze maatregel in te voeren.</w:t>
            </w:r>
          </w:p>
        </w:tc>
      </w:tr>
      <w:tr w:rsidRPr="00FD1605" w:rsidR="00836AF5" w:rsidTr="00D50797" w14:paraId="6476F389" w14:textId="77777777">
        <w:trPr>
          <w:trHeight w:val="315"/>
        </w:trPr>
        <w:tc>
          <w:tcPr>
            <w:tcW w:w="2005" w:type="dxa"/>
            <w:tcBorders>
              <w:top w:val="nil"/>
              <w:left w:val="single" w:color="auto" w:sz="8" w:space="0"/>
              <w:bottom w:val="single" w:color="auto" w:sz="8" w:space="0"/>
              <w:right w:val="nil"/>
            </w:tcBorders>
            <w:shd w:val="clear" w:color="auto" w:fill="auto"/>
            <w:noWrap/>
          </w:tcPr>
          <w:p w:rsidRPr="00704454" w:rsidR="00836AF5" w:rsidP="00836AF5" w:rsidRDefault="00836AF5" w14:paraId="09FC6D92"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Financiële effecten</w:t>
            </w:r>
          </w:p>
        </w:tc>
        <w:tc>
          <w:tcPr>
            <w:tcW w:w="8080" w:type="dxa"/>
            <w:tcBorders>
              <w:top w:val="single" w:color="auto" w:sz="4" w:space="0"/>
              <w:left w:val="single" w:color="auto" w:sz="4" w:space="0"/>
              <w:bottom w:val="single" w:color="auto" w:sz="8" w:space="0"/>
              <w:right w:val="single" w:color="auto" w:sz="4" w:space="0"/>
            </w:tcBorders>
            <w:shd w:val="clear" w:color="auto" w:fill="auto"/>
            <w:noWrap/>
          </w:tcPr>
          <w:tbl>
            <w:tblPr>
              <w:tblStyle w:val="Tabelraster"/>
              <w:tblpPr w:leftFromText="141" w:rightFromText="141" w:vertAnchor="page" w:horzAnchor="margin" w:tblpY="541"/>
              <w:tblOverlap w:val="never"/>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1E0" w:firstRow="1" w:lastRow="1" w:firstColumn="1" w:lastColumn="1" w:noHBand="0" w:noVBand="0"/>
            </w:tblPr>
            <w:tblGrid>
              <w:gridCol w:w="2007"/>
              <w:gridCol w:w="795"/>
              <w:gridCol w:w="795"/>
              <w:gridCol w:w="795"/>
              <w:gridCol w:w="795"/>
              <w:gridCol w:w="795"/>
              <w:gridCol w:w="976"/>
              <w:gridCol w:w="974"/>
            </w:tblGrid>
            <w:tr w:rsidRPr="00FD1605" w:rsidR="005C4A21" w:rsidTr="005C4A21" w14:paraId="743ABA31" w14:textId="77777777">
              <w:tc>
                <w:tcPr>
                  <w:tcW w:w="1265" w:type="pct"/>
                  <w:tcBorders>
                    <w:top w:val="single" w:color="auto" w:sz="4" w:space="0"/>
                    <w:left w:val="single" w:color="auto" w:sz="4" w:space="0"/>
                  </w:tcBorders>
                </w:tcPr>
                <w:p w:rsidRPr="00FD1605" w:rsidR="005C4A21" w:rsidP="00836AF5" w:rsidRDefault="005C4A21" w14:paraId="211EDDEF" w14:textId="3C0E455D">
                  <w:pPr>
                    <w:rPr>
                      <w:rFonts w:ascii="Verdana" w:hAnsi="Verdana"/>
                      <w:b/>
                      <w:sz w:val="18"/>
                      <w:szCs w:val="18"/>
                    </w:rPr>
                  </w:pPr>
                  <w:r w:rsidRPr="00FD1605">
                    <w:rPr>
                      <w:rFonts w:ascii="Verdana" w:hAnsi="Verdana"/>
                      <w:bCs/>
                      <w:i/>
                      <w:iCs/>
                      <w:sz w:val="18"/>
                      <w:szCs w:val="18"/>
                    </w:rPr>
                    <w:t>In miljoenen euro’s</w:t>
                  </w:r>
                </w:p>
              </w:tc>
              <w:tc>
                <w:tcPr>
                  <w:tcW w:w="501" w:type="pct"/>
                  <w:tcBorders>
                    <w:top w:val="single" w:color="auto" w:sz="4" w:space="0"/>
                  </w:tcBorders>
                </w:tcPr>
                <w:p w:rsidRPr="00FD1605" w:rsidR="005C4A21" w:rsidP="00836AF5" w:rsidRDefault="005C4A21" w14:paraId="614F5F9F" w14:textId="77777777">
                  <w:pPr>
                    <w:jc w:val="right"/>
                    <w:rPr>
                      <w:rFonts w:ascii="Verdana" w:hAnsi="Verdana"/>
                      <w:b/>
                      <w:bCs/>
                      <w:sz w:val="18"/>
                      <w:szCs w:val="18"/>
                    </w:rPr>
                  </w:pPr>
                  <w:r w:rsidRPr="00FD1605">
                    <w:rPr>
                      <w:rFonts w:ascii="Verdana" w:hAnsi="Verdana"/>
                      <w:b/>
                      <w:bCs/>
                      <w:sz w:val="18"/>
                      <w:szCs w:val="18"/>
                    </w:rPr>
                    <w:t>2026</w:t>
                  </w:r>
                </w:p>
              </w:tc>
              <w:tc>
                <w:tcPr>
                  <w:tcW w:w="501" w:type="pct"/>
                  <w:tcBorders>
                    <w:top w:val="single" w:color="auto" w:sz="4" w:space="0"/>
                  </w:tcBorders>
                </w:tcPr>
                <w:p w:rsidRPr="00FD1605" w:rsidR="005C4A21" w:rsidP="00836AF5" w:rsidRDefault="005C4A21" w14:paraId="3D142E81" w14:textId="77777777">
                  <w:pPr>
                    <w:jc w:val="right"/>
                    <w:rPr>
                      <w:rFonts w:ascii="Verdana" w:hAnsi="Verdana"/>
                      <w:b/>
                      <w:bCs/>
                      <w:sz w:val="18"/>
                      <w:szCs w:val="18"/>
                    </w:rPr>
                  </w:pPr>
                  <w:r w:rsidRPr="00FD1605">
                    <w:rPr>
                      <w:rFonts w:ascii="Verdana" w:hAnsi="Verdana"/>
                      <w:b/>
                      <w:bCs/>
                      <w:sz w:val="18"/>
                      <w:szCs w:val="18"/>
                    </w:rPr>
                    <w:t>2027</w:t>
                  </w:r>
                </w:p>
              </w:tc>
              <w:tc>
                <w:tcPr>
                  <w:tcW w:w="501" w:type="pct"/>
                  <w:tcBorders>
                    <w:top w:val="single" w:color="auto" w:sz="4" w:space="0"/>
                  </w:tcBorders>
                </w:tcPr>
                <w:p w:rsidRPr="00FD1605" w:rsidR="005C4A21" w:rsidP="00836AF5" w:rsidRDefault="005C4A21" w14:paraId="4A48D93D" w14:textId="77777777">
                  <w:pPr>
                    <w:jc w:val="right"/>
                    <w:rPr>
                      <w:rFonts w:ascii="Verdana" w:hAnsi="Verdana"/>
                      <w:b/>
                      <w:bCs/>
                      <w:sz w:val="18"/>
                      <w:szCs w:val="18"/>
                    </w:rPr>
                  </w:pPr>
                  <w:r w:rsidRPr="00FD1605">
                    <w:rPr>
                      <w:rFonts w:ascii="Verdana" w:hAnsi="Verdana"/>
                      <w:b/>
                      <w:bCs/>
                      <w:sz w:val="18"/>
                      <w:szCs w:val="18"/>
                    </w:rPr>
                    <w:t>2028</w:t>
                  </w:r>
                </w:p>
              </w:tc>
              <w:tc>
                <w:tcPr>
                  <w:tcW w:w="501" w:type="pct"/>
                  <w:tcBorders>
                    <w:top w:val="single" w:color="auto" w:sz="4" w:space="0"/>
                  </w:tcBorders>
                </w:tcPr>
                <w:p w:rsidRPr="00FD1605" w:rsidR="005C4A21" w:rsidP="00836AF5" w:rsidRDefault="005C4A21" w14:paraId="67C2D2D9" w14:textId="77777777">
                  <w:pPr>
                    <w:jc w:val="right"/>
                    <w:rPr>
                      <w:rFonts w:ascii="Verdana" w:hAnsi="Verdana"/>
                      <w:b/>
                      <w:bCs/>
                      <w:sz w:val="18"/>
                      <w:szCs w:val="18"/>
                    </w:rPr>
                  </w:pPr>
                  <w:r w:rsidRPr="00FD1605">
                    <w:rPr>
                      <w:rFonts w:ascii="Verdana" w:hAnsi="Verdana"/>
                      <w:b/>
                      <w:bCs/>
                      <w:sz w:val="18"/>
                      <w:szCs w:val="18"/>
                    </w:rPr>
                    <w:t>2029</w:t>
                  </w:r>
                </w:p>
              </w:tc>
              <w:tc>
                <w:tcPr>
                  <w:tcW w:w="501" w:type="pct"/>
                  <w:tcBorders>
                    <w:top w:val="single" w:color="auto" w:sz="4" w:space="0"/>
                  </w:tcBorders>
                </w:tcPr>
                <w:p w:rsidRPr="00FD1605" w:rsidR="005C4A21" w:rsidP="00836AF5" w:rsidRDefault="005C4A21" w14:paraId="381FB8EE" w14:textId="77777777">
                  <w:pPr>
                    <w:jc w:val="right"/>
                    <w:rPr>
                      <w:rFonts w:ascii="Verdana" w:hAnsi="Verdana"/>
                      <w:b/>
                      <w:bCs/>
                      <w:sz w:val="18"/>
                      <w:szCs w:val="18"/>
                    </w:rPr>
                  </w:pPr>
                  <w:r w:rsidRPr="00FD1605">
                    <w:rPr>
                      <w:rFonts w:ascii="Verdana" w:hAnsi="Verdana"/>
                      <w:b/>
                      <w:bCs/>
                      <w:sz w:val="18"/>
                      <w:szCs w:val="18"/>
                    </w:rPr>
                    <w:t>2030</w:t>
                  </w:r>
                </w:p>
              </w:tc>
              <w:tc>
                <w:tcPr>
                  <w:tcW w:w="615" w:type="pct"/>
                  <w:tcBorders>
                    <w:top w:val="single" w:color="auto" w:sz="4" w:space="0"/>
                  </w:tcBorders>
                </w:tcPr>
                <w:p w:rsidRPr="005C4A21" w:rsidR="005C4A21" w:rsidP="00836AF5" w:rsidRDefault="005C4A21" w14:paraId="144B674C" w14:textId="3C16DFF1">
                  <w:pPr>
                    <w:jc w:val="right"/>
                    <w:rPr>
                      <w:rFonts w:ascii="Verdana" w:hAnsi="Verdana"/>
                      <w:b/>
                      <w:bCs/>
                      <w:sz w:val="18"/>
                      <w:szCs w:val="18"/>
                    </w:rPr>
                  </w:pPr>
                  <w:r w:rsidRPr="005C4A21">
                    <w:rPr>
                      <w:rFonts w:ascii="Verdana" w:hAnsi="Verdana"/>
                      <w:b/>
                      <w:bCs/>
                      <w:sz w:val="18"/>
                      <w:szCs w:val="18"/>
                    </w:rPr>
                    <w:t>2031</w:t>
                  </w:r>
                </w:p>
              </w:tc>
              <w:tc>
                <w:tcPr>
                  <w:tcW w:w="614" w:type="pct"/>
                  <w:tcBorders>
                    <w:top w:val="single" w:color="auto" w:sz="4" w:space="0"/>
                  </w:tcBorders>
                </w:tcPr>
                <w:p w:rsidRPr="00FD1605" w:rsidR="005C4A21" w:rsidP="00836AF5" w:rsidRDefault="005C4A21" w14:paraId="34066418" w14:textId="0A19A13D">
                  <w:pPr>
                    <w:jc w:val="right"/>
                    <w:rPr>
                      <w:rFonts w:ascii="Verdana" w:hAnsi="Verdana"/>
                      <w:b/>
                      <w:bCs/>
                      <w:sz w:val="18"/>
                      <w:szCs w:val="18"/>
                    </w:rPr>
                  </w:pPr>
                  <w:proofErr w:type="spellStart"/>
                  <w:r w:rsidRPr="00FD1605">
                    <w:rPr>
                      <w:rFonts w:ascii="Verdana" w:hAnsi="Verdana"/>
                      <w:b/>
                      <w:bCs/>
                      <w:sz w:val="18"/>
                      <w:szCs w:val="18"/>
                    </w:rPr>
                    <w:t>Struc</w:t>
                  </w:r>
                  <w:proofErr w:type="spellEnd"/>
                  <w:r w:rsidRPr="00FD1605">
                    <w:rPr>
                      <w:rFonts w:ascii="Verdana" w:hAnsi="Verdana"/>
                      <w:b/>
                      <w:bCs/>
                      <w:sz w:val="18"/>
                      <w:szCs w:val="18"/>
                    </w:rPr>
                    <w:t>.</w:t>
                  </w:r>
                </w:p>
              </w:tc>
            </w:tr>
            <w:tr w:rsidRPr="00FD1605" w:rsidR="005C4A21" w:rsidTr="005C4A21" w14:paraId="4D8012FB" w14:textId="77777777">
              <w:tc>
                <w:tcPr>
                  <w:tcW w:w="1265" w:type="pct"/>
                </w:tcPr>
                <w:p w:rsidRPr="00FD1605" w:rsidR="005C4A21" w:rsidP="00836AF5" w:rsidRDefault="005C4A21" w14:paraId="0C05E2F7" w14:textId="77777777">
                  <w:pPr>
                    <w:rPr>
                      <w:rFonts w:ascii="Verdana" w:hAnsi="Verdana"/>
                      <w:sz w:val="18"/>
                      <w:szCs w:val="18"/>
                    </w:rPr>
                  </w:pPr>
                  <w:r w:rsidRPr="00FD1605">
                    <w:rPr>
                      <w:rFonts w:ascii="Verdana" w:hAnsi="Verdana"/>
                      <w:sz w:val="18"/>
                      <w:szCs w:val="18"/>
                    </w:rPr>
                    <w:t>Algemene effecten</w:t>
                  </w:r>
                </w:p>
              </w:tc>
              <w:tc>
                <w:tcPr>
                  <w:tcW w:w="501" w:type="pct"/>
                </w:tcPr>
                <w:p w:rsidRPr="00FD1605" w:rsidR="005C4A21" w:rsidP="00836AF5" w:rsidRDefault="005C4A21" w14:paraId="422302CF" w14:textId="77777777">
                  <w:pPr>
                    <w:jc w:val="right"/>
                    <w:rPr>
                      <w:rFonts w:ascii="Verdana" w:hAnsi="Verdana"/>
                      <w:sz w:val="18"/>
                      <w:szCs w:val="18"/>
                    </w:rPr>
                  </w:pPr>
                </w:p>
              </w:tc>
              <w:tc>
                <w:tcPr>
                  <w:tcW w:w="501" w:type="pct"/>
                </w:tcPr>
                <w:p w:rsidRPr="00FD1605" w:rsidR="005C4A21" w:rsidP="00836AF5" w:rsidRDefault="005C4A21" w14:paraId="542F8C73" w14:textId="7B87E743">
                  <w:pPr>
                    <w:jc w:val="right"/>
                    <w:rPr>
                      <w:rFonts w:ascii="Verdana" w:hAnsi="Verdana"/>
                      <w:sz w:val="18"/>
                      <w:szCs w:val="18"/>
                    </w:rPr>
                  </w:pPr>
                  <w:r w:rsidRPr="00FD1605">
                    <w:rPr>
                      <w:rFonts w:ascii="Verdana" w:hAnsi="Verdana"/>
                      <w:sz w:val="18"/>
                      <w:szCs w:val="18"/>
                    </w:rPr>
                    <w:t>-</w:t>
                  </w:r>
                </w:p>
              </w:tc>
              <w:tc>
                <w:tcPr>
                  <w:tcW w:w="501" w:type="pct"/>
                </w:tcPr>
                <w:p w:rsidRPr="00FD1605" w:rsidR="005C4A21" w:rsidP="00836AF5" w:rsidRDefault="005C4A21" w14:paraId="3F2BFC08" w14:textId="08F33D4F">
                  <w:pPr>
                    <w:jc w:val="right"/>
                    <w:rPr>
                      <w:rFonts w:ascii="Verdana" w:hAnsi="Verdana"/>
                      <w:sz w:val="18"/>
                      <w:szCs w:val="18"/>
                    </w:rPr>
                  </w:pPr>
                  <w:r w:rsidRPr="00FD1605">
                    <w:rPr>
                      <w:rFonts w:ascii="Verdana" w:hAnsi="Verdana"/>
                      <w:sz w:val="18"/>
                      <w:szCs w:val="18"/>
                    </w:rPr>
                    <w:t>-</w:t>
                  </w:r>
                </w:p>
              </w:tc>
              <w:tc>
                <w:tcPr>
                  <w:tcW w:w="501" w:type="pct"/>
                </w:tcPr>
                <w:p w:rsidRPr="00FD1605" w:rsidR="005C4A21" w:rsidP="00836AF5" w:rsidRDefault="005C4A21" w14:paraId="15709A19" w14:textId="1B53101D">
                  <w:pPr>
                    <w:jc w:val="right"/>
                    <w:rPr>
                      <w:rFonts w:ascii="Verdana" w:hAnsi="Verdana"/>
                      <w:sz w:val="18"/>
                      <w:szCs w:val="18"/>
                    </w:rPr>
                  </w:pPr>
                  <w:r w:rsidRPr="00FD1605">
                    <w:rPr>
                      <w:rFonts w:ascii="Verdana" w:hAnsi="Verdana"/>
                      <w:sz w:val="18"/>
                      <w:szCs w:val="18"/>
                    </w:rPr>
                    <w:t>-</w:t>
                  </w:r>
                </w:p>
              </w:tc>
              <w:tc>
                <w:tcPr>
                  <w:tcW w:w="501" w:type="pct"/>
                </w:tcPr>
                <w:p w:rsidRPr="00FD1605" w:rsidR="005C4A21" w:rsidP="00836AF5" w:rsidRDefault="005C4A21" w14:paraId="1BD466BC" w14:textId="03EE3819">
                  <w:pPr>
                    <w:jc w:val="right"/>
                    <w:rPr>
                      <w:rFonts w:ascii="Verdana" w:hAnsi="Verdana"/>
                      <w:sz w:val="18"/>
                      <w:szCs w:val="18"/>
                    </w:rPr>
                  </w:pPr>
                  <w:r w:rsidRPr="00FD1605">
                    <w:rPr>
                      <w:rFonts w:ascii="Verdana" w:hAnsi="Verdana"/>
                      <w:sz w:val="18"/>
                      <w:szCs w:val="18"/>
                    </w:rPr>
                    <w:t>-</w:t>
                  </w:r>
                </w:p>
              </w:tc>
              <w:tc>
                <w:tcPr>
                  <w:tcW w:w="615" w:type="pct"/>
                </w:tcPr>
                <w:p w:rsidRPr="00FD1605" w:rsidR="005C4A21" w:rsidP="00836AF5" w:rsidRDefault="005C4A21" w14:paraId="799056A0" w14:textId="215FDC38">
                  <w:pPr>
                    <w:jc w:val="right"/>
                    <w:rPr>
                      <w:szCs w:val="18"/>
                    </w:rPr>
                  </w:pPr>
                  <w:r>
                    <w:rPr>
                      <w:szCs w:val="18"/>
                    </w:rPr>
                    <w:t>-</w:t>
                  </w:r>
                </w:p>
              </w:tc>
              <w:tc>
                <w:tcPr>
                  <w:tcW w:w="614" w:type="pct"/>
                </w:tcPr>
                <w:p w:rsidRPr="00FD1605" w:rsidR="005C4A21" w:rsidP="00836AF5" w:rsidRDefault="005C4A21" w14:paraId="3E75EFDF" w14:textId="2BC682B0">
                  <w:pPr>
                    <w:jc w:val="right"/>
                    <w:rPr>
                      <w:rFonts w:ascii="Verdana" w:hAnsi="Verdana"/>
                      <w:sz w:val="18"/>
                      <w:szCs w:val="18"/>
                    </w:rPr>
                  </w:pPr>
                  <w:r w:rsidRPr="00FD1605">
                    <w:rPr>
                      <w:rFonts w:ascii="Verdana" w:hAnsi="Verdana"/>
                      <w:sz w:val="18"/>
                      <w:szCs w:val="18"/>
                    </w:rPr>
                    <w:t>-</w:t>
                  </w:r>
                </w:p>
              </w:tc>
            </w:tr>
            <w:tr w:rsidRPr="00FD1605" w:rsidR="005C4A21" w:rsidTr="005C4A21" w14:paraId="7A242DF4" w14:textId="77777777">
              <w:tc>
                <w:tcPr>
                  <w:tcW w:w="1265" w:type="pct"/>
                </w:tcPr>
                <w:p w:rsidRPr="00FD1605" w:rsidR="005C4A21" w:rsidP="00836AF5" w:rsidRDefault="005C4A21" w14:paraId="45650046" w14:textId="77777777">
                  <w:pPr>
                    <w:rPr>
                      <w:rFonts w:ascii="Verdana" w:hAnsi="Verdana"/>
                      <w:sz w:val="18"/>
                      <w:szCs w:val="18"/>
                    </w:rPr>
                  </w:pPr>
                  <w:r w:rsidRPr="00FD1605">
                    <w:rPr>
                      <w:rFonts w:ascii="Verdana" w:hAnsi="Verdana"/>
                      <w:sz w:val="18"/>
                      <w:szCs w:val="18"/>
                    </w:rPr>
                    <w:t>Weglekeffecten</w:t>
                  </w:r>
                </w:p>
              </w:tc>
              <w:tc>
                <w:tcPr>
                  <w:tcW w:w="501" w:type="pct"/>
                </w:tcPr>
                <w:p w:rsidRPr="00FD1605" w:rsidR="005C4A21" w:rsidP="00836AF5" w:rsidRDefault="005C4A21" w14:paraId="769DA5AD" w14:textId="77777777">
                  <w:pPr>
                    <w:jc w:val="right"/>
                    <w:rPr>
                      <w:rFonts w:ascii="Verdana" w:hAnsi="Verdana"/>
                      <w:sz w:val="18"/>
                      <w:szCs w:val="18"/>
                    </w:rPr>
                  </w:pPr>
                </w:p>
              </w:tc>
              <w:tc>
                <w:tcPr>
                  <w:tcW w:w="501" w:type="pct"/>
                </w:tcPr>
                <w:p w:rsidRPr="00FD1605" w:rsidR="005C4A21" w:rsidP="00836AF5" w:rsidRDefault="005C4A21" w14:paraId="18E9CEB1" w14:textId="77777777">
                  <w:pPr>
                    <w:jc w:val="right"/>
                    <w:rPr>
                      <w:rFonts w:ascii="Verdana" w:hAnsi="Verdana"/>
                      <w:sz w:val="18"/>
                      <w:szCs w:val="18"/>
                    </w:rPr>
                  </w:pPr>
                </w:p>
              </w:tc>
              <w:tc>
                <w:tcPr>
                  <w:tcW w:w="501" w:type="pct"/>
                </w:tcPr>
                <w:p w:rsidRPr="00FD1605" w:rsidR="005C4A21" w:rsidP="00836AF5" w:rsidRDefault="005C4A21" w14:paraId="5CAB250E" w14:textId="77777777">
                  <w:pPr>
                    <w:jc w:val="right"/>
                    <w:rPr>
                      <w:rFonts w:ascii="Verdana" w:hAnsi="Verdana"/>
                      <w:sz w:val="18"/>
                      <w:szCs w:val="18"/>
                    </w:rPr>
                  </w:pPr>
                </w:p>
              </w:tc>
              <w:tc>
                <w:tcPr>
                  <w:tcW w:w="501" w:type="pct"/>
                </w:tcPr>
                <w:p w:rsidRPr="00FD1605" w:rsidR="005C4A21" w:rsidP="00836AF5" w:rsidRDefault="005C4A21" w14:paraId="2CB9723D" w14:textId="77777777">
                  <w:pPr>
                    <w:jc w:val="right"/>
                    <w:rPr>
                      <w:rFonts w:ascii="Verdana" w:hAnsi="Verdana"/>
                      <w:sz w:val="18"/>
                      <w:szCs w:val="18"/>
                    </w:rPr>
                  </w:pPr>
                </w:p>
              </w:tc>
              <w:tc>
                <w:tcPr>
                  <w:tcW w:w="501" w:type="pct"/>
                </w:tcPr>
                <w:p w:rsidRPr="00FD1605" w:rsidR="005C4A21" w:rsidP="00836AF5" w:rsidRDefault="005C4A21" w14:paraId="61605411" w14:textId="77777777">
                  <w:pPr>
                    <w:jc w:val="right"/>
                    <w:rPr>
                      <w:rFonts w:ascii="Verdana" w:hAnsi="Verdana"/>
                      <w:sz w:val="18"/>
                      <w:szCs w:val="18"/>
                    </w:rPr>
                  </w:pPr>
                </w:p>
              </w:tc>
              <w:tc>
                <w:tcPr>
                  <w:tcW w:w="615" w:type="pct"/>
                </w:tcPr>
                <w:p w:rsidRPr="00FD1605" w:rsidR="005C4A21" w:rsidP="00836AF5" w:rsidRDefault="005C4A21" w14:paraId="213377BB" w14:textId="77777777">
                  <w:pPr>
                    <w:jc w:val="right"/>
                    <w:rPr>
                      <w:szCs w:val="18"/>
                    </w:rPr>
                  </w:pPr>
                </w:p>
              </w:tc>
              <w:tc>
                <w:tcPr>
                  <w:tcW w:w="614" w:type="pct"/>
                </w:tcPr>
                <w:p w:rsidRPr="00FD1605" w:rsidR="005C4A21" w:rsidP="00836AF5" w:rsidRDefault="005C4A21" w14:paraId="4785FC13" w14:textId="31583D46">
                  <w:pPr>
                    <w:jc w:val="right"/>
                    <w:rPr>
                      <w:rFonts w:ascii="Verdana" w:hAnsi="Verdana"/>
                      <w:sz w:val="18"/>
                      <w:szCs w:val="18"/>
                    </w:rPr>
                  </w:pPr>
                </w:p>
              </w:tc>
            </w:tr>
            <w:tr w:rsidRPr="00FD1605" w:rsidR="005C4A21" w:rsidTr="005C4A21" w14:paraId="1B8836CE" w14:textId="77777777">
              <w:tc>
                <w:tcPr>
                  <w:tcW w:w="1265" w:type="pct"/>
                </w:tcPr>
                <w:p w:rsidRPr="00FD1605" w:rsidR="005C4A21" w:rsidP="00836AF5" w:rsidRDefault="005C4A21" w14:paraId="5903EDAA" w14:textId="77777777">
                  <w:pPr>
                    <w:rPr>
                      <w:rFonts w:ascii="Verdana" w:hAnsi="Verdana"/>
                      <w:sz w:val="18"/>
                      <w:szCs w:val="18"/>
                    </w:rPr>
                  </w:pPr>
                  <w:r w:rsidRPr="00FD1605">
                    <w:rPr>
                      <w:rFonts w:ascii="Verdana" w:hAnsi="Verdana"/>
                      <w:sz w:val="18"/>
                      <w:szCs w:val="18"/>
                    </w:rPr>
                    <w:t>Uitvoeringskosten</w:t>
                  </w:r>
                </w:p>
              </w:tc>
              <w:tc>
                <w:tcPr>
                  <w:tcW w:w="501" w:type="pct"/>
                </w:tcPr>
                <w:p w:rsidRPr="00FD1605" w:rsidR="005C4A21" w:rsidP="00836AF5" w:rsidRDefault="005C4A21" w14:paraId="45C077A2" w14:textId="77777777">
                  <w:pPr>
                    <w:jc w:val="right"/>
                    <w:rPr>
                      <w:rFonts w:ascii="Verdana" w:hAnsi="Verdana"/>
                      <w:sz w:val="18"/>
                      <w:szCs w:val="18"/>
                    </w:rPr>
                  </w:pPr>
                </w:p>
              </w:tc>
              <w:tc>
                <w:tcPr>
                  <w:tcW w:w="501" w:type="pct"/>
                </w:tcPr>
                <w:p w:rsidRPr="00FD1605" w:rsidR="005C4A21" w:rsidP="00836AF5" w:rsidRDefault="005C4A21" w14:paraId="03BA5AF2" w14:textId="77777777">
                  <w:pPr>
                    <w:jc w:val="right"/>
                    <w:rPr>
                      <w:rFonts w:ascii="Verdana" w:hAnsi="Verdana"/>
                      <w:sz w:val="18"/>
                      <w:szCs w:val="18"/>
                    </w:rPr>
                  </w:pPr>
                </w:p>
              </w:tc>
              <w:tc>
                <w:tcPr>
                  <w:tcW w:w="501" w:type="pct"/>
                </w:tcPr>
                <w:p w:rsidRPr="00FD1605" w:rsidR="005C4A21" w:rsidP="00836AF5" w:rsidRDefault="005C4A21" w14:paraId="1F3FA845" w14:textId="77777777">
                  <w:pPr>
                    <w:jc w:val="right"/>
                    <w:rPr>
                      <w:rFonts w:ascii="Verdana" w:hAnsi="Verdana"/>
                      <w:sz w:val="18"/>
                      <w:szCs w:val="18"/>
                    </w:rPr>
                  </w:pPr>
                </w:p>
              </w:tc>
              <w:tc>
                <w:tcPr>
                  <w:tcW w:w="501" w:type="pct"/>
                </w:tcPr>
                <w:p w:rsidRPr="00FD1605" w:rsidR="005C4A21" w:rsidP="00836AF5" w:rsidRDefault="005C4A21" w14:paraId="682714F0" w14:textId="77777777">
                  <w:pPr>
                    <w:jc w:val="right"/>
                    <w:rPr>
                      <w:rFonts w:ascii="Verdana" w:hAnsi="Verdana"/>
                      <w:sz w:val="18"/>
                      <w:szCs w:val="18"/>
                    </w:rPr>
                  </w:pPr>
                </w:p>
              </w:tc>
              <w:tc>
                <w:tcPr>
                  <w:tcW w:w="501" w:type="pct"/>
                </w:tcPr>
                <w:p w:rsidRPr="00FD1605" w:rsidR="005C4A21" w:rsidP="00836AF5" w:rsidRDefault="005C4A21" w14:paraId="3E5B2C08" w14:textId="77777777">
                  <w:pPr>
                    <w:jc w:val="right"/>
                    <w:rPr>
                      <w:rFonts w:ascii="Verdana" w:hAnsi="Verdana"/>
                      <w:sz w:val="18"/>
                      <w:szCs w:val="18"/>
                    </w:rPr>
                  </w:pPr>
                </w:p>
              </w:tc>
              <w:tc>
                <w:tcPr>
                  <w:tcW w:w="615" w:type="pct"/>
                </w:tcPr>
                <w:p w:rsidRPr="00FD1605" w:rsidR="005C4A21" w:rsidP="00836AF5" w:rsidRDefault="005C4A21" w14:paraId="5E170C83" w14:textId="77777777">
                  <w:pPr>
                    <w:jc w:val="right"/>
                    <w:rPr>
                      <w:szCs w:val="18"/>
                    </w:rPr>
                  </w:pPr>
                </w:p>
              </w:tc>
              <w:tc>
                <w:tcPr>
                  <w:tcW w:w="614" w:type="pct"/>
                </w:tcPr>
                <w:p w:rsidRPr="00FD1605" w:rsidR="005C4A21" w:rsidP="00836AF5" w:rsidRDefault="005C4A21" w14:paraId="4AB4F783" w14:textId="4E84F77B">
                  <w:pPr>
                    <w:jc w:val="right"/>
                    <w:rPr>
                      <w:rFonts w:ascii="Verdana" w:hAnsi="Verdana"/>
                      <w:sz w:val="18"/>
                      <w:szCs w:val="18"/>
                    </w:rPr>
                  </w:pPr>
                </w:p>
              </w:tc>
            </w:tr>
            <w:tr w:rsidRPr="00FD1605" w:rsidR="005C4A21" w:rsidTr="005C4A21" w14:paraId="22DD79BF" w14:textId="77777777">
              <w:tc>
                <w:tcPr>
                  <w:tcW w:w="1265" w:type="pct"/>
                </w:tcPr>
                <w:p w:rsidRPr="00FD1605" w:rsidR="005C4A21" w:rsidP="00836AF5" w:rsidRDefault="005C4A21" w14:paraId="53AB4AFC" w14:textId="77777777">
                  <w:pPr>
                    <w:rPr>
                      <w:rFonts w:ascii="Verdana" w:hAnsi="Verdana"/>
                      <w:sz w:val="18"/>
                      <w:szCs w:val="18"/>
                    </w:rPr>
                  </w:pPr>
                </w:p>
              </w:tc>
              <w:tc>
                <w:tcPr>
                  <w:tcW w:w="501" w:type="pct"/>
                </w:tcPr>
                <w:p w:rsidRPr="00FD1605" w:rsidR="005C4A21" w:rsidP="00836AF5" w:rsidRDefault="005C4A21" w14:paraId="5F83CCC3" w14:textId="77777777">
                  <w:pPr>
                    <w:jc w:val="right"/>
                    <w:rPr>
                      <w:rFonts w:ascii="Verdana" w:hAnsi="Verdana"/>
                      <w:sz w:val="18"/>
                      <w:szCs w:val="18"/>
                    </w:rPr>
                  </w:pPr>
                </w:p>
              </w:tc>
              <w:tc>
                <w:tcPr>
                  <w:tcW w:w="501" w:type="pct"/>
                </w:tcPr>
                <w:p w:rsidRPr="00FD1605" w:rsidR="005C4A21" w:rsidP="00836AF5" w:rsidRDefault="005C4A21" w14:paraId="5E53356C" w14:textId="77777777">
                  <w:pPr>
                    <w:jc w:val="right"/>
                    <w:rPr>
                      <w:rFonts w:ascii="Verdana" w:hAnsi="Verdana"/>
                      <w:sz w:val="18"/>
                      <w:szCs w:val="18"/>
                    </w:rPr>
                  </w:pPr>
                </w:p>
              </w:tc>
              <w:tc>
                <w:tcPr>
                  <w:tcW w:w="501" w:type="pct"/>
                </w:tcPr>
                <w:p w:rsidRPr="00FD1605" w:rsidR="005C4A21" w:rsidP="00836AF5" w:rsidRDefault="005C4A21" w14:paraId="39354F3F" w14:textId="77777777">
                  <w:pPr>
                    <w:jc w:val="right"/>
                    <w:rPr>
                      <w:rFonts w:ascii="Verdana" w:hAnsi="Verdana"/>
                      <w:sz w:val="18"/>
                      <w:szCs w:val="18"/>
                    </w:rPr>
                  </w:pPr>
                </w:p>
              </w:tc>
              <w:tc>
                <w:tcPr>
                  <w:tcW w:w="501" w:type="pct"/>
                </w:tcPr>
                <w:p w:rsidRPr="00FD1605" w:rsidR="005C4A21" w:rsidP="00836AF5" w:rsidRDefault="005C4A21" w14:paraId="4D2DE3A6" w14:textId="77777777">
                  <w:pPr>
                    <w:jc w:val="right"/>
                    <w:rPr>
                      <w:rFonts w:ascii="Verdana" w:hAnsi="Verdana"/>
                      <w:sz w:val="18"/>
                      <w:szCs w:val="18"/>
                    </w:rPr>
                  </w:pPr>
                </w:p>
              </w:tc>
              <w:tc>
                <w:tcPr>
                  <w:tcW w:w="501" w:type="pct"/>
                </w:tcPr>
                <w:p w:rsidRPr="00FD1605" w:rsidR="005C4A21" w:rsidP="00836AF5" w:rsidRDefault="005C4A21" w14:paraId="7483473F" w14:textId="77777777">
                  <w:pPr>
                    <w:jc w:val="right"/>
                    <w:rPr>
                      <w:rFonts w:ascii="Verdana" w:hAnsi="Verdana"/>
                      <w:sz w:val="18"/>
                      <w:szCs w:val="18"/>
                    </w:rPr>
                  </w:pPr>
                </w:p>
              </w:tc>
              <w:tc>
                <w:tcPr>
                  <w:tcW w:w="615" w:type="pct"/>
                </w:tcPr>
                <w:p w:rsidRPr="00FD1605" w:rsidR="005C4A21" w:rsidP="00836AF5" w:rsidRDefault="005C4A21" w14:paraId="237BE1F7" w14:textId="77777777">
                  <w:pPr>
                    <w:jc w:val="right"/>
                    <w:rPr>
                      <w:szCs w:val="18"/>
                    </w:rPr>
                  </w:pPr>
                </w:p>
              </w:tc>
              <w:tc>
                <w:tcPr>
                  <w:tcW w:w="614" w:type="pct"/>
                </w:tcPr>
                <w:p w:rsidRPr="00FD1605" w:rsidR="005C4A21" w:rsidP="00836AF5" w:rsidRDefault="005C4A21" w14:paraId="6B5123F6" w14:textId="3547EDD5">
                  <w:pPr>
                    <w:jc w:val="right"/>
                    <w:rPr>
                      <w:rFonts w:ascii="Verdana" w:hAnsi="Verdana"/>
                      <w:sz w:val="18"/>
                      <w:szCs w:val="18"/>
                    </w:rPr>
                  </w:pPr>
                </w:p>
              </w:tc>
            </w:tr>
            <w:tr w:rsidRPr="00FD1605" w:rsidR="005C4A21" w:rsidTr="005C4A21" w14:paraId="09498392" w14:textId="77777777">
              <w:tc>
                <w:tcPr>
                  <w:tcW w:w="1265" w:type="pct"/>
                </w:tcPr>
                <w:p w:rsidRPr="00FD1605" w:rsidR="005C4A21" w:rsidP="00836AF5" w:rsidRDefault="005C4A21" w14:paraId="25946516" w14:textId="77777777">
                  <w:pPr>
                    <w:rPr>
                      <w:rFonts w:ascii="Verdana" w:hAnsi="Verdana"/>
                      <w:b/>
                      <w:bCs/>
                      <w:sz w:val="18"/>
                      <w:szCs w:val="18"/>
                    </w:rPr>
                  </w:pPr>
                  <w:r w:rsidRPr="00FD1605">
                    <w:rPr>
                      <w:rFonts w:ascii="Verdana" w:hAnsi="Verdana"/>
                      <w:b/>
                      <w:bCs/>
                      <w:sz w:val="18"/>
                      <w:szCs w:val="18"/>
                    </w:rPr>
                    <w:t>Totaal</w:t>
                  </w:r>
                </w:p>
              </w:tc>
              <w:tc>
                <w:tcPr>
                  <w:tcW w:w="501" w:type="pct"/>
                </w:tcPr>
                <w:p w:rsidRPr="00FD1605" w:rsidR="005C4A21" w:rsidP="00836AF5" w:rsidRDefault="005C4A21" w14:paraId="3E7773C1" w14:textId="77777777">
                  <w:pPr>
                    <w:jc w:val="right"/>
                    <w:rPr>
                      <w:rFonts w:ascii="Verdana" w:hAnsi="Verdana"/>
                      <w:b/>
                      <w:bCs/>
                      <w:sz w:val="18"/>
                      <w:szCs w:val="18"/>
                    </w:rPr>
                  </w:pPr>
                </w:p>
              </w:tc>
              <w:tc>
                <w:tcPr>
                  <w:tcW w:w="501" w:type="pct"/>
                </w:tcPr>
                <w:p w:rsidRPr="00FD1605" w:rsidR="005C4A21" w:rsidP="00836AF5" w:rsidRDefault="005C4A21" w14:paraId="07A07A00" w14:textId="78999F1A">
                  <w:pPr>
                    <w:jc w:val="right"/>
                    <w:rPr>
                      <w:rFonts w:ascii="Verdana" w:hAnsi="Verdana"/>
                      <w:b/>
                      <w:bCs/>
                      <w:sz w:val="18"/>
                      <w:szCs w:val="18"/>
                    </w:rPr>
                  </w:pPr>
                  <w:r w:rsidRPr="00FD1605">
                    <w:rPr>
                      <w:rFonts w:ascii="Verdana" w:hAnsi="Verdana"/>
                      <w:b/>
                      <w:bCs/>
                      <w:sz w:val="18"/>
                      <w:szCs w:val="18"/>
                    </w:rPr>
                    <w:t>-</w:t>
                  </w:r>
                </w:p>
              </w:tc>
              <w:tc>
                <w:tcPr>
                  <w:tcW w:w="501" w:type="pct"/>
                </w:tcPr>
                <w:p w:rsidRPr="00FD1605" w:rsidR="005C4A21" w:rsidP="00836AF5" w:rsidRDefault="005C4A21" w14:paraId="3274FF08" w14:textId="6C206BF6">
                  <w:pPr>
                    <w:jc w:val="right"/>
                    <w:rPr>
                      <w:rFonts w:ascii="Verdana" w:hAnsi="Verdana"/>
                      <w:b/>
                      <w:bCs/>
                      <w:sz w:val="18"/>
                      <w:szCs w:val="18"/>
                    </w:rPr>
                  </w:pPr>
                  <w:r w:rsidRPr="00FD1605">
                    <w:rPr>
                      <w:rFonts w:ascii="Verdana" w:hAnsi="Verdana"/>
                      <w:b/>
                      <w:bCs/>
                      <w:sz w:val="18"/>
                      <w:szCs w:val="18"/>
                    </w:rPr>
                    <w:t>-</w:t>
                  </w:r>
                </w:p>
              </w:tc>
              <w:tc>
                <w:tcPr>
                  <w:tcW w:w="501" w:type="pct"/>
                </w:tcPr>
                <w:p w:rsidRPr="00FD1605" w:rsidR="005C4A21" w:rsidP="00836AF5" w:rsidRDefault="005C4A21" w14:paraId="4D68B61D" w14:textId="4A439F14">
                  <w:pPr>
                    <w:jc w:val="right"/>
                    <w:rPr>
                      <w:rFonts w:ascii="Verdana" w:hAnsi="Verdana"/>
                      <w:b/>
                      <w:bCs/>
                      <w:sz w:val="18"/>
                      <w:szCs w:val="18"/>
                    </w:rPr>
                  </w:pPr>
                  <w:r w:rsidRPr="00FD1605">
                    <w:rPr>
                      <w:rFonts w:ascii="Verdana" w:hAnsi="Verdana"/>
                      <w:b/>
                      <w:bCs/>
                      <w:sz w:val="18"/>
                      <w:szCs w:val="18"/>
                    </w:rPr>
                    <w:t>-</w:t>
                  </w:r>
                </w:p>
              </w:tc>
              <w:tc>
                <w:tcPr>
                  <w:tcW w:w="501" w:type="pct"/>
                </w:tcPr>
                <w:p w:rsidRPr="00FD1605" w:rsidR="005C4A21" w:rsidP="00836AF5" w:rsidRDefault="005C4A21" w14:paraId="451F5911" w14:textId="3C31CA16">
                  <w:pPr>
                    <w:jc w:val="right"/>
                    <w:rPr>
                      <w:rFonts w:ascii="Verdana" w:hAnsi="Verdana"/>
                      <w:b/>
                      <w:bCs/>
                      <w:sz w:val="18"/>
                      <w:szCs w:val="18"/>
                    </w:rPr>
                  </w:pPr>
                  <w:r w:rsidRPr="00FD1605">
                    <w:rPr>
                      <w:rFonts w:ascii="Verdana" w:hAnsi="Verdana"/>
                      <w:b/>
                      <w:bCs/>
                      <w:sz w:val="18"/>
                      <w:szCs w:val="18"/>
                    </w:rPr>
                    <w:t>-</w:t>
                  </w:r>
                </w:p>
              </w:tc>
              <w:tc>
                <w:tcPr>
                  <w:tcW w:w="615" w:type="pct"/>
                </w:tcPr>
                <w:p w:rsidRPr="00FD1605" w:rsidR="005C4A21" w:rsidP="00836AF5" w:rsidRDefault="005C4A21" w14:paraId="12AE0D61" w14:textId="7428AD5C">
                  <w:pPr>
                    <w:jc w:val="right"/>
                    <w:rPr>
                      <w:b/>
                      <w:bCs/>
                      <w:szCs w:val="18"/>
                    </w:rPr>
                  </w:pPr>
                  <w:r>
                    <w:rPr>
                      <w:b/>
                      <w:bCs/>
                      <w:szCs w:val="18"/>
                    </w:rPr>
                    <w:t>-</w:t>
                  </w:r>
                </w:p>
              </w:tc>
              <w:tc>
                <w:tcPr>
                  <w:tcW w:w="614" w:type="pct"/>
                </w:tcPr>
                <w:p w:rsidRPr="00FD1605" w:rsidR="005C4A21" w:rsidP="00836AF5" w:rsidRDefault="005C4A21" w14:paraId="5EA8B58B" w14:textId="6298958C">
                  <w:pPr>
                    <w:jc w:val="right"/>
                    <w:rPr>
                      <w:rFonts w:ascii="Verdana" w:hAnsi="Verdana"/>
                      <w:b/>
                      <w:bCs/>
                      <w:sz w:val="18"/>
                      <w:szCs w:val="18"/>
                    </w:rPr>
                  </w:pPr>
                  <w:r w:rsidRPr="00FD1605">
                    <w:rPr>
                      <w:rFonts w:ascii="Verdana" w:hAnsi="Verdana"/>
                      <w:b/>
                      <w:bCs/>
                      <w:sz w:val="18"/>
                      <w:szCs w:val="18"/>
                    </w:rPr>
                    <w:t>-</w:t>
                  </w:r>
                </w:p>
              </w:tc>
            </w:tr>
          </w:tbl>
          <w:p w:rsidRPr="00FD1605" w:rsidR="00DF2B59" w:rsidP="00836AF5" w:rsidRDefault="00DF2B59" w14:paraId="24C39070" w14:textId="3FDA40BE">
            <w:pPr>
              <w:spacing w:after="0" w:line="240" w:lineRule="auto"/>
              <w:rPr>
                <w:rFonts w:eastAsia="Times New Roman" w:cs="Calibri"/>
                <w:color w:val="000000"/>
                <w:szCs w:val="18"/>
                <w:lang w:val="nl-NL" w:eastAsia="nl-NL"/>
              </w:rPr>
            </w:pPr>
          </w:p>
          <w:p w:rsidRPr="00FD1605" w:rsidR="00836AF5" w:rsidP="00836AF5" w:rsidRDefault="00836AF5" w14:paraId="29F62F07" w14:textId="77777777">
            <w:pPr>
              <w:spacing w:after="0" w:line="240" w:lineRule="auto"/>
              <w:rPr>
                <w:rFonts w:eastAsia="Times New Roman" w:cs="Calibri"/>
                <w:color w:val="000000"/>
                <w:szCs w:val="18"/>
                <w:lang w:val="nl-NL" w:eastAsia="nl-NL"/>
              </w:rPr>
            </w:pPr>
          </w:p>
        </w:tc>
      </w:tr>
      <w:tr w:rsidRPr="00EB3835" w:rsidR="00836AF5" w:rsidTr="00D50797" w14:paraId="2A354A8D" w14:textId="77777777">
        <w:trPr>
          <w:trHeight w:val="315"/>
        </w:trPr>
        <w:tc>
          <w:tcPr>
            <w:tcW w:w="2005" w:type="dxa"/>
            <w:tcBorders>
              <w:top w:val="nil"/>
              <w:left w:val="single" w:color="auto" w:sz="8" w:space="0"/>
              <w:bottom w:val="single" w:color="auto" w:sz="8" w:space="0"/>
              <w:right w:val="nil"/>
            </w:tcBorders>
            <w:shd w:val="clear" w:color="auto" w:fill="auto"/>
            <w:noWrap/>
          </w:tcPr>
          <w:p w:rsidRPr="00704454" w:rsidR="00836AF5" w:rsidP="00836AF5" w:rsidRDefault="00836AF5" w14:paraId="4269C05C"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Toelichting raming</w:t>
            </w:r>
          </w:p>
        </w:tc>
        <w:tc>
          <w:tcPr>
            <w:tcW w:w="8080" w:type="dxa"/>
            <w:tcBorders>
              <w:top w:val="single" w:color="auto" w:sz="4" w:space="0"/>
              <w:left w:val="single" w:color="auto" w:sz="4" w:space="0"/>
              <w:bottom w:val="single" w:color="auto" w:sz="8" w:space="0"/>
              <w:right w:val="single" w:color="auto" w:sz="4" w:space="0"/>
            </w:tcBorders>
            <w:shd w:val="clear" w:color="auto" w:fill="auto"/>
            <w:noWrap/>
          </w:tcPr>
          <w:p w:rsidRPr="00FD1605" w:rsidR="00836AF5" w:rsidP="00DF2B59" w:rsidRDefault="00DF2B59" w14:paraId="121E29C6" w14:textId="6CCC9075">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De TW behoudt dezelfde vormgeving, maar wordt met deze maatregel uitgevoerd door gemeenten. Er is in principe geen wijziging in de uitkeringslasten omdat de vormgeving niet wijzigt. De uitvoeringskosten vallen mogelijk hoger of lager uit, afhankelijk van de bekendheid van de nieuwe uitvoering en of uitkeringsgerechtigden de stap naar de gemeente weten te zetten.</w:t>
            </w:r>
          </w:p>
        </w:tc>
      </w:tr>
      <w:tr w:rsidRPr="00EB3835" w:rsidR="00836AF5" w:rsidTr="00D50797" w14:paraId="265A179E" w14:textId="77777777">
        <w:trPr>
          <w:trHeight w:val="315"/>
        </w:trPr>
        <w:tc>
          <w:tcPr>
            <w:tcW w:w="2005" w:type="dxa"/>
            <w:tcBorders>
              <w:top w:val="nil"/>
              <w:left w:val="single" w:color="auto" w:sz="8" w:space="0"/>
              <w:bottom w:val="single" w:color="auto" w:sz="8" w:space="0"/>
              <w:right w:val="nil"/>
            </w:tcBorders>
            <w:shd w:val="clear" w:color="auto" w:fill="auto"/>
            <w:noWrap/>
          </w:tcPr>
          <w:p w:rsidRPr="00704454" w:rsidR="00836AF5" w:rsidP="00836AF5" w:rsidRDefault="00836AF5" w14:paraId="5979D0D9"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Inkomens-</w:t>
            </w:r>
          </w:p>
          <w:p w:rsidRPr="00704454" w:rsidR="00836AF5" w:rsidP="00836AF5" w:rsidRDefault="00836AF5" w14:paraId="314DF591"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effecten</w:t>
            </w:r>
          </w:p>
        </w:tc>
        <w:tc>
          <w:tcPr>
            <w:tcW w:w="8080" w:type="dxa"/>
            <w:tcBorders>
              <w:top w:val="single" w:color="auto" w:sz="4" w:space="0"/>
              <w:left w:val="single" w:color="auto" w:sz="4" w:space="0"/>
              <w:bottom w:val="single" w:color="auto" w:sz="8" w:space="0"/>
              <w:right w:val="single" w:color="auto" w:sz="4" w:space="0"/>
            </w:tcBorders>
            <w:shd w:val="clear" w:color="auto" w:fill="auto"/>
            <w:noWrap/>
          </w:tcPr>
          <w:p w:rsidRPr="00FD1605" w:rsidR="00836AF5" w:rsidP="00836AF5" w:rsidRDefault="00836AF5" w14:paraId="24DBFBDD" w14:textId="051712F3">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 xml:space="preserve">Omdat de huidige systematiek van de Toeslagenwet en daarmee het aanvullende bedrag dat zij ontvangen behouden blijft, zijn er geen effecten op de financiële situatie van deze doelgroep. Een aandachtspunt is de vraag of gemeenten het aanvullende bedrag eveneens bruto vaststellen of dat zij dit netto doen, net zoals de Participatiewet wordt vastgesteld. In dat geval, kan het zijn </w:t>
            </w:r>
            <w:r w:rsidR="00451942">
              <w:rPr>
                <w:rFonts w:eastAsia="Times New Roman" w:cs="Calibri"/>
                <w:color w:val="000000"/>
                <w:szCs w:val="18"/>
                <w:lang w:val="nl-NL" w:eastAsia="nl-NL"/>
              </w:rPr>
              <w:t xml:space="preserve">er inkomenseffecten optreden. Zo hebben personen met een Wajong-uitkering en aanvulling vanuit de TW momenteel een hoger </w:t>
            </w:r>
            <w:r w:rsidR="00B527E3">
              <w:rPr>
                <w:rFonts w:eastAsia="Times New Roman" w:cs="Calibri"/>
                <w:color w:val="000000"/>
                <w:szCs w:val="18"/>
                <w:lang w:val="nl-NL" w:eastAsia="nl-NL"/>
              </w:rPr>
              <w:t xml:space="preserve">netto </w:t>
            </w:r>
            <w:r w:rsidR="00451942">
              <w:rPr>
                <w:rFonts w:eastAsia="Times New Roman" w:cs="Calibri"/>
                <w:color w:val="000000"/>
                <w:szCs w:val="18"/>
                <w:lang w:val="nl-NL" w:eastAsia="nl-NL"/>
              </w:rPr>
              <w:t>inkomen dan personen met een bijstandsuitkering</w:t>
            </w:r>
            <w:r w:rsidR="00B527E3">
              <w:rPr>
                <w:rFonts w:eastAsia="Times New Roman" w:cs="Calibri"/>
                <w:color w:val="000000"/>
                <w:szCs w:val="18"/>
                <w:lang w:val="nl-NL" w:eastAsia="nl-NL"/>
              </w:rPr>
              <w:t xml:space="preserve"> (zie ook fiche C4)</w:t>
            </w:r>
            <w:r w:rsidR="00451942">
              <w:rPr>
                <w:rFonts w:eastAsia="Times New Roman" w:cs="Calibri"/>
                <w:color w:val="000000"/>
                <w:szCs w:val="18"/>
                <w:lang w:val="nl-NL" w:eastAsia="nl-NL"/>
              </w:rPr>
              <w:t>.</w:t>
            </w:r>
          </w:p>
        </w:tc>
      </w:tr>
      <w:tr w:rsidRPr="00EB3835" w:rsidR="00836AF5" w:rsidTr="00D50797" w14:paraId="4D9DFA71" w14:textId="77777777">
        <w:trPr>
          <w:trHeight w:val="315"/>
        </w:trPr>
        <w:tc>
          <w:tcPr>
            <w:tcW w:w="2005" w:type="dxa"/>
            <w:tcBorders>
              <w:top w:val="nil"/>
              <w:left w:val="single" w:color="auto" w:sz="8" w:space="0"/>
              <w:bottom w:val="single" w:color="auto" w:sz="8" w:space="0"/>
              <w:right w:val="nil"/>
            </w:tcBorders>
            <w:shd w:val="clear" w:color="auto" w:fill="auto"/>
            <w:noWrap/>
          </w:tcPr>
          <w:p w:rsidRPr="00704454" w:rsidR="00836AF5" w:rsidP="00836AF5" w:rsidRDefault="00836AF5" w14:paraId="6948C311"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Arbeidsmarkt-effecten</w:t>
            </w:r>
          </w:p>
        </w:tc>
        <w:tc>
          <w:tcPr>
            <w:tcW w:w="8080" w:type="dxa"/>
            <w:tcBorders>
              <w:top w:val="single" w:color="auto" w:sz="4" w:space="0"/>
              <w:left w:val="single" w:color="auto" w:sz="4" w:space="0"/>
              <w:bottom w:val="single" w:color="auto" w:sz="8" w:space="0"/>
              <w:right w:val="single" w:color="auto" w:sz="4" w:space="0"/>
            </w:tcBorders>
            <w:shd w:val="clear" w:color="auto" w:fill="auto"/>
            <w:noWrap/>
          </w:tcPr>
          <w:p w:rsidRPr="00FD1605" w:rsidR="00836AF5" w:rsidP="00836AF5" w:rsidRDefault="00836AF5" w14:paraId="192C2541" w14:textId="613E9B03">
            <w:pPr>
              <w:spacing w:after="0" w:line="240" w:lineRule="auto"/>
              <w:rPr>
                <w:rFonts w:eastAsia="Times New Roman"/>
                <w:lang w:val="nl-NL"/>
              </w:rPr>
            </w:pPr>
            <w:r w:rsidRPr="00FD1605">
              <w:rPr>
                <w:rFonts w:eastAsia="Times New Roman"/>
                <w:lang w:val="nl-NL"/>
              </w:rPr>
              <w:t xml:space="preserve">Omdat in deze maatregel alleen de uitvoerder wijzigt, maar geen andere criteria van de Toeslagenwet, zijn er </w:t>
            </w:r>
            <w:r w:rsidR="00DE598F">
              <w:rPr>
                <w:rFonts w:eastAsia="Times New Roman"/>
                <w:lang w:val="nl-NL"/>
              </w:rPr>
              <w:t>beperkt</w:t>
            </w:r>
            <w:r w:rsidRPr="00FD1605" w:rsidR="00DE598F">
              <w:rPr>
                <w:rFonts w:eastAsia="Times New Roman"/>
                <w:lang w:val="nl-NL"/>
              </w:rPr>
              <w:t xml:space="preserve"> </w:t>
            </w:r>
            <w:r w:rsidRPr="00FD1605">
              <w:rPr>
                <w:rFonts w:eastAsia="Times New Roman"/>
                <w:lang w:val="nl-NL"/>
              </w:rPr>
              <w:t xml:space="preserve">effecten op de werkhervattingsprikkel te verwachten. </w:t>
            </w:r>
            <w:r w:rsidR="00F27217">
              <w:rPr>
                <w:rFonts w:eastAsia="Times New Roman"/>
                <w:lang w:val="nl-NL"/>
              </w:rPr>
              <w:t xml:space="preserve">Deze maatregel zorgt er wel voor dat mensen met meerdere instanties te maken krijgen, wat de voorspelbaarheid en begrijpelijkheid van (de samenstelling van) het inkomen kan verminderen. Dat heeft gevolgen voor de zekerheid die mensen, met name bij een verandering van hun situatie, ervaren en dat kan wel effect hebben op de mate waarin mensen in staat zijn de stap naar werk te zetten. </w:t>
            </w:r>
          </w:p>
        </w:tc>
      </w:tr>
      <w:tr w:rsidRPr="00EB3835" w:rsidR="00836AF5" w:rsidTr="00D50797" w14:paraId="795BAA80" w14:textId="77777777">
        <w:trPr>
          <w:trHeight w:val="315"/>
        </w:trPr>
        <w:tc>
          <w:tcPr>
            <w:tcW w:w="2005" w:type="dxa"/>
            <w:tcBorders>
              <w:top w:val="nil"/>
              <w:left w:val="single" w:color="auto" w:sz="8" w:space="0"/>
              <w:bottom w:val="single" w:color="auto" w:sz="8" w:space="0"/>
              <w:right w:val="nil"/>
            </w:tcBorders>
            <w:shd w:val="clear" w:color="auto" w:fill="auto"/>
            <w:noWrap/>
          </w:tcPr>
          <w:p w:rsidRPr="00704454" w:rsidR="00836AF5" w:rsidP="00836AF5" w:rsidRDefault="00836AF5" w14:paraId="409D93FF"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Overige relevante aspecten</w:t>
            </w:r>
          </w:p>
        </w:tc>
        <w:tc>
          <w:tcPr>
            <w:tcW w:w="8080" w:type="dxa"/>
            <w:tcBorders>
              <w:top w:val="single" w:color="auto" w:sz="4" w:space="0"/>
              <w:left w:val="single" w:color="auto" w:sz="4" w:space="0"/>
              <w:bottom w:val="single" w:color="auto" w:sz="8" w:space="0"/>
              <w:right w:val="single" w:color="auto" w:sz="4" w:space="0"/>
            </w:tcBorders>
            <w:shd w:val="clear" w:color="auto" w:fill="auto"/>
            <w:noWrap/>
          </w:tcPr>
          <w:p w:rsidRPr="00FD1605" w:rsidR="00836AF5" w:rsidP="00836AF5" w:rsidRDefault="00836AF5" w14:paraId="78437A65" w14:textId="7C89B6A9">
            <w:pPr>
              <w:spacing w:after="0" w:line="240" w:lineRule="auto"/>
              <w:rPr>
                <w:rFonts w:eastAsia="Times New Roman"/>
                <w:lang w:val="nl-NL"/>
              </w:rPr>
            </w:pPr>
            <w:r w:rsidRPr="00FD1605">
              <w:rPr>
                <w:rFonts w:eastAsia="Times New Roman"/>
                <w:lang w:val="nl-NL"/>
              </w:rPr>
              <w:t>In het geval dat mensen een uitkering ontvangen van UWV en een aanvulling vanuit de Participatiewet, hoeft er vanuit gemeente</w:t>
            </w:r>
            <w:r w:rsidRPr="00FD1605" w:rsidR="00761F14">
              <w:rPr>
                <w:rFonts w:eastAsia="Times New Roman"/>
                <w:lang w:val="nl-NL"/>
              </w:rPr>
              <w:t>n</w:t>
            </w:r>
            <w:r w:rsidRPr="00FD1605">
              <w:rPr>
                <w:rFonts w:eastAsia="Times New Roman"/>
                <w:lang w:val="nl-NL"/>
              </w:rPr>
              <w:t xml:space="preserve"> geen dienstverlening en controle op re-integratie te worden uitgevoerd. Die dienstverlening ontvangen zij al vanuit UWV. Hier moet aandacht aan worden besteed bij de beleidsvoorbereiding.</w:t>
            </w:r>
          </w:p>
          <w:p w:rsidRPr="00FD1605" w:rsidR="00836AF5" w:rsidP="00836AF5" w:rsidRDefault="00836AF5" w14:paraId="4FBB6FF3" w14:textId="77777777">
            <w:pPr>
              <w:spacing w:after="0" w:line="240" w:lineRule="auto"/>
              <w:rPr>
                <w:rFonts w:eastAsia="Times New Roman"/>
                <w:lang w:val="nl-NL"/>
              </w:rPr>
            </w:pPr>
          </w:p>
          <w:p w:rsidRPr="00FD1605" w:rsidR="00836AF5" w:rsidP="00836AF5" w:rsidRDefault="00836AF5" w14:paraId="64C28F79" w14:textId="77777777">
            <w:pPr>
              <w:spacing w:after="0" w:line="240" w:lineRule="auto"/>
              <w:rPr>
                <w:rFonts w:eastAsia="Times New Roman"/>
                <w:lang w:val="nl-NL"/>
              </w:rPr>
            </w:pPr>
            <w:r w:rsidRPr="00FD1605">
              <w:rPr>
                <w:rFonts w:eastAsia="Times New Roman"/>
                <w:lang w:val="nl-NL"/>
              </w:rPr>
              <w:t>Een aandachtspunt is de wijze van financiering van de Toeslagenwet wanneer deze wordt overgeheveld naar een andere uitvoerder. Op dit moment wordt deze wet gefinancierd vanuit het Toeslagenfonds. Wanneer de Toeslagenwet blijft bestaan, hoeft dit geen gevolgen te hebben voor de financiering. Wel dient er een verdeling van deze gelden over de uitvoerende gemeenten plaats te vinden.</w:t>
            </w:r>
          </w:p>
          <w:p w:rsidRPr="00FD1605" w:rsidR="00836AF5" w:rsidP="00836AF5" w:rsidRDefault="00836AF5" w14:paraId="01822896" w14:textId="0DD985E7">
            <w:pPr>
              <w:spacing w:after="0" w:line="240" w:lineRule="auto"/>
              <w:rPr>
                <w:rFonts w:eastAsia="Times New Roman"/>
                <w:lang w:val="nl-NL"/>
              </w:rPr>
            </w:pPr>
            <w:r w:rsidRPr="00FD1605">
              <w:rPr>
                <w:rFonts w:eastAsia="Times New Roman"/>
                <w:lang w:val="nl-NL"/>
              </w:rPr>
              <w:lastRenderedPageBreak/>
              <w:t xml:space="preserve">Wanneer de wettelijke bepalingen echter worden opgenomen in de Participatiewet, zal dat gevolgen hebben voor de financiering van de Participatiewet en het bestaan van het Toeslagenfonds. Afhankelijk van te maken keuzes in de vormgeving dient hiernaar nader onderzoek te worden gedaan. </w:t>
            </w:r>
          </w:p>
        </w:tc>
      </w:tr>
    </w:tbl>
    <w:p w:rsidR="006F2012" w:rsidRDefault="006F2012" w14:paraId="12936E2C" w14:textId="701FE8D7">
      <w:pPr>
        <w:rPr>
          <w:lang w:val="nl-NL"/>
        </w:rPr>
      </w:pPr>
    </w:p>
    <w:p w:rsidR="006F2012" w:rsidRDefault="006F2012" w14:paraId="133466C3" w14:textId="77777777">
      <w:pPr>
        <w:rPr>
          <w:lang w:val="nl-NL"/>
        </w:rPr>
      </w:pPr>
      <w:r>
        <w:rPr>
          <w:lang w:val="nl-NL"/>
        </w:rPr>
        <w:br w:type="page"/>
      </w:r>
    </w:p>
    <w:p w:rsidRPr="00FD1605" w:rsidR="00836AF5" w:rsidRDefault="00836AF5" w14:paraId="040FE063" w14:textId="77777777">
      <w:pPr>
        <w:rPr>
          <w:lang w:val="nl-NL"/>
        </w:rPr>
      </w:pPr>
    </w:p>
    <w:tbl>
      <w:tblPr>
        <w:tblW w:w="10085" w:type="dxa"/>
        <w:tblInd w:w="-436" w:type="dxa"/>
        <w:tblLayout w:type="fixed"/>
        <w:tblCellMar>
          <w:left w:w="70" w:type="dxa"/>
          <w:right w:w="70" w:type="dxa"/>
        </w:tblCellMar>
        <w:tblLook w:val="04A0" w:firstRow="1" w:lastRow="0" w:firstColumn="1" w:lastColumn="0" w:noHBand="0" w:noVBand="1"/>
      </w:tblPr>
      <w:tblGrid>
        <w:gridCol w:w="2005"/>
        <w:gridCol w:w="8080"/>
      </w:tblGrid>
      <w:tr w:rsidRPr="00FD1605" w:rsidR="00836AF5" w:rsidTr="00903A94" w14:paraId="359AB0CD" w14:textId="77777777">
        <w:trPr>
          <w:trHeight w:val="300"/>
        </w:trPr>
        <w:tc>
          <w:tcPr>
            <w:tcW w:w="2005" w:type="dxa"/>
            <w:tcBorders>
              <w:top w:val="single" w:color="auto" w:sz="8" w:space="0"/>
              <w:left w:val="single" w:color="auto" w:sz="8" w:space="0"/>
              <w:bottom w:val="single" w:color="auto" w:sz="4" w:space="0"/>
              <w:right w:val="nil"/>
            </w:tcBorders>
            <w:shd w:val="clear" w:color="auto" w:fill="auto"/>
            <w:noWrap/>
          </w:tcPr>
          <w:p w:rsidRPr="00FD1605" w:rsidR="00E2272F" w:rsidP="00836AF5" w:rsidRDefault="00E2272F" w14:paraId="196F4422" w14:textId="77777777">
            <w:pPr>
              <w:spacing w:after="0" w:line="240" w:lineRule="auto"/>
              <w:rPr>
                <w:rFonts w:eastAsia="Times New Roman" w:cs="Calibri"/>
                <w:b/>
                <w:bCs/>
                <w:color w:val="000000"/>
                <w:szCs w:val="18"/>
                <w:lang w:val="nl-NL" w:eastAsia="nl-NL"/>
              </w:rPr>
            </w:pPr>
          </w:p>
          <w:p w:rsidRPr="00704454" w:rsidR="00836AF5" w:rsidP="00836AF5" w:rsidRDefault="00836AF5" w14:paraId="3E2C313D" w14:textId="0410F40D">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Maatregel</w:t>
            </w:r>
          </w:p>
        </w:tc>
        <w:tc>
          <w:tcPr>
            <w:tcW w:w="8080" w:type="dxa"/>
            <w:tcBorders>
              <w:top w:val="single" w:color="auto" w:sz="8" w:space="0"/>
              <w:left w:val="single" w:color="auto" w:sz="4" w:space="0"/>
              <w:bottom w:val="single" w:color="auto" w:sz="4" w:space="0"/>
              <w:right w:val="single" w:color="auto" w:sz="4" w:space="0"/>
            </w:tcBorders>
            <w:shd w:val="clear" w:color="auto" w:fill="auto"/>
            <w:noWrap/>
          </w:tcPr>
          <w:p w:rsidRPr="00704454" w:rsidR="00836AF5" w:rsidP="00E2272F" w:rsidRDefault="009F6BA4" w14:paraId="4069CAED" w14:textId="17959A61">
            <w:pPr>
              <w:pStyle w:val="Kop1"/>
              <w:rPr>
                <w:rFonts w:ascii="Verdana" w:hAnsi="Verdana" w:eastAsia="Times New Roman"/>
                <w:b/>
                <w:bCs/>
                <w:color w:val="auto"/>
                <w:sz w:val="18"/>
                <w:szCs w:val="18"/>
                <w:lang w:val="nl-NL" w:eastAsia="nl-NL"/>
              </w:rPr>
            </w:pPr>
            <w:bookmarkStart w:name="_Toc223522237" w:id="16"/>
            <w:r>
              <w:rPr>
                <w:rFonts w:ascii="Verdana" w:hAnsi="Verdana" w:eastAsia="Times New Roman"/>
                <w:b/>
                <w:bCs/>
                <w:color w:val="auto"/>
                <w:sz w:val="18"/>
                <w:szCs w:val="18"/>
                <w:lang w:val="nl-NL" w:eastAsia="nl-NL"/>
              </w:rPr>
              <w:t>C</w:t>
            </w:r>
            <w:r w:rsidRPr="00913061" w:rsidR="00836AF5">
              <w:rPr>
                <w:rFonts w:ascii="Verdana" w:hAnsi="Verdana" w:eastAsia="Times New Roman"/>
                <w:b/>
                <w:bCs/>
                <w:color w:val="auto"/>
                <w:sz w:val="18"/>
                <w:szCs w:val="18"/>
                <w:lang w:val="nl-NL" w:eastAsia="nl-NL"/>
              </w:rPr>
              <w:t>.</w:t>
            </w:r>
            <w:r w:rsidR="006F2012">
              <w:rPr>
                <w:rFonts w:ascii="Verdana" w:hAnsi="Verdana" w:eastAsia="Times New Roman"/>
                <w:b/>
                <w:bCs/>
                <w:color w:val="auto"/>
                <w:sz w:val="18"/>
                <w:szCs w:val="18"/>
                <w:lang w:val="nl-NL" w:eastAsia="nl-NL"/>
              </w:rPr>
              <w:t>3</w:t>
            </w:r>
            <w:r w:rsidRPr="00913061" w:rsidR="00836AF5">
              <w:rPr>
                <w:rFonts w:ascii="Verdana" w:hAnsi="Verdana" w:eastAsia="Times New Roman"/>
                <w:b/>
                <w:bCs/>
                <w:color w:val="auto"/>
                <w:sz w:val="18"/>
                <w:szCs w:val="18"/>
                <w:lang w:val="nl-NL" w:eastAsia="nl-NL"/>
              </w:rPr>
              <w:t xml:space="preserve"> Toeslagenwet afschaffen</w:t>
            </w:r>
            <w:bookmarkEnd w:id="16"/>
            <w:r w:rsidRPr="00704454" w:rsidR="00836AF5">
              <w:rPr>
                <w:rFonts w:ascii="Verdana" w:hAnsi="Verdana" w:eastAsia="Times New Roman"/>
                <w:b/>
                <w:bCs/>
                <w:color w:val="auto"/>
                <w:sz w:val="18"/>
                <w:szCs w:val="18"/>
                <w:lang w:val="nl-NL" w:eastAsia="nl-NL"/>
              </w:rPr>
              <w:t xml:space="preserve"> </w:t>
            </w:r>
          </w:p>
        </w:tc>
      </w:tr>
      <w:tr w:rsidRPr="00EB3835" w:rsidR="00836AF5" w:rsidTr="00903A94" w14:paraId="5E2FC605" w14:textId="77777777">
        <w:trPr>
          <w:trHeight w:val="315"/>
        </w:trPr>
        <w:tc>
          <w:tcPr>
            <w:tcW w:w="2005" w:type="dxa"/>
            <w:tcBorders>
              <w:top w:val="nil"/>
              <w:left w:val="single" w:color="auto" w:sz="8" w:space="0"/>
              <w:bottom w:val="single" w:color="auto" w:sz="8" w:space="0"/>
              <w:right w:val="nil"/>
            </w:tcBorders>
            <w:shd w:val="clear" w:color="auto" w:fill="auto"/>
            <w:noWrap/>
          </w:tcPr>
          <w:p w:rsidRPr="00704454" w:rsidR="00836AF5" w:rsidP="00836AF5" w:rsidRDefault="00836AF5" w14:paraId="2E7E89A1"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Korte uitleg maatregel</w:t>
            </w:r>
          </w:p>
        </w:tc>
        <w:tc>
          <w:tcPr>
            <w:tcW w:w="8080" w:type="dxa"/>
            <w:tcBorders>
              <w:top w:val="single" w:color="auto" w:sz="4" w:space="0"/>
              <w:left w:val="single" w:color="auto" w:sz="4" w:space="0"/>
              <w:bottom w:val="single" w:color="auto" w:sz="8" w:space="0"/>
              <w:right w:val="single" w:color="auto" w:sz="4" w:space="0"/>
            </w:tcBorders>
            <w:shd w:val="clear" w:color="auto" w:fill="auto"/>
            <w:noWrap/>
          </w:tcPr>
          <w:p w:rsidRPr="00FD1605" w:rsidR="00836AF5" w:rsidP="00836AF5" w:rsidRDefault="00836AF5" w14:paraId="265D23B6" w14:textId="288FD550">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 xml:space="preserve">Deze maatregel stelt voor om de Toeslagenwet af te schaffen. Het is dan niet meer mogelijk om een </w:t>
            </w:r>
            <w:r w:rsidR="00AC5290">
              <w:rPr>
                <w:rFonts w:eastAsia="Times New Roman" w:cs="Calibri"/>
                <w:color w:val="000000"/>
                <w:szCs w:val="18"/>
                <w:lang w:val="nl-NL" w:eastAsia="nl-NL"/>
              </w:rPr>
              <w:t>aanvulling tot sociaal minimum</w:t>
            </w:r>
            <w:r w:rsidRPr="00FD1605" w:rsidR="00AC5290">
              <w:rPr>
                <w:rFonts w:eastAsia="Times New Roman" w:cs="Calibri"/>
                <w:color w:val="000000"/>
                <w:szCs w:val="18"/>
                <w:lang w:val="nl-NL" w:eastAsia="nl-NL"/>
              </w:rPr>
              <w:t xml:space="preserve"> </w:t>
            </w:r>
            <w:r w:rsidRPr="00FD1605">
              <w:rPr>
                <w:rFonts w:eastAsia="Times New Roman" w:cs="Calibri"/>
                <w:color w:val="000000"/>
                <w:szCs w:val="18"/>
                <w:lang w:val="nl-NL" w:eastAsia="nl-NL"/>
              </w:rPr>
              <w:t xml:space="preserve">te krijgen vanuit UWV. De uitkeringsgerechtigden van UWV </w:t>
            </w:r>
            <w:r w:rsidRPr="00FD1605" w:rsidR="00DE069E">
              <w:rPr>
                <w:rFonts w:eastAsia="Times New Roman" w:cs="Calibri"/>
                <w:color w:val="000000"/>
                <w:szCs w:val="18"/>
                <w:lang w:val="nl-NL" w:eastAsia="nl-NL"/>
              </w:rPr>
              <w:t xml:space="preserve">kunnen </w:t>
            </w:r>
            <w:r w:rsidRPr="00FD1605">
              <w:rPr>
                <w:rFonts w:eastAsia="Times New Roman" w:cs="Calibri"/>
                <w:color w:val="000000"/>
                <w:szCs w:val="18"/>
                <w:lang w:val="nl-NL" w:eastAsia="nl-NL"/>
              </w:rPr>
              <w:t>dan voor een aanvulling tot het sociaal minimum naar de gemeente. Zij krijgen daar te maken met de criteria voor een aanvullende bijstand zoals die gelden in de Participatiewet</w:t>
            </w:r>
            <w:r w:rsidRPr="00FD1605" w:rsidR="00B46081">
              <w:rPr>
                <w:rFonts w:eastAsia="Times New Roman" w:cs="Calibri"/>
                <w:color w:val="000000"/>
                <w:szCs w:val="18"/>
                <w:lang w:val="nl-NL" w:eastAsia="nl-NL"/>
              </w:rPr>
              <w:t xml:space="preserve">, </w:t>
            </w:r>
            <w:r w:rsidRPr="00FD1605" w:rsidR="008A6E5A">
              <w:rPr>
                <w:rFonts w:eastAsia="Times New Roman" w:cs="Calibri"/>
                <w:color w:val="000000"/>
                <w:szCs w:val="18"/>
                <w:lang w:val="nl-NL" w:eastAsia="nl-NL"/>
              </w:rPr>
              <w:t>waaronder</w:t>
            </w:r>
            <w:r w:rsidRPr="00FD1605" w:rsidR="00B46081">
              <w:rPr>
                <w:rFonts w:eastAsia="Times New Roman" w:cs="Calibri"/>
                <w:color w:val="000000"/>
                <w:szCs w:val="18"/>
                <w:lang w:val="nl-NL" w:eastAsia="nl-NL"/>
              </w:rPr>
              <w:t xml:space="preserve"> de vermogenstoets</w:t>
            </w:r>
            <w:r w:rsidRPr="00FD1605">
              <w:rPr>
                <w:rFonts w:eastAsia="Times New Roman" w:cs="Calibri"/>
                <w:color w:val="000000"/>
                <w:szCs w:val="18"/>
                <w:lang w:val="nl-NL" w:eastAsia="nl-NL"/>
              </w:rPr>
              <w:t xml:space="preserve">.  </w:t>
            </w:r>
          </w:p>
        </w:tc>
      </w:tr>
      <w:tr w:rsidRPr="00EB3835" w:rsidR="00836AF5" w:rsidTr="00903A94" w14:paraId="3C013E53" w14:textId="77777777">
        <w:trPr>
          <w:trHeight w:val="315"/>
        </w:trPr>
        <w:tc>
          <w:tcPr>
            <w:tcW w:w="2005" w:type="dxa"/>
            <w:tcBorders>
              <w:top w:val="nil"/>
              <w:left w:val="single" w:color="auto" w:sz="8" w:space="0"/>
              <w:bottom w:val="single" w:color="auto" w:sz="8" w:space="0"/>
              <w:right w:val="nil"/>
            </w:tcBorders>
            <w:shd w:val="clear" w:color="auto" w:fill="auto"/>
            <w:noWrap/>
          </w:tcPr>
          <w:p w:rsidRPr="00704454" w:rsidR="00836AF5" w:rsidP="00836AF5" w:rsidRDefault="00836AF5" w14:paraId="69CCA3E7"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Doel maatregel</w:t>
            </w:r>
          </w:p>
        </w:tc>
        <w:tc>
          <w:tcPr>
            <w:tcW w:w="8080" w:type="dxa"/>
            <w:tcBorders>
              <w:top w:val="single" w:color="auto" w:sz="4" w:space="0"/>
              <w:left w:val="single" w:color="auto" w:sz="4" w:space="0"/>
              <w:bottom w:val="single" w:color="auto" w:sz="8" w:space="0"/>
              <w:right w:val="single" w:color="auto" w:sz="4" w:space="0"/>
            </w:tcBorders>
            <w:shd w:val="clear" w:color="auto" w:fill="auto"/>
            <w:noWrap/>
          </w:tcPr>
          <w:p w:rsidRPr="00FD1605" w:rsidR="00836AF5" w:rsidP="00836AF5" w:rsidRDefault="00A17BE5" w14:paraId="4B9C088F" w14:textId="6A331DA7">
            <w:pPr>
              <w:spacing w:after="0" w:line="240" w:lineRule="auto"/>
              <w:rPr>
                <w:rFonts w:eastAsia="Times New Roman" w:cs="Calibri"/>
                <w:color w:val="000000"/>
                <w:szCs w:val="18"/>
                <w:lang w:val="nl-NL" w:eastAsia="nl-NL"/>
              </w:rPr>
            </w:pPr>
            <w:r>
              <w:rPr>
                <w:rFonts w:eastAsia="Times New Roman" w:cs="Calibri"/>
                <w:color w:val="000000"/>
                <w:szCs w:val="18"/>
                <w:lang w:val="nl-NL" w:eastAsia="nl-NL"/>
              </w:rPr>
              <w:t>Voor uitkeringsgerechtigden is er één instantie om een aanvulling te krijgen tot het sociaal minimum. Hierdoor kunnen mensen beter inschatten waar zij terecht kunnen en wordt mogelijk potentieel niet-gebruik beperkt. Daarnaast betekent d</w:t>
            </w:r>
            <w:r w:rsidRPr="00FD1605" w:rsidR="00836AF5">
              <w:rPr>
                <w:rFonts w:eastAsia="Times New Roman" w:cs="Calibri"/>
                <w:color w:val="000000"/>
                <w:szCs w:val="18"/>
                <w:lang w:val="nl-NL" w:eastAsia="nl-NL"/>
              </w:rPr>
              <w:t>eze maatregel vooral een vereenvoudiging voor de uitvoering van UWV. De TW vraagt op dit moment veel van UWV. De andere uitkeringen van UWV zijn gekoppeld aan de uitkeringsgerechtigde (individu) en zijn dus onafhankelijk van leefvorm en partnerinkomen. De uitvoering van de TW vraagt een heel andere logistiek, die daarnaast veel mutatiemomenten kent in relatie tot wisselende gezins- en inkomenssituaties. Gemeente</w:t>
            </w:r>
            <w:r w:rsidRPr="00FD1605" w:rsidR="00AE608B">
              <w:rPr>
                <w:rFonts w:eastAsia="Times New Roman" w:cs="Calibri"/>
                <w:color w:val="000000"/>
                <w:szCs w:val="18"/>
                <w:lang w:val="nl-NL" w:eastAsia="nl-NL"/>
              </w:rPr>
              <w:t>n</w:t>
            </w:r>
            <w:r w:rsidRPr="00FD1605" w:rsidR="00836AF5">
              <w:rPr>
                <w:rFonts w:eastAsia="Times New Roman" w:cs="Calibri"/>
                <w:color w:val="000000"/>
                <w:szCs w:val="18"/>
                <w:lang w:val="nl-NL" w:eastAsia="nl-NL"/>
              </w:rPr>
              <w:t xml:space="preserve"> zijn vanuit de uitvoering van de Participatiewet</w:t>
            </w:r>
            <w:r w:rsidR="00ED4A95">
              <w:rPr>
                <w:rFonts w:eastAsia="Times New Roman" w:cs="Calibri"/>
                <w:color w:val="000000"/>
                <w:szCs w:val="18"/>
                <w:lang w:val="nl-NL" w:eastAsia="nl-NL"/>
              </w:rPr>
              <w:t xml:space="preserve"> beter</w:t>
            </w:r>
            <w:r w:rsidRPr="00FD1605" w:rsidR="00836AF5">
              <w:rPr>
                <w:rFonts w:eastAsia="Times New Roman" w:cs="Calibri"/>
                <w:color w:val="000000"/>
                <w:szCs w:val="18"/>
                <w:lang w:val="nl-NL" w:eastAsia="nl-NL"/>
              </w:rPr>
              <w:t xml:space="preserve"> </w:t>
            </w:r>
            <w:r w:rsidR="00ED4A95">
              <w:rPr>
                <w:rFonts w:eastAsia="Times New Roman" w:cs="Calibri"/>
                <w:color w:val="000000"/>
                <w:szCs w:val="18"/>
                <w:lang w:val="nl-NL" w:eastAsia="nl-NL"/>
              </w:rPr>
              <w:t>bekend met de leefvorm en partnerinkomen</w:t>
            </w:r>
            <w:r w:rsidRPr="00FD1605" w:rsidR="00836AF5">
              <w:rPr>
                <w:rFonts w:eastAsia="Times New Roman" w:cs="Calibri"/>
                <w:color w:val="000000"/>
                <w:szCs w:val="18"/>
                <w:lang w:val="nl-NL" w:eastAsia="nl-NL"/>
              </w:rPr>
              <w:t xml:space="preserve">. </w:t>
            </w:r>
            <w:r w:rsidRPr="00FD1605">
              <w:rPr>
                <w:rFonts w:eastAsia="Times New Roman" w:cs="Calibri"/>
                <w:color w:val="000000"/>
                <w:szCs w:val="18"/>
                <w:lang w:val="nl-NL" w:eastAsia="nl-NL"/>
              </w:rPr>
              <w:t xml:space="preserve">Hier </w:t>
            </w:r>
            <w:r>
              <w:rPr>
                <w:rFonts w:eastAsia="Times New Roman" w:cs="Calibri"/>
                <w:color w:val="000000"/>
                <w:szCs w:val="18"/>
                <w:lang w:val="nl-NL" w:eastAsia="nl-NL"/>
              </w:rPr>
              <w:t>zouden</w:t>
            </w:r>
            <w:r w:rsidRPr="00FD1605">
              <w:rPr>
                <w:rFonts w:eastAsia="Times New Roman" w:cs="Calibri"/>
                <w:color w:val="000000"/>
                <w:szCs w:val="18"/>
                <w:lang w:val="nl-NL" w:eastAsia="nl-NL"/>
              </w:rPr>
              <w:t xml:space="preserve"> ook uitkeringsgerechtigden profijt van</w:t>
            </w:r>
            <w:r>
              <w:rPr>
                <w:rFonts w:eastAsia="Times New Roman" w:cs="Calibri"/>
                <w:color w:val="000000"/>
                <w:szCs w:val="18"/>
                <w:lang w:val="nl-NL" w:eastAsia="nl-NL"/>
              </w:rPr>
              <w:t xml:space="preserve"> kunnen hebben</w:t>
            </w:r>
            <w:r w:rsidRPr="00FD1605">
              <w:rPr>
                <w:rFonts w:eastAsia="Times New Roman" w:cs="Calibri"/>
                <w:color w:val="000000"/>
                <w:szCs w:val="18"/>
                <w:lang w:val="nl-NL" w:eastAsia="nl-NL"/>
              </w:rPr>
              <w:t>, omdat er een kleinere kans ontstaat op terugvorderingen.</w:t>
            </w:r>
          </w:p>
        </w:tc>
      </w:tr>
      <w:tr w:rsidRPr="00EB3835" w:rsidR="00836AF5" w:rsidTr="00903A94" w14:paraId="4B47DA48" w14:textId="77777777">
        <w:trPr>
          <w:trHeight w:val="315"/>
        </w:trPr>
        <w:tc>
          <w:tcPr>
            <w:tcW w:w="2005" w:type="dxa"/>
            <w:tcBorders>
              <w:top w:val="nil"/>
              <w:left w:val="single" w:color="auto" w:sz="8" w:space="0"/>
              <w:bottom w:val="single" w:color="auto" w:sz="8" w:space="0"/>
              <w:right w:val="nil"/>
            </w:tcBorders>
            <w:shd w:val="clear" w:color="auto" w:fill="auto"/>
            <w:noWrap/>
          </w:tcPr>
          <w:p w:rsidRPr="00FD1605" w:rsidR="00836AF5" w:rsidP="00836AF5" w:rsidRDefault="00836AF5" w14:paraId="16C0D0F8" w14:textId="77777777">
            <w:pPr>
              <w:spacing w:after="0" w:line="240" w:lineRule="auto"/>
              <w:rPr>
                <w:rFonts w:eastAsia="Times New Roman" w:cs="Calibri"/>
                <w:b/>
                <w:bCs/>
                <w:color w:val="000000"/>
                <w:szCs w:val="18"/>
                <w:lang w:val="nl-NL" w:eastAsia="nl-NL"/>
              </w:rPr>
            </w:pPr>
            <w:r w:rsidRPr="00FD1605">
              <w:rPr>
                <w:rFonts w:eastAsia="Times New Roman" w:cs="Calibri"/>
                <w:b/>
                <w:bCs/>
                <w:color w:val="000000"/>
                <w:szCs w:val="18"/>
                <w:lang w:val="nl-NL" w:eastAsia="nl-NL"/>
              </w:rPr>
              <w:t xml:space="preserve">Vereenvoudiging vanuit burgerperspectief (begrijpelijkheid, zekerheid en </w:t>
            </w:r>
            <w:proofErr w:type="spellStart"/>
            <w:r w:rsidRPr="00FD1605">
              <w:rPr>
                <w:rFonts w:eastAsia="Times New Roman" w:cs="Calibri"/>
                <w:b/>
                <w:bCs/>
                <w:color w:val="000000"/>
                <w:szCs w:val="18"/>
                <w:lang w:val="nl-NL" w:eastAsia="nl-NL"/>
              </w:rPr>
              <w:t>doenlijkheid</w:t>
            </w:r>
            <w:proofErr w:type="spellEnd"/>
            <w:r w:rsidRPr="00FD1605">
              <w:rPr>
                <w:rFonts w:eastAsia="Times New Roman" w:cs="Calibri"/>
                <w:b/>
                <w:bCs/>
                <w:color w:val="000000"/>
                <w:szCs w:val="18"/>
                <w:lang w:val="nl-NL" w:eastAsia="nl-NL"/>
              </w:rPr>
              <w:t>)</w:t>
            </w:r>
          </w:p>
        </w:tc>
        <w:tc>
          <w:tcPr>
            <w:tcW w:w="8080" w:type="dxa"/>
            <w:tcBorders>
              <w:top w:val="single" w:color="auto" w:sz="4" w:space="0"/>
              <w:left w:val="single" w:color="auto" w:sz="4" w:space="0"/>
              <w:bottom w:val="single" w:color="auto" w:sz="8" w:space="0"/>
              <w:right w:val="single" w:color="auto" w:sz="4" w:space="0"/>
            </w:tcBorders>
            <w:shd w:val="clear" w:color="auto" w:fill="auto"/>
            <w:noWrap/>
          </w:tcPr>
          <w:p w:rsidRPr="00FD1605" w:rsidR="001233B1" w:rsidP="00836AF5" w:rsidRDefault="001233B1" w14:paraId="0E4A4ED3" w14:textId="4605847B">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 xml:space="preserve">Voor uitkeringsgerechtigden </w:t>
            </w:r>
            <w:r w:rsidR="006064CE">
              <w:rPr>
                <w:rFonts w:eastAsia="Times New Roman" w:cs="Calibri"/>
                <w:color w:val="000000"/>
                <w:szCs w:val="18"/>
                <w:lang w:val="nl-NL" w:eastAsia="nl-NL"/>
              </w:rPr>
              <w:t>kan</w:t>
            </w:r>
            <w:r w:rsidRPr="00FD1605" w:rsidR="006064CE">
              <w:rPr>
                <w:rFonts w:eastAsia="Times New Roman" w:cs="Calibri"/>
                <w:color w:val="000000"/>
                <w:szCs w:val="18"/>
                <w:lang w:val="nl-NL" w:eastAsia="nl-NL"/>
              </w:rPr>
              <w:t xml:space="preserve"> </w:t>
            </w:r>
            <w:r w:rsidRPr="00FD1605">
              <w:rPr>
                <w:rFonts w:eastAsia="Times New Roman" w:cs="Calibri"/>
                <w:color w:val="000000"/>
                <w:szCs w:val="18"/>
                <w:lang w:val="nl-NL" w:eastAsia="nl-NL"/>
              </w:rPr>
              <w:t>het begrijpelijker</w:t>
            </w:r>
            <w:r w:rsidR="006064CE">
              <w:rPr>
                <w:rFonts w:eastAsia="Times New Roman" w:cs="Calibri"/>
                <w:color w:val="000000"/>
                <w:szCs w:val="18"/>
                <w:lang w:val="nl-NL" w:eastAsia="nl-NL"/>
              </w:rPr>
              <w:t xml:space="preserve"> worden</w:t>
            </w:r>
            <w:r w:rsidRPr="00FD1605" w:rsidR="00D01BAD">
              <w:rPr>
                <w:rFonts w:eastAsia="Times New Roman" w:cs="Calibri"/>
                <w:color w:val="000000"/>
                <w:szCs w:val="18"/>
                <w:lang w:val="nl-NL" w:eastAsia="nl-NL"/>
              </w:rPr>
              <w:t xml:space="preserve"> </w:t>
            </w:r>
            <w:r w:rsidRPr="00FD1605">
              <w:rPr>
                <w:rFonts w:eastAsia="Times New Roman" w:cs="Calibri"/>
                <w:color w:val="000000"/>
                <w:szCs w:val="18"/>
                <w:lang w:val="nl-NL" w:eastAsia="nl-NL"/>
              </w:rPr>
              <w:t xml:space="preserve">een aanvulling tot aan het sociaal minimum </w:t>
            </w:r>
            <w:r w:rsidRPr="00FD1605" w:rsidR="00AA1075">
              <w:rPr>
                <w:rFonts w:eastAsia="Times New Roman" w:cs="Calibri"/>
                <w:color w:val="000000"/>
                <w:szCs w:val="18"/>
                <w:lang w:val="nl-NL" w:eastAsia="nl-NL"/>
              </w:rPr>
              <w:t>aan te vragen</w:t>
            </w:r>
            <w:r w:rsidRPr="00FD1605">
              <w:rPr>
                <w:rFonts w:eastAsia="Times New Roman" w:cs="Calibri"/>
                <w:color w:val="000000"/>
                <w:szCs w:val="18"/>
                <w:lang w:val="nl-NL" w:eastAsia="nl-NL"/>
              </w:rPr>
              <w:t xml:space="preserve">. </w:t>
            </w:r>
            <w:r w:rsidRPr="00FD1605" w:rsidR="00A75138">
              <w:rPr>
                <w:rFonts w:eastAsia="Times New Roman" w:cs="Calibri"/>
                <w:color w:val="000000"/>
                <w:szCs w:val="18"/>
                <w:lang w:val="nl-NL" w:eastAsia="nl-NL"/>
              </w:rPr>
              <w:t xml:space="preserve">Voor een aanvulling tot aan het sociaal minimum bestaat er één loket </w:t>
            </w:r>
            <w:r w:rsidRPr="00FD1605" w:rsidR="00503C1B">
              <w:rPr>
                <w:rFonts w:eastAsia="Times New Roman" w:cs="Calibri"/>
                <w:color w:val="000000"/>
                <w:szCs w:val="18"/>
                <w:lang w:val="nl-NL" w:eastAsia="nl-NL"/>
              </w:rPr>
              <w:t>en</w:t>
            </w:r>
            <w:r w:rsidRPr="00FD1605" w:rsidR="00AA1075">
              <w:rPr>
                <w:rFonts w:eastAsia="Times New Roman" w:cs="Calibri"/>
                <w:color w:val="000000"/>
                <w:szCs w:val="18"/>
                <w:lang w:val="nl-NL" w:eastAsia="nl-NL"/>
              </w:rPr>
              <w:t xml:space="preserve"> </w:t>
            </w:r>
            <w:r w:rsidRPr="00FD1605" w:rsidR="00A577A8">
              <w:rPr>
                <w:rFonts w:eastAsia="Times New Roman" w:cs="Calibri"/>
                <w:color w:val="000000"/>
                <w:szCs w:val="18"/>
                <w:lang w:val="nl-NL" w:eastAsia="nl-NL"/>
              </w:rPr>
              <w:t xml:space="preserve">er zijn </w:t>
            </w:r>
            <w:r w:rsidRPr="00FD1605" w:rsidR="00D01BAD">
              <w:rPr>
                <w:rFonts w:eastAsia="Times New Roman" w:cs="Calibri"/>
                <w:color w:val="000000"/>
                <w:szCs w:val="18"/>
                <w:lang w:val="nl-NL" w:eastAsia="nl-NL"/>
              </w:rPr>
              <w:t>geen verschillende voorwaarden meer voor de Toeslagenwet en bijstand.</w:t>
            </w:r>
            <w:r w:rsidRPr="00FD1605" w:rsidR="00AA1075">
              <w:rPr>
                <w:rFonts w:eastAsia="Times New Roman" w:cs="Calibri"/>
                <w:color w:val="000000"/>
                <w:szCs w:val="18"/>
                <w:lang w:val="nl-NL" w:eastAsia="nl-NL"/>
              </w:rPr>
              <w:t xml:space="preserve"> </w:t>
            </w:r>
            <w:r w:rsidRPr="00FD1605" w:rsidR="00BF5C7E">
              <w:rPr>
                <w:rFonts w:eastAsia="Times New Roman" w:cs="Calibri"/>
                <w:color w:val="000000"/>
                <w:szCs w:val="18"/>
                <w:lang w:val="nl-NL" w:eastAsia="nl-NL"/>
              </w:rPr>
              <w:t>Dit vermindert de stapeling aan regelingen.</w:t>
            </w:r>
            <w:r w:rsidRPr="00FD1605">
              <w:rPr>
                <w:rFonts w:eastAsia="Times New Roman" w:cs="Calibri"/>
                <w:color w:val="000000"/>
                <w:szCs w:val="18"/>
                <w:lang w:val="nl-NL" w:eastAsia="nl-NL"/>
              </w:rPr>
              <w:t xml:space="preserve"> </w:t>
            </w:r>
          </w:p>
          <w:p w:rsidRPr="00FD1605" w:rsidR="001233B1" w:rsidP="00836AF5" w:rsidRDefault="001233B1" w14:paraId="2AD457E1" w14:textId="77777777">
            <w:pPr>
              <w:spacing w:after="0" w:line="240" w:lineRule="auto"/>
              <w:rPr>
                <w:rFonts w:eastAsia="Times New Roman" w:cs="Calibri"/>
                <w:color w:val="000000"/>
                <w:szCs w:val="18"/>
                <w:lang w:val="nl-NL" w:eastAsia="nl-NL"/>
              </w:rPr>
            </w:pPr>
          </w:p>
          <w:p w:rsidRPr="00FD1605" w:rsidR="00273AB0" w:rsidP="00836AF5" w:rsidRDefault="00836AF5" w14:paraId="6CFD44DE" w14:textId="252E34B5">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Uitkeringsgerechtigden die eerder niet te maken hadden met de gemeente, hebben dat met deze maatregel wel.</w:t>
            </w:r>
            <w:r w:rsidR="006F0344">
              <w:rPr>
                <w:rFonts w:eastAsia="Times New Roman" w:cs="Calibri"/>
                <w:color w:val="000000"/>
                <w:szCs w:val="18"/>
                <w:lang w:val="nl-NL" w:eastAsia="nl-NL"/>
              </w:rPr>
              <w:t xml:space="preserve"> Voor hen betekent dat zij een tweede loket krijgen</w:t>
            </w:r>
            <w:r w:rsidR="00273AB0">
              <w:rPr>
                <w:rFonts w:eastAsia="Times New Roman" w:cs="Calibri"/>
                <w:color w:val="000000"/>
                <w:szCs w:val="18"/>
                <w:lang w:val="nl-NL" w:eastAsia="nl-NL"/>
              </w:rPr>
              <w:t xml:space="preserve"> met een regeling (de bijstand) die meer en ingewikkeldere voorwaarden kent dan de TW</w:t>
            </w:r>
            <w:r w:rsidR="006F0344">
              <w:rPr>
                <w:rFonts w:eastAsia="Times New Roman" w:cs="Calibri"/>
                <w:color w:val="000000"/>
                <w:szCs w:val="18"/>
                <w:lang w:val="nl-NL" w:eastAsia="nl-NL"/>
              </w:rPr>
              <w:t>.</w:t>
            </w:r>
            <w:r w:rsidRPr="00FD1605">
              <w:rPr>
                <w:rFonts w:eastAsia="Times New Roman" w:cs="Calibri"/>
                <w:color w:val="000000"/>
                <w:szCs w:val="18"/>
                <w:lang w:val="nl-NL" w:eastAsia="nl-NL"/>
              </w:rPr>
              <w:t xml:space="preserve"> De mensen die voor de uitkering bij UWV al een inkomen onder het sociaal minimum hadden, waren al aangewezen op de aanvullende bijstand. </w:t>
            </w:r>
            <w:r w:rsidR="006064CE">
              <w:rPr>
                <w:rFonts w:eastAsia="Times New Roman" w:cs="Calibri"/>
                <w:color w:val="000000"/>
                <w:szCs w:val="18"/>
                <w:lang w:val="nl-NL" w:eastAsia="nl-NL"/>
              </w:rPr>
              <w:t xml:space="preserve">Daarnaast </w:t>
            </w:r>
            <w:r w:rsidR="00273AB0">
              <w:rPr>
                <w:rFonts w:eastAsia="Times New Roman" w:cs="Calibri"/>
                <w:color w:val="000000"/>
                <w:szCs w:val="18"/>
                <w:lang w:val="nl-NL" w:eastAsia="nl-NL"/>
              </w:rPr>
              <w:t xml:space="preserve">zal </w:t>
            </w:r>
            <w:r w:rsidRPr="00FD1605" w:rsidR="00273AB0">
              <w:rPr>
                <w:rFonts w:eastAsia="Times New Roman" w:cs="Calibri"/>
                <w:color w:val="000000"/>
                <w:szCs w:val="18"/>
                <w:lang w:val="nl-NL" w:eastAsia="nl-NL"/>
              </w:rPr>
              <w:t>een deel van de uitkeringsgerechtigden geen aanvulling meer ontvangen</w:t>
            </w:r>
            <w:r w:rsidR="00273AB0">
              <w:rPr>
                <w:rFonts w:eastAsia="Times New Roman" w:cs="Calibri"/>
                <w:color w:val="000000"/>
                <w:szCs w:val="18"/>
                <w:lang w:val="nl-NL" w:eastAsia="nl-NL"/>
              </w:rPr>
              <w:t xml:space="preserve"> door de strengere </w:t>
            </w:r>
            <w:r w:rsidRPr="00FD1605">
              <w:rPr>
                <w:rFonts w:eastAsia="Times New Roman" w:cs="Calibri"/>
                <w:color w:val="000000"/>
                <w:szCs w:val="18"/>
                <w:lang w:val="nl-NL" w:eastAsia="nl-NL"/>
              </w:rPr>
              <w:t xml:space="preserve">voorwaarden </w:t>
            </w:r>
            <w:r w:rsidR="00273AB0">
              <w:rPr>
                <w:rFonts w:eastAsia="Times New Roman" w:cs="Calibri"/>
                <w:color w:val="000000"/>
                <w:szCs w:val="18"/>
                <w:lang w:val="nl-NL" w:eastAsia="nl-NL"/>
              </w:rPr>
              <w:t>van</w:t>
            </w:r>
            <w:r w:rsidRPr="00FD1605" w:rsidR="00273AB0">
              <w:rPr>
                <w:rFonts w:eastAsia="Times New Roman" w:cs="Calibri"/>
                <w:color w:val="000000"/>
                <w:szCs w:val="18"/>
                <w:lang w:val="nl-NL" w:eastAsia="nl-NL"/>
              </w:rPr>
              <w:t xml:space="preserve"> </w:t>
            </w:r>
            <w:r w:rsidRPr="00FD1605">
              <w:rPr>
                <w:rFonts w:eastAsia="Times New Roman" w:cs="Calibri"/>
                <w:color w:val="000000"/>
                <w:szCs w:val="18"/>
                <w:lang w:val="nl-NL" w:eastAsia="nl-NL"/>
              </w:rPr>
              <w:t xml:space="preserve">de bijstand zoals de vermogenstoets. </w:t>
            </w:r>
          </w:p>
        </w:tc>
      </w:tr>
      <w:tr w:rsidRPr="00EB3835" w:rsidR="00836AF5" w:rsidTr="00903A94" w14:paraId="766B4053" w14:textId="77777777">
        <w:trPr>
          <w:trHeight w:val="315"/>
        </w:trPr>
        <w:tc>
          <w:tcPr>
            <w:tcW w:w="2005" w:type="dxa"/>
            <w:tcBorders>
              <w:top w:val="nil"/>
              <w:left w:val="single" w:color="auto" w:sz="8" w:space="0"/>
              <w:bottom w:val="single" w:color="auto" w:sz="8" w:space="0"/>
              <w:right w:val="nil"/>
            </w:tcBorders>
            <w:shd w:val="clear" w:color="auto" w:fill="auto"/>
            <w:noWrap/>
          </w:tcPr>
          <w:p w:rsidRPr="00704454" w:rsidR="00836AF5" w:rsidP="00836AF5" w:rsidRDefault="00836AF5" w14:paraId="1E8DC9B6"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 xml:space="preserve">Keuzes binnen maatregel </w:t>
            </w:r>
          </w:p>
        </w:tc>
        <w:tc>
          <w:tcPr>
            <w:tcW w:w="8080" w:type="dxa"/>
            <w:tcBorders>
              <w:top w:val="single" w:color="auto" w:sz="4" w:space="0"/>
              <w:left w:val="single" w:color="auto" w:sz="4" w:space="0"/>
              <w:bottom w:val="single" w:color="auto" w:sz="8" w:space="0"/>
              <w:right w:val="single" w:color="auto" w:sz="4" w:space="0"/>
            </w:tcBorders>
            <w:shd w:val="clear" w:color="auto" w:fill="auto"/>
            <w:noWrap/>
          </w:tcPr>
          <w:p w:rsidRPr="00FD1605" w:rsidR="00836AF5" w:rsidP="00836AF5" w:rsidRDefault="00836AF5" w14:paraId="0953FF06" w14:textId="49587A65">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 xml:space="preserve">Er moeten keuzes worden gemaakt over het overgangsrecht van mensen die nu een toeslag ontvangen. </w:t>
            </w:r>
          </w:p>
        </w:tc>
      </w:tr>
      <w:tr w:rsidRPr="00EB3835" w:rsidR="00836AF5" w:rsidTr="00903A94" w14:paraId="4F580ED3" w14:textId="77777777">
        <w:trPr>
          <w:trHeight w:val="315"/>
        </w:trPr>
        <w:tc>
          <w:tcPr>
            <w:tcW w:w="2005" w:type="dxa"/>
            <w:tcBorders>
              <w:top w:val="nil"/>
              <w:left w:val="single" w:color="auto" w:sz="8" w:space="0"/>
              <w:bottom w:val="single" w:color="auto" w:sz="8" w:space="0"/>
              <w:right w:val="nil"/>
            </w:tcBorders>
            <w:shd w:val="clear" w:color="auto" w:fill="auto"/>
            <w:noWrap/>
          </w:tcPr>
          <w:p w:rsidRPr="00704454" w:rsidR="00836AF5" w:rsidP="00836AF5" w:rsidRDefault="00836AF5" w14:paraId="0B8FA45F"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Tijdpad inwerkingtreding</w:t>
            </w:r>
          </w:p>
        </w:tc>
        <w:tc>
          <w:tcPr>
            <w:tcW w:w="8080" w:type="dxa"/>
            <w:tcBorders>
              <w:top w:val="single" w:color="auto" w:sz="4" w:space="0"/>
              <w:left w:val="single" w:color="auto" w:sz="4" w:space="0"/>
              <w:bottom w:val="single" w:color="auto" w:sz="8" w:space="0"/>
              <w:right w:val="single" w:color="auto" w:sz="4" w:space="0"/>
            </w:tcBorders>
            <w:shd w:val="clear" w:color="auto" w:fill="auto"/>
            <w:noWrap/>
          </w:tcPr>
          <w:p w:rsidRPr="00FD1605" w:rsidR="00836AF5" w:rsidP="00836AF5" w:rsidRDefault="00836AF5" w14:paraId="6DBEE4AF" w14:textId="78DD2979">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 xml:space="preserve">De Toeslagenwet moet worden </w:t>
            </w:r>
            <w:r w:rsidR="003874A6">
              <w:rPr>
                <w:rFonts w:eastAsia="Times New Roman" w:cs="Calibri"/>
                <w:color w:val="000000"/>
                <w:szCs w:val="18"/>
                <w:lang w:val="nl-NL" w:eastAsia="nl-NL"/>
              </w:rPr>
              <w:t>ingetrokken</w:t>
            </w:r>
            <w:r w:rsidRPr="00FD1605">
              <w:rPr>
                <w:rFonts w:eastAsia="Times New Roman" w:cs="Calibri"/>
                <w:color w:val="000000"/>
                <w:szCs w:val="18"/>
                <w:lang w:val="nl-NL" w:eastAsia="nl-NL"/>
              </w:rPr>
              <w:t xml:space="preserve">. </w:t>
            </w:r>
            <w:r w:rsidR="001359E9">
              <w:rPr>
                <w:rFonts w:eastAsia="Times New Roman" w:cs="Calibri"/>
                <w:color w:val="000000"/>
                <w:szCs w:val="18"/>
                <w:lang w:val="nl-NL" w:eastAsia="nl-NL"/>
              </w:rPr>
              <w:t>Dit betreft een stelselwijziging</w:t>
            </w:r>
            <w:r w:rsidRPr="00FD1605" w:rsidR="001359E9">
              <w:rPr>
                <w:rFonts w:eastAsia="Times New Roman" w:cs="Calibri"/>
                <w:color w:val="000000"/>
                <w:szCs w:val="18"/>
                <w:lang w:val="nl-NL" w:eastAsia="nl-NL"/>
              </w:rPr>
              <w:t>.</w:t>
            </w:r>
            <w:r w:rsidR="001359E9">
              <w:rPr>
                <w:rFonts w:eastAsia="Times New Roman" w:cs="Calibri"/>
                <w:color w:val="000000"/>
                <w:szCs w:val="18"/>
                <w:lang w:val="nl-NL" w:eastAsia="nl-NL"/>
              </w:rPr>
              <w:t xml:space="preserve"> UWV kan dit vanaf 2031 uitvoeren.</w:t>
            </w:r>
            <w:r w:rsidRPr="00FD1605" w:rsidR="001359E9">
              <w:rPr>
                <w:rFonts w:eastAsia="Times New Roman" w:cs="Calibri"/>
                <w:color w:val="000000"/>
                <w:szCs w:val="18"/>
                <w:lang w:val="nl-NL" w:eastAsia="nl-NL"/>
              </w:rPr>
              <w:t xml:space="preserve"> </w:t>
            </w:r>
            <w:r w:rsidRPr="00FD1605" w:rsidR="002C270A">
              <w:rPr>
                <w:rFonts w:eastAsia="Times New Roman" w:cs="Calibri"/>
                <w:color w:val="000000"/>
                <w:szCs w:val="18"/>
                <w:lang w:val="nl-NL" w:eastAsia="nl-NL"/>
              </w:rPr>
              <w:t xml:space="preserve">Gemeenten </w:t>
            </w:r>
            <w:r w:rsidRPr="00FD1605">
              <w:rPr>
                <w:rFonts w:eastAsia="Times New Roman" w:cs="Calibri"/>
                <w:color w:val="000000"/>
                <w:szCs w:val="18"/>
                <w:lang w:val="nl-NL" w:eastAsia="nl-NL"/>
              </w:rPr>
              <w:t xml:space="preserve">hebben mogelijk extra tijd nodig om de extra instroom op te kunnen vangen. </w:t>
            </w:r>
          </w:p>
        </w:tc>
      </w:tr>
      <w:tr w:rsidRPr="00EB3835" w:rsidR="00836AF5" w:rsidTr="00903A94" w14:paraId="5EA1419D" w14:textId="77777777">
        <w:trPr>
          <w:trHeight w:val="315"/>
        </w:trPr>
        <w:tc>
          <w:tcPr>
            <w:tcW w:w="2005" w:type="dxa"/>
            <w:tcBorders>
              <w:top w:val="nil"/>
              <w:left w:val="single" w:color="auto" w:sz="8" w:space="0"/>
              <w:bottom w:val="single" w:color="auto" w:sz="8" w:space="0"/>
              <w:right w:val="nil"/>
            </w:tcBorders>
            <w:shd w:val="clear" w:color="auto" w:fill="auto"/>
            <w:noWrap/>
          </w:tcPr>
          <w:p w:rsidRPr="00704454" w:rsidR="00836AF5" w:rsidP="00836AF5" w:rsidRDefault="00836AF5" w14:paraId="003D9B3C"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Juridische haalbaarheid</w:t>
            </w:r>
          </w:p>
        </w:tc>
        <w:tc>
          <w:tcPr>
            <w:tcW w:w="8080" w:type="dxa"/>
            <w:tcBorders>
              <w:top w:val="single" w:color="auto" w:sz="4" w:space="0"/>
              <w:left w:val="single" w:color="auto" w:sz="4" w:space="0"/>
              <w:bottom w:val="single" w:color="auto" w:sz="8" w:space="0"/>
              <w:right w:val="single" w:color="auto" w:sz="4" w:space="0"/>
            </w:tcBorders>
            <w:shd w:val="clear" w:color="auto" w:fill="auto"/>
            <w:noWrap/>
          </w:tcPr>
          <w:p w:rsidRPr="00FD1605" w:rsidR="00B46081" w:rsidP="00B46081" w:rsidRDefault="00836AF5" w14:paraId="417197B9" w14:textId="1741335E">
            <w:pPr>
              <w:spacing w:after="0" w:line="240" w:lineRule="auto"/>
              <w:rPr>
                <w:rFonts w:eastAsia="Times New Roman" w:cs="Calibri"/>
                <w:szCs w:val="18"/>
                <w:lang w:val="nl-NL" w:eastAsia="nl-NL"/>
              </w:rPr>
            </w:pPr>
            <w:r w:rsidRPr="00FD1605">
              <w:rPr>
                <w:rFonts w:eastAsia="Times New Roman" w:cs="Calibri"/>
                <w:color w:val="000000"/>
                <w:szCs w:val="18"/>
                <w:lang w:val="nl-NL" w:eastAsia="nl-NL"/>
              </w:rPr>
              <w:t xml:space="preserve">De Toeslagenwet moet worden </w:t>
            </w:r>
            <w:r w:rsidR="00457817">
              <w:rPr>
                <w:rFonts w:eastAsia="Times New Roman" w:cs="Calibri"/>
                <w:color w:val="000000"/>
                <w:szCs w:val="18"/>
                <w:lang w:val="nl-NL" w:eastAsia="nl-NL"/>
              </w:rPr>
              <w:t>ingetrokken</w:t>
            </w:r>
            <w:r w:rsidRPr="00FD1605">
              <w:rPr>
                <w:rFonts w:eastAsia="Times New Roman" w:cs="Calibri"/>
                <w:color w:val="000000"/>
                <w:szCs w:val="18"/>
                <w:lang w:val="nl-NL" w:eastAsia="nl-NL"/>
              </w:rPr>
              <w:t xml:space="preserve">. </w:t>
            </w:r>
            <w:r w:rsidRPr="00FD1605" w:rsidR="00B46081">
              <w:rPr>
                <w:rFonts w:eastAsia="Times New Roman" w:cs="Calibri"/>
                <w:szCs w:val="18"/>
                <w:lang w:val="nl-NL" w:eastAsia="nl-NL"/>
              </w:rPr>
              <w:t xml:space="preserve">Ook zullen er wijzigingen in diverse lagere regelgeving moeten worden doorgevoerd. </w:t>
            </w:r>
          </w:p>
          <w:p w:rsidRPr="00FD1605" w:rsidR="00836AF5" w:rsidP="00836AF5" w:rsidRDefault="00B46081" w14:paraId="793AC4EA" w14:textId="6149EBCE">
            <w:pPr>
              <w:spacing w:after="0" w:line="240" w:lineRule="auto"/>
              <w:rPr>
                <w:rFonts w:eastAsia="Times New Roman" w:cs="Calibri"/>
                <w:color w:val="000000"/>
                <w:szCs w:val="18"/>
                <w:lang w:val="nl-NL" w:eastAsia="nl-NL"/>
              </w:rPr>
            </w:pPr>
            <w:r w:rsidRPr="00FD1605">
              <w:rPr>
                <w:rFonts w:eastAsia="Times New Roman" w:cs="Calibri"/>
                <w:szCs w:val="18"/>
                <w:lang w:val="nl-NL" w:eastAsia="nl-NL"/>
              </w:rPr>
              <w:t>Er dient overgangsrecht vastgesteld te worden voor mensen die op het moment van afschaffing van de Toeslagenwet al een aanvullende toeslag ontvangen.</w:t>
            </w:r>
            <w:r w:rsidR="00496454">
              <w:rPr>
                <w:rFonts w:eastAsia="Times New Roman" w:cs="Calibri"/>
                <w:szCs w:val="18"/>
                <w:lang w:val="nl-NL" w:eastAsia="nl-NL"/>
              </w:rPr>
              <w:t xml:space="preserve"> </w:t>
            </w:r>
            <w:r w:rsidRPr="00FD1605" w:rsidR="00496454">
              <w:rPr>
                <w:rFonts w:eastAsia="Times New Roman" w:cs="Calibri"/>
                <w:color w:val="000000"/>
                <w:szCs w:val="18"/>
                <w:lang w:val="nl-NL" w:eastAsia="nl-NL"/>
              </w:rPr>
              <w:t xml:space="preserve">Daarbij dient ook aandacht te worden gegeven aan de export van aanvullende toeslagen in enkele gevallen waarin bilaterale verdragen een rol spelen. </w:t>
            </w:r>
            <w:r w:rsidRPr="00D039AD" w:rsidR="007111C5">
              <w:rPr>
                <w:rFonts w:eastAsia="Times New Roman" w:cs="Calibri"/>
                <w:color w:val="000000"/>
                <w:szCs w:val="18"/>
                <w:lang w:val="nl-NL" w:eastAsia="nl-NL"/>
              </w:rPr>
              <w:t>Ook moet worden uitgezocht of er sprake is van eigendomsrechten die gerespecteerd moeten worden</w:t>
            </w:r>
            <w:r w:rsidR="007111C5">
              <w:rPr>
                <w:rFonts w:eastAsia="Times New Roman" w:cs="Calibri"/>
                <w:color w:val="000000"/>
                <w:szCs w:val="18"/>
                <w:lang w:val="nl-NL" w:eastAsia="nl-NL"/>
              </w:rPr>
              <w:t>.</w:t>
            </w:r>
          </w:p>
        </w:tc>
      </w:tr>
      <w:tr w:rsidRPr="00EB3835" w:rsidR="00836AF5" w:rsidTr="00903A94" w14:paraId="29F7866B" w14:textId="77777777">
        <w:trPr>
          <w:trHeight w:val="315"/>
        </w:trPr>
        <w:tc>
          <w:tcPr>
            <w:tcW w:w="2005" w:type="dxa"/>
            <w:tcBorders>
              <w:top w:val="nil"/>
              <w:left w:val="single" w:color="auto" w:sz="8" w:space="0"/>
              <w:bottom w:val="single" w:color="auto" w:sz="8" w:space="0"/>
              <w:right w:val="nil"/>
            </w:tcBorders>
            <w:shd w:val="clear" w:color="auto" w:fill="auto"/>
            <w:noWrap/>
          </w:tcPr>
          <w:p w:rsidRPr="00704454" w:rsidR="00836AF5" w:rsidP="00836AF5" w:rsidRDefault="00836AF5" w14:paraId="6B5F0092"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Uitvoerbaarheid</w:t>
            </w:r>
          </w:p>
        </w:tc>
        <w:tc>
          <w:tcPr>
            <w:tcW w:w="8080" w:type="dxa"/>
            <w:tcBorders>
              <w:top w:val="single" w:color="auto" w:sz="4" w:space="0"/>
              <w:left w:val="single" w:color="auto" w:sz="4" w:space="0"/>
              <w:bottom w:val="single" w:color="auto" w:sz="8" w:space="0"/>
              <w:right w:val="single" w:color="auto" w:sz="4" w:space="0"/>
            </w:tcBorders>
            <w:shd w:val="clear" w:color="auto" w:fill="auto"/>
            <w:noWrap/>
          </w:tcPr>
          <w:p w:rsidRPr="00FD1605" w:rsidR="00836AF5" w:rsidP="00836AF5" w:rsidRDefault="00836AF5" w14:paraId="10DF25F7" w14:textId="78A8D01A">
            <w:pPr>
              <w:spacing w:after="0" w:line="240" w:lineRule="auto"/>
              <w:rPr>
                <w:rFonts w:eastAsia="DejaVu Sans" w:cs="Calibri Light"/>
                <w:color w:val="000000"/>
                <w:szCs w:val="18"/>
                <w:lang w:val="nl-NL"/>
              </w:rPr>
            </w:pPr>
            <w:r w:rsidRPr="00FD1605">
              <w:rPr>
                <w:rFonts w:eastAsia="DejaVu Sans" w:cs="Calibri Light"/>
                <w:color w:val="000000"/>
                <w:szCs w:val="18"/>
                <w:lang w:val="nl-NL"/>
              </w:rPr>
              <w:t xml:space="preserve">Deze maatregel is een sterke vereenvoudiging voor UWV. De andere uitkeringen van UWV zijn gekoppeld aan de </w:t>
            </w:r>
            <w:r w:rsidRPr="00FD1605" w:rsidR="00851ACA">
              <w:rPr>
                <w:rFonts w:eastAsia="DejaVu Sans" w:cs="Calibri Light"/>
                <w:color w:val="000000"/>
                <w:szCs w:val="18"/>
                <w:lang w:val="nl-NL"/>
              </w:rPr>
              <w:t xml:space="preserve">uitkeringsgerechtigde </w:t>
            </w:r>
            <w:r w:rsidRPr="00FD1605">
              <w:rPr>
                <w:rFonts w:eastAsia="DejaVu Sans" w:cs="Calibri Light"/>
                <w:color w:val="000000"/>
                <w:szCs w:val="18"/>
                <w:lang w:val="nl-NL"/>
              </w:rPr>
              <w:t xml:space="preserve">(individu) en zijn dus onafhankelijk van leefvorm en partnerinkomen. De TW vraagt een heel andere logistiek, die daarnaast veel mutatiemomenten kent in relatie tot wisselende gezins- en inkomenssituaties. De uitvoering van de TW is daarnaast per domein georganiseerd, gekoppeld aan de uitvoering van de </w:t>
            </w:r>
            <w:r w:rsidRPr="00FD1605" w:rsidR="0087348C">
              <w:rPr>
                <w:rFonts w:eastAsia="DejaVu Sans" w:cs="Calibri Light"/>
                <w:color w:val="000000"/>
                <w:szCs w:val="18"/>
                <w:lang w:val="nl-NL"/>
              </w:rPr>
              <w:t>basiswet</w:t>
            </w:r>
            <w:r w:rsidRPr="00FD1605">
              <w:rPr>
                <w:rFonts w:eastAsia="DejaVu Sans" w:cs="Calibri Light"/>
                <w:color w:val="000000"/>
                <w:szCs w:val="18"/>
                <w:lang w:val="nl-NL"/>
              </w:rPr>
              <w:t xml:space="preserve">. Hierdoor is het kostenefficiënt geregeld, maar </w:t>
            </w:r>
            <w:r w:rsidRPr="00FD1605" w:rsidR="00B46081">
              <w:rPr>
                <w:rFonts w:eastAsia="DejaVu Sans" w:cs="Calibri Light"/>
                <w:color w:val="000000"/>
                <w:szCs w:val="18"/>
                <w:lang w:val="nl-NL"/>
              </w:rPr>
              <w:t>dit leidt ook tot knelpunten en risico’s in de uitvoering.</w:t>
            </w:r>
            <w:r w:rsidRPr="00FD1605">
              <w:rPr>
                <w:rFonts w:eastAsia="DejaVu Sans" w:cs="Calibri Light"/>
                <w:color w:val="000000"/>
                <w:szCs w:val="18"/>
                <w:lang w:val="nl-NL"/>
              </w:rPr>
              <w:t xml:space="preserve"> </w:t>
            </w:r>
          </w:p>
          <w:p w:rsidR="00A27C63" w:rsidP="00836AF5" w:rsidRDefault="00A27C63" w14:paraId="76782F9D" w14:textId="77777777">
            <w:pPr>
              <w:spacing w:after="0" w:line="240" w:lineRule="auto"/>
              <w:rPr>
                <w:rFonts w:eastAsia="DejaVu Sans" w:cs="Calibri Light"/>
                <w:color w:val="000000"/>
                <w:szCs w:val="18"/>
                <w:lang w:val="nl-NL"/>
              </w:rPr>
            </w:pPr>
          </w:p>
          <w:p w:rsidRPr="00FD1605" w:rsidR="00E342C2" w:rsidP="00836AF5" w:rsidRDefault="00A27C63" w14:paraId="7831CFA3" w14:textId="037B0A1D">
            <w:pPr>
              <w:spacing w:after="0" w:line="240" w:lineRule="auto"/>
              <w:rPr>
                <w:rFonts w:eastAsia="DejaVu Sans" w:cs="Calibri Light"/>
                <w:color w:val="000000"/>
                <w:szCs w:val="18"/>
                <w:lang w:val="nl-NL"/>
              </w:rPr>
            </w:pPr>
            <w:r>
              <w:rPr>
                <w:rFonts w:eastAsia="DejaVu Sans" w:cs="Calibri Light"/>
                <w:color w:val="000000"/>
                <w:szCs w:val="18"/>
                <w:lang w:val="nl-NL"/>
              </w:rPr>
              <w:t xml:space="preserve">Voor gemeenten betekent deze maatregel extra complexiteit. Zij moeten voor een grotere groep een aanvulling verstrekken op een loondervingsuitkering van UWV. Dit is </w:t>
            </w:r>
            <w:r w:rsidR="00860E6E">
              <w:rPr>
                <w:rFonts w:eastAsia="DejaVu Sans" w:cs="Calibri Light"/>
                <w:color w:val="000000"/>
                <w:szCs w:val="18"/>
                <w:lang w:val="nl-NL"/>
              </w:rPr>
              <w:t xml:space="preserve">complex door </w:t>
            </w:r>
            <w:r w:rsidR="00346B92">
              <w:rPr>
                <w:rFonts w:eastAsia="DejaVu Sans" w:cs="Calibri Light"/>
                <w:color w:val="000000"/>
                <w:szCs w:val="18"/>
                <w:lang w:val="nl-NL"/>
              </w:rPr>
              <w:t>de</w:t>
            </w:r>
            <w:r>
              <w:rPr>
                <w:rFonts w:eastAsia="DejaVu Sans" w:cs="Calibri Light"/>
                <w:color w:val="000000"/>
                <w:szCs w:val="18"/>
                <w:lang w:val="nl-NL"/>
              </w:rPr>
              <w:t xml:space="preserve"> verschillen in systematiek tussen de bijstand en de loondervingsuitkeringen. Hier</w:t>
            </w:r>
            <w:r w:rsidR="00346B92">
              <w:rPr>
                <w:rFonts w:eastAsia="DejaVu Sans" w:cs="Calibri Light"/>
                <w:color w:val="000000"/>
                <w:szCs w:val="18"/>
                <w:lang w:val="nl-NL"/>
              </w:rPr>
              <w:t>voor zou de</w:t>
            </w:r>
            <w:r>
              <w:rPr>
                <w:rFonts w:eastAsia="DejaVu Sans" w:cs="Calibri Light"/>
                <w:color w:val="000000"/>
                <w:szCs w:val="18"/>
                <w:lang w:val="nl-NL"/>
              </w:rPr>
              <w:t xml:space="preserve"> gegevensuitwisseling </w:t>
            </w:r>
            <w:r w:rsidR="00346B92">
              <w:rPr>
                <w:rFonts w:eastAsia="DejaVu Sans" w:cs="Calibri Light"/>
                <w:color w:val="000000"/>
                <w:szCs w:val="18"/>
                <w:lang w:val="nl-NL"/>
              </w:rPr>
              <w:t xml:space="preserve">tussen UWV en gemeenten </w:t>
            </w:r>
            <w:r>
              <w:rPr>
                <w:rFonts w:eastAsia="DejaVu Sans" w:cs="Calibri Light"/>
                <w:color w:val="000000"/>
                <w:szCs w:val="18"/>
                <w:lang w:val="nl-NL"/>
              </w:rPr>
              <w:t>een belangrijke randvoorwaarde</w:t>
            </w:r>
            <w:r w:rsidR="00346B92">
              <w:rPr>
                <w:rFonts w:eastAsia="DejaVu Sans" w:cs="Calibri Light"/>
                <w:color w:val="000000"/>
                <w:szCs w:val="18"/>
                <w:lang w:val="nl-NL"/>
              </w:rPr>
              <w:t xml:space="preserve"> zijn</w:t>
            </w:r>
            <w:r>
              <w:rPr>
                <w:rFonts w:eastAsia="DejaVu Sans" w:cs="Calibri Light"/>
                <w:color w:val="000000"/>
                <w:szCs w:val="18"/>
                <w:lang w:val="nl-NL"/>
              </w:rPr>
              <w:t>. Daarnaast wordt d</w:t>
            </w:r>
            <w:r w:rsidRPr="00FD1605" w:rsidR="00836AF5">
              <w:rPr>
                <w:rFonts w:eastAsia="DejaVu Sans" w:cs="Calibri Light"/>
                <w:color w:val="000000"/>
                <w:szCs w:val="18"/>
                <w:lang w:val="nl-NL"/>
              </w:rPr>
              <w:t>e instroom naar gemeente</w:t>
            </w:r>
            <w:r w:rsidRPr="00FD1605" w:rsidR="002B12FB">
              <w:rPr>
                <w:rFonts w:eastAsia="DejaVu Sans" w:cs="Calibri Light"/>
                <w:color w:val="000000"/>
                <w:szCs w:val="18"/>
                <w:lang w:val="nl-NL"/>
              </w:rPr>
              <w:t>n</w:t>
            </w:r>
            <w:r w:rsidRPr="00FD1605" w:rsidR="00836AF5">
              <w:rPr>
                <w:rFonts w:eastAsia="DejaVu Sans" w:cs="Calibri Light"/>
                <w:color w:val="000000"/>
                <w:szCs w:val="18"/>
                <w:lang w:val="nl-NL"/>
              </w:rPr>
              <w:t xml:space="preserve"> groter</w:t>
            </w:r>
            <w:r w:rsidR="00965CDA">
              <w:rPr>
                <w:rFonts w:eastAsia="DejaVu Sans" w:cs="Calibri Light"/>
                <w:color w:val="000000"/>
                <w:szCs w:val="18"/>
                <w:lang w:val="nl-NL"/>
              </w:rPr>
              <w:t>. Dit vraagt veel uitvoeringscapaciteit en benodigde expertise, wat negatieve gevolgen heeft voor de uitvoerbaarheid</w:t>
            </w:r>
            <w:r w:rsidRPr="00FD1605" w:rsidR="00965CDA">
              <w:rPr>
                <w:rFonts w:eastAsia="DejaVu Sans" w:cs="Calibri Light"/>
                <w:color w:val="000000"/>
                <w:szCs w:val="18"/>
                <w:lang w:val="nl-NL"/>
              </w:rPr>
              <w:t xml:space="preserve">. </w:t>
            </w:r>
            <w:r w:rsidR="00965CDA">
              <w:rPr>
                <w:rFonts w:eastAsia="DejaVu Sans" w:cs="Calibri Light"/>
                <w:color w:val="000000"/>
                <w:szCs w:val="18"/>
                <w:lang w:val="nl-NL"/>
              </w:rPr>
              <w:t xml:space="preserve">Door de krapte op de arbeidsmarkt </w:t>
            </w:r>
            <w:r w:rsidR="00921340">
              <w:rPr>
                <w:rFonts w:eastAsia="DejaVu Sans" w:cs="Calibri Light"/>
                <w:color w:val="000000"/>
                <w:szCs w:val="18"/>
                <w:lang w:val="nl-NL"/>
              </w:rPr>
              <w:t>geven gemeenten aan dat het niet haalbaar is</w:t>
            </w:r>
            <w:r w:rsidR="00965CDA">
              <w:rPr>
                <w:rFonts w:eastAsia="DejaVu Sans" w:cs="Calibri Light"/>
                <w:color w:val="000000"/>
                <w:szCs w:val="18"/>
                <w:lang w:val="nl-NL"/>
              </w:rPr>
              <w:t xml:space="preserve"> om deze maatregel in te voeren.</w:t>
            </w:r>
          </w:p>
        </w:tc>
      </w:tr>
      <w:tr w:rsidRPr="00EB3835" w:rsidR="00836AF5" w:rsidTr="00903A94" w14:paraId="4320980B" w14:textId="77777777">
        <w:trPr>
          <w:trHeight w:val="315"/>
        </w:trPr>
        <w:tc>
          <w:tcPr>
            <w:tcW w:w="2005" w:type="dxa"/>
            <w:tcBorders>
              <w:top w:val="nil"/>
              <w:left w:val="single" w:color="auto" w:sz="8" w:space="0"/>
              <w:bottom w:val="single" w:color="auto" w:sz="8" w:space="0"/>
              <w:right w:val="nil"/>
            </w:tcBorders>
            <w:shd w:val="clear" w:color="auto" w:fill="auto"/>
            <w:noWrap/>
          </w:tcPr>
          <w:p w:rsidRPr="00704454" w:rsidR="00836AF5" w:rsidP="00836AF5" w:rsidRDefault="00836AF5" w14:paraId="17EC876C"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lastRenderedPageBreak/>
              <w:t>Financiële effecten</w:t>
            </w:r>
          </w:p>
        </w:tc>
        <w:tc>
          <w:tcPr>
            <w:tcW w:w="8080" w:type="dxa"/>
            <w:tcBorders>
              <w:top w:val="single" w:color="auto" w:sz="4" w:space="0"/>
              <w:left w:val="single" w:color="auto" w:sz="4" w:space="0"/>
              <w:bottom w:val="single" w:color="auto" w:sz="8" w:space="0"/>
              <w:right w:val="single" w:color="auto" w:sz="4" w:space="0"/>
            </w:tcBorders>
            <w:shd w:val="clear" w:color="auto" w:fill="auto"/>
            <w:noWrap/>
          </w:tcPr>
          <w:tbl>
            <w:tblPr>
              <w:tblStyle w:val="Tabelraster"/>
              <w:tblpPr w:leftFromText="141" w:rightFromText="141" w:vertAnchor="page" w:horzAnchor="margin" w:tblpY="541"/>
              <w:tblOverlap w:val="never"/>
              <w:tblW w:w="4978"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val="01E0" w:firstRow="1" w:lastRow="1" w:firstColumn="1" w:lastColumn="1" w:noHBand="0" w:noVBand="0"/>
            </w:tblPr>
            <w:tblGrid>
              <w:gridCol w:w="1980"/>
              <w:gridCol w:w="850"/>
              <w:gridCol w:w="728"/>
              <w:gridCol w:w="867"/>
              <w:gridCol w:w="869"/>
              <w:gridCol w:w="867"/>
              <w:gridCol w:w="869"/>
              <w:gridCol w:w="867"/>
            </w:tblGrid>
            <w:tr w:rsidRPr="00EB3835" w:rsidR="00903A94" w:rsidTr="00D724B2" w14:paraId="433B2A98" w14:textId="77777777">
              <w:tc>
                <w:tcPr>
                  <w:tcW w:w="1254" w:type="pct"/>
                  <w:tcBorders>
                    <w:top w:val="single" w:color="auto" w:sz="4" w:space="0"/>
                    <w:left w:val="single" w:color="auto" w:sz="4" w:space="0"/>
                  </w:tcBorders>
                </w:tcPr>
                <w:p w:rsidRPr="00903A94" w:rsidR="00903A94" w:rsidP="00836AF5" w:rsidRDefault="00903A94" w14:paraId="61173F54" w14:textId="780460B0">
                  <w:pPr>
                    <w:rPr>
                      <w:rFonts w:ascii="Verdana" w:hAnsi="Verdana"/>
                      <w:b/>
                      <w:sz w:val="18"/>
                      <w:szCs w:val="18"/>
                    </w:rPr>
                  </w:pPr>
                  <w:r w:rsidRPr="00903A94">
                    <w:rPr>
                      <w:rFonts w:ascii="Verdana" w:hAnsi="Verdana"/>
                      <w:bCs/>
                      <w:i/>
                      <w:iCs/>
                      <w:sz w:val="18"/>
                      <w:szCs w:val="18"/>
                    </w:rPr>
                    <w:t>In miljoenen euro’s</w:t>
                  </w:r>
                </w:p>
              </w:tc>
              <w:tc>
                <w:tcPr>
                  <w:tcW w:w="538" w:type="pct"/>
                  <w:tcBorders>
                    <w:top w:val="single" w:color="auto" w:sz="4" w:space="0"/>
                  </w:tcBorders>
                </w:tcPr>
                <w:p w:rsidRPr="00903A94" w:rsidR="00903A94" w:rsidP="00836AF5" w:rsidRDefault="00903A94" w14:paraId="22875B88" w14:textId="77777777">
                  <w:pPr>
                    <w:jc w:val="right"/>
                    <w:rPr>
                      <w:rFonts w:ascii="Verdana" w:hAnsi="Verdana"/>
                      <w:b/>
                      <w:bCs/>
                      <w:sz w:val="18"/>
                      <w:szCs w:val="18"/>
                    </w:rPr>
                  </w:pPr>
                  <w:r w:rsidRPr="00903A94">
                    <w:rPr>
                      <w:rFonts w:ascii="Verdana" w:hAnsi="Verdana"/>
                      <w:b/>
                      <w:bCs/>
                      <w:sz w:val="18"/>
                      <w:szCs w:val="18"/>
                    </w:rPr>
                    <w:t>2026</w:t>
                  </w:r>
                </w:p>
              </w:tc>
              <w:tc>
                <w:tcPr>
                  <w:tcW w:w="461" w:type="pct"/>
                  <w:tcBorders>
                    <w:top w:val="single" w:color="auto" w:sz="4" w:space="0"/>
                  </w:tcBorders>
                </w:tcPr>
                <w:p w:rsidRPr="00903A94" w:rsidR="00903A94" w:rsidP="00836AF5" w:rsidRDefault="00903A94" w14:paraId="3DCF2D19" w14:textId="77777777">
                  <w:pPr>
                    <w:jc w:val="right"/>
                    <w:rPr>
                      <w:rFonts w:ascii="Verdana" w:hAnsi="Verdana"/>
                      <w:b/>
                      <w:bCs/>
                      <w:sz w:val="18"/>
                      <w:szCs w:val="18"/>
                    </w:rPr>
                  </w:pPr>
                  <w:r w:rsidRPr="00903A94">
                    <w:rPr>
                      <w:rFonts w:ascii="Verdana" w:hAnsi="Verdana"/>
                      <w:b/>
                      <w:bCs/>
                      <w:sz w:val="18"/>
                      <w:szCs w:val="18"/>
                    </w:rPr>
                    <w:t>2027</w:t>
                  </w:r>
                </w:p>
              </w:tc>
              <w:tc>
                <w:tcPr>
                  <w:tcW w:w="549" w:type="pct"/>
                  <w:tcBorders>
                    <w:top w:val="single" w:color="auto" w:sz="4" w:space="0"/>
                  </w:tcBorders>
                </w:tcPr>
                <w:p w:rsidRPr="00903A94" w:rsidR="00903A94" w:rsidP="00836AF5" w:rsidRDefault="00903A94" w14:paraId="5001F6DE" w14:textId="77777777">
                  <w:pPr>
                    <w:jc w:val="right"/>
                    <w:rPr>
                      <w:rFonts w:ascii="Verdana" w:hAnsi="Verdana"/>
                      <w:b/>
                      <w:bCs/>
                      <w:sz w:val="18"/>
                      <w:szCs w:val="18"/>
                    </w:rPr>
                  </w:pPr>
                  <w:r w:rsidRPr="00903A94">
                    <w:rPr>
                      <w:rFonts w:ascii="Verdana" w:hAnsi="Verdana"/>
                      <w:b/>
                      <w:bCs/>
                      <w:sz w:val="18"/>
                      <w:szCs w:val="18"/>
                    </w:rPr>
                    <w:t>2028</w:t>
                  </w:r>
                </w:p>
              </w:tc>
              <w:tc>
                <w:tcPr>
                  <w:tcW w:w="550" w:type="pct"/>
                  <w:tcBorders>
                    <w:top w:val="single" w:color="auto" w:sz="4" w:space="0"/>
                  </w:tcBorders>
                </w:tcPr>
                <w:p w:rsidRPr="00903A94" w:rsidR="00903A94" w:rsidP="00836AF5" w:rsidRDefault="00903A94" w14:paraId="766873DE" w14:textId="77777777">
                  <w:pPr>
                    <w:jc w:val="right"/>
                    <w:rPr>
                      <w:rFonts w:ascii="Verdana" w:hAnsi="Verdana"/>
                      <w:b/>
                      <w:bCs/>
                      <w:sz w:val="18"/>
                      <w:szCs w:val="18"/>
                    </w:rPr>
                  </w:pPr>
                  <w:r w:rsidRPr="00903A94">
                    <w:rPr>
                      <w:rFonts w:ascii="Verdana" w:hAnsi="Verdana"/>
                      <w:b/>
                      <w:bCs/>
                      <w:sz w:val="18"/>
                      <w:szCs w:val="18"/>
                    </w:rPr>
                    <w:t>2029</w:t>
                  </w:r>
                </w:p>
              </w:tc>
              <w:tc>
                <w:tcPr>
                  <w:tcW w:w="549" w:type="pct"/>
                  <w:tcBorders>
                    <w:top w:val="single" w:color="auto" w:sz="4" w:space="0"/>
                  </w:tcBorders>
                </w:tcPr>
                <w:p w:rsidRPr="00903A94" w:rsidR="00903A94" w:rsidP="00836AF5" w:rsidRDefault="00903A94" w14:paraId="203207F5" w14:textId="77777777">
                  <w:pPr>
                    <w:jc w:val="right"/>
                    <w:rPr>
                      <w:rFonts w:ascii="Verdana" w:hAnsi="Verdana"/>
                      <w:b/>
                      <w:bCs/>
                      <w:sz w:val="18"/>
                      <w:szCs w:val="18"/>
                    </w:rPr>
                  </w:pPr>
                  <w:r w:rsidRPr="00903A94">
                    <w:rPr>
                      <w:rFonts w:ascii="Verdana" w:hAnsi="Verdana"/>
                      <w:b/>
                      <w:bCs/>
                      <w:sz w:val="18"/>
                      <w:szCs w:val="18"/>
                    </w:rPr>
                    <w:t>2030</w:t>
                  </w:r>
                </w:p>
              </w:tc>
              <w:tc>
                <w:tcPr>
                  <w:tcW w:w="550" w:type="pct"/>
                  <w:tcBorders>
                    <w:top w:val="single" w:color="auto" w:sz="4" w:space="0"/>
                  </w:tcBorders>
                </w:tcPr>
                <w:p w:rsidRPr="00903A94" w:rsidR="00903A94" w:rsidP="00836AF5" w:rsidRDefault="00903A94" w14:paraId="60C11140" w14:textId="65E2EE84">
                  <w:pPr>
                    <w:jc w:val="right"/>
                    <w:rPr>
                      <w:rFonts w:ascii="Verdana" w:hAnsi="Verdana"/>
                      <w:b/>
                      <w:bCs/>
                      <w:sz w:val="18"/>
                      <w:szCs w:val="18"/>
                    </w:rPr>
                  </w:pPr>
                  <w:r w:rsidRPr="00903A94">
                    <w:rPr>
                      <w:rFonts w:ascii="Verdana" w:hAnsi="Verdana"/>
                      <w:b/>
                      <w:bCs/>
                      <w:sz w:val="18"/>
                      <w:szCs w:val="18"/>
                    </w:rPr>
                    <w:t>2031</w:t>
                  </w:r>
                </w:p>
              </w:tc>
              <w:tc>
                <w:tcPr>
                  <w:tcW w:w="549" w:type="pct"/>
                  <w:tcBorders>
                    <w:top w:val="single" w:color="auto" w:sz="4" w:space="0"/>
                  </w:tcBorders>
                </w:tcPr>
                <w:p w:rsidRPr="00903A94" w:rsidR="00903A94" w:rsidP="00836AF5" w:rsidRDefault="00903A94" w14:paraId="3A6802AB" w14:textId="08C3F600">
                  <w:pPr>
                    <w:jc w:val="right"/>
                    <w:rPr>
                      <w:rFonts w:ascii="Verdana" w:hAnsi="Verdana"/>
                      <w:b/>
                      <w:bCs/>
                      <w:sz w:val="18"/>
                      <w:szCs w:val="18"/>
                    </w:rPr>
                  </w:pPr>
                  <w:proofErr w:type="spellStart"/>
                  <w:r w:rsidRPr="00903A94">
                    <w:rPr>
                      <w:rFonts w:ascii="Verdana" w:hAnsi="Verdana"/>
                      <w:b/>
                      <w:bCs/>
                      <w:sz w:val="18"/>
                      <w:szCs w:val="18"/>
                    </w:rPr>
                    <w:t>Struc</w:t>
                  </w:r>
                  <w:proofErr w:type="spellEnd"/>
                  <w:r w:rsidRPr="00903A94">
                    <w:rPr>
                      <w:rFonts w:ascii="Verdana" w:hAnsi="Verdana"/>
                      <w:b/>
                      <w:bCs/>
                      <w:sz w:val="18"/>
                      <w:szCs w:val="18"/>
                    </w:rPr>
                    <w:t>.</w:t>
                  </w:r>
                </w:p>
              </w:tc>
            </w:tr>
            <w:tr w:rsidRPr="00EB3835" w:rsidR="00903A94" w:rsidTr="00D724B2" w14:paraId="241264AA" w14:textId="77777777">
              <w:tc>
                <w:tcPr>
                  <w:tcW w:w="1254" w:type="pct"/>
                </w:tcPr>
                <w:p w:rsidRPr="00903A94" w:rsidR="00903A94" w:rsidP="00836AF5" w:rsidRDefault="00903A94" w14:paraId="4FDDE634" w14:textId="77777777">
                  <w:pPr>
                    <w:rPr>
                      <w:rFonts w:ascii="Verdana" w:hAnsi="Verdana"/>
                      <w:sz w:val="18"/>
                      <w:szCs w:val="18"/>
                    </w:rPr>
                  </w:pPr>
                  <w:r w:rsidRPr="00903A94">
                    <w:rPr>
                      <w:rFonts w:ascii="Verdana" w:hAnsi="Verdana"/>
                      <w:sz w:val="18"/>
                      <w:szCs w:val="18"/>
                    </w:rPr>
                    <w:t>Algemene effecten</w:t>
                  </w:r>
                </w:p>
              </w:tc>
              <w:tc>
                <w:tcPr>
                  <w:tcW w:w="538" w:type="pct"/>
                </w:tcPr>
                <w:p w:rsidRPr="00903A94" w:rsidR="00903A94" w:rsidP="00836AF5" w:rsidRDefault="00903A94" w14:paraId="266C4610" w14:textId="77777777">
                  <w:pPr>
                    <w:jc w:val="right"/>
                    <w:rPr>
                      <w:rFonts w:ascii="Verdana" w:hAnsi="Verdana"/>
                      <w:sz w:val="18"/>
                      <w:szCs w:val="18"/>
                    </w:rPr>
                  </w:pPr>
                </w:p>
              </w:tc>
              <w:tc>
                <w:tcPr>
                  <w:tcW w:w="461" w:type="pct"/>
                </w:tcPr>
                <w:p w:rsidRPr="00903A94" w:rsidR="00903A94" w:rsidP="00836AF5" w:rsidRDefault="00903A94" w14:paraId="22C88B69" w14:textId="66598E2A">
                  <w:pPr>
                    <w:jc w:val="right"/>
                    <w:rPr>
                      <w:rFonts w:ascii="Verdana" w:hAnsi="Verdana"/>
                      <w:sz w:val="18"/>
                      <w:szCs w:val="18"/>
                    </w:rPr>
                  </w:pPr>
                </w:p>
              </w:tc>
              <w:tc>
                <w:tcPr>
                  <w:tcW w:w="549" w:type="pct"/>
                </w:tcPr>
                <w:p w:rsidRPr="00903A94" w:rsidR="00903A94" w:rsidP="00836AF5" w:rsidRDefault="00903A94" w14:paraId="02990C72" w14:textId="14AFD3AD">
                  <w:pPr>
                    <w:jc w:val="right"/>
                    <w:rPr>
                      <w:rFonts w:ascii="Verdana" w:hAnsi="Verdana"/>
                      <w:sz w:val="18"/>
                      <w:szCs w:val="18"/>
                    </w:rPr>
                  </w:pPr>
                </w:p>
              </w:tc>
              <w:tc>
                <w:tcPr>
                  <w:tcW w:w="550" w:type="pct"/>
                </w:tcPr>
                <w:p w:rsidRPr="00903A94" w:rsidR="00903A94" w:rsidP="00836AF5" w:rsidRDefault="00903A94" w14:paraId="447F27F6" w14:textId="232261FD">
                  <w:pPr>
                    <w:jc w:val="right"/>
                    <w:rPr>
                      <w:rFonts w:ascii="Verdana" w:hAnsi="Verdana"/>
                      <w:sz w:val="18"/>
                      <w:szCs w:val="18"/>
                    </w:rPr>
                  </w:pPr>
                </w:p>
              </w:tc>
              <w:tc>
                <w:tcPr>
                  <w:tcW w:w="549" w:type="pct"/>
                </w:tcPr>
                <w:p w:rsidRPr="00903A94" w:rsidR="00903A94" w:rsidP="00836AF5" w:rsidRDefault="00903A94" w14:paraId="5D2CEB33" w14:textId="6241125F">
                  <w:pPr>
                    <w:jc w:val="right"/>
                    <w:rPr>
                      <w:rFonts w:ascii="Verdana" w:hAnsi="Verdana"/>
                      <w:sz w:val="18"/>
                      <w:szCs w:val="18"/>
                    </w:rPr>
                  </w:pPr>
                </w:p>
              </w:tc>
              <w:tc>
                <w:tcPr>
                  <w:tcW w:w="550" w:type="pct"/>
                </w:tcPr>
                <w:p w:rsidRPr="00903A94" w:rsidR="00903A94" w:rsidP="00836AF5" w:rsidRDefault="00903A94" w14:paraId="788519FD" w14:textId="096388E0">
                  <w:pPr>
                    <w:jc w:val="right"/>
                    <w:rPr>
                      <w:rFonts w:ascii="Verdana" w:hAnsi="Verdana"/>
                      <w:sz w:val="18"/>
                      <w:szCs w:val="18"/>
                    </w:rPr>
                  </w:pPr>
                  <w:r w:rsidRPr="00903A94">
                    <w:rPr>
                      <w:rFonts w:ascii="Verdana" w:hAnsi="Verdana"/>
                      <w:sz w:val="18"/>
                      <w:szCs w:val="18"/>
                    </w:rPr>
                    <w:t>-</w:t>
                  </w:r>
                  <w:r w:rsidR="001359E9">
                    <w:rPr>
                      <w:rFonts w:ascii="Verdana" w:hAnsi="Verdana"/>
                      <w:sz w:val="18"/>
                      <w:szCs w:val="18"/>
                    </w:rPr>
                    <w:t>28,4</w:t>
                  </w:r>
                </w:p>
              </w:tc>
              <w:tc>
                <w:tcPr>
                  <w:tcW w:w="549" w:type="pct"/>
                </w:tcPr>
                <w:p w:rsidRPr="00903A94" w:rsidR="00903A94" w:rsidP="00836AF5" w:rsidRDefault="00903A94" w14:paraId="1F47E469" w14:textId="23292D99">
                  <w:pPr>
                    <w:jc w:val="right"/>
                    <w:rPr>
                      <w:rFonts w:ascii="Verdana" w:hAnsi="Verdana"/>
                      <w:sz w:val="18"/>
                      <w:szCs w:val="18"/>
                    </w:rPr>
                  </w:pPr>
                  <w:r w:rsidRPr="00903A94">
                    <w:rPr>
                      <w:rFonts w:ascii="Verdana" w:hAnsi="Verdana"/>
                      <w:sz w:val="18"/>
                      <w:szCs w:val="18"/>
                    </w:rPr>
                    <w:t>-244,6</w:t>
                  </w:r>
                </w:p>
              </w:tc>
            </w:tr>
            <w:tr w:rsidRPr="00EB3835" w:rsidR="00903A94" w:rsidTr="00D724B2" w14:paraId="23883B74" w14:textId="77777777">
              <w:tc>
                <w:tcPr>
                  <w:tcW w:w="1254" w:type="pct"/>
                </w:tcPr>
                <w:p w:rsidRPr="00903A94" w:rsidR="00903A94" w:rsidP="00836AF5" w:rsidRDefault="00903A94" w14:paraId="70ACA366" w14:textId="77777777">
                  <w:pPr>
                    <w:rPr>
                      <w:rFonts w:ascii="Verdana" w:hAnsi="Verdana"/>
                      <w:sz w:val="18"/>
                      <w:szCs w:val="18"/>
                    </w:rPr>
                  </w:pPr>
                  <w:r w:rsidRPr="00903A94">
                    <w:rPr>
                      <w:rFonts w:ascii="Verdana" w:hAnsi="Verdana"/>
                      <w:sz w:val="18"/>
                      <w:szCs w:val="18"/>
                    </w:rPr>
                    <w:t>Weglekeffecten</w:t>
                  </w:r>
                </w:p>
              </w:tc>
              <w:tc>
                <w:tcPr>
                  <w:tcW w:w="538" w:type="pct"/>
                </w:tcPr>
                <w:p w:rsidRPr="00903A94" w:rsidR="00903A94" w:rsidP="00836AF5" w:rsidRDefault="00903A94" w14:paraId="2DDFEF47" w14:textId="77777777">
                  <w:pPr>
                    <w:jc w:val="right"/>
                    <w:rPr>
                      <w:rFonts w:ascii="Verdana" w:hAnsi="Verdana"/>
                      <w:sz w:val="18"/>
                      <w:szCs w:val="18"/>
                    </w:rPr>
                  </w:pPr>
                </w:p>
              </w:tc>
              <w:tc>
                <w:tcPr>
                  <w:tcW w:w="461" w:type="pct"/>
                </w:tcPr>
                <w:p w:rsidRPr="00903A94" w:rsidR="00903A94" w:rsidP="00836AF5" w:rsidRDefault="00903A94" w14:paraId="02EB3DFB" w14:textId="77777777">
                  <w:pPr>
                    <w:jc w:val="right"/>
                    <w:rPr>
                      <w:rFonts w:ascii="Verdana" w:hAnsi="Verdana"/>
                      <w:sz w:val="18"/>
                      <w:szCs w:val="18"/>
                    </w:rPr>
                  </w:pPr>
                </w:p>
              </w:tc>
              <w:tc>
                <w:tcPr>
                  <w:tcW w:w="549" w:type="pct"/>
                </w:tcPr>
                <w:p w:rsidRPr="00903A94" w:rsidR="00903A94" w:rsidP="00836AF5" w:rsidRDefault="00903A94" w14:paraId="15B568BA" w14:textId="77777777">
                  <w:pPr>
                    <w:jc w:val="right"/>
                    <w:rPr>
                      <w:rFonts w:ascii="Verdana" w:hAnsi="Verdana"/>
                      <w:sz w:val="18"/>
                      <w:szCs w:val="18"/>
                    </w:rPr>
                  </w:pPr>
                </w:p>
              </w:tc>
              <w:tc>
                <w:tcPr>
                  <w:tcW w:w="550" w:type="pct"/>
                </w:tcPr>
                <w:p w:rsidRPr="00903A94" w:rsidR="00903A94" w:rsidP="00836AF5" w:rsidRDefault="00903A94" w14:paraId="6B7F774B" w14:textId="77777777">
                  <w:pPr>
                    <w:jc w:val="right"/>
                    <w:rPr>
                      <w:rFonts w:ascii="Verdana" w:hAnsi="Verdana"/>
                      <w:sz w:val="18"/>
                      <w:szCs w:val="18"/>
                    </w:rPr>
                  </w:pPr>
                </w:p>
              </w:tc>
              <w:tc>
                <w:tcPr>
                  <w:tcW w:w="549" w:type="pct"/>
                </w:tcPr>
                <w:p w:rsidRPr="00903A94" w:rsidR="00903A94" w:rsidP="00836AF5" w:rsidRDefault="00903A94" w14:paraId="14107348" w14:textId="77777777">
                  <w:pPr>
                    <w:jc w:val="right"/>
                    <w:rPr>
                      <w:rFonts w:ascii="Verdana" w:hAnsi="Verdana"/>
                      <w:sz w:val="18"/>
                      <w:szCs w:val="18"/>
                    </w:rPr>
                  </w:pPr>
                </w:p>
              </w:tc>
              <w:tc>
                <w:tcPr>
                  <w:tcW w:w="550" w:type="pct"/>
                </w:tcPr>
                <w:p w:rsidRPr="00903A94" w:rsidR="00903A94" w:rsidP="00836AF5" w:rsidRDefault="00903A94" w14:paraId="14592345" w14:textId="77777777">
                  <w:pPr>
                    <w:jc w:val="right"/>
                    <w:rPr>
                      <w:rFonts w:ascii="Verdana" w:hAnsi="Verdana"/>
                      <w:sz w:val="18"/>
                      <w:szCs w:val="18"/>
                    </w:rPr>
                  </w:pPr>
                </w:p>
              </w:tc>
              <w:tc>
                <w:tcPr>
                  <w:tcW w:w="549" w:type="pct"/>
                </w:tcPr>
                <w:p w:rsidRPr="00903A94" w:rsidR="00903A94" w:rsidP="00836AF5" w:rsidRDefault="00903A94" w14:paraId="56234E86" w14:textId="2542F260">
                  <w:pPr>
                    <w:jc w:val="right"/>
                    <w:rPr>
                      <w:rFonts w:ascii="Verdana" w:hAnsi="Verdana"/>
                      <w:sz w:val="18"/>
                      <w:szCs w:val="18"/>
                    </w:rPr>
                  </w:pPr>
                </w:p>
              </w:tc>
            </w:tr>
            <w:tr w:rsidRPr="00EB3835" w:rsidR="00903A94" w:rsidTr="00D724B2" w14:paraId="2696C8E4" w14:textId="77777777">
              <w:tc>
                <w:tcPr>
                  <w:tcW w:w="1254" w:type="pct"/>
                </w:tcPr>
                <w:p w:rsidRPr="00903A94" w:rsidR="00903A94" w:rsidP="00836AF5" w:rsidRDefault="00903A94" w14:paraId="3C5DA3A3" w14:textId="77777777">
                  <w:pPr>
                    <w:rPr>
                      <w:rFonts w:ascii="Verdana" w:hAnsi="Verdana"/>
                      <w:sz w:val="18"/>
                      <w:szCs w:val="18"/>
                    </w:rPr>
                  </w:pPr>
                  <w:r w:rsidRPr="00903A94">
                    <w:rPr>
                      <w:rFonts w:ascii="Verdana" w:hAnsi="Verdana"/>
                      <w:sz w:val="18"/>
                      <w:szCs w:val="18"/>
                    </w:rPr>
                    <w:t>Uitvoeringskosten</w:t>
                  </w:r>
                </w:p>
              </w:tc>
              <w:tc>
                <w:tcPr>
                  <w:tcW w:w="538" w:type="pct"/>
                </w:tcPr>
                <w:p w:rsidRPr="00903A94" w:rsidR="00903A94" w:rsidP="00836AF5" w:rsidRDefault="00903A94" w14:paraId="23EB91AA" w14:textId="77777777">
                  <w:pPr>
                    <w:jc w:val="right"/>
                    <w:rPr>
                      <w:rFonts w:ascii="Verdana" w:hAnsi="Verdana"/>
                      <w:sz w:val="18"/>
                      <w:szCs w:val="18"/>
                    </w:rPr>
                  </w:pPr>
                </w:p>
              </w:tc>
              <w:tc>
                <w:tcPr>
                  <w:tcW w:w="461" w:type="pct"/>
                </w:tcPr>
                <w:p w:rsidRPr="00903A94" w:rsidR="00903A94" w:rsidP="00836AF5" w:rsidRDefault="00903A94" w14:paraId="1F3FF6B5" w14:textId="77777777">
                  <w:pPr>
                    <w:jc w:val="right"/>
                    <w:rPr>
                      <w:rFonts w:ascii="Verdana" w:hAnsi="Verdana"/>
                      <w:sz w:val="18"/>
                      <w:szCs w:val="18"/>
                    </w:rPr>
                  </w:pPr>
                </w:p>
              </w:tc>
              <w:tc>
                <w:tcPr>
                  <w:tcW w:w="549" w:type="pct"/>
                </w:tcPr>
                <w:p w:rsidRPr="00903A94" w:rsidR="00903A94" w:rsidP="00836AF5" w:rsidRDefault="00903A94" w14:paraId="73E85052" w14:textId="77777777">
                  <w:pPr>
                    <w:jc w:val="right"/>
                    <w:rPr>
                      <w:rFonts w:ascii="Verdana" w:hAnsi="Verdana"/>
                      <w:sz w:val="18"/>
                      <w:szCs w:val="18"/>
                    </w:rPr>
                  </w:pPr>
                </w:p>
              </w:tc>
              <w:tc>
                <w:tcPr>
                  <w:tcW w:w="550" w:type="pct"/>
                </w:tcPr>
                <w:p w:rsidRPr="00903A94" w:rsidR="00903A94" w:rsidP="00836AF5" w:rsidRDefault="00903A94" w14:paraId="325E6070" w14:textId="77777777">
                  <w:pPr>
                    <w:jc w:val="right"/>
                    <w:rPr>
                      <w:rFonts w:ascii="Verdana" w:hAnsi="Verdana"/>
                      <w:sz w:val="18"/>
                      <w:szCs w:val="18"/>
                    </w:rPr>
                  </w:pPr>
                </w:p>
              </w:tc>
              <w:tc>
                <w:tcPr>
                  <w:tcW w:w="549" w:type="pct"/>
                </w:tcPr>
                <w:p w:rsidRPr="00903A94" w:rsidR="00903A94" w:rsidP="00836AF5" w:rsidRDefault="00903A94" w14:paraId="69A66BE5" w14:textId="77777777">
                  <w:pPr>
                    <w:jc w:val="right"/>
                    <w:rPr>
                      <w:rFonts w:ascii="Verdana" w:hAnsi="Verdana"/>
                      <w:sz w:val="18"/>
                      <w:szCs w:val="18"/>
                    </w:rPr>
                  </w:pPr>
                </w:p>
              </w:tc>
              <w:tc>
                <w:tcPr>
                  <w:tcW w:w="550" w:type="pct"/>
                </w:tcPr>
                <w:p w:rsidRPr="00903A94" w:rsidR="00903A94" w:rsidP="00836AF5" w:rsidRDefault="00903A94" w14:paraId="464B0696" w14:textId="77777777">
                  <w:pPr>
                    <w:jc w:val="right"/>
                    <w:rPr>
                      <w:rFonts w:ascii="Verdana" w:hAnsi="Verdana"/>
                      <w:sz w:val="18"/>
                      <w:szCs w:val="18"/>
                    </w:rPr>
                  </w:pPr>
                </w:p>
              </w:tc>
              <w:tc>
                <w:tcPr>
                  <w:tcW w:w="549" w:type="pct"/>
                </w:tcPr>
                <w:p w:rsidRPr="00903A94" w:rsidR="00903A94" w:rsidP="00836AF5" w:rsidRDefault="00903A94" w14:paraId="30862DC6" w14:textId="3AAAD21A">
                  <w:pPr>
                    <w:jc w:val="right"/>
                    <w:rPr>
                      <w:rFonts w:ascii="Verdana" w:hAnsi="Verdana"/>
                      <w:sz w:val="18"/>
                      <w:szCs w:val="18"/>
                    </w:rPr>
                  </w:pPr>
                </w:p>
              </w:tc>
            </w:tr>
            <w:tr w:rsidRPr="00EB3835" w:rsidR="00903A94" w:rsidTr="00D724B2" w14:paraId="7EFA24EF" w14:textId="77777777">
              <w:tc>
                <w:tcPr>
                  <w:tcW w:w="1254" w:type="pct"/>
                </w:tcPr>
                <w:p w:rsidRPr="00903A94" w:rsidR="00903A94" w:rsidP="00836AF5" w:rsidRDefault="00903A94" w14:paraId="01A5A301" w14:textId="77777777">
                  <w:pPr>
                    <w:rPr>
                      <w:rFonts w:ascii="Verdana" w:hAnsi="Verdana"/>
                      <w:sz w:val="18"/>
                      <w:szCs w:val="18"/>
                    </w:rPr>
                  </w:pPr>
                </w:p>
              </w:tc>
              <w:tc>
                <w:tcPr>
                  <w:tcW w:w="538" w:type="pct"/>
                </w:tcPr>
                <w:p w:rsidRPr="00903A94" w:rsidR="00903A94" w:rsidP="00836AF5" w:rsidRDefault="00903A94" w14:paraId="0A7D023F" w14:textId="77777777">
                  <w:pPr>
                    <w:jc w:val="right"/>
                    <w:rPr>
                      <w:rFonts w:ascii="Verdana" w:hAnsi="Verdana"/>
                      <w:sz w:val="18"/>
                      <w:szCs w:val="18"/>
                    </w:rPr>
                  </w:pPr>
                </w:p>
              </w:tc>
              <w:tc>
                <w:tcPr>
                  <w:tcW w:w="461" w:type="pct"/>
                </w:tcPr>
                <w:p w:rsidRPr="00903A94" w:rsidR="00903A94" w:rsidP="00836AF5" w:rsidRDefault="00903A94" w14:paraId="78CBD43E" w14:textId="77777777">
                  <w:pPr>
                    <w:jc w:val="right"/>
                    <w:rPr>
                      <w:rFonts w:ascii="Verdana" w:hAnsi="Verdana"/>
                      <w:sz w:val="18"/>
                      <w:szCs w:val="18"/>
                    </w:rPr>
                  </w:pPr>
                </w:p>
              </w:tc>
              <w:tc>
                <w:tcPr>
                  <w:tcW w:w="549" w:type="pct"/>
                </w:tcPr>
                <w:p w:rsidRPr="00903A94" w:rsidR="00903A94" w:rsidP="00836AF5" w:rsidRDefault="00903A94" w14:paraId="3E9A58EB" w14:textId="77777777">
                  <w:pPr>
                    <w:jc w:val="right"/>
                    <w:rPr>
                      <w:rFonts w:ascii="Verdana" w:hAnsi="Verdana"/>
                      <w:sz w:val="18"/>
                      <w:szCs w:val="18"/>
                    </w:rPr>
                  </w:pPr>
                </w:p>
              </w:tc>
              <w:tc>
                <w:tcPr>
                  <w:tcW w:w="550" w:type="pct"/>
                </w:tcPr>
                <w:p w:rsidRPr="00903A94" w:rsidR="00903A94" w:rsidP="00836AF5" w:rsidRDefault="00903A94" w14:paraId="4251F5BB" w14:textId="77777777">
                  <w:pPr>
                    <w:jc w:val="right"/>
                    <w:rPr>
                      <w:rFonts w:ascii="Verdana" w:hAnsi="Verdana"/>
                      <w:sz w:val="18"/>
                      <w:szCs w:val="18"/>
                    </w:rPr>
                  </w:pPr>
                </w:p>
              </w:tc>
              <w:tc>
                <w:tcPr>
                  <w:tcW w:w="549" w:type="pct"/>
                </w:tcPr>
                <w:p w:rsidRPr="00903A94" w:rsidR="00903A94" w:rsidP="00836AF5" w:rsidRDefault="00903A94" w14:paraId="5D4CCFEA" w14:textId="77777777">
                  <w:pPr>
                    <w:jc w:val="right"/>
                    <w:rPr>
                      <w:rFonts w:ascii="Verdana" w:hAnsi="Verdana"/>
                      <w:sz w:val="18"/>
                      <w:szCs w:val="18"/>
                    </w:rPr>
                  </w:pPr>
                </w:p>
              </w:tc>
              <w:tc>
                <w:tcPr>
                  <w:tcW w:w="550" w:type="pct"/>
                </w:tcPr>
                <w:p w:rsidRPr="00903A94" w:rsidR="00903A94" w:rsidP="00836AF5" w:rsidRDefault="00903A94" w14:paraId="4529D820" w14:textId="77777777">
                  <w:pPr>
                    <w:jc w:val="right"/>
                    <w:rPr>
                      <w:rFonts w:ascii="Verdana" w:hAnsi="Verdana"/>
                      <w:sz w:val="18"/>
                      <w:szCs w:val="18"/>
                    </w:rPr>
                  </w:pPr>
                </w:p>
              </w:tc>
              <w:tc>
                <w:tcPr>
                  <w:tcW w:w="549" w:type="pct"/>
                </w:tcPr>
                <w:p w:rsidRPr="00903A94" w:rsidR="00903A94" w:rsidP="00836AF5" w:rsidRDefault="00903A94" w14:paraId="66D11AB3" w14:textId="47488BD9">
                  <w:pPr>
                    <w:jc w:val="right"/>
                    <w:rPr>
                      <w:rFonts w:ascii="Verdana" w:hAnsi="Verdana"/>
                      <w:sz w:val="18"/>
                      <w:szCs w:val="18"/>
                    </w:rPr>
                  </w:pPr>
                </w:p>
              </w:tc>
            </w:tr>
            <w:tr w:rsidRPr="00EB3835" w:rsidR="00903A94" w:rsidTr="00D724B2" w14:paraId="4D051C65" w14:textId="77777777">
              <w:tc>
                <w:tcPr>
                  <w:tcW w:w="1254" w:type="pct"/>
                </w:tcPr>
                <w:p w:rsidRPr="00903A94" w:rsidR="00903A94" w:rsidP="00DF2B59" w:rsidRDefault="00903A94" w14:paraId="5D67D1D8" w14:textId="77777777">
                  <w:pPr>
                    <w:rPr>
                      <w:rFonts w:ascii="Verdana" w:hAnsi="Verdana"/>
                      <w:b/>
                      <w:bCs/>
                      <w:sz w:val="18"/>
                      <w:szCs w:val="18"/>
                    </w:rPr>
                  </w:pPr>
                  <w:r w:rsidRPr="00903A94">
                    <w:rPr>
                      <w:rFonts w:ascii="Verdana" w:hAnsi="Verdana"/>
                      <w:b/>
                      <w:bCs/>
                      <w:sz w:val="18"/>
                      <w:szCs w:val="18"/>
                    </w:rPr>
                    <w:t>Totaal</w:t>
                  </w:r>
                </w:p>
              </w:tc>
              <w:tc>
                <w:tcPr>
                  <w:tcW w:w="538" w:type="pct"/>
                </w:tcPr>
                <w:p w:rsidRPr="00903A94" w:rsidR="00903A94" w:rsidP="00DF2B59" w:rsidRDefault="00903A94" w14:paraId="1D4F863C" w14:textId="77777777">
                  <w:pPr>
                    <w:jc w:val="right"/>
                    <w:rPr>
                      <w:rFonts w:ascii="Verdana" w:hAnsi="Verdana"/>
                      <w:b/>
                      <w:bCs/>
                      <w:sz w:val="18"/>
                      <w:szCs w:val="18"/>
                    </w:rPr>
                  </w:pPr>
                </w:p>
              </w:tc>
              <w:tc>
                <w:tcPr>
                  <w:tcW w:w="461" w:type="pct"/>
                </w:tcPr>
                <w:p w:rsidRPr="00903A94" w:rsidR="00903A94" w:rsidP="00DF2B59" w:rsidRDefault="00903A94" w14:paraId="0EDD62DF" w14:textId="7DC70E23">
                  <w:pPr>
                    <w:jc w:val="right"/>
                    <w:rPr>
                      <w:rFonts w:ascii="Verdana" w:hAnsi="Verdana"/>
                      <w:b/>
                      <w:bCs/>
                      <w:sz w:val="18"/>
                      <w:szCs w:val="18"/>
                    </w:rPr>
                  </w:pPr>
                </w:p>
              </w:tc>
              <w:tc>
                <w:tcPr>
                  <w:tcW w:w="549" w:type="pct"/>
                </w:tcPr>
                <w:p w:rsidRPr="00903A94" w:rsidR="00903A94" w:rsidP="00DF2B59" w:rsidRDefault="00903A94" w14:paraId="5E26CBE4" w14:textId="58764076">
                  <w:pPr>
                    <w:jc w:val="right"/>
                    <w:rPr>
                      <w:rFonts w:ascii="Verdana" w:hAnsi="Verdana"/>
                      <w:b/>
                      <w:bCs/>
                      <w:sz w:val="18"/>
                      <w:szCs w:val="18"/>
                    </w:rPr>
                  </w:pPr>
                </w:p>
              </w:tc>
              <w:tc>
                <w:tcPr>
                  <w:tcW w:w="550" w:type="pct"/>
                </w:tcPr>
                <w:p w:rsidRPr="00903A94" w:rsidR="00903A94" w:rsidP="00DF2B59" w:rsidRDefault="00903A94" w14:paraId="1168E397" w14:textId="6D0715AE">
                  <w:pPr>
                    <w:jc w:val="right"/>
                    <w:rPr>
                      <w:rFonts w:ascii="Verdana" w:hAnsi="Verdana"/>
                      <w:b/>
                      <w:bCs/>
                      <w:sz w:val="18"/>
                      <w:szCs w:val="18"/>
                    </w:rPr>
                  </w:pPr>
                </w:p>
              </w:tc>
              <w:tc>
                <w:tcPr>
                  <w:tcW w:w="549" w:type="pct"/>
                </w:tcPr>
                <w:p w:rsidRPr="00903A94" w:rsidR="00903A94" w:rsidP="00DF2B59" w:rsidRDefault="00903A94" w14:paraId="7FEFD1B2" w14:textId="6A1A257C">
                  <w:pPr>
                    <w:jc w:val="right"/>
                    <w:rPr>
                      <w:rFonts w:ascii="Verdana" w:hAnsi="Verdana"/>
                      <w:b/>
                      <w:bCs/>
                      <w:sz w:val="18"/>
                      <w:szCs w:val="18"/>
                    </w:rPr>
                  </w:pPr>
                </w:p>
              </w:tc>
              <w:tc>
                <w:tcPr>
                  <w:tcW w:w="550" w:type="pct"/>
                </w:tcPr>
                <w:p w:rsidRPr="00903A94" w:rsidR="00903A94" w:rsidP="00DF2B59" w:rsidRDefault="00903A94" w14:paraId="6B54F902" w14:textId="20784599">
                  <w:pPr>
                    <w:jc w:val="right"/>
                    <w:rPr>
                      <w:rFonts w:ascii="Verdana" w:hAnsi="Verdana"/>
                      <w:sz w:val="18"/>
                      <w:szCs w:val="18"/>
                    </w:rPr>
                  </w:pPr>
                  <w:r w:rsidRPr="00903A94">
                    <w:rPr>
                      <w:rFonts w:ascii="Verdana" w:hAnsi="Verdana"/>
                      <w:sz w:val="18"/>
                      <w:szCs w:val="18"/>
                    </w:rPr>
                    <w:t>-</w:t>
                  </w:r>
                  <w:r w:rsidR="001359E9">
                    <w:rPr>
                      <w:rFonts w:ascii="Verdana" w:hAnsi="Verdana"/>
                      <w:sz w:val="18"/>
                      <w:szCs w:val="18"/>
                    </w:rPr>
                    <w:t>28,4</w:t>
                  </w:r>
                </w:p>
              </w:tc>
              <w:tc>
                <w:tcPr>
                  <w:tcW w:w="549" w:type="pct"/>
                </w:tcPr>
                <w:p w:rsidRPr="00903A94" w:rsidR="00903A94" w:rsidP="00DF2B59" w:rsidRDefault="00903A94" w14:paraId="2E4CA28F" w14:textId="5CB0C89D">
                  <w:pPr>
                    <w:jc w:val="right"/>
                    <w:rPr>
                      <w:rFonts w:ascii="Verdana" w:hAnsi="Verdana"/>
                      <w:b/>
                      <w:bCs/>
                      <w:sz w:val="18"/>
                      <w:szCs w:val="18"/>
                    </w:rPr>
                  </w:pPr>
                  <w:r w:rsidRPr="00903A94">
                    <w:rPr>
                      <w:rFonts w:ascii="Verdana" w:hAnsi="Verdana"/>
                      <w:sz w:val="18"/>
                      <w:szCs w:val="18"/>
                    </w:rPr>
                    <w:t>-244,6</w:t>
                  </w:r>
                </w:p>
              </w:tc>
            </w:tr>
          </w:tbl>
          <w:p w:rsidRPr="00FD1605" w:rsidR="00DF2B59" w:rsidP="00836AF5" w:rsidRDefault="00DF2B59" w14:paraId="3DB425F2" w14:textId="6A1A9D0A">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Het budgettaire effect is exclusief uitvoeringskosten.</w:t>
            </w:r>
            <w:r w:rsidRPr="00FD1605" w:rsidR="003221C7">
              <w:rPr>
                <w:rFonts w:eastAsia="Times New Roman" w:cs="Calibri"/>
                <w:color w:val="000000"/>
                <w:szCs w:val="18"/>
                <w:lang w:val="nl-NL" w:eastAsia="nl-NL"/>
              </w:rPr>
              <w:t xml:space="preserve"> Die zouden in een uitvoeringstoets moeten worden uitgezocht.</w:t>
            </w:r>
          </w:p>
        </w:tc>
      </w:tr>
      <w:tr w:rsidRPr="00EB3835" w:rsidR="00836AF5" w:rsidTr="00903A94" w14:paraId="424FDC3F" w14:textId="77777777">
        <w:trPr>
          <w:trHeight w:val="315"/>
        </w:trPr>
        <w:tc>
          <w:tcPr>
            <w:tcW w:w="2005" w:type="dxa"/>
            <w:tcBorders>
              <w:top w:val="nil"/>
              <w:left w:val="single" w:color="auto" w:sz="8" w:space="0"/>
              <w:bottom w:val="single" w:color="auto" w:sz="8" w:space="0"/>
              <w:right w:val="nil"/>
            </w:tcBorders>
            <w:shd w:val="clear" w:color="auto" w:fill="auto"/>
            <w:noWrap/>
          </w:tcPr>
          <w:p w:rsidRPr="00704454" w:rsidR="00836AF5" w:rsidP="00836AF5" w:rsidRDefault="00836AF5" w14:paraId="5475C3BF"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Toelichting raming</w:t>
            </w:r>
          </w:p>
        </w:tc>
        <w:tc>
          <w:tcPr>
            <w:tcW w:w="8080" w:type="dxa"/>
            <w:tcBorders>
              <w:top w:val="single" w:color="auto" w:sz="4" w:space="0"/>
              <w:left w:val="single" w:color="auto" w:sz="4" w:space="0"/>
              <w:bottom w:val="single" w:color="auto" w:sz="8" w:space="0"/>
              <w:right w:val="single" w:color="auto" w:sz="4" w:space="0"/>
            </w:tcBorders>
            <w:shd w:val="clear" w:color="auto" w:fill="auto"/>
            <w:noWrap/>
          </w:tcPr>
          <w:p w:rsidRPr="00704454" w:rsidR="00836AF5" w:rsidP="00F165C9" w:rsidRDefault="00F165C9" w14:paraId="050C4215" w14:textId="4112D473">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Met deze maatregel ontvangen uitkeringsgerechtigden een aanvulling tot het socia</w:t>
            </w:r>
            <w:r w:rsidRPr="00FD1605" w:rsidR="00FA7EA3">
              <w:rPr>
                <w:rFonts w:eastAsia="Times New Roman" w:cs="Calibri"/>
                <w:color w:val="000000"/>
                <w:szCs w:val="18"/>
                <w:lang w:val="nl-NL" w:eastAsia="nl-NL"/>
              </w:rPr>
              <w:t>a</w:t>
            </w:r>
            <w:r w:rsidRPr="00FD1605">
              <w:rPr>
                <w:rFonts w:eastAsia="Times New Roman" w:cs="Calibri"/>
                <w:color w:val="000000"/>
                <w:szCs w:val="18"/>
                <w:lang w:val="nl-NL" w:eastAsia="nl-NL"/>
              </w:rPr>
              <w:t>l minimum via de bijstandsuitkering. Niet iedereen die nu een TW ontvangt heeft recht op een bijstandsuitkering</w:t>
            </w:r>
            <w:r w:rsidRPr="00FD1605" w:rsidR="00B220CF">
              <w:rPr>
                <w:rFonts w:eastAsia="Times New Roman" w:cs="Calibri"/>
                <w:color w:val="000000"/>
                <w:szCs w:val="18"/>
                <w:lang w:val="nl-NL" w:eastAsia="nl-NL"/>
              </w:rPr>
              <w:t>, o</w:t>
            </w:r>
            <w:r w:rsidR="0001104E">
              <w:rPr>
                <w:rFonts w:eastAsia="Times New Roman" w:cs="Calibri"/>
                <w:color w:val="000000"/>
                <w:szCs w:val="18"/>
                <w:lang w:val="nl-NL" w:eastAsia="nl-NL"/>
              </w:rPr>
              <w:t>nder andere</w:t>
            </w:r>
            <w:r w:rsidRPr="00FD1605">
              <w:rPr>
                <w:rFonts w:eastAsia="Times New Roman" w:cs="Calibri"/>
                <w:color w:val="000000"/>
                <w:szCs w:val="18"/>
                <w:lang w:val="nl-NL" w:eastAsia="nl-NL"/>
              </w:rPr>
              <w:t xml:space="preserve"> vanwege de vermogenstoets. Daarom leidt deze maatregel tot een besparing. In de raming is als uitgangspunt genomen dat de huidige groep uitkeringsgerechtigden de TW mogen houden tot zij uitstromen. </w:t>
            </w:r>
          </w:p>
        </w:tc>
      </w:tr>
      <w:tr w:rsidRPr="001359E9" w:rsidR="00836AF5" w:rsidTr="00903A94" w14:paraId="369BFC83" w14:textId="77777777">
        <w:trPr>
          <w:trHeight w:val="315"/>
        </w:trPr>
        <w:tc>
          <w:tcPr>
            <w:tcW w:w="2005" w:type="dxa"/>
            <w:tcBorders>
              <w:top w:val="nil"/>
              <w:left w:val="single" w:color="auto" w:sz="8" w:space="0"/>
              <w:bottom w:val="single" w:color="auto" w:sz="8" w:space="0"/>
              <w:right w:val="nil"/>
            </w:tcBorders>
            <w:shd w:val="clear" w:color="auto" w:fill="auto"/>
            <w:noWrap/>
          </w:tcPr>
          <w:p w:rsidRPr="00704454" w:rsidR="00836AF5" w:rsidP="00836AF5" w:rsidRDefault="00836AF5" w14:paraId="0CC134B5"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Inkomens-</w:t>
            </w:r>
          </w:p>
          <w:p w:rsidRPr="00704454" w:rsidR="00836AF5" w:rsidP="00836AF5" w:rsidRDefault="00836AF5" w14:paraId="6B0FB2BB"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effecten</w:t>
            </w:r>
          </w:p>
        </w:tc>
        <w:tc>
          <w:tcPr>
            <w:tcW w:w="8080" w:type="dxa"/>
            <w:tcBorders>
              <w:top w:val="single" w:color="auto" w:sz="4" w:space="0"/>
              <w:left w:val="single" w:color="auto" w:sz="4" w:space="0"/>
              <w:bottom w:val="single" w:color="auto" w:sz="8" w:space="0"/>
              <w:right w:val="single" w:color="auto" w:sz="4" w:space="0"/>
            </w:tcBorders>
            <w:shd w:val="clear" w:color="auto" w:fill="auto"/>
            <w:noWrap/>
          </w:tcPr>
          <w:p w:rsidRPr="00FD1605" w:rsidR="00836AF5" w:rsidP="00836AF5" w:rsidRDefault="00836AF5" w14:paraId="3865DB54" w14:textId="3BF3456D">
            <w:pPr>
              <w:spacing w:after="0" w:line="240" w:lineRule="auto"/>
              <w:rPr>
                <w:rFonts w:eastAsia="Times New Roman"/>
                <w:szCs w:val="18"/>
                <w:lang w:val="nl-NL"/>
              </w:rPr>
            </w:pPr>
            <w:r w:rsidRPr="00FD1605">
              <w:rPr>
                <w:rFonts w:eastAsia="Times New Roman"/>
                <w:szCs w:val="18"/>
                <w:lang w:val="nl-NL"/>
              </w:rPr>
              <w:t xml:space="preserve">Een deel van de uitkeringsgerechtigden zal met de voorwaarden van de bijstand geen </w:t>
            </w:r>
            <w:r w:rsidRPr="00FD1605" w:rsidR="006169A7">
              <w:rPr>
                <w:rFonts w:eastAsia="Times New Roman"/>
                <w:szCs w:val="18"/>
                <w:lang w:val="nl-NL"/>
              </w:rPr>
              <w:t xml:space="preserve">of een lagere </w:t>
            </w:r>
            <w:r w:rsidRPr="00FD1605">
              <w:rPr>
                <w:rFonts w:eastAsia="Times New Roman"/>
                <w:szCs w:val="18"/>
                <w:lang w:val="nl-NL"/>
              </w:rPr>
              <w:t>aanvulling ontvangen. Hun inkomenssituatie verslechter</w:t>
            </w:r>
            <w:r w:rsidRPr="00FD1605" w:rsidR="00B46081">
              <w:rPr>
                <w:rFonts w:eastAsia="Times New Roman"/>
                <w:szCs w:val="18"/>
                <w:lang w:val="nl-NL"/>
              </w:rPr>
              <w:t>t</w:t>
            </w:r>
            <w:r w:rsidRPr="00FD1605">
              <w:rPr>
                <w:rFonts w:eastAsia="Times New Roman"/>
                <w:szCs w:val="18"/>
                <w:lang w:val="nl-NL"/>
              </w:rPr>
              <w:t xml:space="preserve"> door deze maatregel. </w:t>
            </w:r>
          </w:p>
        </w:tc>
      </w:tr>
      <w:tr w:rsidRPr="00EB3835" w:rsidR="00836AF5" w:rsidTr="00903A94" w14:paraId="43D6651B" w14:textId="77777777">
        <w:trPr>
          <w:trHeight w:val="315"/>
        </w:trPr>
        <w:tc>
          <w:tcPr>
            <w:tcW w:w="2005" w:type="dxa"/>
            <w:tcBorders>
              <w:top w:val="nil"/>
              <w:left w:val="single" w:color="auto" w:sz="8" w:space="0"/>
              <w:bottom w:val="single" w:color="auto" w:sz="8" w:space="0"/>
              <w:right w:val="nil"/>
            </w:tcBorders>
            <w:shd w:val="clear" w:color="auto" w:fill="auto"/>
            <w:noWrap/>
          </w:tcPr>
          <w:p w:rsidRPr="00704454" w:rsidR="00836AF5" w:rsidP="00836AF5" w:rsidRDefault="00836AF5" w14:paraId="1932F3A7"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Arbeidsmarkt-effecten</w:t>
            </w:r>
          </w:p>
        </w:tc>
        <w:tc>
          <w:tcPr>
            <w:tcW w:w="8080" w:type="dxa"/>
            <w:tcBorders>
              <w:top w:val="single" w:color="auto" w:sz="4" w:space="0"/>
              <w:left w:val="single" w:color="auto" w:sz="4" w:space="0"/>
              <w:bottom w:val="single" w:color="auto" w:sz="8" w:space="0"/>
              <w:right w:val="single" w:color="auto" w:sz="4" w:space="0"/>
            </w:tcBorders>
            <w:shd w:val="clear" w:color="auto" w:fill="auto"/>
            <w:noWrap/>
          </w:tcPr>
          <w:p w:rsidRPr="00FD1605" w:rsidR="00836AF5" w:rsidP="0076138F" w:rsidRDefault="006106C8" w14:paraId="52B9FAC6" w14:textId="61D7D6EB">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Gesteld kan</w:t>
            </w:r>
            <w:r w:rsidRPr="00FD1605" w:rsidR="0076138F">
              <w:rPr>
                <w:rFonts w:eastAsia="Times New Roman" w:cs="Calibri"/>
                <w:color w:val="000000"/>
                <w:szCs w:val="18"/>
                <w:lang w:val="nl-NL" w:eastAsia="nl-NL"/>
              </w:rPr>
              <w:t xml:space="preserve"> </w:t>
            </w:r>
            <w:r w:rsidRPr="00FD1605">
              <w:rPr>
                <w:rFonts w:eastAsia="Times New Roman" w:cs="Calibri"/>
                <w:color w:val="000000"/>
                <w:szCs w:val="18"/>
                <w:lang w:val="nl-NL" w:eastAsia="nl-NL"/>
              </w:rPr>
              <w:t>w</w:t>
            </w:r>
            <w:r w:rsidRPr="00FD1605" w:rsidR="0076138F">
              <w:rPr>
                <w:rFonts w:eastAsia="Times New Roman" w:cs="Calibri"/>
                <w:color w:val="000000"/>
                <w:szCs w:val="18"/>
                <w:lang w:val="nl-NL" w:eastAsia="nl-NL"/>
              </w:rPr>
              <w:t>orden dat</w:t>
            </w:r>
            <w:r w:rsidRPr="00FD1605">
              <w:rPr>
                <w:rFonts w:eastAsia="Times New Roman" w:cs="Calibri"/>
                <w:color w:val="000000"/>
                <w:szCs w:val="18"/>
                <w:lang w:val="nl-NL" w:eastAsia="nl-NL"/>
              </w:rPr>
              <w:t xml:space="preserve"> de</w:t>
            </w:r>
            <w:r w:rsidRPr="00FD1605" w:rsidR="0076138F">
              <w:rPr>
                <w:rFonts w:eastAsia="Times New Roman" w:cs="Calibri"/>
                <w:color w:val="000000"/>
                <w:szCs w:val="18"/>
                <w:lang w:val="nl-NL" w:eastAsia="nl-NL"/>
              </w:rPr>
              <w:t xml:space="preserve"> financiële onzekerheid door een lagere inkomstenbron kan </w:t>
            </w:r>
            <w:r w:rsidRPr="00FD1605">
              <w:rPr>
                <w:rFonts w:eastAsia="Times New Roman" w:cs="Calibri"/>
                <w:color w:val="000000"/>
                <w:szCs w:val="18"/>
                <w:lang w:val="nl-NL" w:eastAsia="nl-NL"/>
              </w:rPr>
              <w:t>leiden tot</w:t>
            </w:r>
            <w:r w:rsidRPr="00FD1605" w:rsidR="0076138F">
              <w:rPr>
                <w:rFonts w:eastAsia="Times New Roman" w:cs="Calibri"/>
                <w:color w:val="000000"/>
                <w:szCs w:val="18"/>
                <w:lang w:val="nl-NL" w:eastAsia="nl-NL"/>
              </w:rPr>
              <w:t xml:space="preserve"> onrust en stress</w:t>
            </w:r>
            <w:r w:rsidR="002938C5">
              <w:rPr>
                <w:rFonts w:eastAsia="Times New Roman" w:cs="Calibri"/>
                <w:color w:val="000000"/>
                <w:szCs w:val="18"/>
                <w:lang w:val="nl-NL" w:eastAsia="nl-NL"/>
              </w:rPr>
              <w:t>. Dat kan de stap naar werk bemoeilijken.</w:t>
            </w:r>
            <w:r w:rsidRPr="00FD1605" w:rsidR="0076138F">
              <w:rPr>
                <w:rFonts w:eastAsia="Times New Roman" w:cs="Calibri"/>
                <w:color w:val="000000"/>
                <w:szCs w:val="18"/>
                <w:lang w:val="nl-NL" w:eastAsia="nl-NL"/>
              </w:rPr>
              <w:t xml:space="preserve"> </w:t>
            </w:r>
            <w:r w:rsidRPr="00FD1605">
              <w:rPr>
                <w:rFonts w:eastAsia="Times New Roman" w:cs="Calibri"/>
                <w:color w:val="000000"/>
                <w:szCs w:val="18"/>
                <w:lang w:val="nl-NL" w:eastAsia="nl-NL"/>
              </w:rPr>
              <w:t>Daarentegen kan overwogen worden dat mensen van tevoren beter in kunnen schatten waar ze recht op hebben, als zij te maken hebben met zo min mogelijk regelingen. Dit zou de stap naar (meer) werk kunnen stimuleren.</w:t>
            </w:r>
            <w:r w:rsidRPr="00FD1605" w:rsidR="0076138F">
              <w:rPr>
                <w:rFonts w:eastAsia="Times New Roman" w:cs="Calibri"/>
                <w:color w:val="000000"/>
                <w:szCs w:val="18"/>
                <w:lang w:val="nl-NL" w:eastAsia="nl-NL"/>
              </w:rPr>
              <w:t xml:space="preserve"> </w:t>
            </w:r>
            <w:r w:rsidR="002938C5">
              <w:rPr>
                <w:rFonts w:eastAsia="Times New Roman" w:cs="Calibri"/>
                <w:color w:val="000000"/>
                <w:szCs w:val="18"/>
                <w:lang w:val="nl-NL" w:eastAsia="nl-NL"/>
              </w:rPr>
              <w:t xml:space="preserve">Tegelijkertijd krijgen mensen wel te maken met een regeling (de bijstand) die meer en ingewikkeldere voorwaarden kent dan de TW en in veel gevallen met een extra instantie (de gemeente) waarvan inkomen wordt ontvangen wat mogelijk ten kosten gaat van de voorspelbaarheid en zekerheid van het inkomen, met name bij veranderingen in de persoonlijke situatie. </w:t>
            </w:r>
            <w:r w:rsidRPr="006122F2" w:rsidR="002938C5">
              <w:rPr>
                <w:rFonts w:eastAsia="Times New Roman" w:cs="Calibri"/>
                <w:color w:val="000000"/>
                <w:szCs w:val="18"/>
                <w:lang w:val="nl-NL" w:eastAsia="nl-NL"/>
              </w:rPr>
              <w:t xml:space="preserve"> </w:t>
            </w:r>
          </w:p>
        </w:tc>
      </w:tr>
      <w:tr w:rsidRPr="00EB3835" w:rsidR="00836AF5" w:rsidTr="00903A94" w14:paraId="2E97F936" w14:textId="77777777">
        <w:trPr>
          <w:trHeight w:val="315"/>
        </w:trPr>
        <w:tc>
          <w:tcPr>
            <w:tcW w:w="2005" w:type="dxa"/>
            <w:tcBorders>
              <w:top w:val="nil"/>
              <w:left w:val="single" w:color="auto" w:sz="8" w:space="0"/>
              <w:bottom w:val="single" w:color="auto" w:sz="8" w:space="0"/>
              <w:right w:val="nil"/>
            </w:tcBorders>
            <w:shd w:val="clear" w:color="auto" w:fill="auto"/>
            <w:noWrap/>
          </w:tcPr>
          <w:p w:rsidRPr="00704454" w:rsidR="00836AF5" w:rsidP="00836AF5" w:rsidRDefault="00836AF5" w14:paraId="12F19B39"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Overige relevante aspecten</w:t>
            </w:r>
          </w:p>
        </w:tc>
        <w:tc>
          <w:tcPr>
            <w:tcW w:w="8080" w:type="dxa"/>
            <w:tcBorders>
              <w:top w:val="single" w:color="auto" w:sz="4" w:space="0"/>
              <w:left w:val="single" w:color="auto" w:sz="4" w:space="0"/>
              <w:bottom w:val="single" w:color="auto" w:sz="8" w:space="0"/>
              <w:right w:val="single" w:color="auto" w:sz="4" w:space="0"/>
            </w:tcBorders>
            <w:shd w:val="clear" w:color="auto" w:fill="auto"/>
            <w:noWrap/>
          </w:tcPr>
          <w:p w:rsidRPr="00FD1605" w:rsidR="00836AF5" w:rsidP="00836AF5" w:rsidRDefault="00836AF5" w14:paraId="7C5D9E89" w14:textId="6DCDA30C">
            <w:pPr>
              <w:spacing w:after="0" w:line="240" w:lineRule="auto"/>
              <w:rPr>
                <w:rFonts w:eastAsia="Times New Roman"/>
                <w:szCs w:val="18"/>
                <w:lang w:val="nl-NL"/>
              </w:rPr>
            </w:pPr>
            <w:r w:rsidRPr="00FD1605">
              <w:rPr>
                <w:rFonts w:eastAsia="Times New Roman"/>
                <w:szCs w:val="18"/>
                <w:lang w:val="nl-NL"/>
              </w:rPr>
              <w:t>In het geval dat uitkeringsgerechtigden een uitkering ontvangen van UWV en een aanvulling vanuit de Participatiewet ontvangen, hoeft er vanuit gemeente</w:t>
            </w:r>
            <w:r w:rsidRPr="00FD1605" w:rsidR="001B4BDD">
              <w:rPr>
                <w:rFonts w:eastAsia="Times New Roman"/>
                <w:szCs w:val="18"/>
                <w:lang w:val="nl-NL"/>
              </w:rPr>
              <w:t>n</w:t>
            </w:r>
            <w:r w:rsidRPr="00FD1605">
              <w:rPr>
                <w:rFonts w:eastAsia="Times New Roman"/>
                <w:szCs w:val="18"/>
                <w:lang w:val="nl-NL"/>
              </w:rPr>
              <w:t xml:space="preserve"> geen dienstverlening en controle op re-integratie te worden verleend. Die dienstverlening ontvangen zij al vanuit UWV. Hier moet aandacht aan worden besteed bij de beleidsvoorbereiding.</w:t>
            </w:r>
          </w:p>
        </w:tc>
      </w:tr>
    </w:tbl>
    <w:p w:rsidRPr="00FD1605" w:rsidR="00836AF5" w:rsidRDefault="00836AF5" w14:paraId="4971A080" w14:textId="77777777">
      <w:pPr>
        <w:rPr>
          <w:lang w:val="nl-NL"/>
        </w:rPr>
      </w:pPr>
    </w:p>
    <w:p w:rsidRPr="00FD1605" w:rsidR="00836AF5" w:rsidRDefault="00836AF5" w14:paraId="2F6A53C1" w14:textId="1D1BCF0F">
      <w:pPr>
        <w:rPr>
          <w:lang w:val="nl-NL"/>
        </w:rPr>
      </w:pPr>
      <w:r w:rsidRPr="00FD1605">
        <w:rPr>
          <w:lang w:val="nl-NL"/>
        </w:rPr>
        <w:br w:type="page"/>
      </w:r>
    </w:p>
    <w:tbl>
      <w:tblPr>
        <w:tblW w:w="10349" w:type="dxa"/>
        <w:tblInd w:w="-436" w:type="dxa"/>
        <w:tblCellMar>
          <w:left w:w="70" w:type="dxa"/>
          <w:right w:w="70" w:type="dxa"/>
        </w:tblCellMar>
        <w:tblLook w:val="04A0" w:firstRow="1" w:lastRow="0" w:firstColumn="1" w:lastColumn="0" w:noHBand="0" w:noVBand="1"/>
      </w:tblPr>
      <w:tblGrid>
        <w:gridCol w:w="1951"/>
        <w:gridCol w:w="8398"/>
      </w:tblGrid>
      <w:tr w:rsidRPr="00EB3835" w:rsidR="005E4A03" w:rsidTr="009C048F" w14:paraId="3648B5D3" w14:textId="77777777">
        <w:trPr>
          <w:trHeight w:val="451"/>
        </w:trPr>
        <w:tc>
          <w:tcPr>
            <w:tcW w:w="1951" w:type="dxa"/>
            <w:tcBorders>
              <w:top w:val="single" w:color="auto" w:sz="8" w:space="0"/>
              <w:left w:val="single" w:color="auto" w:sz="8" w:space="0"/>
              <w:bottom w:val="single" w:color="auto" w:sz="4" w:space="0"/>
              <w:right w:val="nil"/>
            </w:tcBorders>
            <w:noWrap/>
            <w:hideMark/>
          </w:tcPr>
          <w:p w:rsidRPr="00FD1605" w:rsidR="008F724C" w:rsidP="00BF4FBB" w:rsidRDefault="008F724C" w14:paraId="7AD301CD" w14:textId="77777777">
            <w:pPr>
              <w:spacing w:after="0" w:line="240" w:lineRule="auto"/>
              <w:rPr>
                <w:rFonts w:eastAsia="Times New Roman" w:cs="Calibri"/>
                <w:b/>
                <w:bCs/>
                <w:color w:val="000000"/>
                <w:szCs w:val="18"/>
                <w:lang w:val="nl-NL" w:eastAsia="nl-NL"/>
              </w:rPr>
            </w:pPr>
          </w:p>
          <w:p w:rsidRPr="00FD1605" w:rsidR="008F724C" w:rsidP="00BF4FBB" w:rsidRDefault="008F724C" w14:paraId="1992361D" w14:textId="77777777">
            <w:pPr>
              <w:spacing w:after="0" w:line="240" w:lineRule="auto"/>
              <w:rPr>
                <w:rFonts w:eastAsia="Times New Roman" w:cs="Calibri"/>
                <w:b/>
                <w:bCs/>
                <w:color w:val="000000"/>
                <w:szCs w:val="18"/>
                <w:lang w:val="nl-NL" w:eastAsia="nl-NL"/>
              </w:rPr>
            </w:pPr>
          </w:p>
          <w:p w:rsidRPr="00704454" w:rsidR="005E4A03" w:rsidP="00BF4FBB" w:rsidRDefault="005E4A03" w14:paraId="4CD54A53" w14:textId="0AAC930E">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Maatregel</w:t>
            </w:r>
          </w:p>
        </w:tc>
        <w:tc>
          <w:tcPr>
            <w:tcW w:w="8398" w:type="dxa"/>
            <w:tcBorders>
              <w:top w:val="single" w:color="auto" w:sz="8" w:space="0"/>
              <w:left w:val="single" w:color="auto" w:sz="4" w:space="0"/>
              <w:bottom w:val="single" w:color="auto" w:sz="4" w:space="0"/>
              <w:right w:val="single" w:color="auto" w:sz="4" w:space="0"/>
            </w:tcBorders>
            <w:noWrap/>
            <w:hideMark/>
          </w:tcPr>
          <w:p w:rsidRPr="00FD1605" w:rsidR="005E4A03" w:rsidP="008F724C" w:rsidRDefault="009F6BA4" w14:paraId="2D913270" w14:textId="5138FD22">
            <w:pPr>
              <w:pStyle w:val="Kop1"/>
              <w:rPr>
                <w:rFonts w:ascii="Verdana" w:hAnsi="Verdana" w:eastAsia="Times New Roman" w:cs="Calibri"/>
                <w:b/>
                <w:bCs/>
                <w:color w:val="000000"/>
                <w:sz w:val="18"/>
                <w:szCs w:val="18"/>
                <w:lang w:val="nl-NL" w:eastAsia="nl-NL"/>
              </w:rPr>
            </w:pPr>
            <w:bookmarkStart w:name="_Toc223522238" w:id="17"/>
            <w:r>
              <w:rPr>
                <w:rFonts w:ascii="Verdana" w:hAnsi="Verdana" w:eastAsia="Times New Roman"/>
                <w:b/>
                <w:bCs/>
                <w:color w:val="auto"/>
                <w:sz w:val="18"/>
                <w:szCs w:val="18"/>
                <w:lang w:val="nl-NL" w:eastAsia="nl-NL"/>
              </w:rPr>
              <w:t>C</w:t>
            </w:r>
            <w:r w:rsidRPr="00FD1605" w:rsidR="005E4A03">
              <w:rPr>
                <w:rFonts w:ascii="Verdana" w:hAnsi="Verdana" w:eastAsia="Times New Roman"/>
                <w:b/>
                <w:bCs/>
                <w:color w:val="auto"/>
                <w:sz w:val="18"/>
                <w:szCs w:val="18"/>
                <w:lang w:val="nl-NL" w:eastAsia="nl-NL"/>
              </w:rPr>
              <w:t>.</w:t>
            </w:r>
            <w:r w:rsidRPr="00FD1605" w:rsidR="008F724C">
              <w:rPr>
                <w:rFonts w:ascii="Verdana" w:hAnsi="Verdana" w:eastAsia="Times New Roman"/>
                <w:b/>
                <w:bCs/>
                <w:color w:val="auto"/>
                <w:sz w:val="18"/>
                <w:szCs w:val="18"/>
                <w:lang w:val="nl-NL" w:eastAsia="nl-NL"/>
              </w:rPr>
              <w:t>4</w:t>
            </w:r>
            <w:r w:rsidRPr="00FD1605" w:rsidR="005E4A03">
              <w:rPr>
                <w:rFonts w:ascii="Verdana" w:hAnsi="Verdana" w:eastAsia="Times New Roman"/>
                <w:b/>
                <w:bCs/>
                <w:color w:val="auto"/>
                <w:sz w:val="18"/>
                <w:szCs w:val="18"/>
                <w:lang w:val="nl-NL" w:eastAsia="nl-NL"/>
              </w:rPr>
              <w:t xml:space="preserve"> </w:t>
            </w:r>
            <w:r w:rsidR="0077634A">
              <w:rPr>
                <w:rFonts w:ascii="Verdana" w:hAnsi="Verdana" w:eastAsia="Times New Roman"/>
                <w:b/>
                <w:bCs/>
                <w:color w:val="auto"/>
                <w:sz w:val="18"/>
                <w:szCs w:val="18"/>
                <w:lang w:val="nl-NL" w:eastAsia="nl-NL"/>
              </w:rPr>
              <w:t>TW afschaffen</w:t>
            </w:r>
            <w:r w:rsidRPr="00FD1605" w:rsidR="005E4A03">
              <w:rPr>
                <w:rFonts w:ascii="Verdana" w:hAnsi="Verdana" w:eastAsia="Times New Roman"/>
                <w:b/>
                <w:bCs/>
                <w:color w:val="auto"/>
                <w:sz w:val="18"/>
                <w:szCs w:val="18"/>
                <w:lang w:val="nl-NL" w:eastAsia="nl-NL"/>
              </w:rPr>
              <w:t xml:space="preserve"> voor Wajonggerechtigden</w:t>
            </w:r>
            <w:r w:rsidR="00E95AC4">
              <w:rPr>
                <w:rFonts w:ascii="Verdana" w:hAnsi="Verdana" w:eastAsia="Times New Roman"/>
                <w:b/>
                <w:bCs/>
                <w:color w:val="auto"/>
                <w:sz w:val="18"/>
                <w:szCs w:val="18"/>
                <w:lang w:val="nl-NL" w:eastAsia="nl-NL"/>
              </w:rPr>
              <w:t xml:space="preserve"> en/of verhogen van de Wajonguitkering</w:t>
            </w:r>
            <w:bookmarkEnd w:id="17"/>
          </w:p>
        </w:tc>
      </w:tr>
      <w:tr w:rsidRPr="00EB3835" w:rsidR="005E4A03" w:rsidTr="009C048F" w14:paraId="48899F32" w14:textId="77777777">
        <w:trPr>
          <w:trHeight w:val="315"/>
        </w:trPr>
        <w:tc>
          <w:tcPr>
            <w:tcW w:w="1951" w:type="dxa"/>
            <w:tcBorders>
              <w:top w:val="nil"/>
              <w:left w:val="single" w:color="auto" w:sz="8" w:space="0"/>
              <w:bottom w:val="single" w:color="auto" w:sz="8" w:space="0"/>
              <w:right w:val="nil"/>
            </w:tcBorders>
            <w:noWrap/>
          </w:tcPr>
          <w:p w:rsidRPr="00704454" w:rsidR="005E4A03" w:rsidP="00BF4FBB" w:rsidRDefault="005E4A03" w14:paraId="600EB11B"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Korte uitleg maatregel</w:t>
            </w:r>
          </w:p>
        </w:tc>
        <w:tc>
          <w:tcPr>
            <w:tcW w:w="8398" w:type="dxa"/>
            <w:tcBorders>
              <w:top w:val="single" w:color="auto" w:sz="4" w:space="0"/>
              <w:left w:val="single" w:color="auto" w:sz="4" w:space="0"/>
              <w:bottom w:val="single" w:color="auto" w:sz="8" w:space="0"/>
              <w:right w:val="single" w:color="auto" w:sz="4" w:space="0"/>
            </w:tcBorders>
            <w:noWrap/>
          </w:tcPr>
          <w:p w:rsidRPr="00FD1605" w:rsidR="005E4A03" w:rsidP="00BF4FBB" w:rsidRDefault="005E4A03" w14:paraId="2EAD4156" w14:textId="54534D71">
            <w:pPr>
              <w:spacing w:after="0" w:line="240" w:lineRule="auto"/>
              <w:rPr>
                <w:rFonts w:eastAsia="Verdana" w:cs="Verdana"/>
                <w:color w:val="000000"/>
                <w:szCs w:val="18"/>
                <w:lang w:val="nl-NL" w:eastAsia="nl-NL"/>
              </w:rPr>
            </w:pPr>
            <w:r w:rsidRPr="00FD1605">
              <w:rPr>
                <w:rFonts w:eastAsia="Times New Roman" w:cs="Calibri"/>
                <w:color w:val="000000"/>
                <w:szCs w:val="18"/>
                <w:lang w:val="nl-NL" w:eastAsia="nl-NL"/>
              </w:rPr>
              <w:t>De Toesla</w:t>
            </w:r>
            <w:r w:rsidRPr="00FD1605">
              <w:rPr>
                <w:rFonts w:eastAsia="Verdana" w:cs="Verdana"/>
                <w:color w:val="000000"/>
                <w:szCs w:val="18"/>
                <w:lang w:val="nl-NL" w:eastAsia="nl-NL"/>
              </w:rPr>
              <w:t xml:space="preserve">genwet </w:t>
            </w:r>
            <w:r w:rsidR="00B20AFF">
              <w:rPr>
                <w:rFonts w:eastAsia="Verdana" w:cs="Verdana"/>
                <w:color w:val="000000"/>
                <w:szCs w:val="18"/>
                <w:lang w:val="nl-NL" w:eastAsia="nl-NL"/>
              </w:rPr>
              <w:t xml:space="preserve">(TW) </w:t>
            </w:r>
            <w:r w:rsidRPr="00FD1605">
              <w:rPr>
                <w:rFonts w:eastAsia="Verdana" w:cs="Verdana"/>
                <w:color w:val="000000"/>
                <w:szCs w:val="18"/>
                <w:lang w:val="nl-NL" w:eastAsia="nl-NL"/>
              </w:rPr>
              <w:t>vult een UWV-uitkering (zoals WIA, WAO, Wajong, WW, IOW of ZW) onder voorwaarden aan tot maximaal het bruto sociaal minimum</w:t>
            </w:r>
            <w:r w:rsidRPr="00704454">
              <w:rPr>
                <w:rStyle w:val="Voetnootmarkering"/>
                <w:rFonts w:eastAsia="Verdana" w:cs="Verdana"/>
                <w:color w:val="000000"/>
                <w:szCs w:val="18"/>
                <w:lang w:val="nl-NL" w:eastAsia="nl-NL"/>
              </w:rPr>
              <w:footnoteReference w:id="13"/>
            </w:r>
            <w:r w:rsidRPr="00FD1605">
              <w:rPr>
                <w:rFonts w:eastAsia="Verdana" w:cs="Verdana"/>
                <w:color w:val="000000"/>
                <w:szCs w:val="18"/>
                <w:lang w:val="nl-NL" w:eastAsia="nl-NL"/>
              </w:rPr>
              <w:t xml:space="preserve">. </w:t>
            </w:r>
            <w:r w:rsidR="00F1596A">
              <w:rPr>
                <w:rFonts w:eastAsia="Verdana" w:cs="Verdana"/>
                <w:color w:val="000000"/>
                <w:szCs w:val="18"/>
                <w:lang w:val="nl-NL" w:eastAsia="nl-NL"/>
              </w:rPr>
              <w:t xml:space="preserve">De </w:t>
            </w:r>
            <w:r w:rsidRPr="00FD1605">
              <w:rPr>
                <w:rFonts w:eastAsia="Verdana" w:cs="Verdana"/>
                <w:color w:val="000000"/>
                <w:szCs w:val="18"/>
                <w:lang w:val="nl-NL" w:eastAsia="nl-NL"/>
              </w:rPr>
              <w:t>alleenstaanden</w:t>
            </w:r>
            <w:r w:rsidR="00F1596A">
              <w:rPr>
                <w:rFonts w:eastAsia="Verdana" w:cs="Verdana"/>
                <w:color w:val="000000"/>
                <w:szCs w:val="18"/>
                <w:lang w:val="nl-NL" w:eastAsia="nl-NL"/>
              </w:rPr>
              <w:t>norm</w:t>
            </w:r>
            <w:r w:rsidRPr="00FD1605">
              <w:rPr>
                <w:rFonts w:eastAsia="Verdana" w:cs="Verdana"/>
                <w:color w:val="000000"/>
                <w:szCs w:val="18"/>
                <w:lang w:val="nl-NL" w:eastAsia="nl-NL"/>
              </w:rPr>
              <w:t xml:space="preserve"> in de Toeslagenwet is </w:t>
            </w:r>
            <w:r w:rsidR="00F1596A">
              <w:rPr>
                <w:rFonts w:eastAsia="Verdana" w:cs="Verdana"/>
                <w:color w:val="000000"/>
                <w:szCs w:val="18"/>
                <w:lang w:val="nl-NL" w:eastAsia="nl-NL"/>
              </w:rPr>
              <w:t xml:space="preserve">momenteel </w:t>
            </w:r>
            <w:r w:rsidR="00E95AC4">
              <w:rPr>
                <w:rFonts w:eastAsia="Verdana" w:cs="Verdana"/>
                <w:color w:val="000000"/>
                <w:szCs w:val="18"/>
                <w:lang w:val="nl-NL" w:eastAsia="nl-NL"/>
              </w:rPr>
              <w:t xml:space="preserve">iets </w:t>
            </w:r>
            <w:r w:rsidRPr="00FD1605">
              <w:rPr>
                <w:rFonts w:eastAsia="Verdana" w:cs="Verdana"/>
                <w:color w:val="000000"/>
                <w:szCs w:val="18"/>
                <w:lang w:val="nl-NL" w:eastAsia="nl-NL"/>
              </w:rPr>
              <w:t xml:space="preserve">hoger dan 70% van het wettelijk minimumloon (WML). Hierdoor hebben alleenstaande Wajonggerechtigden zonder ander inkomen recht op een </w:t>
            </w:r>
            <w:r w:rsidR="0064598A">
              <w:rPr>
                <w:rFonts w:eastAsia="Verdana" w:cs="Verdana"/>
                <w:color w:val="000000"/>
                <w:szCs w:val="18"/>
                <w:lang w:val="nl-NL" w:eastAsia="nl-NL"/>
              </w:rPr>
              <w:t xml:space="preserve">kleine </w:t>
            </w:r>
            <w:r w:rsidRPr="00FD1605">
              <w:rPr>
                <w:rFonts w:eastAsia="Verdana" w:cs="Verdana"/>
                <w:color w:val="000000"/>
                <w:szCs w:val="18"/>
                <w:lang w:val="nl-NL" w:eastAsia="nl-NL"/>
              </w:rPr>
              <w:t>toeslag</w:t>
            </w:r>
            <w:r w:rsidR="00B067D0">
              <w:rPr>
                <w:rFonts w:eastAsia="Verdana" w:cs="Verdana"/>
                <w:color w:val="000000"/>
                <w:szCs w:val="18"/>
                <w:lang w:val="nl-NL" w:eastAsia="nl-NL"/>
              </w:rPr>
              <w:t xml:space="preserve"> (momenteel ca. 30 euro bruto per maand)</w:t>
            </w:r>
            <w:r w:rsidRPr="00FD1605">
              <w:rPr>
                <w:rFonts w:eastAsia="Verdana" w:cs="Verdana"/>
                <w:color w:val="000000"/>
                <w:szCs w:val="18"/>
                <w:lang w:val="nl-NL" w:eastAsia="nl-NL"/>
              </w:rPr>
              <w:t xml:space="preserve">. Door de afbouw van de dubbele heffingskorting in </w:t>
            </w:r>
            <w:r w:rsidR="00F1596A">
              <w:rPr>
                <w:rFonts w:eastAsia="Verdana" w:cs="Verdana"/>
                <w:color w:val="000000"/>
                <w:szCs w:val="18"/>
                <w:lang w:val="nl-NL" w:eastAsia="nl-NL"/>
              </w:rPr>
              <w:t xml:space="preserve">het referentieminimumloon voor </w:t>
            </w:r>
            <w:r w:rsidRPr="00FD1605">
              <w:rPr>
                <w:rFonts w:eastAsia="Verdana" w:cs="Verdana"/>
                <w:color w:val="000000"/>
                <w:szCs w:val="18"/>
                <w:lang w:val="nl-NL" w:eastAsia="nl-NL"/>
              </w:rPr>
              <w:t>de bijstand wordt het verschil tussen</w:t>
            </w:r>
            <w:r w:rsidR="00B20AFF">
              <w:rPr>
                <w:rFonts w:eastAsia="Verdana" w:cs="Verdana"/>
                <w:color w:val="000000"/>
                <w:szCs w:val="18"/>
                <w:lang w:val="nl-NL" w:eastAsia="nl-NL"/>
              </w:rPr>
              <w:t xml:space="preserve"> de hoogte van de Wajonguitkering en de alleenstaandennorm in de TW</w:t>
            </w:r>
            <w:r w:rsidRPr="00FD1605">
              <w:rPr>
                <w:rFonts w:eastAsia="Verdana" w:cs="Verdana"/>
                <w:color w:val="000000"/>
                <w:szCs w:val="18"/>
                <w:lang w:val="nl-NL" w:eastAsia="nl-NL"/>
              </w:rPr>
              <w:t xml:space="preserve"> de komende jaren kleiner, totdat er per 1 januari 203</w:t>
            </w:r>
            <w:r w:rsidRPr="00FD1605" w:rsidR="00D42B02">
              <w:rPr>
                <w:rFonts w:eastAsia="Verdana" w:cs="Verdana"/>
                <w:color w:val="000000"/>
                <w:szCs w:val="18"/>
                <w:lang w:val="nl-NL" w:eastAsia="nl-NL"/>
              </w:rPr>
              <w:t>9</w:t>
            </w:r>
            <w:r w:rsidRPr="00FD1605">
              <w:rPr>
                <w:rFonts w:eastAsia="Verdana" w:cs="Verdana"/>
                <w:color w:val="000000"/>
                <w:szCs w:val="18"/>
                <w:lang w:val="nl-NL" w:eastAsia="nl-NL"/>
              </w:rPr>
              <w:t xml:space="preserve"> geen verschil meer zit tussen de hoogte van de Wajonguitkering met arbeidsvermogen en </w:t>
            </w:r>
            <w:r w:rsidR="00F1596A">
              <w:rPr>
                <w:rFonts w:eastAsia="Verdana" w:cs="Verdana"/>
                <w:color w:val="000000"/>
                <w:szCs w:val="18"/>
                <w:lang w:val="nl-NL" w:eastAsia="nl-NL"/>
              </w:rPr>
              <w:t>de</w:t>
            </w:r>
            <w:r w:rsidRPr="00FD1605">
              <w:rPr>
                <w:rFonts w:eastAsia="Verdana" w:cs="Verdana"/>
                <w:color w:val="000000"/>
                <w:szCs w:val="18"/>
                <w:lang w:val="nl-NL" w:eastAsia="nl-NL"/>
              </w:rPr>
              <w:t xml:space="preserve"> alleenstaande</w:t>
            </w:r>
            <w:r w:rsidR="00F1596A">
              <w:rPr>
                <w:rFonts w:eastAsia="Verdana" w:cs="Verdana"/>
                <w:color w:val="000000"/>
                <w:szCs w:val="18"/>
                <w:lang w:val="nl-NL" w:eastAsia="nl-NL"/>
              </w:rPr>
              <w:t>nnorm</w:t>
            </w:r>
            <w:r w:rsidRPr="00FD1605">
              <w:rPr>
                <w:rFonts w:eastAsia="Verdana" w:cs="Verdana"/>
                <w:color w:val="000000"/>
                <w:szCs w:val="18"/>
                <w:lang w:val="nl-NL" w:eastAsia="nl-NL"/>
              </w:rPr>
              <w:t xml:space="preserve"> in de Toeslagenwet. </w:t>
            </w:r>
            <w:r w:rsidR="00B20AFF">
              <w:rPr>
                <w:rFonts w:eastAsia="Verdana" w:cs="Verdana"/>
                <w:color w:val="000000"/>
                <w:szCs w:val="18"/>
                <w:lang w:val="nl-NL" w:eastAsia="nl-NL"/>
              </w:rPr>
              <w:t>Alleenstaande Wajonggerechtigden hebben vanaf dat moment geen recht meer op een aanvulling. Tot die tijd kan er afhankelijk van iemands situatie wel recht zijn op een toeslag</w:t>
            </w:r>
            <w:r w:rsidR="00E26DB2">
              <w:rPr>
                <w:rFonts w:eastAsia="Verdana" w:cs="Verdana"/>
                <w:color w:val="000000"/>
                <w:szCs w:val="18"/>
                <w:lang w:val="nl-NL" w:eastAsia="nl-NL"/>
              </w:rPr>
              <w:t>, die apart moet worden aangevraagd</w:t>
            </w:r>
            <w:r w:rsidR="00B20AFF">
              <w:rPr>
                <w:rFonts w:eastAsia="Verdana" w:cs="Verdana"/>
                <w:color w:val="000000"/>
                <w:szCs w:val="18"/>
                <w:lang w:val="nl-NL" w:eastAsia="nl-NL"/>
              </w:rPr>
              <w:t xml:space="preserve">. </w:t>
            </w:r>
            <w:r w:rsidR="00E26DB2">
              <w:rPr>
                <w:rFonts w:eastAsia="Verdana" w:cs="Verdana"/>
                <w:color w:val="000000"/>
                <w:szCs w:val="18"/>
                <w:lang w:val="nl-NL" w:eastAsia="nl-NL"/>
              </w:rPr>
              <w:t>H</w:t>
            </w:r>
            <w:r w:rsidR="00B067D0">
              <w:rPr>
                <w:rFonts w:eastAsia="Verdana" w:cs="Verdana"/>
                <w:color w:val="000000"/>
                <w:szCs w:val="18"/>
                <w:lang w:val="nl-NL" w:eastAsia="nl-NL"/>
              </w:rPr>
              <w:t>et</w:t>
            </w:r>
            <w:r w:rsidR="00B20AFF">
              <w:rPr>
                <w:rFonts w:eastAsia="Verdana" w:cs="Verdana"/>
                <w:color w:val="000000"/>
                <w:szCs w:val="18"/>
                <w:lang w:val="nl-NL" w:eastAsia="nl-NL"/>
              </w:rPr>
              <w:t xml:space="preserve"> niet-gebruik</w:t>
            </w:r>
            <w:r w:rsidR="00B067D0">
              <w:rPr>
                <w:rFonts w:eastAsia="Verdana" w:cs="Verdana"/>
                <w:color w:val="000000"/>
                <w:szCs w:val="18"/>
                <w:lang w:val="nl-NL" w:eastAsia="nl-NL"/>
              </w:rPr>
              <w:t xml:space="preserve"> ervan </w:t>
            </w:r>
            <w:r w:rsidR="00E26DB2">
              <w:rPr>
                <w:rFonts w:eastAsia="Verdana" w:cs="Verdana"/>
                <w:color w:val="000000"/>
                <w:szCs w:val="18"/>
                <w:lang w:val="nl-NL" w:eastAsia="nl-NL"/>
              </w:rPr>
              <w:t xml:space="preserve">is </w:t>
            </w:r>
            <w:r w:rsidR="00B067D0">
              <w:rPr>
                <w:rFonts w:eastAsia="Verdana" w:cs="Verdana"/>
                <w:color w:val="000000"/>
                <w:szCs w:val="18"/>
                <w:lang w:val="nl-NL" w:eastAsia="nl-NL"/>
              </w:rPr>
              <w:t xml:space="preserve">vermoedelijk </w:t>
            </w:r>
            <w:r w:rsidRPr="00B344E0" w:rsidR="00B067D0">
              <w:rPr>
                <w:rFonts w:eastAsia="Verdana" w:cs="Verdana"/>
                <w:color w:val="000000"/>
                <w:szCs w:val="18"/>
                <w:lang w:val="nl-NL" w:eastAsia="nl-NL"/>
              </w:rPr>
              <w:t>substantieel</w:t>
            </w:r>
            <w:r w:rsidRPr="00B344E0" w:rsidR="00B20AFF">
              <w:rPr>
                <w:rFonts w:eastAsia="Verdana" w:cs="Verdana"/>
                <w:color w:val="000000"/>
                <w:szCs w:val="18"/>
                <w:lang w:val="nl-NL" w:eastAsia="nl-NL"/>
              </w:rPr>
              <w:t>.</w:t>
            </w:r>
            <w:r w:rsidRPr="00B344E0" w:rsidR="00E26DB2">
              <w:rPr>
                <w:rFonts w:eastAsia="Verdana" w:cs="Verdana"/>
                <w:color w:val="000000"/>
                <w:szCs w:val="18"/>
                <w:lang w:val="nl-NL" w:eastAsia="nl-NL"/>
              </w:rPr>
              <w:t xml:space="preserve"> </w:t>
            </w:r>
            <w:r w:rsidRPr="00B344E0" w:rsidR="00890B24">
              <w:rPr>
                <w:rFonts w:eastAsia="Verdana" w:cs="Verdana"/>
                <w:color w:val="000000"/>
                <w:szCs w:val="18"/>
                <w:lang w:val="nl-NL" w:eastAsia="nl-NL"/>
              </w:rPr>
              <w:t>Uit onderzoek van de Nederlandse Arbeidsinspectie blijkt</w:t>
            </w:r>
            <w:r w:rsidRPr="00B344E0" w:rsidR="00E26DB2">
              <w:rPr>
                <w:rFonts w:eastAsia="Verdana" w:cs="Verdana"/>
                <w:color w:val="000000"/>
                <w:szCs w:val="18"/>
                <w:lang w:val="nl-NL" w:eastAsia="nl-NL"/>
              </w:rPr>
              <w:t xml:space="preserve"> dat dit percentage voor de Wajong potentieel 68% onder de mogelijk TW-gerechtigden is.</w:t>
            </w:r>
            <w:r w:rsidRPr="00B344E0" w:rsidR="00B067D0">
              <w:rPr>
                <w:rStyle w:val="Voetnootmarkering"/>
                <w:rFonts w:eastAsia="Verdana" w:cs="Verdana"/>
                <w:szCs w:val="18"/>
                <w:lang w:val="nl-NL"/>
              </w:rPr>
              <w:footnoteReference w:id="14"/>
            </w:r>
            <w:r w:rsidRPr="00B344E0" w:rsidR="000138A1">
              <w:rPr>
                <w:rFonts w:eastAsia="Verdana" w:cs="Verdana"/>
                <w:color w:val="000000"/>
                <w:szCs w:val="18"/>
                <w:lang w:val="nl-NL" w:eastAsia="nl-NL"/>
              </w:rPr>
              <w:t xml:space="preserve"> Voor gehuwde Wajonggerechtigden geldt dat</w:t>
            </w:r>
            <w:r w:rsidRPr="00B344E0" w:rsidR="00890B24">
              <w:rPr>
                <w:rFonts w:eastAsia="Verdana" w:cs="Verdana"/>
                <w:color w:val="000000"/>
                <w:szCs w:val="18"/>
                <w:lang w:val="nl-NL" w:eastAsia="nl-NL"/>
              </w:rPr>
              <w:t xml:space="preserve"> in de huidige situatie</w:t>
            </w:r>
            <w:r w:rsidRPr="00B344E0" w:rsidR="000138A1">
              <w:rPr>
                <w:rFonts w:eastAsia="Verdana" w:cs="Verdana"/>
                <w:color w:val="000000"/>
                <w:szCs w:val="18"/>
                <w:lang w:val="nl-NL" w:eastAsia="nl-NL"/>
              </w:rPr>
              <w:t xml:space="preserve"> de</w:t>
            </w:r>
            <w:r w:rsidR="000138A1">
              <w:rPr>
                <w:rFonts w:eastAsia="Verdana" w:cs="Verdana"/>
                <w:color w:val="000000"/>
                <w:szCs w:val="18"/>
                <w:lang w:val="nl-NL" w:eastAsia="nl-NL"/>
              </w:rPr>
              <w:t xml:space="preserve"> TW-norm lager uitvalt dan het netto sociaal minimum, waardoor zij </w:t>
            </w:r>
            <w:r w:rsidR="00D70D2F">
              <w:rPr>
                <w:rFonts w:eastAsia="Verdana" w:cs="Verdana"/>
                <w:color w:val="000000"/>
                <w:szCs w:val="18"/>
                <w:lang w:val="nl-NL" w:eastAsia="nl-NL"/>
              </w:rPr>
              <w:t>bovenop</w:t>
            </w:r>
            <w:r w:rsidR="000138A1">
              <w:rPr>
                <w:rFonts w:eastAsia="Verdana" w:cs="Verdana"/>
                <w:color w:val="000000"/>
                <w:szCs w:val="18"/>
                <w:lang w:val="nl-NL" w:eastAsia="nl-NL"/>
              </w:rPr>
              <w:t xml:space="preserve"> </w:t>
            </w:r>
            <w:r w:rsidR="00D70D2F">
              <w:rPr>
                <w:rFonts w:eastAsia="Verdana" w:cs="Verdana"/>
                <w:color w:val="000000"/>
                <w:szCs w:val="18"/>
                <w:lang w:val="nl-NL" w:eastAsia="nl-NL"/>
              </w:rPr>
              <w:t xml:space="preserve">hun Wajonguitkering en </w:t>
            </w:r>
            <w:r w:rsidR="000138A1">
              <w:rPr>
                <w:rFonts w:eastAsia="Verdana" w:cs="Verdana"/>
                <w:color w:val="000000"/>
                <w:szCs w:val="18"/>
                <w:lang w:val="nl-NL" w:eastAsia="nl-NL"/>
              </w:rPr>
              <w:t xml:space="preserve">een aanvulling vanuit de Toeslagenwet </w:t>
            </w:r>
            <w:r w:rsidR="00D70D2F">
              <w:rPr>
                <w:rFonts w:eastAsia="Verdana" w:cs="Verdana"/>
                <w:color w:val="000000"/>
                <w:szCs w:val="18"/>
                <w:lang w:val="nl-NL" w:eastAsia="nl-NL"/>
              </w:rPr>
              <w:t xml:space="preserve">recht kunnen hebben op </w:t>
            </w:r>
            <w:r w:rsidR="000138A1">
              <w:rPr>
                <w:rFonts w:eastAsia="Verdana" w:cs="Verdana"/>
                <w:color w:val="000000"/>
                <w:szCs w:val="18"/>
                <w:lang w:val="nl-NL" w:eastAsia="nl-NL"/>
              </w:rPr>
              <w:t xml:space="preserve">een verdere aanvulling tot het sociaal minimum </w:t>
            </w:r>
            <w:r w:rsidR="00D70D2F">
              <w:rPr>
                <w:rFonts w:eastAsia="Verdana" w:cs="Verdana"/>
                <w:color w:val="000000"/>
                <w:szCs w:val="18"/>
                <w:lang w:val="nl-NL" w:eastAsia="nl-NL"/>
              </w:rPr>
              <w:t>vanuit de bijstand</w:t>
            </w:r>
            <w:r w:rsidR="000138A1">
              <w:rPr>
                <w:rFonts w:eastAsia="Verdana" w:cs="Verdana"/>
                <w:color w:val="000000"/>
                <w:szCs w:val="18"/>
                <w:lang w:val="nl-NL" w:eastAsia="nl-NL"/>
              </w:rPr>
              <w:t>.</w:t>
            </w:r>
            <w:r w:rsidR="00D70D2F">
              <w:rPr>
                <w:rFonts w:eastAsia="Verdana" w:cs="Verdana"/>
                <w:color w:val="000000"/>
                <w:szCs w:val="18"/>
                <w:lang w:val="nl-NL" w:eastAsia="nl-NL"/>
              </w:rPr>
              <w:t xml:space="preserve"> Dat vergt </w:t>
            </w:r>
            <w:r w:rsidR="00013FB3">
              <w:rPr>
                <w:rFonts w:eastAsia="Verdana" w:cs="Verdana"/>
                <w:color w:val="000000"/>
                <w:szCs w:val="18"/>
                <w:lang w:val="nl-NL" w:eastAsia="nl-NL"/>
              </w:rPr>
              <w:t>opnieuw</w:t>
            </w:r>
            <w:r w:rsidR="00D70D2F">
              <w:rPr>
                <w:rFonts w:eastAsia="Verdana" w:cs="Verdana"/>
                <w:color w:val="000000"/>
                <w:szCs w:val="18"/>
                <w:lang w:val="nl-NL" w:eastAsia="nl-NL"/>
              </w:rPr>
              <w:t xml:space="preserve"> een aparte aanvraag</w:t>
            </w:r>
            <w:r w:rsidR="00BC692C">
              <w:rPr>
                <w:rFonts w:eastAsia="Verdana" w:cs="Verdana"/>
                <w:color w:val="000000"/>
                <w:szCs w:val="18"/>
                <w:lang w:val="nl-NL" w:eastAsia="nl-NL"/>
              </w:rPr>
              <w:t>,</w:t>
            </w:r>
            <w:r w:rsidR="00D70D2F">
              <w:rPr>
                <w:rFonts w:eastAsia="Verdana" w:cs="Verdana"/>
                <w:color w:val="000000"/>
                <w:szCs w:val="18"/>
                <w:lang w:val="nl-NL" w:eastAsia="nl-NL"/>
              </w:rPr>
              <w:t xml:space="preserve"> bij een ander loket (gemeente)</w:t>
            </w:r>
            <w:r w:rsidR="00BC692C">
              <w:rPr>
                <w:rFonts w:eastAsia="Verdana" w:cs="Verdana"/>
                <w:color w:val="000000"/>
                <w:szCs w:val="18"/>
                <w:lang w:val="nl-NL" w:eastAsia="nl-NL"/>
              </w:rPr>
              <w:t>,</w:t>
            </w:r>
            <w:r w:rsidR="00D70D2F">
              <w:rPr>
                <w:rFonts w:eastAsia="Verdana" w:cs="Verdana"/>
                <w:color w:val="000000"/>
                <w:szCs w:val="18"/>
                <w:lang w:val="nl-NL" w:eastAsia="nl-NL"/>
              </w:rPr>
              <w:t xml:space="preserve"> en leidt tot een stapeling van regelingen.</w:t>
            </w:r>
          </w:p>
          <w:p w:rsidRPr="00FD1605" w:rsidR="005E4A03" w:rsidP="00BF4FBB" w:rsidRDefault="005E4A03" w14:paraId="47B042A1" w14:textId="77777777">
            <w:pPr>
              <w:spacing w:after="0" w:line="240" w:lineRule="auto"/>
              <w:rPr>
                <w:rStyle w:val="normaltextrun"/>
                <w:rFonts w:eastAsia="Verdana" w:cs="Verdana"/>
                <w:szCs w:val="18"/>
                <w:lang w:val="nl-NL"/>
              </w:rPr>
            </w:pPr>
          </w:p>
          <w:p w:rsidRPr="00704454" w:rsidR="005E4A03" w:rsidP="00BF4FBB" w:rsidRDefault="005E4A03" w14:paraId="1C605096" w14:textId="1985ED80">
            <w:pPr>
              <w:spacing w:after="0" w:line="240" w:lineRule="auto"/>
              <w:rPr>
                <w:rFonts w:eastAsia="Verdana" w:cs="Verdana"/>
                <w:color w:val="000000"/>
                <w:szCs w:val="18"/>
                <w:lang w:val="nl-NL" w:eastAsia="nl-NL"/>
              </w:rPr>
            </w:pPr>
            <w:r w:rsidRPr="00FD1605">
              <w:rPr>
                <w:rFonts w:eastAsia="Verdana" w:cs="Verdana"/>
                <w:color w:val="000000"/>
                <w:szCs w:val="18"/>
                <w:lang w:val="nl-NL" w:eastAsia="nl-NL"/>
              </w:rPr>
              <w:t xml:space="preserve">Deze maatregel </w:t>
            </w:r>
            <w:r w:rsidR="00F1596A">
              <w:rPr>
                <w:rFonts w:eastAsia="Verdana" w:cs="Verdana"/>
                <w:color w:val="000000"/>
                <w:szCs w:val="18"/>
                <w:lang w:val="nl-NL" w:eastAsia="nl-NL"/>
              </w:rPr>
              <w:t xml:space="preserve">houdt in dat de TW wordt afgeschaft dan wel overbodig gemaakt voor (een deel van) de Wajonggerechtigden. </w:t>
            </w:r>
            <w:r w:rsidRPr="00704454">
              <w:rPr>
                <w:rFonts w:eastAsia="Verdana" w:cs="Verdana"/>
                <w:color w:val="000000"/>
                <w:szCs w:val="18"/>
                <w:lang w:val="nl-NL" w:eastAsia="nl-NL"/>
              </w:rPr>
              <w:t xml:space="preserve">Er zijn </w:t>
            </w:r>
            <w:r w:rsidR="00F1596A">
              <w:rPr>
                <w:rFonts w:eastAsia="Verdana" w:cs="Verdana"/>
                <w:color w:val="000000"/>
                <w:szCs w:val="18"/>
                <w:lang w:val="nl-NL" w:eastAsia="nl-NL"/>
              </w:rPr>
              <w:t>drie</w:t>
            </w:r>
            <w:r w:rsidRPr="00704454" w:rsidR="00F1596A">
              <w:rPr>
                <w:rFonts w:eastAsia="Verdana" w:cs="Verdana"/>
                <w:color w:val="000000"/>
                <w:szCs w:val="18"/>
                <w:lang w:val="nl-NL" w:eastAsia="nl-NL"/>
              </w:rPr>
              <w:t xml:space="preserve"> </w:t>
            </w:r>
            <w:r w:rsidRPr="00704454">
              <w:rPr>
                <w:rFonts w:eastAsia="Verdana" w:cs="Verdana"/>
                <w:color w:val="000000"/>
                <w:szCs w:val="18"/>
                <w:lang w:val="nl-NL" w:eastAsia="nl-NL"/>
              </w:rPr>
              <w:t>varianten</w:t>
            </w:r>
            <w:r w:rsidR="00F1596A">
              <w:rPr>
                <w:rFonts w:eastAsia="Verdana" w:cs="Verdana"/>
                <w:color w:val="000000"/>
                <w:szCs w:val="18"/>
                <w:lang w:val="nl-NL" w:eastAsia="nl-NL"/>
              </w:rPr>
              <w:t xml:space="preserve"> mogelijk</w:t>
            </w:r>
            <w:r w:rsidRPr="00704454">
              <w:rPr>
                <w:rFonts w:eastAsia="Verdana" w:cs="Verdana"/>
                <w:color w:val="000000"/>
                <w:szCs w:val="18"/>
                <w:lang w:val="nl-NL" w:eastAsia="nl-NL"/>
              </w:rPr>
              <w:t>:</w:t>
            </w:r>
          </w:p>
          <w:p w:rsidRPr="00704454" w:rsidR="005E4A03" w:rsidP="00BF4FBB" w:rsidRDefault="005E4A03" w14:paraId="3600568C" w14:textId="77777777">
            <w:pPr>
              <w:spacing w:after="0" w:line="240" w:lineRule="auto"/>
              <w:rPr>
                <w:rFonts w:eastAsia="Verdana" w:cs="Verdana"/>
                <w:color w:val="000000"/>
                <w:szCs w:val="18"/>
                <w:lang w:val="nl-NL" w:eastAsia="nl-NL"/>
              </w:rPr>
            </w:pPr>
          </w:p>
          <w:p w:rsidRPr="00FD1605" w:rsidR="005E4A03" w:rsidP="005E4A03" w:rsidRDefault="00F1596A" w14:paraId="4604FA59" w14:textId="151E6187">
            <w:pPr>
              <w:pStyle w:val="Lijstalinea"/>
              <w:numPr>
                <w:ilvl w:val="0"/>
                <w:numId w:val="7"/>
              </w:numPr>
              <w:spacing w:after="0" w:line="240" w:lineRule="auto"/>
              <w:rPr>
                <w:rFonts w:eastAsia="Verdana" w:cs="Verdana"/>
                <w:color w:val="000000"/>
                <w:szCs w:val="18"/>
                <w:lang w:val="nl-NL" w:eastAsia="nl-NL"/>
              </w:rPr>
            </w:pPr>
            <w:r>
              <w:rPr>
                <w:rFonts w:eastAsia="Verdana" w:cs="Verdana"/>
                <w:color w:val="000000"/>
                <w:szCs w:val="18"/>
                <w:lang w:val="nl-NL" w:eastAsia="nl-NL"/>
              </w:rPr>
              <w:t>A</w:t>
            </w:r>
            <w:r w:rsidRPr="00FD1605" w:rsidR="005E4A03">
              <w:rPr>
                <w:rFonts w:eastAsia="Verdana" w:cs="Verdana"/>
                <w:color w:val="000000"/>
                <w:szCs w:val="18"/>
                <w:lang w:val="nl-NL" w:eastAsia="nl-NL"/>
              </w:rPr>
              <w:t xml:space="preserve">lle Wajonguitkeringen voor mensen met arbeidsvermogen </w:t>
            </w:r>
            <w:r>
              <w:rPr>
                <w:rFonts w:eastAsia="Verdana" w:cs="Verdana"/>
                <w:color w:val="000000"/>
                <w:szCs w:val="18"/>
                <w:lang w:val="nl-NL" w:eastAsia="nl-NL"/>
              </w:rPr>
              <w:t>worden verhoogd tot</w:t>
            </w:r>
            <w:r w:rsidRPr="00FD1605">
              <w:rPr>
                <w:rFonts w:eastAsia="Verdana" w:cs="Verdana"/>
                <w:color w:val="000000"/>
                <w:szCs w:val="18"/>
                <w:lang w:val="nl-NL" w:eastAsia="nl-NL"/>
              </w:rPr>
              <w:t xml:space="preserve"> </w:t>
            </w:r>
            <w:r w:rsidRPr="00FD1605" w:rsidR="005E4A03">
              <w:rPr>
                <w:rFonts w:eastAsia="Verdana" w:cs="Verdana"/>
                <w:color w:val="000000"/>
                <w:szCs w:val="18"/>
                <w:lang w:val="nl-NL" w:eastAsia="nl-NL"/>
              </w:rPr>
              <w:t>de alleenstaande</w:t>
            </w:r>
            <w:r>
              <w:rPr>
                <w:rFonts w:eastAsia="Verdana" w:cs="Verdana"/>
                <w:color w:val="000000"/>
                <w:szCs w:val="18"/>
                <w:lang w:val="nl-NL" w:eastAsia="nl-NL"/>
              </w:rPr>
              <w:t>nnorm in de TW</w:t>
            </w:r>
            <w:r w:rsidRPr="00FD1605" w:rsidR="005E4A03">
              <w:rPr>
                <w:rFonts w:eastAsia="Verdana" w:cs="Verdana"/>
                <w:color w:val="000000"/>
                <w:szCs w:val="18"/>
                <w:lang w:val="nl-NL" w:eastAsia="nl-NL"/>
              </w:rPr>
              <w:t>. Gehuwde Wajonggerechtigden met arbeidsvermogen krijgen ook deze hogere Wajong-uitkering en houden daarnaast recht op een verdere aanvulling vanuit de Toeslagenwet tot de gehuwdennorm.</w:t>
            </w:r>
            <w:r w:rsidR="00FC61F8">
              <w:rPr>
                <w:rFonts w:eastAsia="Verdana" w:cs="Verdana"/>
                <w:color w:val="000000"/>
                <w:szCs w:val="18"/>
                <w:lang w:val="nl-NL" w:eastAsia="nl-NL"/>
              </w:rPr>
              <w:t xml:space="preserve"> Omdat deze norm netto lager uitvalt dan de bijstandsnorm voor gehuwden, kunnen zij daarbovenop nog recht hebben op een verdere aanvulling van de gemeente tot het netto sociaal minimum.</w:t>
            </w:r>
          </w:p>
          <w:p w:rsidR="005E4A03" w:rsidP="005E4A03" w:rsidRDefault="00F1596A" w14:paraId="4804F8BB" w14:textId="30F1FE0C">
            <w:pPr>
              <w:pStyle w:val="Lijstalinea"/>
              <w:numPr>
                <w:ilvl w:val="0"/>
                <w:numId w:val="7"/>
              </w:numPr>
              <w:spacing w:after="0" w:line="240" w:lineRule="auto"/>
              <w:rPr>
                <w:rFonts w:eastAsia="Verdana" w:cs="Verdana"/>
                <w:color w:val="000000"/>
                <w:szCs w:val="18"/>
                <w:lang w:val="nl-NL" w:eastAsia="nl-NL"/>
              </w:rPr>
            </w:pPr>
            <w:r>
              <w:rPr>
                <w:rFonts w:eastAsia="Verdana" w:cs="Verdana"/>
                <w:color w:val="000000"/>
                <w:szCs w:val="18"/>
                <w:lang w:val="nl-NL" w:eastAsia="nl-NL"/>
              </w:rPr>
              <w:t>A</w:t>
            </w:r>
            <w:r w:rsidRPr="00FD1605" w:rsidR="005E4A03">
              <w:rPr>
                <w:rFonts w:eastAsia="Verdana" w:cs="Verdana"/>
                <w:color w:val="000000"/>
                <w:szCs w:val="18"/>
                <w:lang w:val="nl-NL" w:eastAsia="nl-NL"/>
              </w:rPr>
              <w:t xml:space="preserve">lle Wajonguitkeringen voor mensen met arbeidsvermogen </w:t>
            </w:r>
            <w:r>
              <w:rPr>
                <w:rFonts w:eastAsia="Verdana" w:cs="Verdana"/>
                <w:color w:val="000000"/>
                <w:szCs w:val="18"/>
                <w:lang w:val="nl-NL" w:eastAsia="nl-NL"/>
              </w:rPr>
              <w:t>worden verhoogd tot</w:t>
            </w:r>
            <w:r w:rsidRPr="00FD1605" w:rsidR="005E4A03">
              <w:rPr>
                <w:rFonts w:eastAsia="Verdana" w:cs="Verdana"/>
                <w:color w:val="000000"/>
                <w:szCs w:val="18"/>
                <w:lang w:val="nl-NL" w:eastAsia="nl-NL"/>
              </w:rPr>
              <w:t xml:space="preserve"> de alleenstaande</w:t>
            </w:r>
            <w:r>
              <w:rPr>
                <w:rFonts w:eastAsia="Verdana" w:cs="Verdana"/>
                <w:color w:val="000000"/>
                <w:szCs w:val="18"/>
                <w:lang w:val="nl-NL" w:eastAsia="nl-NL"/>
              </w:rPr>
              <w:t>nnorm in de TW</w:t>
            </w:r>
            <w:r w:rsidRPr="00FD1605" w:rsidR="005E4A03">
              <w:rPr>
                <w:rFonts w:eastAsia="Verdana" w:cs="Verdana"/>
                <w:color w:val="000000"/>
                <w:szCs w:val="18"/>
                <w:lang w:val="nl-NL" w:eastAsia="nl-NL"/>
              </w:rPr>
              <w:t xml:space="preserve"> en de Toeslagenwet </w:t>
            </w:r>
            <w:r>
              <w:rPr>
                <w:rFonts w:eastAsia="Verdana" w:cs="Verdana"/>
                <w:color w:val="000000"/>
                <w:szCs w:val="18"/>
                <w:lang w:val="nl-NL" w:eastAsia="nl-NL"/>
              </w:rPr>
              <w:t xml:space="preserve">wordt </w:t>
            </w:r>
            <w:r w:rsidR="00457817">
              <w:rPr>
                <w:rFonts w:eastAsia="Verdana" w:cs="Verdana"/>
                <w:color w:val="000000"/>
                <w:szCs w:val="18"/>
                <w:lang w:val="nl-NL" w:eastAsia="nl-NL"/>
              </w:rPr>
              <w:t xml:space="preserve">afgesloten </w:t>
            </w:r>
            <w:r w:rsidRPr="00FD1605" w:rsidR="005E4A03">
              <w:rPr>
                <w:rFonts w:eastAsia="Verdana" w:cs="Verdana"/>
                <w:color w:val="000000"/>
                <w:szCs w:val="18"/>
                <w:lang w:val="nl-NL" w:eastAsia="nl-NL"/>
              </w:rPr>
              <w:t xml:space="preserve">voor alle Wajonggerechtigden (zowel met als zonder arbeidsvermogen). Gehuwde Wajonggerechtigden kunnen </w:t>
            </w:r>
            <w:r w:rsidR="0038208C">
              <w:rPr>
                <w:rFonts w:eastAsia="Verdana" w:cs="Verdana"/>
                <w:color w:val="000000"/>
                <w:szCs w:val="18"/>
                <w:lang w:val="nl-NL" w:eastAsia="nl-NL"/>
              </w:rPr>
              <w:t xml:space="preserve">dan </w:t>
            </w:r>
            <w:r w:rsidRPr="00FD1605" w:rsidR="005E4A03">
              <w:rPr>
                <w:rFonts w:eastAsia="Verdana" w:cs="Verdana"/>
                <w:color w:val="000000"/>
                <w:szCs w:val="18"/>
                <w:lang w:val="nl-NL" w:eastAsia="nl-NL"/>
              </w:rPr>
              <w:t>geen aanvulling meer krijgen uit de Toeslagenwet. Gehuwden die onder het sociaal minimum blijven, kunnen aanvullende bijstand aanvragen bij de gemeente.</w:t>
            </w:r>
          </w:p>
          <w:p w:rsidRPr="00FD1605" w:rsidR="008B48AC" w:rsidP="005E4A03" w:rsidRDefault="008B48AC" w14:paraId="6FCAF2A6" w14:textId="3AE1B079">
            <w:pPr>
              <w:pStyle w:val="Lijstalinea"/>
              <w:numPr>
                <w:ilvl w:val="0"/>
                <w:numId w:val="7"/>
              </w:numPr>
              <w:spacing w:after="0" w:line="240" w:lineRule="auto"/>
              <w:rPr>
                <w:rFonts w:eastAsia="Verdana" w:cs="Verdana"/>
                <w:color w:val="000000"/>
                <w:szCs w:val="18"/>
                <w:lang w:val="nl-NL" w:eastAsia="nl-NL"/>
              </w:rPr>
            </w:pPr>
            <w:r>
              <w:rPr>
                <w:rFonts w:eastAsia="Verdana" w:cs="Verdana"/>
                <w:color w:val="000000"/>
                <w:szCs w:val="18"/>
                <w:lang w:val="nl-NL" w:eastAsia="nl-NL"/>
              </w:rPr>
              <w:t xml:space="preserve">De TW wordt </w:t>
            </w:r>
            <w:r w:rsidR="00457817">
              <w:rPr>
                <w:rFonts w:eastAsia="Verdana" w:cs="Verdana"/>
                <w:color w:val="000000"/>
                <w:szCs w:val="18"/>
                <w:lang w:val="nl-NL" w:eastAsia="nl-NL"/>
              </w:rPr>
              <w:t xml:space="preserve">afgesloten </w:t>
            </w:r>
            <w:r>
              <w:rPr>
                <w:rFonts w:eastAsia="Verdana" w:cs="Verdana"/>
                <w:color w:val="000000"/>
                <w:szCs w:val="18"/>
                <w:lang w:val="nl-NL" w:eastAsia="nl-NL"/>
              </w:rPr>
              <w:t xml:space="preserve">voor Wajonggerechtigden. </w:t>
            </w:r>
            <w:r w:rsidRPr="00704454">
              <w:rPr>
                <w:rFonts w:eastAsia="Times New Roman" w:cs="Calibri"/>
                <w:color w:val="000000"/>
                <w:szCs w:val="18"/>
                <w:lang w:val="nl-NL" w:eastAsia="nl-NL"/>
              </w:rPr>
              <w:t>Dankzij de jonggehandicaptenkorting hebben alleenstaande Wajong</w:t>
            </w:r>
            <w:r w:rsidR="0064598A">
              <w:rPr>
                <w:rFonts w:eastAsia="Times New Roman" w:cs="Calibri"/>
                <w:color w:val="000000"/>
                <w:szCs w:val="18"/>
                <w:lang w:val="nl-NL" w:eastAsia="nl-NL"/>
              </w:rPr>
              <w:t>gerechtigden</w:t>
            </w:r>
            <w:r w:rsidRPr="00704454">
              <w:rPr>
                <w:rFonts w:eastAsia="Times New Roman" w:cs="Calibri"/>
                <w:color w:val="000000"/>
                <w:szCs w:val="18"/>
                <w:lang w:val="nl-NL" w:eastAsia="nl-NL"/>
              </w:rPr>
              <w:t xml:space="preserve"> reeds een inkomen dat hoger is dan het netto sociaal minimum; zie ook fiche </w:t>
            </w:r>
            <w:r w:rsidR="006C468A">
              <w:rPr>
                <w:rFonts w:eastAsia="Times New Roman" w:cs="Calibri"/>
                <w:color w:val="000000"/>
                <w:szCs w:val="18"/>
                <w:lang w:val="nl-NL" w:eastAsia="nl-NL"/>
              </w:rPr>
              <w:t>B.7</w:t>
            </w:r>
            <w:r w:rsidRPr="00704454">
              <w:rPr>
                <w:rFonts w:eastAsia="Times New Roman" w:cs="Calibri"/>
                <w:color w:val="000000"/>
                <w:szCs w:val="18"/>
                <w:lang w:val="nl-NL" w:eastAsia="nl-NL"/>
              </w:rPr>
              <w:t>. Gehuwde Wajong</w:t>
            </w:r>
            <w:r w:rsidR="0064598A">
              <w:rPr>
                <w:rFonts w:eastAsia="Times New Roman" w:cs="Calibri"/>
                <w:color w:val="000000"/>
                <w:szCs w:val="18"/>
                <w:lang w:val="nl-NL" w:eastAsia="nl-NL"/>
              </w:rPr>
              <w:t>gerechtigden</w:t>
            </w:r>
            <w:r w:rsidRPr="00704454">
              <w:rPr>
                <w:rFonts w:eastAsia="Times New Roman" w:cs="Calibri"/>
                <w:color w:val="000000"/>
                <w:szCs w:val="18"/>
                <w:lang w:val="nl-NL" w:eastAsia="nl-NL"/>
              </w:rPr>
              <w:t xml:space="preserve"> die onder het sociaal minimum blijven, kunnen aanvullende bijstand aanvragen bij de gemeente.</w:t>
            </w:r>
            <w:r>
              <w:rPr>
                <w:rFonts w:eastAsia="Verdana" w:cs="Verdana"/>
                <w:color w:val="000000"/>
                <w:szCs w:val="18"/>
                <w:lang w:val="nl-NL" w:eastAsia="nl-NL"/>
              </w:rPr>
              <w:t xml:space="preserve"> </w:t>
            </w:r>
          </w:p>
          <w:p w:rsidRPr="00FD1605" w:rsidR="005E4A03" w:rsidP="00BF4FBB" w:rsidRDefault="005E4A03" w14:paraId="01C6F3F5" w14:textId="77777777">
            <w:pPr>
              <w:spacing w:after="0" w:line="240" w:lineRule="auto"/>
              <w:ind w:left="360"/>
              <w:rPr>
                <w:rFonts w:eastAsia="Times New Roman" w:cs="Calibri"/>
                <w:color w:val="000000"/>
                <w:szCs w:val="18"/>
                <w:lang w:val="nl-NL" w:eastAsia="nl-NL"/>
              </w:rPr>
            </w:pPr>
          </w:p>
        </w:tc>
      </w:tr>
      <w:tr w:rsidRPr="00EB3835" w:rsidR="005E4A03" w:rsidTr="009C048F" w14:paraId="3E9CD1D3" w14:textId="77777777">
        <w:trPr>
          <w:trHeight w:val="315"/>
        </w:trPr>
        <w:tc>
          <w:tcPr>
            <w:tcW w:w="1951" w:type="dxa"/>
            <w:tcBorders>
              <w:top w:val="nil"/>
              <w:left w:val="single" w:color="auto" w:sz="8" w:space="0"/>
              <w:bottom w:val="single" w:color="auto" w:sz="8" w:space="0"/>
              <w:right w:val="nil"/>
            </w:tcBorders>
            <w:noWrap/>
          </w:tcPr>
          <w:p w:rsidRPr="00704454" w:rsidR="005E4A03" w:rsidP="00BF4FBB" w:rsidRDefault="005E4A03" w14:paraId="62AD2CE9"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Doel maatregel</w:t>
            </w:r>
          </w:p>
        </w:tc>
        <w:tc>
          <w:tcPr>
            <w:tcW w:w="8398" w:type="dxa"/>
            <w:tcBorders>
              <w:top w:val="single" w:color="auto" w:sz="4" w:space="0"/>
              <w:left w:val="single" w:color="auto" w:sz="4" w:space="0"/>
              <w:bottom w:val="single" w:color="auto" w:sz="8" w:space="0"/>
              <w:right w:val="single" w:color="auto" w:sz="4" w:space="0"/>
            </w:tcBorders>
            <w:noWrap/>
          </w:tcPr>
          <w:p w:rsidRPr="00FD1605" w:rsidR="005E4A03" w:rsidP="00BF4FBB" w:rsidRDefault="005E4A03" w14:paraId="28A0DF22" w14:textId="05FCEF30">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Terugbrengen potentieel niet-gebruik T</w:t>
            </w:r>
            <w:r w:rsidRPr="00FD1605">
              <w:rPr>
                <w:rFonts w:eastAsia="Times New Roman"/>
                <w:color w:val="000000"/>
                <w:szCs w:val="18"/>
                <w:lang w:val="nl-NL" w:eastAsia="nl-NL"/>
              </w:rPr>
              <w:t xml:space="preserve">oeslagenwet onder </w:t>
            </w:r>
            <w:r w:rsidR="008B48AC">
              <w:rPr>
                <w:rFonts w:eastAsia="Times New Roman"/>
                <w:color w:val="000000"/>
                <w:szCs w:val="18"/>
                <w:lang w:val="nl-NL" w:eastAsia="nl-NL"/>
              </w:rPr>
              <w:t xml:space="preserve">alleenstaande </w:t>
            </w:r>
            <w:r w:rsidRPr="00FD1605">
              <w:rPr>
                <w:rFonts w:eastAsia="Times New Roman"/>
                <w:color w:val="000000"/>
                <w:szCs w:val="18"/>
                <w:lang w:val="nl-NL" w:eastAsia="nl-NL"/>
              </w:rPr>
              <w:t xml:space="preserve">Wajonggerechtigden </w:t>
            </w:r>
            <w:r w:rsidR="008B48AC">
              <w:rPr>
                <w:rFonts w:eastAsia="Times New Roman"/>
                <w:color w:val="000000"/>
                <w:szCs w:val="18"/>
                <w:lang w:val="nl-NL" w:eastAsia="nl-NL"/>
              </w:rPr>
              <w:t xml:space="preserve">met arbeidsvermogen </w:t>
            </w:r>
            <w:r w:rsidRPr="00FD1605">
              <w:rPr>
                <w:rFonts w:eastAsia="Times New Roman" w:cs="Calibri"/>
                <w:color w:val="000000"/>
                <w:szCs w:val="18"/>
                <w:lang w:val="nl-NL" w:eastAsia="nl-NL"/>
              </w:rPr>
              <w:t>en tegengaan van stapeling van regelingen.</w:t>
            </w:r>
          </w:p>
        </w:tc>
      </w:tr>
      <w:tr w:rsidRPr="00EB3835" w:rsidR="005E4A03" w:rsidTr="009C048F" w14:paraId="50946100" w14:textId="77777777">
        <w:trPr>
          <w:trHeight w:val="315"/>
        </w:trPr>
        <w:tc>
          <w:tcPr>
            <w:tcW w:w="1951" w:type="dxa"/>
            <w:tcBorders>
              <w:top w:val="nil"/>
              <w:left w:val="single" w:color="auto" w:sz="8" w:space="0"/>
              <w:bottom w:val="single" w:color="auto" w:sz="8" w:space="0"/>
              <w:right w:val="nil"/>
            </w:tcBorders>
            <w:noWrap/>
          </w:tcPr>
          <w:p w:rsidRPr="00FD1605" w:rsidR="005E4A03" w:rsidP="00BF4FBB" w:rsidRDefault="005E4A03" w14:paraId="212A6784" w14:textId="77777777">
            <w:pPr>
              <w:spacing w:after="0" w:line="240" w:lineRule="auto"/>
              <w:rPr>
                <w:rFonts w:eastAsia="Times New Roman" w:cs="Calibri"/>
                <w:b/>
                <w:bCs/>
                <w:color w:val="000000"/>
                <w:szCs w:val="18"/>
                <w:lang w:val="nl-NL" w:eastAsia="nl-NL"/>
              </w:rPr>
            </w:pPr>
            <w:r w:rsidRPr="00FD1605">
              <w:rPr>
                <w:rFonts w:eastAsia="Times New Roman" w:cs="Calibri"/>
                <w:b/>
                <w:bCs/>
                <w:color w:val="000000"/>
                <w:szCs w:val="18"/>
                <w:lang w:val="nl-NL" w:eastAsia="nl-NL"/>
              </w:rPr>
              <w:t xml:space="preserve">Vereenvoudiging vanuit burgerperspectief (begrijpelijkheid, zekerheid en </w:t>
            </w:r>
            <w:proofErr w:type="spellStart"/>
            <w:r w:rsidRPr="00FD1605">
              <w:rPr>
                <w:rFonts w:eastAsia="Times New Roman" w:cs="Calibri"/>
                <w:b/>
                <w:bCs/>
                <w:color w:val="000000"/>
                <w:szCs w:val="18"/>
                <w:lang w:val="nl-NL" w:eastAsia="nl-NL"/>
              </w:rPr>
              <w:t>doenlijkheid</w:t>
            </w:r>
            <w:proofErr w:type="spellEnd"/>
            <w:r w:rsidRPr="00FD1605">
              <w:rPr>
                <w:rFonts w:eastAsia="Times New Roman" w:cs="Calibri"/>
                <w:b/>
                <w:bCs/>
                <w:color w:val="000000"/>
                <w:szCs w:val="18"/>
                <w:lang w:val="nl-NL" w:eastAsia="nl-NL"/>
              </w:rPr>
              <w:t>)</w:t>
            </w:r>
          </w:p>
        </w:tc>
        <w:tc>
          <w:tcPr>
            <w:tcW w:w="8398" w:type="dxa"/>
            <w:tcBorders>
              <w:top w:val="single" w:color="auto" w:sz="4" w:space="0"/>
              <w:left w:val="single" w:color="auto" w:sz="4" w:space="0"/>
              <w:bottom w:val="single" w:color="auto" w:sz="8" w:space="0"/>
              <w:right w:val="single" w:color="auto" w:sz="4" w:space="0"/>
            </w:tcBorders>
            <w:noWrap/>
          </w:tcPr>
          <w:p w:rsidRPr="009B5D9C" w:rsidR="000646A3" w:rsidP="00BF4FBB" w:rsidRDefault="005E4A03" w14:paraId="3C6F96F4" w14:textId="6492435A">
            <w:pPr>
              <w:spacing w:after="0" w:line="240" w:lineRule="auto"/>
              <w:rPr>
                <w:rFonts w:eastAsia="Times New Roman" w:cs="Calibri"/>
                <w:color w:val="000000"/>
                <w:szCs w:val="18"/>
                <w:lang w:val="nl-NL" w:eastAsia="nl-NL"/>
              </w:rPr>
            </w:pPr>
            <w:r w:rsidRPr="00FD1605">
              <w:rPr>
                <w:rStyle w:val="normaltextrun"/>
                <w:szCs w:val="18"/>
                <w:lang w:val="nl-NL"/>
              </w:rPr>
              <w:t>Alleenstaande</w:t>
            </w:r>
            <w:r w:rsidRPr="00FD1605">
              <w:rPr>
                <w:rFonts w:eastAsia="Times New Roman" w:cs="Calibri"/>
                <w:color w:val="000000"/>
                <w:szCs w:val="18"/>
                <w:lang w:val="nl-NL" w:eastAsia="nl-NL"/>
              </w:rPr>
              <w:t xml:space="preserve"> Wajonggerechtigden hebben in </w:t>
            </w:r>
            <w:r w:rsidR="00FC61F8">
              <w:rPr>
                <w:rFonts w:eastAsia="Times New Roman" w:cs="Calibri"/>
                <w:color w:val="000000"/>
                <w:szCs w:val="18"/>
                <w:lang w:val="nl-NL" w:eastAsia="nl-NL"/>
              </w:rPr>
              <w:t>alle</w:t>
            </w:r>
            <w:r w:rsidRPr="00FD1605" w:rsidR="00FC61F8">
              <w:rPr>
                <w:rFonts w:eastAsia="Times New Roman" w:cs="Calibri"/>
                <w:color w:val="000000"/>
                <w:szCs w:val="18"/>
                <w:lang w:val="nl-NL" w:eastAsia="nl-NL"/>
              </w:rPr>
              <w:t xml:space="preserve"> </w:t>
            </w:r>
            <w:r w:rsidRPr="00FD1605">
              <w:rPr>
                <w:rFonts w:eastAsia="Times New Roman" w:cs="Calibri"/>
                <w:color w:val="000000"/>
                <w:szCs w:val="18"/>
                <w:lang w:val="nl-NL" w:eastAsia="nl-NL"/>
              </w:rPr>
              <w:t>varianten slechts één regeling voor een inkomen op het v</w:t>
            </w:r>
            <w:r w:rsidRPr="00FD1605">
              <w:rPr>
                <w:rFonts w:eastAsia="Times New Roman"/>
                <w:color w:val="000000"/>
                <w:szCs w:val="18"/>
                <w:lang w:val="nl-NL" w:eastAsia="nl-NL"/>
              </w:rPr>
              <w:t>oor hen geldend sociaal minimum</w:t>
            </w:r>
            <w:r w:rsidRPr="00FD1605">
              <w:rPr>
                <w:rFonts w:eastAsia="Times New Roman" w:cs="Calibri"/>
                <w:color w:val="000000"/>
                <w:szCs w:val="18"/>
                <w:lang w:val="nl-NL" w:eastAsia="nl-NL"/>
              </w:rPr>
              <w:t>. Dit voorkomt stapeling van uitkeringen en biedt meer grip op het totale inkomen.</w:t>
            </w:r>
            <w:r w:rsidRPr="00FD1605" w:rsidDel="00F50747">
              <w:rPr>
                <w:rFonts w:eastAsia="Times New Roman" w:cs="Calibri"/>
                <w:color w:val="000000"/>
                <w:szCs w:val="18"/>
                <w:lang w:val="nl-NL" w:eastAsia="nl-NL"/>
              </w:rPr>
              <w:t xml:space="preserve"> </w:t>
            </w:r>
            <w:r w:rsidRPr="00FD1605">
              <w:rPr>
                <w:rFonts w:eastAsia="Times New Roman" w:cs="Calibri"/>
                <w:color w:val="000000"/>
                <w:szCs w:val="18"/>
                <w:lang w:val="nl-NL" w:eastAsia="nl-NL"/>
              </w:rPr>
              <w:t xml:space="preserve">Ook krijgen zij meer inzicht in de gevolgen van werken op dit inkomen, doordat </w:t>
            </w:r>
            <w:r w:rsidRPr="009B5D9C">
              <w:rPr>
                <w:rFonts w:eastAsia="Times New Roman" w:cs="Calibri"/>
                <w:color w:val="000000"/>
                <w:szCs w:val="18"/>
                <w:lang w:val="nl-NL" w:eastAsia="nl-NL"/>
              </w:rPr>
              <w:t xml:space="preserve">ze met </w:t>
            </w:r>
            <w:r w:rsidRPr="009B5D9C" w:rsidR="00890B24">
              <w:rPr>
                <w:rFonts w:eastAsia="Times New Roman" w:cs="Calibri"/>
                <w:color w:val="000000"/>
                <w:szCs w:val="18"/>
                <w:lang w:val="nl-NL" w:eastAsia="nl-NL"/>
              </w:rPr>
              <w:t xml:space="preserve">minder </w:t>
            </w:r>
            <w:r w:rsidRPr="009B5D9C">
              <w:rPr>
                <w:rFonts w:eastAsia="Times New Roman" w:cs="Calibri"/>
                <w:color w:val="000000"/>
                <w:szCs w:val="18"/>
                <w:lang w:val="nl-NL" w:eastAsia="nl-NL"/>
              </w:rPr>
              <w:t>verschillende sets van inkomstenregels te maken hebben. Dit sluit aan bij het rapport ‘Als verrekenen een beperking is’.</w:t>
            </w:r>
            <w:r w:rsidRPr="009B5D9C" w:rsidR="0052629D">
              <w:rPr>
                <w:rFonts w:eastAsia="Times New Roman" w:cs="Calibri"/>
                <w:color w:val="000000"/>
                <w:szCs w:val="18"/>
                <w:lang w:val="nl-NL" w:eastAsia="nl-NL"/>
              </w:rPr>
              <w:t xml:space="preserve"> Aanvullend geldt het volgende voor de specifieke varianten:</w:t>
            </w:r>
          </w:p>
          <w:p w:rsidR="00833170" w:rsidP="00833170" w:rsidRDefault="000C4C3F" w14:paraId="7227200F" w14:textId="66E7EA09">
            <w:pPr>
              <w:pStyle w:val="Lijstalinea"/>
              <w:numPr>
                <w:ilvl w:val="0"/>
                <w:numId w:val="15"/>
              </w:numPr>
              <w:spacing w:after="0" w:line="240" w:lineRule="auto"/>
              <w:rPr>
                <w:rFonts w:cs="Calibri"/>
                <w:szCs w:val="18"/>
                <w:lang w:val="nl-NL"/>
              </w:rPr>
            </w:pPr>
            <w:r w:rsidRPr="009B5D9C">
              <w:rPr>
                <w:rFonts w:cs="Calibri"/>
                <w:szCs w:val="18"/>
                <w:lang w:val="nl-NL"/>
              </w:rPr>
              <w:lastRenderedPageBreak/>
              <w:t>Het bruto sociaal minimum in de huidige TW is een afgeleide van het netto sociaalminimum in de bijstand. In deze maatregel wordt</w:t>
            </w:r>
            <w:r w:rsidRPr="009B5D9C" w:rsidR="00EE4735">
              <w:rPr>
                <w:rFonts w:cs="Calibri"/>
                <w:szCs w:val="18"/>
                <w:lang w:val="nl-NL"/>
              </w:rPr>
              <w:t xml:space="preserve"> dit overgeheveld naar de Wajong. Daarmee wordt</w:t>
            </w:r>
            <w:r>
              <w:rPr>
                <w:rFonts w:cs="Calibri"/>
                <w:szCs w:val="18"/>
                <w:lang w:val="nl-NL"/>
              </w:rPr>
              <w:t xml:space="preserve"> d</w:t>
            </w:r>
            <w:r w:rsidRPr="00833170" w:rsidR="00833170">
              <w:rPr>
                <w:rFonts w:cs="Calibri"/>
                <w:szCs w:val="18"/>
                <w:lang w:val="nl-NL"/>
              </w:rPr>
              <w:t xml:space="preserve">e afbouw van de dubbele </w:t>
            </w:r>
            <w:r w:rsidR="000F7E27">
              <w:rPr>
                <w:rFonts w:cs="Calibri"/>
                <w:szCs w:val="18"/>
                <w:lang w:val="nl-NL"/>
              </w:rPr>
              <w:t xml:space="preserve">algemene </w:t>
            </w:r>
            <w:r w:rsidRPr="00833170" w:rsidR="00833170">
              <w:rPr>
                <w:rFonts w:cs="Calibri"/>
                <w:szCs w:val="18"/>
                <w:lang w:val="nl-NL"/>
              </w:rPr>
              <w:t xml:space="preserve">heffingskorting in het referentieminimumloon </w:t>
            </w:r>
            <w:r w:rsidR="000F7E27">
              <w:rPr>
                <w:rFonts w:cs="Calibri"/>
                <w:szCs w:val="18"/>
                <w:lang w:val="nl-NL"/>
              </w:rPr>
              <w:t xml:space="preserve">voor de bijstand </w:t>
            </w:r>
            <w:r w:rsidRPr="00833170" w:rsidR="00833170">
              <w:rPr>
                <w:rFonts w:cs="Calibri"/>
                <w:szCs w:val="18"/>
                <w:lang w:val="nl-NL"/>
              </w:rPr>
              <w:t>bepalend voor de hoogte van alle Wajong-uitkeringen voor mensen met arbeidsvermogen. De Wajong-uitkering</w:t>
            </w:r>
            <w:r w:rsidR="0052629D">
              <w:rPr>
                <w:rFonts w:cs="Calibri"/>
                <w:szCs w:val="18"/>
                <w:lang w:val="nl-NL"/>
              </w:rPr>
              <w:t>en</w:t>
            </w:r>
            <w:r w:rsidRPr="00833170" w:rsidR="00833170">
              <w:rPr>
                <w:rFonts w:cs="Calibri"/>
                <w:szCs w:val="18"/>
                <w:lang w:val="nl-NL"/>
              </w:rPr>
              <w:t xml:space="preserve"> word</w:t>
            </w:r>
            <w:r w:rsidR="0052629D">
              <w:rPr>
                <w:rFonts w:cs="Calibri"/>
                <w:szCs w:val="18"/>
                <w:lang w:val="nl-NL"/>
              </w:rPr>
              <w:t>en</w:t>
            </w:r>
            <w:r w:rsidRPr="00833170" w:rsidR="00833170">
              <w:rPr>
                <w:rFonts w:cs="Calibri"/>
                <w:szCs w:val="18"/>
                <w:lang w:val="nl-NL"/>
              </w:rPr>
              <w:t xml:space="preserve"> in eerste instantie opgehoogd, vervolgens zullen deze Wajong-uitkeringen tot 2039 beleidsmatig worden verlaagd telkens wanneer een afbouwstap wordt gezet</w:t>
            </w:r>
            <w:r w:rsidR="00B114E8">
              <w:rPr>
                <w:rFonts w:cs="Calibri"/>
                <w:szCs w:val="18"/>
                <w:lang w:val="nl-NL"/>
              </w:rPr>
              <w:t>. Dit effect is mogelijk minder zichtbaar door</w:t>
            </w:r>
            <w:r w:rsidRPr="00833170" w:rsidR="00833170">
              <w:rPr>
                <w:rFonts w:cs="Calibri"/>
                <w:szCs w:val="18"/>
                <w:lang w:val="nl-NL"/>
              </w:rPr>
              <w:t xml:space="preserve"> de </w:t>
            </w:r>
            <w:r w:rsidR="00B114E8">
              <w:rPr>
                <w:rFonts w:cs="Calibri"/>
                <w:szCs w:val="18"/>
                <w:lang w:val="nl-NL"/>
              </w:rPr>
              <w:t>half</w:t>
            </w:r>
            <w:r w:rsidRPr="00833170" w:rsidR="00833170">
              <w:rPr>
                <w:rFonts w:cs="Calibri"/>
                <w:szCs w:val="18"/>
                <w:lang w:val="nl-NL"/>
              </w:rPr>
              <w:t>jaarlijkse indexatie waarmee de uitkering standaard wordt verhoogd. Dit vergt goede communicatie aan de doelgroep.</w:t>
            </w:r>
          </w:p>
          <w:p w:rsidR="000F7E27" w:rsidP="00BF4FBB" w:rsidRDefault="000F7E27" w14:paraId="092BBE83" w14:textId="1BFDB5D6">
            <w:pPr>
              <w:pStyle w:val="Lijstalinea"/>
              <w:numPr>
                <w:ilvl w:val="0"/>
                <w:numId w:val="15"/>
              </w:numPr>
              <w:spacing w:after="0" w:line="240" w:lineRule="auto"/>
              <w:rPr>
                <w:rFonts w:eastAsia="Times New Roman" w:cs="Calibri"/>
                <w:color w:val="000000"/>
                <w:szCs w:val="18"/>
                <w:lang w:val="nl-NL" w:eastAsia="nl-NL"/>
              </w:rPr>
            </w:pPr>
            <w:r>
              <w:rPr>
                <w:rFonts w:cs="Calibri"/>
                <w:szCs w:val="18"/>
                <w:lang w:val="nl-NL"/>
              </w:rPr>
              <w:t xml:space="preserve">Bovenstaande </w:t>
            </w:r>
            <w:r w:rsidR="003648F8">
              <w:rPr>
                <w:rFonts w:cs="Calibri"/>
                <w:szCs w:val="18"/>
                <w:lang w:val="nl-NL"/>
              </w:rPr>
              <w:t>effecten op</w:t>
            </w:r>
            <w:r>
              <w:rPr>
                <w:rFonts w:cs="Calibri"/>
                <w:szCs w:val="18"/>
                <w:lang w:val="nl-NL"/>
              </w:rPr>
              <w:t xml:space="preserve"> de Wajong-uitkering geld</w:t>
            </w:r>
            <w:r w:rsidR="00B34559">
              <w:rPr>
                <w:rFonts w:cs="Calibri"/>
                <w:szCs w:val="18"/>
                <w:lang w:val="nl-NL"/>
              </w:rPr>
              <w:t>en</w:t>
            </w:r>
            <w:r>
              <w:rPr>
                <w:rFonts w:cs="Calibri"/>
                <w:szCs w:val="18"/>
                <w:lang w:val="nl-NL"/>
              </w:rPr>
              <w:t xml:space="preserve"> ook in deze variant</w:t>
            </w:r>
            <w:r w:rsidRPr="0052629D">
              <w:rPr>
                <w:rFonts w:cs="Calibri"/>
                <w:szCs w:val="18"/>
                <w:lang w:val="nl-NL"/>
              </w:rPr>
              <w:t xml:space="preserve">. </w:t>
            </w:r>
            <w:r w:rsidRPr="0052629D" w:rsidR="0052629D">
              <w:rPr>
                <w:rFonts w:cs="Calibri"/>
                <w:szCs w:val="18"/>
                <w:lang w:val="nl-NL"/>
              </w:rPr>
              <w:t>Daarnaast hebben</w:t>
            </w:r>
            <w:r>
              <w:rPr>
                <w:rFonts w:cs="Calibri"/>
                <w:szCs w:val="18"/>
                <w:lang w:val="nl-NL"/>
              </w:rPr>
              <w:t xml:space="preserve"> ook</w:t>
            </w:r>
            <w:r w:rsidRPr="0052629D" w:rsidR="0052629D">
              <w:rPr>
                <w:rFonts w:cs="Calibri"/>
                <w:szCs w:val="18"/>
                <w:lang w:val="nl-NL"/>
              </w:rPr>
              <w:t xml:space="preserve"> </w:t>
            </w:r>
            <w:r w:rsidR="0052629D">
              <w:rPr>
                <w:rFonts w:cs="Calibri"/>
                <w:szCs w:val="18"/>
                <w:lang w:val="nl-NL"/>
              </w:rPr>
              <w:t>g</w:t>
            </w:r>
            <w:r w:rsidRPr="0052629D" w:rsidR="0052629D">
              <w:rPr>
                <w:rFonts w:eastAsia="Times New Roman" w:cs="Calibri"/>
                <w:color w:val="000000"/>
                <w:szCs w:val="18"/>
                <w:lang w:val="nl-NL" w:eastAsia="nl-NL"/>
              </w:rPr>
              <w:t xml:space="preserve">ehuwde Wajonggerechtigden in </w:t>
            </w:r>
            <w:r>
              <w:rPr>
                <w:rFonts w:eastAsia="Times New Roman" w:cs="Calibri"/>
                <w:color w:val="000000"/>
                <w:szCs w:val="18"/>
                <w:lang w:val="nl-NL" w:eastAsia="nl-NL"/>
              </w:rPr>
              <w:t xml:space="preserve">deze </w:t>
            </w:r>
            <w:r w:rsidRPr="0052629D" w:rsidR="0052629D">
              <w:rPr>
                <w:rFonts w:eastAsia="Times New Roman" w:cs="Calibri"/>
                <w:color w:val="000000"/>
                <w:szCs w:val="18"/>
                <w:lang w:val="nl-NL" w:eastAsia="nl-NL"/>
              </w:rPr>
              <w:t>variant</w:t>
            </w:r>
            <w:r>
              <w:rPr>
                <w:rFonts w:eastAsia="Times New Roman" w:cs="Calibri"/>
                <w:color w:val="000000"/>
                <w:szCs w:val="18"/>
                <w:lang w:val="nl-NL" w:eastAsia="nl-NL"/>
              </w:rPr>
              <w:t xml:space="preserve"> </w:t>
            </w:r>
            <w:r w:rsidRPr="0052629D" w:rsidR="0052629D">
              <w:rPr>
                <w:rFonts w:eastAsia="Times New Roman" w:cs="Calibri"/>
                <w:color w:val="000000"/>
                <w:szCs w:val="18"/>
                <w:lang w:val="nl-NL" w:eastAsia="nl-NL"/>
              </w:rPr>
              <w:t xml:space="preserve">nog maximaal één aanvulling tot het sociaal minimum via de algemene bijstand. Daarvoor </w:t>
            </w:r>
            <w:r>
              <w:rPr>
                <w:rFonts w:eastAsia="Times New Roman" w:cs="Calibri"/>
                <w:color w:val="000000"/>
                <w:szCs w:val="18"/>
                <w:lang w:val="nl-NL" w:eastAsia="nl-NL"/>
              </w:rPr>
              <w:t xml:space="preserve">moeten zij dan altijd naar een tweede loket (de gemeente) en </w:t>
            </w:r>
            <w:r w:rsidRPr="0052629D" w:rsidR="0052629D">
              <w:rPr>
                <w:rFonts w:eastAsia="Times New Roman" w:cs="Calibri"/>
                <w:color w:val="000000"/>
                <w:szCs w:val="18"/>
                <w:lang w:val="nl-NL" w:eastAsia="nl-NL"/>
              </w:rPr>
              <w:t xml:space="preserve">gelden de voorwaarden uit de Participatiewet, waaronder de vermogenstoets. Het is </w:t>
            </w:r>
            <w:r w:rsidR="003648F8">
              <w:rPr>
                <w:rFonts w:eastAsia="Times New Roman" w:cs="Calibri"/>
                <w:color w:val="000000"/>
                <w:szCs w:val="18"/>
                <w:lang w:val="nl-NL" w:eastAsia="nl-NL"/>
              </w:rPr>
              <w:t>mogelijk</w:t>
            </w:r>
            <w:r w:rsidRPr="0052629D" w:rsidR="003648F8">
              <w:rPr>
                <w:rFonts w:eastAsia="Times New Roman" w:cs="Calibri"/>
                <w:color w:val="000000"/>
                <w:szCs w:val="18"/>
                <w:lang w:val="nl-NL" w:eastAsia="nl-NL"/>
              </w:rPr>
              <w:t xml:space="preserve"> </w:t>
            </w:r>
            <w:r w:rsidRPr="0052629D" w:rsidR="0052629D">
              <w:rPr>
                <w:rFonts w:eastAsia="Times New Roman" w:cs="Calibri"/>
                <w:color w:val="000000"/>
                <w:szCs w:val="18"/>
                <w:lang w:val="nl-NL" w:eastAsia="nl-NL"/>
              </w:rPr>
              <w:t xml:space="preserve">dat het niet-gebruik van de bijstand onder deze groep afneemt omdat hun mogelijke aanvulling vanuit de bijstand groter wordt. Het is tegelijkertijd </w:t>
            </w:r>
            <w:r w:rsidR="003648F8">
              <w:rPr>
                <w:rFonts w:eastAsia="Times New Roman" w:cs="Calibri"/>
                <w:color w:val="000000"/>
                <w:szCs w:val="18"/>
                <w:lang w:val="nl-NL" w:eastAsia="nl-NL"/>
              </w:rPr>
              <w:t>mogelijk</w:t>
            </w:r>
            <w:r w:rsidRPr="0052629D" w:rsidR="003648F8">
              <w:rPr>
                <w:rFonts w:eastAsia="Times New Roman" w:cs="Calibri"/>
                <w:color w:val="000000"/>
                <w:szCs w:val="18"/>
                <w:lang w:val="nl-NL" w:eastAsia="nl-NL"/>
              </w:rPr>
              <w:t xml:space="preserve"> </w:t>
            </w:r>
            <w:r w:rsidRPr="0052629D" w:rsidR="0052629D">
              <w:rPr>
                <w:rFonts w:eastAsia="Times New Roman" w:cs="Calibri"/>
                <w:color w:val="000000"/>
                <w:szCs w:val="18"/>
                <w:lang w:val="nl-NL" w:eastAsia="nl-NL"/>
              </w:rPr>
              <w:t>dat</w:t>
            </w:r>
            <w:r w:rsidR="003648F8">
              <w:rPr>
                <w:rFonts w:eastAsia="Times New Roman" w:cs="Calibri"/>
                <w:color w:val="000000"/>
                <w:szCs w:val="18"/>
                <w:lang w:val="nl-NL" w:eastAsia="nl-NL"/>
              </w:rPr>
              <w:t xml:space="preserve"> het</w:t>
            </w:r>
            <w:r w:rsidRPr="0052629D" w:rsidR="0052629D">
              <w:rPr>
                <w:rFonts w:eastAsia="Times New Roman" w:cs="Calibri"/>
                <w:color w:val="000000"/>
                <w:szCs w:val="18"/>
                <w:lang w:val="nl-NL" w:eastAsia="nl-NL"/>
              </w:rPr>
              <w:t xml:space="preserve"> niet-gebruik van de Toeslagenwet onder deze groep zich ‘verplaatst’ naar</w:t>
            </w:r>
            <w:r w:rsidR="0052629D">
              <w:rPr>
                <w:rFonts w:eastAsia="Times New Roman" w:cs="Calibri"/>
                <w:color w:val="000000"/>
                <w:szCs w:val="18"/>
                <w:lang w:val="nl-NL" w:eastAsia="nl-NL"/>
              </w:rPr>
              <w:t xml:space="preserve"> het</w:t>
            </w:r>
            <w:r w:rsidRPr="0052629D" w:rsidR="0052629D">
              <w:rPr>
                <w:rFonts w:eastAsia="Times New Roman" w:cs="Calibri"/>
                <w:color w:val="000000"/>
                <w:szCs w:val="18"/>
                <w:lang w:val="nl-NL" w:eastAsia="nl-NL"/>
              </w:rPr>
              <w:t xml:space="preserve"> niet-gebruik van de bijstand.</w:t>
            </w:r>
          </w:p>
          <w:p w:rsidRPr="00FD1605" w:rsidR="005E4A03" w:rsidP="00353D76" w:rsidRDefault="0052629D" w14:paraId="347D939B" w14:textId="326EE493">
            <w:pPr>
              <w:pStyle w:val="Lijstalinea"/>
              <w:numPr>
                <w:ilvl w:val="0"/>
                <w:numId w:val="15"/>
              </w:numPr>
              <w:rPr>
                <w:lang w:val="nl-NL" w:eastAsia="nl-NL"/>
              </w:rPr>
            </w:pPr>
            <w:r w:rsidRPr="000F7E27">
              <w:rPr>
                <w:rFonts w:cs="Calibri"/>
                <w:szCs w:val="18"/>
                <w:lang w:val="nl-NL"/>
              </w:rPr>
              <w:t xml:space="preserve">In deze variant geldt ook nog maximaal één aanvulling tot het sociaal minimum voor gehuwden via de algemene bijstand. </w:t>
            </w:r>
            <w:r w:rsidRPr="00353D76" w:rsidR="000F7E27">
              <w:rPr>
                <w:rFonts w:eastAsia="Times New Roman" w:cs="Calibri"/>
                <w:color w:val="000000"/>
                <w:szCs w:val="18"/>
                <w:lang w:val="nl-NL" w:eastAsia="nl-NL"/>
              </w:rPr>
              <w:t>Daarvoor moeten zij dan altijd naar een tweede loket (de gemeente) en gelden de voorwaarden uit de Participatiewet, waaronder de vermogenstoets.</w:t>
            </w:r>
          </w:p>
        </w:tc>
      </w:tr>
      <w:tr w:rsidRPr="00EB3835" w:rsidR="005E4A03" w:rsidTr="009C048F" w14:paraId="7102F902" w14:textId="77777777">
        <w:trPr>
          <w:trHeight w:val="315"/>
        </w:trPr>
        <w:tc>
          <w:tcPr>
            <w:tcW w:w="1951" w:type="dxa"/>
            <w:tcBorders>
              <w:top w:val="nil"/>
              <w:left w:val="single" w:color="auto" w:sz="8" w:space="0"/>
              <w:bottom w:val="single" w:color="auto" w:sz="8" w:space="0"/>
              <w:right w:val="nil"/>
            </w:tcBorders>
            <w:noWrap/>
          </w:tcPr>
          <w:p w:rsidRPr="00704454" w:rsidR="005E4A03" w:rsidP="00BF4FBB" w:rsidRDefault="005E4A03" w14:paraId="675A169D"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lastRenderedPageBreak/>
              <w:t xml:space="preserve">Keuzes binnen maatregel </w:t>
            </w:r>
          </w:p>
        </w:tc>
        <w:tc>
          <w:tcPr>
            <w:tcW w:w="8398" w:type="dxa"/>
            <w:tcBorders>
              <w:top w:val="single" w:color="auto" w:sz="4" w:space="0"/>
              <w:left w:val="single" w:color="auto" w:sz="4" w:space="0"/>
              <w:bottom w:val="single" w:color="auto" w:sz="8" w:space="0"/>
              <w:right w:val="single" w:color="auto" w:sz="4" w:space="0"/>
            </w:tcBorders>
            <w:noWrap/>
          </w:tcPr>
          <w:p w:rsidRPr="00FD1605" w:rsidR="005E4A03" w:rsidP="00BF4FBB" w:rsidRDefault="00EB55B2" w14:paraId="0622682B" w14:textId="541DD8C7">
            <w:pPr>
              <w:spacing w:after="0" w:line="240" w:lineRule="auto"/>
              <w:rPr>
                <w:szCs w:val="18"/>
                <w:lang w:val="nl-NL"/>
              </w:rPr>
            </w:pPr>
            <w:r>
              <w:rPr>
                <w:rFonts w:eastAsia="Times New Roman" w:cs="Calibri"/>
                <w:color w:val="000000"/>
                <w:szCs w:val="18"/>
                <w:lang w:val="nl-NL" w:eastAsia="nl-NL"/>
              </w:rPr>
              <w:t xml:space="preserve">Zie de beschreven varianten. Binnen elke variant kan gekeken worden welke mogelijkheden er zijn binnen het kader van het wetsvoorstel proactieve dienstverlening om gehuwde Wajonggerechtigden te wijzen op mogelijk recht op aanvullende bijstand. </w:t>
            </w:r>
            <w:r w:rsidRPr="00FD1605" w:rsidR="005E4A03">
              <w:rPr>
                <w:rFonts w:eastAsia="Times New Roman" w:cs="Calibri"/>
                <w:color w:val="000000"/>
                <w:szCs w:val="18"/>
                <w:lang w:val="nl-NL" w:eastAsia="nl-NL"/>
              </w:rPr>
              <w:t xml:space="preserve"> </w:t>
            </w:r>
            <w:r w:rsidRPr="00FD1605" w:rsidDel="00505F55" w:rsidR="005E4A03">
              <w:rPr>
                <w:rFonts w:eastAsia="Times New Roman" w:cs="Calibri"/>
                <w:color w:val="000000"/>
                <w:szCs w:val="18"/>
                <w:lang w:val="nl-NL" w:eastAsia="nl-NL"/>
              </w:rPr>
              <w:t xml:space="preserve"> </w:t>
            </w:r>
          </w:p>
        </w:tc>
      </w:tr>
      <w:tr w:rsidRPr="00EB3835" w:rsidR="005E4A03" w:rsidTr="009C048F" w14:paraId="787B1532" w14:textId="77777777">
        <w:trPr>
          <w:trHeight w:val="727"/>
        </w:trPr>
        <w:tc>
          <w:tcPr>
            <w:tcW w:w="1951" w:type="dxa"/>
            <w:tcBorders>
              <w:top w:val="nil"/>
              <w:left w:val="single" w:color="auto" w:sz="8" w:space="0"/>
              <w:bottom w:val="single" w:color="auto" w:sz="8" w:space="0"/>
              <w:right w:val="nil"/>
            </w:tcBorders>
            <w:noWrap/>
          </w:tcPr>
          <w:p w:rsidRPr="00704454" w:rsidR="005E4A03" w:rsidP="00BF4FBB" w:rsidRDefault="005E4A03" w14:paraId="1A17B532"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Tijdpad inwerkingtreding</w:t>
            </w:r>
          </w:p>
        </w:tc>
        <w:tc>
          <w:tcPr>
            <w:tcW w:w="8398" w:type="dxa"/>
            <w:tcBorders>
              <w:top w:val="single" w:color="auto" w:sz="4" w:space="0"/>
              <w:left w:val="single" w:color="auto" w:sz="4" w:space="0"/>
              <w:bottom w:val="single" w:color="auto" w:sz="8" w:space="0"/>
              <w:right w:val="single" w:color="auto" w:sz="4" w:space="0"/>
            </w:tcBorders>
            <w:noWrap/>
          </w:tcPr>
          <w:p w:rsidRPr="00FD1605" w:rsidR="005E4A03" w:rsidP="00BF4FBB" w:rsidRDefault="005E4A03" w14:paraId="1A8EEF32" w14:textId="193BBDFC">
            <w:pPr>
              <w:spacing w:after="0" w:line="240" w:lineRule="auto"/>
              <w:rPr>
                <w:rFonts w:eastAsia="Times New Roman" w:cs="Calibri"/>
                <w:color w:val="000000"/>
                <w:szCs w:val="18"/>
                <w:lang w:val="nl-NL" w:eastAsia="nl-NL"/>
              </w:rPr>
            </w:pPr>
            <w:r w:rsidRPr="00FD1605">
              <w:rPr>
                <w:rFonts w:eastAsia="Times New Roman" w:cs="Calibri"/>
                <w:color w:val="000000"/>
                <w:szCs w:val="18"/>
                <w:lang w:val="nl-NL" w:eastAsia="nl-NL"/>
              </w:rPr>
              <w:t xml:space="preserve">Er zijn wijzigingen in wet- en regelgeving nodig. Voor een wetstraject wordt  een gemiddelde duur van 2 jaar gehanteerd. Ook dient rekening te worden gehouden met eventuele extra tijd voor de implementatie door de uitvoerder(s). </w:t>
            </w:r>
          </w:p>
        </w:tc>
      </w:tr>
      <w:tr w:rsidRPr="00EB3835" w:rsidR="005E4A03" w:rsidTr="009C048F" w14:paraId="28448F7D" w14:textId="77777777">
        <w:trPr>
          <w:trHeight w:val="315"/>
        </w:trPr>
        <w:tc>
          <w:tcPr>
            <w:tcW w:w="1951" w:type="dxa"/>
            <w:tcBorders>
              <w:top w:val="nil"/>
              <w:left w:val="single" w:color="auto" w:sz="8" w:space="0"/>
              <w:bottom w:val="single" w:color="auto" w:sz="8" w:space="0"/>
              <w:right w:val="nil"/>
            </w:tcBorders>
            <w:noWrap/>
          </w:tcPr>
          <w:p w:rsidRPr="00704454" w:rsidR="005E4A03" w:rsidP="00BF4FBB" w:rsidRDefault="005E4A03" w14:paraId="24E91CAC"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Juridische haalbaarheid</w:t>
            </w:r>
          </w:p>
        </w:tc>
        <w:tc>
          <w:tcPr>
            <w:tcW w:w="8398" w:type="dxa"/>
            <w:tcBorders>
              <w:top w:val="single" w:color="auto" w:sz="4" w:space="0"/>
              <w:left w:val="single" w:color="auto" w:sz="4" w:space="0"/>
              <w:bottom w:val="single" w:color="auto" w:sz="8" w:space="0"/>
              <w:right w:val="single" w:color="auto" w:sz="4" w:space="0"/>
            </w:tcBorders>
            <w:noWrap/>
          </w:tcPr>
          <w:p w:rsidRPr="00FD1605" w:rsidR="005E4A03" w:rsidP="00BF4FBB" w:rsidRDefault="00681EDB" w14:paraId="1DFDAF8E" w14:textId="50470426">
            <w:pPr>
              <w:spacing w:after="0" w:line="240" w:lineRule="auto"/>
              <w:rPr>
                <w:rFonts w:eastAsia="Times New Roman" w:cs="Calibri"/>
                <w:color w:val="000000"/>
                <w:szCs w:val="18"/>
                <w:lang w:val="nl-NL" w:eastAsia="nl-NL"/>
              </w:rPr>
            </w:pPr>
            <w:r>
              <w:rPr>
                <w:rFonts w:eastAsia="Times New Roman" w:cs="Calibri"/>
                <w:color w:val="000000"/>
                <w:szCs w:val="18"/>
                <w:lang w:val="nl-NL" w:eastAsia="nl-NL"/>
              </w:rPr>
              <w:t>In alle varianten</w:t>
            </w:r>
            <w:r w:rsidRPr="00FD1605">
              <w:rPr>
                <w:rFonts w:eastAsia="Times New Roman" w:cs="Calibri"/>
                <w:color w:val="000000"/>
                <w:szCs w:val="18"/>
                <w:lang w:val="nl-NL" w:eastAsia="nl-NL"/>
              </w:rPr>
              <w:t xml:space="preserve"> </w:t>
            </w:r>
            <w:r w:rsidRPr="00FD1605" w:rsidR="005E4A03">
              <w:rPr>
                <w:rFonts w:eastAsia="Times New Roman" w:cs="Calibri"/>
                <w:color w:val="000000"/>
                <w:szCs w:val="18"/>
                <w:lang w:val="nl-NL" w:eastAsia="nl-NL"/>
              </w:rPr>
              <w:t>is een wetswijziging nodig van de Wajong</w:t>
            </w:r>
            <w:r w:rsidRPr="00FD1605" w:rsidR="00C028D7">
              <w:rPr>
                <w:rFonts w:eastAsia="Times New Roman" w:cs="Calibri"/>
                <w:color w:val="000000"/>
                <w:szCs w:val="18"/>
                <w:lang w:val="nl-NL" w:eastAsia="nl-NL"/>
              </w:rPr>
              <w:t xml:space="preserve">. </w:t>
            </w:r>
            <w:r w:rsidRPr="00FD1605" w:rsidR="005E4A03">
              <w:rPr>
                <w:rFonts w:eastAsia="Times New Roman" w:cs="Calibri"/>
                <w:color w:val="000000" w:themeColor="text1"/>
                <w:szCs w:val="18"/>
                <w:lang w:val="nl-NL" w:eastAsia="nl-NL"/>
              </w:rPr>
              <w:t xml:space="preserve">Bij </w:t>
            </w:r>
            <w:r w:rsidRPr="00FD1605" w:rsidR="005E4A03">
              <w:rPr>
                <w:rFonts w:eastAsia="Times New Roman" w:cs="Calibri"/>
                <w:color w:val="000000"/>
                <w:szCs w:val="18"/>
                <w:lang w:val="nl-NL" w:eastAsia="nl-NL"/>
              </w:rPr>
              <w:t xml:space="preserve">variant b </w:t>
            </w:r>
            <w:r w:rsidR="00456AE6">
              <w:rPr>
                <w:rFonts w:eastAsia="Times New Roman" w:cs="Calibri"/>
                <w:color w:val="000000"/>
                <w:szCs w:val="18"/>
                <w:lang w:val="nl-NL" w:eastAsia="nl-NL"/>
              </w:rPr>
              <w:t xml:space="preserve">en c </w:t>
            </w:r>
            <w:r w:rsidRPr="00FD1605" w:rsidR="005E4A03">
              <w:rPr>
                <w:rFonts w:eastAsia="Times New Roman" w:cs="Calibri"/>
                <w:color w:val="000000"/>
                <w:szCs w:val="18"/>
                <w:lang w:val="nl-NL" w:eastAsia="nl-NL"/>
              </w:rPr>
              <w:t xml:space="preserve">is </w:t>
            </w:r>
            <w:r>
              <w:rPr>
                <w:rFonts w:eastAsia="Times New Roman" w:cs="Calibri"/>
                <w:color w:val="000000"/>
                <w:szCs w:val="18"/>
                <w:lang w:val="nl-NL" w:eastAsia="nl-NL"/>
              </w:rPr>
              <w:t xml:space="preserve">daarnaast </w:t>
            </w:r>
            <w:r w:rsidRPr="00FD1605" w:rsidR="005E4A03">
              <w:rPr>
                <w:rFonts w:eastAsia="Times New Roman" w:cs="Calibri"/>
                <w:color w:val="000000"/>
                <w:szCs w:val="18"/>
                <w:lang w:val="nl-NL" w:eastAsia="nl-NL"/>
              </w:rPr>
              <w:t xml:space="preserve">een wijziging van de Toeslagenwet </w:t>
            </w:r>
            <w:r w:rsidR="00890B24">
              <w:rPr>
                <w:rFonts w:eastAsia="Times New Roman" w:cs="Calibri"/>
                <w:color w:val="000000"/>
                <w:szCs w:val="18"/>
                <w:lang w:val="nl-NL" w:eastAsia="nl-NL"/>
              </w:rPr>
              <w:t xml:space="preserve">en lagere regelgeving </w:t>
            </w:r>
            <w:r w:rsidRPr="00FD1605" w:rsidR="005E4A03">
              <w:rPr>
                <w:rFonts w:eastAsia="Times New Roman" w:cs="Calibri"/>
                <w:color w:val="000000"/>
                <w:szCs w:val="18"/>
                <w:lang w:val="nl-NL" w:eastAsia="nl-NL"/>
              </w:rPr>
              <w:t xml:space="preserve">nodig. </w:t>
            </w:r>
            <w:r w:rsidR="00AA5AE8">
              <w:rPr>
                <w:rFonts w:eastAsia="Times New Roman" w:cs="Calibri"/>
                <w:color w:val="000000"/>
                <w:szCs w:val="18"/>
                <w:lang w:val="nl-NL" w:eastAsia="nl-NL"/>
              </w:rPr>
              <w:t xml:space="preserve">Er moet een keuze worden gemaakt en </w:t>
            </w:r>
            <w:r>
              <w:rPr>
                <w:rFonts w:eastAsia="Times New Roman" w:cs="Calibri"/>
                <w:color w:val="000000"/>
                <w:szCs w:val="18"/>
                <w:lang w:val="nl-NL" w:eastAsia="nl-NL"/>
              </w:rPr>
              <w:t>onderbouwd</w:t>
            </w:r>
            <w:r w:rsidR="00AA5AE8">
              <w:rPr>
                <w:rFonts w:eastAsia="Times New Roman" w:cs="Calibri"/>
                <w:color w:val="000000"/>
                <w:szCs w:val="18"/>
                <w:lang w:val="nl-NL" w:eastAsia="nl-NL"/>
              </w:rPr>
              <w:t xml:space="preserve"> t.a.v.</w:t>
            </w:r>
            <w:r w:rsidRPr="00FD1605" w:rsidR="005E4A03">
              <w:rPr>
                <w:rFonts w:eastAsia="Times New Roman" w:cs="Calibri"/>
                <w:color w:val="000000"/>
                <w:szCs w:val="18"/>
                <w:lang w:val="nl-NL" w:eastAsia="nl-NL"/>
              </w:rPr>
              <w:t xml:space="preserve"> overgangsrecht. </w:t>
            </w:r>
            <w:r w:rsidR="000B755F">
              <w:rPr>
                <w:rFonts w:eastAsia="Times New Roman" w:cs="Calibri"/>
                <w:color w:val="000000"/>
                <w:szCs w:val="18"/>
                <w:lang w:val="nl-NL" w:eastAsia="nl-NL"/>
              </w:rPr>
              <w:t>Daarbij</w:t>
            </w:r>
            <w:r w:rsidRPr="00FD1605" w:rsidR="000B755F">
              <w:rPr>
                <w:rFonts w:eastAsia="Times New Roman" w:cs="Calibri"/>
                <w:color w:val="000000"/>
                <w:szCs w:val="18"/>
                <w:lang w:val="nl-NL" w:eastAsia="nl-NL"/>
              </w:rPr>
              <w:t xml:space="preserve"> </w:t>
            </w:r>
            <w:r w:rsidRPr="00FD1605" w:rsidR="005E4A03">
              <w:rPr>
                <w:rFonts w:eastAsia="Times New Roman" w:cs="Calibri"/>
                <w:color w:val="000000"/>
                <w:szCs w:val="18"/>
                <w:lang w:val="nl-NL" w:eastAsia="nl-NL"/>
              </w:rPr>
              <w:t xml:space="preserve">moet worden uitgezocht of er sprake is van eigendomsrechten die gerespecteerd moeten worden en wat te doen bij samenloop met andere uitkeringen waaruit een TW-recht kan ontstaan. </w:t>
            </w:r>
            <w:r w:rsidRPr="00FD1605" w:rsidR="005E4A03">
              <w:rPr>
                <w:szCs w:val="18"/>
                <w:lang w:val="nl-NL"/>
              </w:rPr>
              <w:t xml:space="preserve">Er is een risico op een lange overgangsperiode waarin twee verschillende regimes moeten worden uitgevoerd. </w:t>
            </w:r>
            <w:r w:rsidR="00AA5AE8">
              <w:rPr>
                <w:szCs w:val="18"/>
                <w:lang w:val="nl-NL"/>
              </w:rPr>
              <w:t xml:space="preserve">Alle varianten staan op gespannen voet met </w:t>
            </w:r>
            <w:r w:rsidR="00C27D64">
              <w:rPr>
                <w:szCs w:val="18"/>
                <w:lang w:val="nl-NL"/>
              </w:rPr>
              <w:t>het</w:t>
            </w:r>
            <w:r w:rsidR="00AA5AE8">
              <w:rPr>
                <w:szCs w:val="18"/>
                <w:lang w:val="nl-NL"/>
              </w:rPr>
              <w:t xml:space="preserve"> “</w:t>
            </w:r>
            <w:proofErr w:type="spellStart"/>
            <w:r w:rsidR="00AA5AE8">
              <w:rPr>
                <w:szCs w:val="18"/>
                <w:lang w:val="nl-NL"/>
              </w:rPr>
              <w:t>standstill</w:t>
            </w:r>
            <w:proofErr w:type="spellEnd"/>
            <w:r w:rsidR="00AA5AE8">
              <w:rPr>
                <w:szCs w:val="18"/>
                <w:lang w:val="nl-NL"/>
              </w:rPr>
              <w:t>”-be</w:t>
            </w:r>
            <w:r w:rsidR="00C27D64">
              <w:rPr>
                <w:szCs w:val="18"/>
                <w:lang w:val="nl-NL"/>
              </w:rPr>
              <w:t>ginsel</w:t>
            </w:r>
            <w:r w:rsidR="00AA5AE8">
              <w:rPr>
                <w:szCs w:val="18"/>
                <w:lang w:val="nl-NL"/>
              </w:rPr>
              <w:t xml:space="preserve"> in</w:t>
            </w:r>
            <w:r w:rsidRPr="00FD1605" w:rsidR="005E4A03">
              <w:rPr>
                <w:szCs w:val="18"/>
                <w:lang w:val="nl-NL"/>
              </w:rPr>
              <w:t xml:space="preserve"> het VN-verdrag inzake de rechten van personen met een handicap.</w:t>
            </w:r>
            <w:r w:rsidR="00A31BFD">
              <w:rPr>
                <w:rStyle w:val="Voetnootmarkering"/>
                <w:szCs w:val="18"/>
                <w:lang w:val="nl-NL"/>
              </w:rPr>
              <w:footnoteReference w:id="15"/>
            </w:r>
            <w:r w:rsidRPr="00FD1605" w:rsidR="005E4A03">
              <w:rPr>
                <w:szCs w:val="18"/>
                <w:lang w:val="nl-NL"/>
              </w:rPr>
              <w:t xml:space="preserve"> </w:t>
            </w:r>
            <w:r w:rsidR="007111C5">
              <w:rPr>
                <w:szCs w:val="18"/>
                <w:lang w:val="nl-NL"/>
              </w:rPr>
              <w:t xml:space="preserve">Er moet worden uitgezocht hoe deze maatregelen en zich verhouden tot het gelijkheidsbeginsel. </w:t>
            </w:r>
            <w:r w:rsidRPr="00FD1605" w:rsidR="005E4A03">
              <w:rPr>
                <w:szCs w:val="18"/>
                <w:lang w:val="nl-NL"/>
              </w:rPr>
              <w:t xml:space="preserve">Tevens zal moeten worden gekeken hoe om te gaan met </w:t>
            </w:r>
            <w:proofErr w:type="spellStart"/>
            <w:r w:rsidRPr="00FD1605" w:rsidR="005E4A03">
              <w:rPr>
                <w:szCs w:val="18"/>
                <w:lang w:val="nl-NL"/>
              </w:rPr>
              <w:t>herlevingen</w:t>
            </w:r>
            <w:proofErr w:type="spellEnd"/>
            <w:r w:rsidRPr="00FD1605" w:rsidR="005E4A03">
              <w:rPr>
                <w:szCs w:val="18"/>
                <w:lang w:val="nl-NL"/>
              </w:rPr>
              <w:t>.</w:t>
            </w:r>
            <w:r w:rsidR="00131DFD">
              <w:rPr>
                <w:szCs w:val="18"/>
                <w:lang w:val="nl-NL"/>
              </w:rPr>
              <w:t xml:space="preserve"> </w:t>
            </w:r>
            <w:r w:rsidRPr="00FD1605" w:rsidR="00131DFD">
              <w:rPr>
                <w:rFonts w:eastAsia="Times New Roman" w:cs="Calibri"/>
                <w:color w:val="000000"/>
                <w:szCs w:val="18"/>
                <w:lang w:val="nl-NL" w:eastAsia="nl-NL"/>
              </w:rPr>
              <w:t xml:space="preserve">Daarbij dient ook aandacht te worden gegeven aan de export van aanvullende toeslagen in enkele gevallen waarin bilaterale verdragen een rol spelen. </w:t>
            </w:r>
          </w:p>
        </w:tc>
      </w:tr>
      <w:tr w:rsidRPr="00EB3835" w:rsidR="005E4A03" w:rsidTr="009C048F" w14:paraId="445A75C4" w14:textId="77777777">
        <w:trPr>
          <w:trHeight w:val="315"/>
        </w:trPr>
        <w:tc>
          <w:tcPr>
            <w:tcW w:w="1951" w:type="dxa"/>
            <w:tcBorders>
              <w:top w:val="nil"/>
              <w:left w:val="single" w:color="auto" w:sz="8" w:space="0"/>
              <w:bottom w:val="single" w:color="auto" w:sz="8" w:space="0"/>
              <w:right w:val="nil"/>
            </w:tcBorders>
            <w:noWrap/>
          </w:tcPr>
          <w:p w:rsidRPr="00704454" w:rsidR="005E4A03" w:rsidP="00BF4FBB" w:rsidRDefault="005E4A03" w14:paraId="69416B06"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Uitvoerbaarheid</w:t>
            </w:r>
          </w:p>
        </w:tc>
        <w:tc>
          <w:tcPr>
            <w:tcW w:w="8398" w:type="dxa"/>
            <w:tcBorders>
              <w:top w:val="single" w:color="auto" w:sz="4" w:space="0"/>
              <w:left w:val="single" w:color="auto" w:sz="4" w:space="0"/>
              <w:bottom w:val="single" w:color="auto" w:sz="8" w:space="0"/>
              <w:right w:val="single" w:color="auto" w:sz="4" w:space="0"/>
            </w:tcBorders>
            <w:noWrap/>
          </w:tcPr>
          <w:p w:rsidRPr="00FD1605" w:rsidR="005E4A03" w:rsidP="00BF4FBB" w:rsidRDefault="00B31097" w14:paraId="0DB3C35D" w14:textId="57A5225D">
            <w:pPr>
              <w:spacing w:after="0" w:line="240" w:lineRule="auto"/>
              <w:rPr>
                <w:rFonts w:eastAsia="Times New Roman" w:cs="Calibri"/>
                <w:color w:val="000000"/>
                <w:szCs w:val="18"/>
                <w:lang w:val="nl-NL" w:eastAsia="nl-NL"/>
              </w:rPr>
            </w:pPr>
            <w:r>
              <w:rPr>
                <w:rFonts w:eastAsia="DejaVu Sans" w:cs="Calibri Light"/>
                <w:color w:val="000000"/>
                <w:szCs w:val="18"/>
                <w:lang w:val="nl-NL"/>
              </w:rPr>
              <w:t>Alle</w:t>
            </w:r>
            <w:r w:rsidRPr="00FD1605">
              <w:rPr>
                <w:rFonts w:eastAsia="DejaVu Sans" w:cs="Calibri Light"/>
                <w:color w:val="000000"/>
                <w:szCs w:val="18"/>
                <w:lang w:val="nl-NL"/>
              </w:rPr>
              <w:t xml:space="preserve"> </w:t>
            </w:r>
            <w:r w:rsidRPr="00FD1605" w:rsidR="005E4A03">
              <w:rPr>
                <w:rFonts w:eastAsia="DejaVu Sans" w:cs="Calibri Light"/>
                <w:color w:val="000000"/>
                <w:szCs w:val="18"/>
                <w:lang w:val="nl-NL"/>
              </w:rPr>
              <w:t xml:space="preserve">varianten zijn een vereenvoudiging voor UWV. </w:t>
            </w:r>
            <w:r w:rsidRPr="00FD1605" w:rsidR="005E4A03">
              <w:rPr>
                <w:rFonts w:eastAsia="Times New Roman" w:cs="Calibri"/>
                <w:color w:val="000000"/>
                <w:szCs w:val="18"/>
                <w:lang w:val="nl-NL" w:eastAsia="nl-NL"/>
              </w:rPr>
              <w:t xml:space="preserve">Alvorens inwerkingtreding kan plaatsvinden moeten systemen en werkprocessen worden aangepast. Ook zullen medewerkers moeten worden opgeleid voor de nieuwe werkwijze. </w:t>
            </w:r>
            <w:r w:rsidRPr="00FD1605" w:rsidR="005E4A03">
              <w:rPr>
                <w:rFonts w:eastAsia="DejaVu Sans" w:cs="Calibri Light"/>
                <w:color w:val="000000"/>
                <w:szCs w:val="18"/>
                <w:lang w:val="nl-NL"/>
              </w:rPr>
              <w:t>UWV krijgt minder Toeslagenwetaanvragen en het lopend bestand op de Toeslagenwet zal dalen als gevolg van de maatregel</w:t>
            </w:r>
            <w:r>
              <w:rPr>
                <w:rFonts w:eastAsia="DejaVu Sans" w:cs="Calibri Light"/>
                <w:color w:val="000000"/>
                <w:szCs w:val="18"/>
                <w:lang w:val="nl-NL"/>
              </w:rPr>
              <w:t>.</w:t>
            </w:r>
            <w:r w:rsidRPr="00FD1605" w:rsidR="005E4A03">
              <w:rPr>
                <w:rFonts w:eastAsia="DejaVu Sans" w:cs="Calibri Light"/>
                <w:color w:val="000000"/>
                <w:szCs w:val="18"/>
                <w:lang w:val="nl-NL"/>
              </w:rPr>
              <w:t xml:space="preserve"> UWV verwacht dat variant a eenvoudiger is uit te voeren dan variant b omdat bij variant b (mogelijk) complexer overgangsrecht en een langere overgangsperiode nodig </w:t>
            </w:r>
            <w:r>
              <w:rPr>
                <w:rFonts w:eastAsia="DejaVu Sans" w:cs="Calibri Light"/>
                <w:color w:val="000000"/>
                <w:szCs w:val="18"/>
                <w:lang w:val="nl-NL"/>
              </w:rPr>
              <w:t>is</w:t>
            </w:r>
            <w:r w:rsidRPr="00FD1605" w:rsidR="005E4A03">
              <w:rPr>
                <w:rFonts w:eastAsia="DejaVu Sans" w:cs="Calibri Light"/>
                <w:color w:val="000000"/>
                <w:szCs w:val="18"/>
                <w:lang w:val="nl-NL"/>
              </w:rPr>
              <w:t xml:space="preserve">. De mate van complexiteit van het overgangsrecht is afhankelijk van te maken keuzes rondom zaken als </w:t>
            </w:r>
            <w:proofErr w:type="spellStart"/>
            <w:r w:rsidRPr="00FD1605" w:rsidR="005E4A03">
              <w:rPr>
                <w:rFonts w:eastAsia="DejaVu Sans" w:cs="Calibri Light"/>
                <w:color w:val="000000"/>
                <w:szCs w:val="18"/>
                <w:lang w:val="nl-NL"/>
              </w:rPr>
              <w:t>herlevingen</w:t>
            </w:r>
            <w:proofErr w:type="spellEnd"/>
            <w:r w:rsidRPr="00FD1605" w:rsidR="005E4A03">
              <w:rPr>
                <w:rFonts w:eastAsia="DejaVu Sans" w:cs="Calibri Light"/>
                <w:color w:val="000000"/>
                <w:szCs w:val="18"/>
                <w:lang w:val="nl-NL"/>
              </w:rPr>
              <w:t xml:space="preserve">, toekenningen met terugwerkende kracht etc. </w:t>
            </w:r>
            <w:r w:rsidRPr="00FD1605" w:rsidR="005E4A03">
              <w:rPr>
                <w:rFonts w:eastAsia="Times New Roman" w:cs="Calibri"/>
                <w:color w:val="000000"/>
                <w:szCs w:val="18"/>
                <w:lang w:val="nl-NL" w:eastAsia="nl-NL"/>
              </w:rPr>
              <w:t xml:space="preserve">Bij variant b </w:t>
            </w:r>
            <w:r>
              <w:rPr>
                <w:rFonts w:eastAsia="Times New Roman" w:cs="Calibri"/>
                <w:color w:val="000000"/>
                <w:szCs w:val="18"/>
                <w:lang w:val="nl-NL" w:eastAsia="nl-NL"/>
              </w:rPr>
              <w:t xml:space="preserve">en c </w:t>
            </w:r>
            <w:r w:rsidRPr="00FD1605" w:rsidR="005E4A03">
              <w:rPr>
                <w:rFonts w:eastAsia="Times New Roman" w:cs="Calibri"/>
                <w:color w:val="000000"/>
                <w:szCs w:val="18"/>
                <w:lang w:val="nl-NL" w:eastAsia="nl-NL"/>
              </w:rPr>
              <w:t>zal een extra beroep op capaciteit in gemeentes worden gedaan omdat naar verwachting meer gehuwde Wajong-gerechtigden een aanvraag voor aanvullende bijstand zullen doen.</w:t>
            </w:r>
          </w:p>
        </w:tc>
      </w:tr>
      <w:tr w:rsidRPr="00143C98" w:rsidR="005E4A03" w:rsidTr="00656119" w14:paraId="138F1C7E" w14:textId="77777777">
        <w:trPr>
          <w:trHeight w:val="5225"/>
        </w:trPr>
        <w:tc>
          <w:tcPr>
            <w:tcW w:w="1951" w:type="dxa"/>
            <w:tcBorders>
              <w:top w:val="nil"/>
              <w:left w:val="single" w:color="auto" w:sz="8" w:space="0"/>
              <w:bottom w:val="single" w:color="auto" w:sz="8" w:space="0"/>
              <w:right w:val="nil"/>
            </w:tcBorders>
            <w:noWrap/>
          </w:tcPr>
          <w:p w:rsidRPr="00704454" w:rsidR="005E4A03" w:rsidP="00BF4FBB" w:rsidRDefault="005E4A03" w14:paraId="5D64B5C5"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lastRenderedPageBreak/>
              <w:t>Financiële effecten</w:t>
            </w:r>
          </w:p>
        </w:tc>
        <w:tc>
          <w:tcPr>
            <w:tcW w:w="8398" w:type="dxa"/>
            <w:tcBorders>
              <w:top w:val="single" w:color="auto" w:sz="4" w:space="0"/>
              <w:left w:val="single" w:color="auto" w:sz="4" w:space="0"/>
              <w:bottom w:val="single" w:color="auto" w:sz="8" w:space="0"/>
              <w:right w:val="single" w:color="auto" w:sz="4" w:space="0"/>
            </w:tcBorders>
            <w:noWrap/>
          </w:tcPr>
          <w:p w:rsidRPr="00FD1605" w:rsidR="005E4A03" w:rsidP="00BF4FBB" w:rsidRDefault="005E4A03" w14:paraId="7B9E3109" w14:textId="77777777">
            <w:pPr>
              <w:spacing w:after="0" w:line="240" w:lineRule="auto"/>
              <w:rPr>
                <w:rFonts w:eastAsia="Times New Roman" w:cs="Calibri"/>
                <w:color w:val="000000"/>
                <w:szCs w:val="18"/>
                <w:lang w:val="nl-NL" w:eastAsia="nl-NL"/>
              </w:rPr>
            </w:pPr>
          </w:p>
          <w:tbl>
            <w:tblPr>
              <w:tblStyle w:val="Tabelraster"/>
              <w:tblpPr w:leftFromText="141" w:rightFromText="141" w:vertAnchor="page" w:horzAnchor="margin" w:tblpY="541"/>
              <w:tblOverlap w:val="never"/>
              <w:tblW w:w="4974"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val="01E0" w:firstRow="1" w:lastRow="1" w:firstColumn="1" w:lastColumn="1" w:noHBand="0" w:noVBand="0"/>
            </w:tblPr>
            <w:tblGrid>
              <w:gridCol w:w="1808"/>
              <w:gridCol w:w="617"/>
              <w:gridCol w:w="653"/>
              <w:gridCol w:w="747"/>
              <w:gridCol w:w="1274"/>
              <w:gridCol w:w="1134"/>
              <w:gridCol w:w="1275"/>
              <w:gridCol w:w="699"/>
            </w:tblGrid>
            <w:tr w:rsidRPr="00E65D2F" w:rsidR="00D50265" w:rsidTr="005625CB" w14:paraId="2F2777BC" w14:textId="77777777">
              <w:tc>
                <w:tcPr>
                  <w:tcW w:w="1101" w:type="pct"/>
                  <w:tcBorders>
                    <w:top w:val="single" w:color="auto" w:sz="4" w:space="0"/>
                    <w:left w:val="single" w:color="auto" w:sz="4" w:space="0"/>
                  </w:tcBorders>
                </w:tcPr>
                <w:p w:rsidRPr="00903A94" w:rsidR="00221A2C" w:rsidP="00221A2C" w:rsidRDefault="00221A2C" w14:paraId="396560C2" w14:textId="77777777">
                  <w:pPr>
                    <w:rPr>
                      <w:rFonts w:ascii="Verdana" w:hAnsi="Verdana"/>
                      <w:b/>
                      <w:sz w:val="14"/>
                      <w:szCs w:val="14"/>
                    </w:rPr>
                  </w:pPr>
                  <w:r w:rsidRPr="00903A94">
                    <w:rPr>
                      <w:rFonts w:ascii="Verdana" w:hAnsi="Verdana"/>
                      <w:b/>
                      <w:sz w:val="14"/>
                      <w:szCs w:val="14"/>
                    </w:rPr>
                    <w:t>Variant a</w:t>
                  </w:r>
                </w:p>
              </w:tc>
              <w:tc>
                <w:tcPr>
                  <w:tcW w:w="376" w:type="pct"/>
                  <w:tcBorders>
                    <w:top w:val="single" w:color="auto" w:sz="4" w:space="0"/>
                  </w:tcBorders>
                </w:tcPr>
                <w:p w:rsidRPr="00903A94" w:rsidR="00221A2C" w:rsidP="00221A2C" w:rsidRDefault="00221A2C" w14:paraId="013DBF6F" w14:textId="36FFABA5">
                  <w:pPr>
                    <w:jc w:val="right"/>
                    <w:rPr>
                      <w:rFonts w:ascii="Verdana" w:hAnsi="Verdana"/>
                      <w:b/>
                      <w:bCs/>
                      <w:sz w:val="14"/>
                      <w:szCs w:val="14"/>
                    </w:rPr>
                  </w:pPr>
                  <w:r w:rsidRPr="00903A94">
                    <w:rPr>
                      <w:rFonts w:ascii="Verdana" w:hAnsi="Verdana"/>
                      <w:b/>
                      <w:bCs/>
                      <w:sz w:val="14"/>
                      <w:szCs w:val="14"/>
                    </w:rPr>
                    <w:t>202</w:t>
                  </w:r>
                  <w:r w:rsidRPr="00903A94" w:rsidR="00903A94">
                    <w:rPr>
                      <w:rFonts w:ascii="Verdana" w:hAnsi="Verdana"/>
                      <w:b/>
                      <w:bCs/>
                      <w:sz w:val="14"/>
                      <w:szCs w:val="14"/>
                    </w:rPr>
                    <w:t>6</w:t>
                  </w:r>
                </w:p>
              </w:tc>
              <w:tc>
                <w:tcPr>
                  <w:tcW w:w="398" w:type="pct"/>
                  <w:tcBorders>
                    <w:top w:val="single" w:color="auto" w:sz="4" w:space="0"/>
                  </w:tcBorders>
                </w:tcPr>
                <w:p w:rsidRPr="00903A94" w:rsidR="00221A2C" w:rsidP="00221A2C" w:rsidRDefault="00221A2C" w14:paraId="38E5A758" w14:textId="0968AB84">
                  <w:pPr>
                    <w:jc w:val="right"/>
                    <w:rPr>
                      <w:rFonts w:ascii="Verdana" w:hAnsi="Verdana"/>
                      <w:b/>
                      <w:bCs/>
                      <w:sz w:val="14"/>
                      <w:szCs w:val="14"/>
                    </w:rPr>
                  </w:pPr>
                  <w:r w:rsidRPr="00903A94">
                    <w:rPr>
                      <w:rFonts w:ascii="Verdana" w:hAnsi="Verdana"/>
                      <w:b/>
                      <w:bCs/>
                      <w:sz w:val="14"/>
                      <w:szCs w:val="14"/>
                    </w:rPr>
                    <w:t>202</w:t>
                  </w:r>
                  <w:r w:rsidRPr="00903A94" w:rsidR="00903A94">
                    <w:rPr>
                      <w:rFonts w:ascii="Verdana" w:hAnsi="Verdana"/>
                      <w:b/>
                      <w:bCs/>
                      <w:sz w:val="14"/>
                      <w:szCs w:val="14"/>
                    </w:rPr>
                    <w:t>7</w:t>
                  </w:r>
                </w:p>
              </w:tc>
              <w:tc>
                <w:tcPr>
                  <w:tcW w:w="455" w:type="pct"/>
                  <w:tcBorders>
                    <w:top w:val="single" w:color="auto" w:sz="4" w:space="0"/>
                  </w:tcBorders>
                </w:tcPr>
                <w:p w:rsidRPr="00903A94" w:rsidR="00221A2C" w:rsidP="00221A2C" w:rsidRDefault="00221A2C" w14:paraId="5D51A047" w14:textId="0F88A0E0">
                  <w:pPr>
                    <w:jc w:val="right"/>
                    <w:rPr>
                      <w:rFonts w:ascii="Verdana" w:hAnsi="Verdana"/>
                      <w:b/>
                      <w:bCs/>
                      <w:sz w:val="14"/>
                      <w:szCs w:val="14"/>
                    </w:rPr>
                  </w:pPr>
                  <w:r w:rsidRPr="00903A94">
                    <w:rPr>
                      <w:rFonts w:ascii="Verdana" w:hAnsi="Verdana"/>
                      <w:b/>
                      <w:bCs/>
                      <w:sz w:val="14"/>
                      <w:szCs w:val="14"/>
                    </w:rPr>
                    <w:t>202</w:t>
                  </w:r>
                  <w:r w:rsidRPr="00903A94" w:rsidR="00903A94">
                    <w:rPr>
                      <w:rFonts w:ascii="Verdana" w:hAnsi="Verdana"/>
                      <w:b/>
                      <w:bCs/>
                      <w:sz w:val="14"/>
                      <w:szCs w:val="14"/>
                    </w:rPr>
                    <w:t>8</w:t>
                  </w:r>
                </w:p>
              </w:tc>
              <w:tc>
                <w:tcPr>
                  <w:tcW w:w="776" w:type="pct"/>
                  <w:tcBorders>
                    <w:top w:val="single" w:color="auto" w:sz="4" w:space="0"/>
                  </w:tcBorders>
                </w:tcPr>
                <w:p w:rsidRPr="00903A94" w:rsidR="00221A2C" w:rsidP="00221A2C" w:rsidRDefault="00221A2C" w14:paraId="1F7EA9C6" w14:textId="07907484">
                  <w:pPr>
                    <w:jc w:val="right"/>
                    <w:rPr>
                      <w:rFonts w:ascii="Verdana" w:hAnsi="Verdana"/>
                      <w:b/>
                      <w:bCs/>
                      <w:sz w:val="14"/>
                      <w:szCs w:val="14"/>
                    </w:rPr>
                  </w:pPr>
                  <w:r w:rsidRPr="00903A94">
                    <w:rPr>
                      <w:rFonts w:ascii="Verdana" w:hAnsi="Verdana"/>
                      <w:b/>
                      <w:bCs/>
                      <w:sz w:val="14"/>
                      <w:szCs w:val="14"/>
                    </w:rPr>
                    <w:t>202</w:t>
                  </w:r>
                  <w:r w:rsidRPr="00903A94" w:rsidR="00903A94">
                    <w:rPr>
                      <w:rFonts w:ascii="Verdana" w:hAnsi="Verdana"/>
                      <w:b/>
                      <w:bCs/>
                      <w:sz w:val="14"/>
                      <w:szCs w:val="14"/>
                    </w:rPr>
                    <w:t>9</w:t>
                  </w:r>
                </w:p>
              </w:tc>
              <w:tc>
                <w:tcPr>
                  <w:tcW w:w="691" w:type="pct"/>
                  <w:tcBorders>
                    <w:top w:val="single" w:color="auto" w:sz="4" w:space="0"/>
                  </w:tcBorders>
                </w:tcPr>
                <w:p w:rsidRPr="00903A94" w:rsidR="00221A2C" w:rsidP="00221A2C" w:rsidRDefault="00221A2C" w14:paraId="5943CC92" w14:textId="4BD295D6">
                  <w:pPr>
                    <w:jc w:val="right"/>
                    <w:rPr>
                      <w:rFonts w:ascii="Verdana" w:hAnsi="Verdana"/>
                      <w:b/>
                      <w:bCs/>
                      <w:sz w:val="14"/>
                      <w:szCs w:val="14"/>
                    </w:rPr>
                  </w:pPr>
                  <w:r w:rsidRPr="00903A94">
                    <w:rPr>
                      <w:rFonts w:ascii="Verdana" w:hAnsi="Verdana"/>
                      <w:b/>
                      <w:bCs/>
                      <w:sz w:val="14"/>
                      <w:szCs w:val="14"/>
                    </w:rPr>
                    <w:t>20</w:t>
                  </w:r>
                  <w:r w:rsidRPr="00903A94" w:rsidR="00903A94">
                    <w:rPr>
                      <w:rFonts w:ascii="Verdana" w:hAnsi="Verdana"/>
                      <w:b/>
                      <w:bCs/>
                      <w:sz w:val="14"/>
                      <w:szCs w:val="14"/>
                    </w:rPr>
                    <w:t>30</w:t>
                  </w:r>
                </w:p>
              </w:tc>
              <w:tc>
                <w:tcPr>
                  <w:tcW w:w="777" w:type="pct"/>
                  <w:tcBorders>
                    <w:top w:val="single" w:color="auto" w:sz="4" w:space="0"/>
                  </w:tcBorders>
                </w:tcPr>
                <w:p w:rsidRPr="00903A94" w:rsidR="00221A2C" w:rsidP="00221A2C" w:rsidRDefault="00221A2C" w14:paraId="190BED5C" w14:textId="68CB212F">
                  <w:pPr>
                    <w:jc w:val="right"/>
                    <w:rPr>
                      <w:rFonts w:ascii="Verdana" w:hAnsi="Verdana"/>
                      <w:b/>
                      <w:bCs/>
                      <w:sz w:val="14"/>
                      <w:szCs w:val="14"/>
                    </w:rPr>
                  </w:pPr>
                  <w:r w:rsidRPr="00903A94">
                    <w:rPr>
                      <w:rFonts w:ascii="Verdana" w:hAnsi="Verdana"/>
                      <w:b/>
                      <w:bCs/>
                      <w:sz w:val="14"/>
                      <w:szCs w:val="14"/>
                    </w:rPr>
                    <w:t>203</w:t>
                  </w:r>
                  <w:r w:rsidRPr="00903A94" w:rsidR="00903A94">
                    <w:rPr>
                      <w:rFonts w:ascii="Verdana" w:hAnsi="Verdana"/>
                      <w:b/>
                      <w:bCs/>
                      <w:sz w:val="14"/>
                      <w:szCs w:val="14"/>
                    </w:rPr>
                    <w:t>1</w:t>
                  </w:r>
                </w:p>
              </w:tc>
              <w:tc>
                <w:tcPr>
                  <w:tcW w:w="426" w:type="pct"/>
                  <w:tcBorders>
                    <w:top w:val="single" w:color="auto" w:sz="4" w:space="0"/>
                  </w:tcBorders>
                </w:tcPr>
                <w:p w:rsidRPr="00903A94" w:rsidR="00221A2C" w:rsidP="00221A2C" w:rsidRDefault="00221A2C" w14:paraId="799DA09C" w14:textId="77777777">
                  <w:pPr>
                    <w:jc w:val="right"/>
                    <w:rPr>
                      <w:rFonts w:ascii="Verdana" w:hAnsi="Verdana"/>
                      <w:b/>
                      <w:bCs/>
                      <w:sz w:val="14"/>
                      <w:szCs w:val="14"/>
                    </w:rPr>
                  </w:pPr>
                  <w:proofErr w:type="spellStart"/>
                  <w:r w:rsidRPr="00903A94">
                    <w:rPr>
                      <w:rFonts w:ascii="Verdana" w:hAnsi="Verdana"/>
                      <w:b/>
                      <w:bCs/>
                      <w:sz w:val="14"/>
                      <w:szCs w:val="14"/>
                    </w:rPr>
                    <w:t>Struc</w:t>
                  </w:r>
                  <w:proofErr w:type="spellEnd"/>
                  <w:r w:rsidRPr="00903A94">
                    <w:rPr>
                      <w:rFonts w:ascii="Verdana" w:hAnsi="Verdana"/>
                      <w:b/>
                      <w:bCs/>
                      <w:sz w:val="14"/>
                      <w:szCs w:val="14"/>
                    </w:rPr>
                    <w:t>.</w:t>
                  </w:r>
                </w:p>
              </w:tc>
            </w:tr>
            <w:tr w:rsidRPr="00E65D2F" w:rsidR="00D50265" w:rsidTr="005625CB" w14:paraId="0B29993D" w14:textId="77777777">
              <w:tc>
                <w:tcPr>
                  <w:tcW w:w="1101" w:type="pct"/>
                </w:tcPr>
                <w:p w:rsidRPr="00903A94" w:rsidR="00221A2C" w:rsidP="00221A2C" w:rsidRDefault="00221A2C" w14:paraId="182932E7" w14:textId="77777777">
                  <w:pPr>
                    <w:rPr>
                      <w:rFonts w:ascii="Verdana" w:hAnsi="Verdana"/>
                      <w:sz w:val="14"/>
                      <w:szCs w:val="14"/>
                    </w:rPr>
                  </w:pPr>
                  <w:r w:rsidRPr="00903A94">
                    <w:rPr>
                      <w:rFonts w:ascii="Verdana" w:hAnsi="Verdana"/>
                      <w:sz w:val="14"/>
                      <w:szCs w:val="14"/>
                    </w:rPr>
                    <w:t>Algemene effecten (Wajong)</w:t>
                  </w:r>
                </w:p>
              </w:tc>
              <w:tc>
                <w:tcPr>
                  <w:tcW w:w="376" w:type="pct"/>
                </w:tcPr>
                <w:p w:rsidRPr="00903A94" w:rsidR="00221A2C" w:rsidP="00221A2C" w:rsidRDefault="00221A2C" w14:paraId="7F9285F4" w14:textId="77777777">
                  <w:pPr>
                    <w:jc w:val="right"/>
                    <w:rPr>
                      <w:rFonts w:ascii="Verdana" w:hAnsi="Verdana"/>
                      <w:sz w:val="14"/>
                      <w:szCs w:val="14"/>
                    </w:rPr>
                  </w:pPr>
                </w:p>
              </w:tc>
              <w:tc>
                <w:tcPr>
                  <w:tcW w:w="398" w:type="pct"/>
                </w:tcPr>
                <w:p w:rsidRPr="00903A94" w:rsidR="00221A2C" w:rsidP="00221A2C" w:rsidRDefault="00221A2C" w14:paraId="3329F121" w14:textId="77777777">
                  <w:pPr>
                    <w:jc w:val="right"/>
                    <w:rPr>
                      <w:rFonts w:ascii="Verdana" w:hAnsi="Verdana"/>
                      <w:sz w:val="14"/>
                      <w:szCs w:val="14"/>
                    </w:rPr>
                  </w:pPr>
                </w:p>
              </w:tc>
              <w:tc>
                <w:tcPr>
                  <w:tcW w:w="455" w:type="pct"/>
                </w:tcPr>
                <w:p w:rsidRPr="00903A94" w:rsidR="00221A2C" w:rsidP="00221A2C" w:rsidRDefault="00221A2C" w14:paraId="6B1452D5" w14:textId="53C4FE3C">
                  <w:pPr>
                    <w:jc w:val="right"/>
                    <w:rPr>
                      <w:rFonts w:ascii="Verdana" w:hAnsi="Verdana"/>
                      <w:sz w:val="14"/>
                      <w:szCs w:val="14"/>
                    </w:rPr>
                  </w:pPr>
                </w:p>
              </w:tc>
              <w:tc>
                <w:tcPr>
                  <w:tcW w:w="776" w:type="pct"/>
                </w:tcPr>
                <w:p w:rsidRPr="00903A94" w:rsidR="00221A2C" w:rsidP="00221A2C" w:rsidRDefault="00903A94" w14:paraId="05BA990A" w14:textId="475A2ECB">
                  <w:pPr>
                    <w:jc w:val="right"/>
                    <w:rPr>
                      <w:rFonts w:ascii="Verdana" w:hAnsi="Verdana"/>
                      <w:sz w:val="14"/>
                      <w:szCs w:val="14"/>
                    </w:rPr>
                  </w:pPr>
                  <w:r w:rsidRPr="00903A94">
                    <w:rPr>
                      <w:rFonts w:ascii="Verdana" w:hAnsi="Verdana"/>
                      <w:sz w:val="14"/>
                      <w:szCs w:val="14"/>
                    </w:rPr>
                    <w:t>19,773</w:t>
                  </w:r>
                </w:p>
              </w:tc>
              <w:tc>
                <w:tcPr>
                  <w:tcW w:w="691" w:type="pct"/>
                </w:tcPr>
                <w:p w:rsidRPr="00903A94" w:rsidR="00221A2C" w:rsidP="00221A2C" w:rsidRDefault="00903A94" w14:paraId="628DB839" w14:textId="69C20A45">
                  <w:pPr>
                    <w:jc w:val="right"/>
                    <w:rPr>
                      <w:rFonts w:ascii="Verdana" w:hAnsi="Verdana"/>
                      <w:sz w:val="14"/>
                      <w:szCs w:val="14"/>
                    </w:rPr>
                  </w:pPr>
                  <w:r w:rsidRPr="00903A94">
                    <w:rPr>
                      <w:rFonts w:ascii="Verdana" w:hAnsi="Verdana"/>
                      <w:sz w:val="14"/>
                      <w:szCs w:val="14"/>
                    </w:rPr>
                    <w:t>19,280</w:t>
                  </w:r>
                </w:p>
              </w:tc>
              <w:tc>
                <w:tcPr>
                  <w:tcW w:w="777" w:type="pct"/>
                </w:tcPr>
                <w:p w:rsidRPr="00903A94" w:rsidR="00221A2C" w:rsidP="00221A2C" w:rsidRDefault="00903A94" w14:paraId="71E14742" w14:textId="5410E1D1">
                  <w:pPr>
                    <w:jc w:val="right"/>
                    <w:rPr>
                      <w:rFonts w:ascii="Verdana" w:hAnsi="Verdana"/>
                      <w:sz w:val="14"/>
                      <w:szCs w:val="14"/>
                    </w:rPr>
                  </w:pPr>
                  <w:r w:rsidRPr="00903A94">
                    <w:rPr>
                      <w:rFonts w:ascii="Verdana" w:hAnsi="Verdana"/>
                      <w:sz w:val="14"/>
                      <w:szCs w:val="14"/>
                    </w:rPr>
                    <w:t>18,786</w:t>
                  </w:r>
                </w:p>
              </w:tc>
              <w:tc>
                <w:tcPr>
                  <w:tcW w:w="426" w:type="pct"/>
                </w:tcPr>
                <w:p w:rsidRPr="00903A94" w:rsidR="00221A2C" w:rsidP="00221A2C" w:rsidRDefault="00C43C1E" w14:paraId="6A77A609" w14:textId="1299A56D">
                  <w:pPr>
                    <w:jc w:val="right"/>
                    <w:rPr>
                      <w:rFonts w:ascii="Verdana" w:hAnsi="Verdana"/>
                      <w:sz w:val="14"/>
                      <w:szCs w:val="14"/>
                    </w:rPr>
                  </w:pPr>
                  <w:r>
                    <w:rPr>
                      <w:rFonts w:ascii="Verdana" w:hAnsi="Verdana"/>
                      <w:sz w:val="14"/>
                      <w:szCs w:val="14"/>
                    </w:rPr>
                    <w:t>0</w:t>
                  </w:r>
                </w:p>
              </w:tc>
            </w:tr>
            <w:tr w:rsidRPr="00E65D2F" w:rsidR="00D50265" w:rsidTr="005625CB" w14:paraId="7DB6306D" w14:textId="77777777">
              <w:tc>
                <w:tcPr>
                  <w:tcW w:w="1101" w:type="pct"/>
                </w:tcPr>
                <w:p w:rsidRPr="00903A94" w:rsidR="00221A2C" w:rsidP="00221A2C" w:rsidRDefault="00221A2C" w14:paraId="55E87733" w14:textId="77777777">
                  <w:pPr>
                    <w:rPr>
                      <w:rFonts w:ascii="Verdana" w:hAnsi="Verdana"/>
                      <w:sz w:val="14"/>
                      <w:szCs w:val="14"/>
                    </w:rPr>
                  </w:pPr>
                  <w:r w:rsidRPr="00903A94">
                    <w:rPr>
                      <w:rFonts w:ascii="Verdana" w:hAnsi="Verdana"/>
                      <w:sz w:val="14"/>
                      <w:szCs w:val="14"/>
                    </w:rPr>
                    <w:t xml:space="preserve">Weglekeffecten (TW effect </w:t>
                  </w:r>
                  <w:proofErr w:type="spellStart"/>
                  <w:r w:rsidRPr="00903A94">
                    <w:rPr>
                      <w:rFonts w:ascii="Verdana" w:hAnsi="Verdana"/>
                      <w:sz w:val="14"/>
                      <w:szCs w:val="14"/>
                    </w:rPr>
                    <w:t>inc.</w:t>
                  </w:r>
                  <w:proofErr w:type="spellEnd"/>
                  <w:r w:rsidRPr="00903A94">
                    <w:rPr>
                      <w:rFonts w:ascii="Verdana" w:hAnsi="Verdana"/>
                      <w:sz w:val="14"/>
                      <w:szCs w:val="14"/>
                    </w:rPr>
                    <w:t xml:space="preserve"> weglek bijstand)</w:t>
                  </w:r>
                </w:p>
              </w:tc>
              <w:tc>
                <w:tcPr>
                  <w:tcW w:w="376" w:type="pct"/>
                </w:tcPr>
                <w:p w:rsidRPr="00903A94" w:rsidR="00221A2C" w:rsidP="00221A2C" w:rsidRDefault="00221A2C" w14:paraId="5231C8A7" w14:textId="77777777">
                  <w:pPr>
                    <w:jc w:val="right"/>
                    <w:rPr>
                      <w:rFonts w:ascii="Verdana" w:hAnsi="Verdana"/>
                      <w:sz w:val="14"/>
                      <w:szCs w:val="14"/>
                    </w:rPr>
                  </w:pPr>
                </w:p>
              </w:tc>
              <w:tc>
                <w:tcPr>
                  <w:tcW w:w="398" w:type="pct"/>
                </w:tcPr>
                <w:p w:rsidRPr="00903A94" w:rsidR="00221A2C" w:rsidP="00221A2C" w:rsidRDefault="00221A2C" w14:paraId="5AEB8270" w14:textId="77777777">
                  <w:pPr>
                    <w:jc w:val="right"/>
                    <w:rPr>
                      <w:rFonts w:ascii="Verdana" w:hAnsi="Verdana"/>
                      <w:sz w:val="14"/>
                      <w:szCs w:val="14"/>
                    </w:rPr>
                  </w:pPr>
                </w:p>
              </w:tc>
              <w:tc>
                <w:tcPr>
                  <w:tcW w:w="455" w:type="pct"/>
                </w:tcPr>
                <w:p w:rsidRPr="00903A94" w:rsidR="00221A2C" w:rsidP="00221A2C" w:rsidRDefault="00221A2C" w14:paraId="17F7DF60" w14:textId="26B3E638">
                  <w:pPr>
                    <w:jc w:val="right"/>
                    <w:rPr>
                      <w:rFonts w:ascii="Verdana" w:hAnsi="Verdana"/>
                      <w:sz w:val="14"/>
                      <w:szCs w:val="14"/>
                    </w:rPr>
                  </w:pPr>
                </w:p>
              </w:tc>
              <w:tc>
                <w:tcPr>
                  <w:tcW w:w="776" w:type="pct"/>
                </w:tcPr>
                <w:p w:rsidRPr="00903A94" w:rsidR="00221A2C" w:rsidP="00221A2C" w:rsidRDefault="00903A94" w14:paraId="1B4133CE" w14:textId="5E93BD45">
                  <w:pPr>
                    <w:jc w:val="right"/>
                    <w:rPr>
                      <w:rFonts w:ascii="Verdana" w:hAnsi="Verdana"/>
                      <w:sz w:val="14"/>
                      <w:szCs w:val="14"/>
                    </w:rPr>
                  </w:pPr>
                  <w:r w:rsidRPr="00903A94">
                    <w:rPr>
                      <w:rFonts w:ascii="Verdana" w:hAnsi="Verdana"/>
                      <w:sz w:val="14"/>
                      <w:szCs w:val="14"/>
                    </w:rPr>
                    <w:t>-4,727</w:t>
                  </w:r>
                </w:p>
              </w:tc>
              <w:tc>
                <w:tcPr>
                  <w:tcW w:w="691" w:type="pct"/>
                </w:tcPr>
                <w:p w:rsidRPr="00903A94" w:rsidR="00221A2C" w:rsidP="00221A2C" w:rsidRDefault="00903A94" w14:paraId="2F6D15B7" w14:textId="64D0F27B">
                  <w:pPr>
                    <w:jc w:val="right"/>
                    <w:rPr>
                      <w:rFonts w:ascii="Verdana" w:hAnsi="Verdana"/>
                      <w:sz w:val="14"/>
                      <w:szCs w:val="14"/>
                    </w:rPr>
                  </w:pPr>
                  <w:r w:rsidRPr="00903A94">
                    <w:rPr>
                      <w:rFonts w:ascii="Verdana" w:hAnsi="Verdana"/>
                      <w:sz w:val="14"/>
                      <w:szCs w:val="14"/>
                    </w:rPr>
                    <w:t>-4,522</w:t>
                  </w:r>
                </w:p>
              </w:tc>
              <w:tc>
                <w:tcPr>
                  <w:tcW w:w="777" w:type="pct"/>
                </w:tcPr>
                <w:p w:rsidRPr="00903A94" w:rsidR="00221A2C" w:rsidP="00221A2C" w:rsidRDefault="00903A94" w14:paraId="06E6E9F2" w14:textId="3EF34089">
                  <w:pPr>
                    <w:jc w:val="right"/>
                    <w:rPr>
                      <w:rFonts w:ascii="Verdana" w:hAnsi="Verdana"/>
                      <w:sz w:val="14"/>
                      <w:szCs w:val="14"/>
                    </w:rPr>
                  </w:pPr>
                  <w:r w:rsidRPr="00903A94">
                    <w:rPr>
                      <w:rFonts w:ascii="Verdana" w:hAnsi="Verdana"/>
                      <w:sz w:val="14"/>
                      <w:szCs w:val="14"/>
                    </w:rPr>
                    <w:t>-4,327</w:t>
                  </w:r>
                </w:p>
              </w:tc>
              <w:tc>
                <w:tcPr>
                  <w:tcW w:w="426" w:type="pct"/>
                </w:tcPr>
                <w:p w:rsidRPr="00903A94" w:rsidR="00221A2C" w:rsidP="00221A2C" w:rsidRDefault="00C43C1E" w14:paraId="63A9A1EF" w14:textId="2B6BF19C">
                  <w:pPr>
                    <w:jc w:val="right"/>
                    <w:rPr>
                      <w:rFonts w:ascii="Verdana" w:hAnsi="Verdana"/>
                      <w:sz w:val="14"/>
                      <w:szCs w:val="14"/>
                    </w:rPr>
                  </w:pPr>
                  <w:r>
                    <w:rPr>
                      <w:rFonts w:ascii="Verdana" w:hAnsi="Verdana"/>
                      <w:sz w:val="14"/>
                      <w:szCs w:val="14"/>
                    </w:rPr>
                    <w:t>0</w:t>
                  </w:r>
                </w:p>
              </w:tc>
            </w:tr>
            <w:tr w:rsidRPr="00E65D2F" w:rsidR="00D50265" w:rsidTr="005625CB" w14:paraId="33EEC33B" w14:textId="77777777">
              <w:tc>
                <w:tcPr>
                  <w:tcW w:w="1101" w:type="pct"/>
                </w:tcPr>
                <w:p w:rsidRPr="00903A94" w:rsidR="00221A2C" w:rsidP="00221A2C" w:rsidRDefault="00221A2C" w14:paraId="516CC74C" w14:textId="77777777">
                  <w:pPr>
                    <w:rPr>
                      <w:rFonts w:ascii="Verdana" w:hAnsi="Verdana"/>
                      <w:sz w:val="14"/>
                      <w:szCs w:val="14"/>
                    </w:rPr>
                  </w:pPr>
                  <w:r w:rsidRPr="00903A94">
                    <w:rPr>
                      <w:rFonts w:ascii="Verdana" w:hAnsi="Verdana"/>
                      <w:sz w:val="14"/>
                      <w:szCs w:val="14"/>
                    </w:rPr>
                    <w:t>Uitvoeringskosten</w:t>
                  </w:r>
                </w:p>
              </w:tc>
              <w:tc>
                <w:tcPr>
                  <w:tcW w:w="376" w:type="pct"/>
                </w:tcPr>
                <w:p w:rsidRPr="00903A94" w:rsidR="00221A2C" w:rsidP="00221A2C" w:rsidRDefault="00221A2C" w14:paraId="552698A2" w14:textId="77777777">
                  <w:pPr>
                    <w:jc w:val="right"/>
                    <w:rPr>
                      <w:rFonts w:ascii="Verdana" w:hAnsi="Verdana"/>
                      <w:sz w:val="14"/>
                      <w:szCs w:val="14"/>
                    </w:rPr>
                  </w:pPr>
                </w:p>
              </w:tc>
              <w:tc>
                <w:tcPr>
                  <w:tcW w:w="398" w:type="pct"/>
                </w:tcPr>
                <w:p w:rsidRPr="00903A94" w:rsidR="00221A2C" w:rsidP="00221A2C" w:rsidRDefault="00221A2C" w14:paraId="44BA5984" w14:textId="77777777">
                  <w:pPr>
                    <w:jc w:val="right"/>
                    <w:rPr>
                      <w:rFonts w:ascii="Verdana" w:hAnsi="Verdana"/>
                      <w:sz w:val="14"/>
                      <w:szCs w:val="14"/>
                    </w:rPr>
                  </w:pPr>
                </w:p>
              </w:tc>
              <w:tc>
                <w:tcPr>
                  <w:tcW w:w="455" w:type="pct"/>
                </w:tcPr>
                <w:p w:rsidRPr="00903A94" w:rsidR="00221A2C" w:rsidP="00221A2C" w:rsidRDefault="00221A2C" w14:paraId="3C08EE8D" w14:textId="14FF982C">
                  <w:pPr>
                    <w:jc w:val="right"/>
                    <w:rPr>
                      <w:rFonts w:ascii="Verdana" w:hAnsi="Verdana"/>
                      <w:sz w:val="14"/>
                      <w:szCs w:val="14"/>
                    </w:rPr>
                  </w:pPr>
                </w:p>
              </w:tc>
              <w:tc>
                <w:tcPr>
                  <w:tcW w:w="776" w:type="pct"/>
                </w:tcPr>
                <w:p w:rsidRPr="00903A94" w:rsidR="00221A2C" w:rsidP="00221A2C" w:rsidRDefault="00221A2C" w14:paraId="3DB469A5" w14:textId="6720AB30">
                  <w:pPr>
                    <w:jc w:val="right"/>
                    <w:rPr>
                      <w:rFonts w:ascii="Verdana" w:hAnsi="Verdana"/>
                      <w:sz w:val="14"/>
                      <w:szCs w:val="14"/>
                    </w:rPr>
                  </w:pPr>
                </w:p>
              </w:tc>
              <w:tc>
                <w:tcPr>
                  <w:tcW w:w="691" w:type="pct"/>
                </w:tcPr>
                <w:p w:rsidRPr="00903A94" w:rsidR="00221A2C" w:rsidP="00221A2C" w:rsidRDefault="00221A2C" w14:paraId="4D45B14A" w14:textId="6B542F25">
                  <w:pPr>
                    <w:jc w:val="right"/>
                    <w:rPr>
                      <w:rFonts w:ascii="Verdana" w:hAnsi="Verdana"/>
                      <w:sz w:val="14"/>
                      <w:szCs w:val="14"/>
                    </w:rPr>
                  </w:pPr>
                </w:p>
              </w:tc>
              <w:tc>
                <w:tcPr>
                  <w:tcW w:w="777" w:type="pct"/>
                </w:tcPr>
                <w:p w:rsidRPr="00903A94" w:rsidR="00221A2C" w:rsidP="00221A2C" w:rsidRDefault="00221A2C" w14:paraId="05AF2F44" w14:textId="17A18F10">
                  <w:pPr>
                    <w:jc w:val="right"/>
                    <w:rPr>
                      <w:rFonts w:ascii="Verdana" w:hAnsi="Verdana"/>
                      <w:sz w:val="14"/>
                      <w:szCs w:val="14"/>
                    </w:rPr>
                  </w:pPr>
                </w:p>
              </w:tc>
              <w:tc>
                <w:tcPr>
                  <w:tcW w:w="426" w:type="pct"/>
                </w:tcPr>
                <w:p w:rsidRPr="00903A94" w:rsidR="00221A2C" w:rsidP="00221A2C" w:rsidRDefault="00C43C1E" w14:paraId="2CB4ECD7" w14:textId="2BFA0C97">
                  <w:pPr>
                    <w:jc w:val="right"/>
                    <w:rPr>
                      <w:rFonts w:ascii="Verdana" w:hAnsi="Verdana"/>
                      <w:sz w:val="14"/>
                      <w:szCs w:val="14"/>
                    </w:rPr>
                  </w:pPr>
                  <w:r>
                    <w:rPr>
                      <w:rFonts w:ascii="Verdana" w:hAnsi="Verdana"/>
                      <w:sz w:val="14"/>
                      <w:szCs w:val="14"/>
                    </w:rPr>
                    <w:t>0</w:t>
                  </w:r>
                </w:p>
              </w:tc>
            </w:tr>
            <w:tr w:rsidRPr="00E65D2F" w:rsidR="00D50265" w:rsidTr="005625CB" w14:paraId="7D1F5BDA" w14:textId="77777777">
              <w:tc>
                <w:tcPr>
                  <w:tcW w:w="1101" w:type="pct"/>
                </w:tcPr>
                <w:p w:rsidRPr="00903A94" w:rsidR="00221A2C" w:rsidP="00221A2C" w:rsidRDefault="00221A2C" w14:paraId="69C48114" w14:textId="77777777">
                  <w:pPr>
                    <w:rPr>
                      <w:rFonts w:ascii="Verdana" w:hAnsi="Verdana"/>
                      <w:sz w:val="14"/>
                      <w:szCs w:val="14"/>
                    </w:rPr>
                  </w:pPr>
                </w:p>
              </w:tc>
              <w:tc>
                <w:tcPr>
                  <w:tcW w:w="376" w:type="pct"/>
                </w:tcPr>
                <w:p w:rsidRPr="00903A94" w:rsidR="00221A2C" w:rsidP="00221A2C" w:rsidRDefault="00221A2C" w14:paraId="3298C385" w14:textId="77777777">
                  <w:pPr>
                    <w:jc w:val="right"/>
                    <w:rPr>
                      <w:rFonts w:ascii="Verdana" w:hAnsi="Verdana"/>
                      <w:sz w:val="14"/>
                      <w:szCs w:val="14"/>
                    </w:rPr>
                  </w:pPr>
                </w:p>
              </w:tc>
              <w:tc>
                <w:tcPr>
                  <w:tcW w:w="398" w:type="pct"/>
                </w:tcPr>
                <w:p w:rsidRPr="00903A94" w:rsidR="00221A2C" w:rsidP="00221A2C" w:rsidRDefault="00221A2C" w14:paraId="29918455" w14:textId="77777777">
                  <w:pPr>
                    <w:jc w:val="right"/>
                    <w:rPr>
                      <w:rFonts w:ascii="Verdana" w:hAnsi="Verdana"/>
                      <w:sz w:val="14"/>
                      <w:szCs w:val="14"/>
                    </w:rPr>
                  </w:pPr>
                </w:p>
              </w:tc>
              <w:tc>
                <w:tcPr>
                  <w:tcW w:w="455" w:type="pct"/>
                </w:tcPr>
                <w:p w:rsidRPr="00903A94" w:rsidR="00221A2C" w:rsidP="00221A2C" w:rsidRDefault="00221A2C" w14:paraId="4E8E8180" w14:textId="77777777">
                  <w:pPr>
                    <w:jc w:val="right"/>
                    <w:rPr>
                      <w:rFonts w:ascii="Verdana" w:hAnsi="Verdana"/>
                      <w:sz w:val="14"/>
                      <w:szCs w:val="14"/>
                    </w:rPr>
                  </w:pPr>
                </w:p>
              </w:tc>
              <w:tc>
                <w:tcPr>
                  <w:tcW w:w="776" w:type="pct"/>
                </w:tcPr>
                <w:p w:rsidRPr="00903A94" w:rsidR="00221A2C" w:rsidP="00221A2C" w:rsidRDefault="00221A2C" w14:paraId="4C0AF66C" w14:textId="77777777">
                  <w:pPr>
                    <w:jc w:val="right"/>
                    <w:rPr>
                      <w:rFonts w:ascii="Verdana" w:hAnsi="Verdana"/>
                      <w:sz w:val="14"/>
                      <w:szCs w:val="14"/>
                    </w:rPr>
                  </w:pPr>
                </w:p>
              </w:tc>
              <w:tc>
                <w:tcPr>
                  <w:tcW w:w="691" w:type="pct"/>
                </w:tcPr>
                <w:p w:rsidRPr="00903A94" w:rsidR="00221A2C" w:rsidP="00221A2C" w:rsidRDefault="00221A2C" w14:paraId="5B9C6ECA" w14:textId="77777777">
                  <w:pPr>
                    <w:jc w:val="right"/>
                    <w:rPr>
                      <w:rFonts w:ascii="Verdana" w:hAnsi="Verdana"/>
                      <w:sz w:val="14"/>
                      <w:szCs w:val="14"/>
                    </w:rPr>
                  </w:pPr>
                </w:p>
              </w:tc>
              <w:tc>
                <w:tcPr>
                  <w:tcW w:w="777" w:type="pct"/>
                </w:tcPr>
                <w:p w:rsidRPr="00903A94" w:rsidR="00221A2C" w:rsidP="00221A2C" w:rsidRDefault="00221A2C" w14:paraId="1B532842" w14:textId="77777777">
                  <w:pPr>
                    <w:jc w:val="right"/>
                    <w:rPr>
                      <w:rFonts w:ascii="Verdana" w:hAnsi="Verdana"/>
                      <w:sz w:val="14"/>
                      <w:szCs w:val="14"/>
                    </w:rPr>
                  </w:pPr>
                </w:p>
              </w:tc>
              <w:tc>
                <w:tcPr>
                  <w:tcW w:w="426" w:type="pct"/>
                </w:tcPr>
                <w:p w:rsidRPr="00903A94" w:rsidR="00221A2C" w:rsidP="00221A2C" w:rsidRDefault="00221A2C" w14:paraId="603C1C87" w14:textId="77777777">
                  <w:pPr>
                    <w:jc w:val="right"/>
                    <w:rPr>
                      <w:rFonts w:ascii="Verdana" w:hAnsi="Verdana"/>
                      <w:sz w:val="14"/>
                      <w:szCs w:val="14"/>
                    </w:rPr>
                  </w:pPr>
                </w:p>
              </w:tc>
            </w:tr>
            <w:tr w:rsidRPr="00E65D2F" w:rsidR="00D50265" w:rsidTr="005625CB" w14:paraId="0B9A81EA" w14:textId="77777777">
              <w:tc>
                <w:tcPr>
                  <w:tcW w:w="1101" w:type="pct"/>
                </w:tcPr>
                <w:p w:rsidRPr="00903A94" w:rsidR="00221A2C" w:rsidP="00221A2C" w:rsidRDefault="00221A2C" w14:paraId="3713C138" w14:textId="77777777">
                  <w:pPr>
                    <w:rPr>
                      <w:rFonts w:ascii="Verdana" w:hAnsi="Verdana"/>
                      <w:b/>
                      <w:bCs/>
                      <w:sz w:val="14"/>
                      <w:szCs w:val="14"/>
                    </w:rPr>
                  </w:pPr>
                  <w:r w:rsidRPr="00903A94">
                    <w:rPr>
                      <w:rFonts w:ascii="Verdana" w:hAnsi="Verdana"/>
                      <w:b/>
                      <w:bCs/>
                      <w:sz w:val="14"/>
                      <w:szCs w:val="14"/>
                    </w:rPr>
                    <w:t>Totaal</w:t>
                  </w:r>
                </w:p>
              </w:tc>
              <w:tc>
                <w:tcPr>
                  <w:tcW w:w="376" w:type="pct"/>
                </w:tcPr>
                <w:p w:rsidRPr="00903A94" w:rsidR="00221A2C" w:rsidP="00221A2C" w:rsidRDefault="00221A2C" w14:paraId="0BE8411C" w14:textId="77777777">
                  <w:pPr>
                    <w:jc w:val="right"/>
                    <w:rPr>
                      <w:rFonts w:ascii="Verdana" w:hAnsi="Verdana"/>
                      <w:b/>
                      <w:bCs/>
                      <w:sz w:val="14"/>
                      <w:szCs w:val="14"/>
                    </w:rPr>
                  </w:pPr>
                </w:p>
              </w:tc>
              <w:tc>
                <w:tcPr>
                  <w:tcW w:w="398" w:type="pct"/>
                </w:tcPr>
                <w:p w:rsidRPr="00903A94" w:rsidR="00221A2C" w:rsidP="00221A2C" w:rsidRDefault="00221A2C" w14:paraId="681698C0" w14:textId="77777777">
                  <w:pPr>
                    <w:jc w:val="right"/>
                    <w:rPr>
                      <w:rFonts w:ascii="Verdana" w:hAnsi="Verdana"/>
                      <w:b/>
                      <w:bCs/>
                      <w:sz w:val="14"/>
                      <w:szCs w:val="14"/>
                    </w:rPr>
                  </w:pPr>
                </w:p>
              </w:tc>
              <w:tc>
                <w:tcPr>
                  <w:tcW w:w="455" w:type="pct"/>
                </w:tcPr>
                <w:p w:rsidRPr="00903A94" w:rsidR="00221A2C" w:rsidP="00221A2C" w:rsidRDefault="00221A2C" w14:paraId="45EEE5D3" w14:textId="2C7D7FA4">
                  <w:pPr>
                    <w:jc w:val="right"/>
                    <w:rPr>
                      <w:rFonts w:ascii="Verdana" w:hAnsi="Verdana"/>
                      <w:b/>
                      <w:bCs/>
                      <w:sz w:val="14"/>
                      <w:szCs w:val="14"/>
                    </w:rPr>
                  </w:pPr>
                </w:p>
              </w:tc>
              <w:tc>
                <w:tcPr>
                  <w:tcW w:w="776" w:type="pct"/>
                </w:tcPr>
                <w:p w:rsidRPr="00903A94" w:rsidR="00221A2C" w:rsidP="00221A2C" w:rsidRDefault="00903A94" w14:paraId="78F3B4F4" w14:textId="65967E22">
                  <w:pPr>
                    <w:jc w:val="right"/>
                    <w:rPr>
                      <w:rFonts w:ascii="Verdana" w:hAnsi="Verdana"/>
                      <w:b/>
                      <w:bCs/>
                      <w:sz w:val="14"/>
                      <w:szCs w:val="14"/>
                    </w:rPr>
                  </w:pPr>
                  <w:r w:rsidRPr="00903A94">
                    <w:rPr>
                      <w:rFonts w:ascii="Verdana" w:hAnsi="Verdana"/>
                      <w:b/>
                      <w:bCs/>
                      <w:sz w:val="14"/>
                      <w:szCs w:val="14"/>
                    </w:rPr>
                    <w:t>15,046</w:t>
                  </w:r>
                </w:p>
              </w:tc>
              <w:tc>
                <w:tcPr>
                  <w:tcW w:w="691" w:type="pct"/>
                </w:tcPr>
                <w:p w:rsidRPr="00903A94" w:rsidR="00221A2C" w:rsidP="00221A2C" w:rsidRDefault="00903A94" w14:paraId="3871E4A9" w14:textId="5971CA19">
                  <w:pPr>
                    <w:jc w:val="right"/>
                    <w:rPr>
                      <w:rFonts w:ascii="Verdana" w:hAnsi="Verdana"/>
                      <w:b/>
                      <w:bCs/>
                      <w:sz w:val="14"/>
                      <w:szCs w:val="14"/>
                    </w:rPr>
                  </w:pPr>
                  <w:r w:rsidRPr="00903A94">
                    <w:rPr>
                      <w:rFonts w:ascii="Verdana" w:hAnsi="Verdana"/>
                      <w:b/>
                      <w:bCs/>
                      <w:sz w:val="14"/>
                      <w:szCs w:val="14"/>
                    </w:rPr>
                    <w:t>14,757</w:t>
                  </w:r>
                </w:p>
              </w:tc>
              <w:tc>
                <w:tcPr>
                  <w:tcW w:w="777" w:type="pct"/>
                </w:tcPr>
                <w:p w:rsidRPr="00903A94" w:rsidR="00221A2C" w:rsidP="00221A2C" w:rsidRDefault="00903A94" w14:paraId="045DF027" w14:textId="7D63028F">
                  <w:pPr>
                    <w:jc w:val="right"/>
                    <w:rPr>
                      <w:rFonts w:ascii="Verdana" w:hAnsi="Verdana"/>
                      <w:b/>
                      <w:bCs/>
                      <w:sz w:val="14"/>
                      <w:szCs w:val="14"/>
                    </w:rPr>
                  </w:pPr>
                  <w:r w:rsidRPr="00903A94">
                    <w:rPr>
                      <w:rFonts w:ascii="Verdana" w:hAnsi="Verdana"/>
                      <w:b/>
                      <w:bCs/>
                      <w:sz w:val="14"/>
                      <w:szCs w:val="14"/>
                    </w:rPr>
                    <w:t>14,460</w:t>
                  </w:r>
                </w:p>
              </w:tc>
              <w:tc>
                <w:tcPr>
                  <w:tcW w:w="426" w:type="pct"/>
                </w:tcPr>
                <w:p w:rsidRPr="00903A94" w:rsidR="00221A2C" w:rsidP="00221A2C" w:rsidRDefault="00C43C1E" w14:paraId="22D2C9F5" w14:textId="32C1C40A">
                  <w:pPr>
                    <w:jc w:val="right"/>
                    <w:rPr>
                      <w:rFonts w:ascii="Verdana" w:hAnsi="Verdana"/>
                      <w:b/>
                      <w:bCs/>
                      <w:sz w:val="14"/>
                      <w:szCs w:val="14"/>
                    </w:rPr>
                  </w:pPr>
                  <w:r>
                    <w:rPr>
                      <w:rFonts w:ascii="Verdana" w:hAnsi="Verdana"/>
                      <w:b/>
                      <w:bCs/>
                      <w:sz w:val="14"/>
                      <w:szCs w:val="14"/>
                    </w:rPr>
                    <w:t>0</w:t>
                  </w:r>
                </w:p>
              </w:tc>
            </w:tr>
          </w:tbl>
          <w:p w:rsidR="005E4A03" w:rsidP="00221A2C" w:rsidRDefault="005E4A03" w14:paraId="5D221765" w14:textId="77777777">
            <w:pPr>
              <w:spacing w:after="0" w:line="240" w:lineRule="auto"/>
              <w:rPr>
                <w:rStyle w:val="normaltextrun"/>
                <w:lang w:val="nl-NL"/>
              </w:rPr>
            </w:pPr>
          </w:p>
          <w:p w:rsidR="00221A2C" w:rsidP="00221A2C" w:rsidRDefault="00221A2C" w14:paraId="3CA4EDD4" w14:textId="77777777">
            <w:pPr>
              <w:spacing w:after="0" w:line="240" w:lineRule="auto"/>
              <w:rPr>
                <w:rStyle w:val="normaltextrun"/>
                <w:lang w:val="nl-NL"/>
              </w:rPr>
            </w:pPr>
          </w:p>
          <w:tbl>
            <w:tblPr>
              <w:tblStyle w:val="Tabelraster"/>
              <w:tblpPr w:leftFromText="141" w:rightFromText="141" w:vertAnchor="page" w:horzAnchor="margin" w:tblpY="155"/>
              <w:tblOverlap w:val="never"/>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val="01E0" w:firstRow="1" w:lastRow="1" w:firstColumn="1" w:lastColumn="1" w:noHBand="0" w:noVBand="0"/>
            </w:tblPr>
            <w:tblGrid>
              <w:gridCol w:w="1829"/>
              <w:gridCol w:w="616"/>
              <w:gridCol w:w="670"/>
              <w:gridCol w:w="708"/>
              <w:gridCol w:w="1275"/>
              <w:gridCol w:w="1134"/>
              <w:gridCol w:w="1275"/>
              <w:gridCol w:w="743"/>
            </w:tblGrid>
            <w:tr w:rsidRPr="00FD1605" w:rsidR="00D50265" w:rsidTr="00D50265" w14:paraId="14A66B37" w14:textId="77777777">
              <w:tc>
                <w:tcPr>
                  <w:tcW w:w="1108" w:type="pct"/>
                  <w:tcBorders>
                    <w:top w:val="single" w:color="auto" w:sz="4" w:space="0"/>
                    <w:left w:val="single" w:color="auto" w:sz="4" w:space="0"/>
                  </w:tcBorders>
                </w:tcPr>
                <w:p w:rsidRPr="00C81D90" w:rsidR="00221A2C" w:rsidP="00221A2C" w:rsidRDefault="00221A2C" w14:paraId="13854B47" w14:textId="77777777">
                  <w:pPr>
                    <w:rPr>
                      <w:rFonts w:ascii="Verdana" w:hAnsi="Verdana"/>
                      <w:b/>
                      <w:sz w:val="14"/>
                      <w:szCs w:val="14"/>
                    </w:rPr>
                  </w:pPr>
                  <w:r w:rsidRPr="00C81D90">
                    <w:rPr>
                      <w:rFonts w:ascii="Verdana" w:hAnsi="Verdana"/>
                      <w:b/>
                      <w:sz w:val="14"/>
                      <w:szCs w:val="14"/>
                    </w:rPr>
                    <w:t>Variant b</w:t>
                  </w:r>
                </w:p>
              </w:tc>
              <w:tc>
                <w:tcPr>
                  <w:tcW w:w="373" w:type="pct"/>
                  <w:tcBorders>
                    <w:top w:val="single" w:color="auto" w:sz="4" w:space="0"/>
                  </w:tcBorders>
                </w:tcPr>
                <w:p w:rsidRPr="00C81D90" w:rsidR="00221A2C" w:rsidP="00221A2C" w:rsidRDefault="00221A2C" w14:paraId="7BA59C09" w14:textId="1B0F0B61">
                  <w:pPr>
                    <w:jc w:val="right"/>
                    <w:rPr>
                      <w:rFonts w:ascii="Verdana" w:hAnsi="Verdana"/>
                      <w:b/>
                      <w:bCs/>
                      <w:sz w:val="14"/>
                      <w:szCs w:val="14"/>
                    </w:rPr>
                  </w:pPr>
                  <w:r w:rsidRPr="00C81D90">
                    <w:rPr>
                      <w:rFonts w:ascii="Verdana" w:hAnsi="Verdana"/>
                      <w:b/>
                      <w:bCs/>
                      <w:sz w:val="14"/>
                      <w:szCs w:val="14"/>
                    </w:rPr>
                    <w:t>202</w:t>
                  </w:r>
                  <w:r w:rsidRPr="00C81D90" w:rsidR="00903A94">
                    <w:rPr>
                      <w:rFonts w:ascii="Verdana" w:hAnsi="Verdana"/>
                      <w:b/>
                      <w:bCs/>
                      <w:sz w:val="14"/>
                      <w:szCs w:val="14"/>
                    </w:rPr>
                    <w:t>6</w:t>
                  </w:r>
                </w:p>
              </w:tc>
              <w:tc>
                <w:tcPr>
                  <w:tcW w:w="406" w:type="pct"/>
                  <w:tcBorders>
                    <w:top w:val="single" w:color="auto" w:sz="4" w:space="0"/>
                  </w:tcBorders>
                </w:tcPr>
                <w:p w:rsidRPr="00C81D90" w:rsidR="00221A2C" w:rsidP="00221A2C" w:rsidRDefault="00221A2C" w14:paraId="1B600849" w14:textId="2B343619">
                  <w:pPr>
                    <w:jc w:val="right"/>
                    <w:rPr>
                      <w:rFonts w:ascii="Verdana" w:hAnsi="Verdana"/>
                      <w:b/>
                      <w:bCs/>
                      <w:sz w:val="14"/>
                      <w:szCs w:val="14"/>
                    </w:rPr>
                  </w:pPr>
                  <w:r w:rsidRPr="00C81D90">
                    <w:rPr>
                      <w:rFonts w:ascii="Verdana" w:hAnsi="Verdana"/>
                      <w:b/>
                      <w:bCs/>
                      <w:sz w:val="14"/>
                      <w:szCs w:val="14"/>
                    </w:rPr>
                    <w:t>202</w:t>
                  </w:r>
                  <w:r w:rsidRPr="00C81D90" w:rsidR="00903A94">
                    <w:rPr>
                      <w:rFonts w:ascii="Verdana" w:hAnsi="Verdana"/>
                      <w:b/>
                      <w:bCs/>
                      <w:sz w:val="14"/>
                      <w:szCs w:val="14"/>
                    </w:rPr>
                    <w:t>7</w:t>
                  </w:r>
                </w:p>
              </w:tc>
              <w:tc>
                <w:tcPr>
                  <w:tcW w:w="429" w:type="pct"/>
                  <w:tcBorders>
                    <w:top w:val="single" w:color="auto" w:sz="4" w:space="0"/>
                  </w:tcBorders>
                </w:tcPr>
                <w:p w:rsidRPr="00C81D90" w:rsidR="00221A2C" w:rsidP="00221A2C" w:rsidRDefault="00221A2C" w14:paraId="4E2A8FE4" w14:textId="0D0C16DB">
                  <w:pPr>
                    <w:jc w:val="right"/>
                    <w:rPr>
                      <w:rFonts w:ascii="Verdana" w:hAnsi="Verdana"/>
                      <w:b/>
                      <w:bCs/>
                      <w:sz w:val="14"/>
                      <w:szCs w:val="14"/>
                    </w:rPr>
                  </w:pPr>
                  <w:r w:rsidRPr="00C81D90">
                    <w:rPr>
                      <w:rFonts w:ascii="Verdana" w:hAnsi="Verdana"/>
                      <w:b/>
                      <w:bCs/>
                      <w:sz w:val="14"/>
                      <w:szCs w:val="14"/>
                    </w:rPr>
                    <w:t>202</w:t>
                  </w:r>
                  <w:r w:rsidRPr="00C81D90" w:rsidR="00903A94">
                    <w:rPr>
                      <w:rFonts w:ascii="Verdana" w:hAnsi="Verdana"/>
                      <w:b/>
                      <w:bCs/>
                      <w:sz w:val="14"/>
                      <w:szCs w:val="14"/>
                    </w:rPr>
                    <w:t>8</w:t>
                  </w:r>
                </w:p>
              </w:tc>
              <w:tc>
                <w:tcPr>
                  <w:tcW w:w="773" w:type="pct"/>
                  <w:tcBorders>
                    <w:top w:val="single" w:color="auto" w:sz="4" w:space="0"/>
                  </w:tcBorders>
                </w:tcPr>
                <w:p w:rsidRPr="00C81D90" w:rsidR="00221A2C" w:rsidP="00221A2C" w:rsidRDefault="00221A2C" w14:paraId="51DF0095" w14:textId="23D584C2">
                  <w:pPr>
                    <w:jc w:val="right"/>
                    <w:rPr>
                      <w:rFonts w:ascii="Verdana" w:hAnsi="Verdana"/>
                      <w:b/>
                      <w:bCs/>
                      <w:sz w:val="14"/>
                      <w:szCs w:val="14"/>
                    </w:rPr>
                  </w:pPr>
                  <w:r w:rsidRPr="00C81D90">
                    <w:rPr>
                      <w:rFonts w:ascii="Verdana" w:hAnsi="Verdana"/>
                      <w:b/>
                      <w:bCs/>
                      <w:sz w:val="14"/>
                      <w:szCs w:val="14"/>
                    </w:rPr>
                    <w:t>202</w:t>
                  </w:r>
                  <w:r w:rsidRPr="00C81D90" w:rsidR="00903A94">
                    <w:rPr>
                      <w:rFonts w:ascii="Verdana" w:hAnsi="Verdana"/>
                      <w:b/>
                      <w:bCs/>
                      <w:sz w:val="14"/>
                      <w:szCs w:val="14"/>
                    </w:rPr>
                    <w:t>9</w:t>
                  </w:r>
                </w:p>
              </w:tc>
              <w:tc>
                <w:tcPr>
                  <w:tcW w:w="687" w:type="pct"/>
                  <w:tcBorders>
                    <w:top w:val="single" w:color="auto" w:sz="4" w:space="0"/>
                  </w:tcBorders>
                </w:tcPr>
                <w:p w:rsidRPr="00C81D90" w:rsidR="00221A2C" w:rsidP="00221A2C" w:rsidRDefault="00221A2C" w14:paraId="73263D66" w14:textId="5152DEF7">
                  <w:pPr>
                    <w:jc w:val="right"/>
                    <w:rPr>
                      <w:rFonts w:ascii="Verdana" w:hAnsi="Verdana"/>
                      <w:b/>
                      <w:bCs/>
                      <w:sz w:val="14"/>
                      <w:szCs w:val="14"/>
                    </w:rPr>
                  </w:pPr>
                  <w:r w:rsidRPr="00C81D90">
                    <w:rPr>
                      <w:rFonts w:ascii="Verdana" w:hAnsi="Verdana"/>
                      <w:b/>
                      <w:bCs/>
                      <w:sz w:val="14"/>
                      <w:szCs w:val="14"/>
                    </w:rPr>
                    <w:t>20</w:t>
                  </w:r>
                  <w:r w:rsidRPr="00C81D90" w:rsidR="00903A94">
                    <w:rPr>
                      <w:rFonts w:ascii="Verdana" w:hAnsi="Verdana"/>
                      <w:b/>
                      <w:bCs/>
                      <w:sz w:val="14"/>
                      <w:szCs w:val="14"/>
                    </w:rPr>
                    <w:t>30</w:t>
                  </w:r>
                </w:p>
              </w:tc>
              <w:tc>
                <w:tcPr>
                  <w:tcW w:w="773" w:type="pct"/>
                  <w:tcBorders>
                    <w:top w:val="single" w:color="auto" w:sz="4" w:space="0"/>
                  </w:tcBorders>
                </w:tcPr>
                <w:p w:rsidRPr="00C81D90" w:rsidR="00221A2C" w:rsidP="00221A2C" w:rsidRDefault="00221A2C" w14:paraId="1D0E7A20" w14:textId="7340976C">
                  <w:pPr>
                    <w:jc w:val="right"/>
                    <w:rPr>
                      <w:rFonts w:ascii="Verdana" w:hAnsi="Verdana"/>
                      <w:b/>
                      <w:bCs/>
                      <w:sz w:val="14"/>
                      <w:szCs w:val="14"/>
                    </w:rPr>
                  </w:pPr>
                  <w:r w:rsidRPr="00C81D90">
                    <w:rPr>
                      <w:rFonts w:ascii="Verdana" w:hAnsi="Verdana"/>
                      <w:b/>
                      <w:bCs/>
                      <w:sz w:val="14"/>
                      <w:szCs w:val="14"/>
                    </w:rPr>
                    <w:t>203</w:t>
                  </w:r>
                  <w:r w:rsidRPr="00C81D90" w:rsidR="00903A94">
                    <w:rPr>
                      <w:rFonts w:ascii="Verdana" w:hAnsi="Verdana"/>
                      <w:b/>
                      <w:bCs/>
                      <w:sz w:val="14"/>
                      <w:szCs w:val="14"/>
                    </w:rPr>
                    <w:t>1</w:t>
                  </w:r>
                </w:p>
              </w:tc>
              <w:tc>
                <w:tcPr>
                  <w:tcW w:w="450" w:type="pct"/>
                  <w:tcBorders>
                    <w:top w:val="single" w:color="auto" w:sz="4" w:space="0"/>
                  </w:tcBorders>
                </w:tcPr>
                <w:p w:rsidRPr="00C81D90" w:rsidR="00221A2C" w:rsidP="00221A2C" w:rsidRDefault="00221A2C" w14:paraId="4F6FF212" w14:textId="77777777">
                  <w:pPr>
                    <w:jc w:val="right"/>
                    <w:rPr>
                      <w:rFonts w:ascii="Verdana" w:hAnsi="Verdana"/>
                      <w:b/>
                      <w:bCs/>
                      <w:sz w:val="14"/>
                      <w:szCs w:val="14"/>
                    </w:rPr>
                  </w:pPr>
                  <w:proofErr w:type="spellStart"/>
                  <w:r w:rsidRPr="00C81D90">
                    <w:rPr>
                      <w:rFonts w:ascii="Verdana" w:hAnsi="Verdana"/>
                      <w:b/>
                      <w:bCs/>
                      <w:sz w:val="14"/>
                      <w:szCs w:val="14"/>
                    </w:rPr>
                    <w:t>Struc</w:t>
                  </w:r>
                  <w:proofErr w:type="spellEnd"/>
                  <w:r w:rsidRPr="00C81D90">
                    <w:rPr>
                      <w:rFonts w:ascii="Verdana" w:hAnsi="Verdana"/>
                      <w:b/>
                      <w:bCs/>
                      <w:sz w:val="14"/>
                      <w:szCs w:val="14"/>
                    </w:rPr>
                    <w:t>.</w:t>
                  </w:r>
                </w:p>
              </w:tc>
            </w:tr>
            <w:tr w:rsidRPr="00FD1605" w:rsidR="00D50265" w:rsidTr="00D50265" w14:paraId="01B3D17C" w14:textId="77777777">
              <w:tc>
                <w:tcPr>
                  <w:tcW w:w="1108" w:type="pct"/>
                </w:tcPr>
                <w:p w:rsidRPr="00C81D90" w:rsidR="00221A2C" w:rsidP="00221A2C" w:rsidRDefault="00221A2C" w14:paraId="4F6BEC2E" w14:textId="77777777">
                  <w:pPr>
                    <w:rPr>
                      <w:rFonts w:ascii="Verdana" w:hAnsi="Verdana"/>
                      <w:sz w:val="14"/>
                      <w:szCs w:val="14"/>
                    </w:rPr>
                  </w:pPr>
                  <w:r w:rsidRPr="00C81D90">
                    <w:rPr>
                      <w:rFonts w:ascii="Verdana" w:hAnsi="Verdana"/>
                      <w:sz w:val="14"/>
                      <w:szCs w:val="14"/>
                    </w:rPr>
                    <w:t>Algemene effecten (Wajong)</w:t>
                  </w:r>
                </w:p>
              </w:tc>
              <w:tc>
                <w:tcPr>
                  <w:tcW w:w="373" w:type="pct"/>
                </w:tcPr>
                <w:p w:rsidRPr="00C81D90" w:rsidR="00221A2C" w:rsidP="00221A2C" w:rsidRDefault="00221A2C" w14:paraId="7A507A52" w14:textId="77777777">
                  <w:pPr>
                    <w:jc w:val="right"/>
                    <w:rPr>
                      <w:rFonts w:ascii="Verdana" w:hAnsi="Verdana"/>
                      <w:sz w:val="14"/>
                      <w:szCs w:val="14"/>
                    </w:rPr>
                  </w:pPr>
                </w:p>
              </w:tc>
              <w:tc>
                <w:tcPr>
                  <w:tcW w:w="406" w:type="pct"/>
                </w:tcPr>
                <w:p w:rsidRPr="00C81D90" w:rsidR="00221A2C" w:rsidP="00221A2C" w:rsidRDefault="00221A2C" w14:paraId="7C71A547" w14:textId="77777777">
                  <w:pPr>
                    <w:jc w:val="right"/>
                    <w:rPr>
                      <w:rFonts w:ascii="Verdana" w:hAnsi="Verdana"/>
                      <w:sz w:val="14"/>
                      <w:szCs w:val="14"/>
                    </w:rPr>
                  </w:pPr>
                </w:p>
              </w:tc>
              <w:tc>
                <w:tcPr>
                  <w:tcW w:w="429" w:type="pct"/>
                </w:tcPr>
                <w:p w:rsidRPr="00C81D90" w:rsidR="00221A2C" w:rsidP="00221A2C" w:rsidRDefault="00221A2C" w14:paraId="2EDEA0FC" w14:textId="0FFE0771">
                  <w:pPr>
                    <w:jc w:val="right"/>
                    <w:rPr>
                      <w:rFonts w:ascii="Verdana" w:hAnsi="Verdana"/>
                      <w:sz w:val="14"/>
                      <w:szCs w:val="14"/>
                    </w:rPr>
                  </w:pPr>
                </w:p>
              </w:tc>
              <w:tc>
                <w:tcPr>
                  <w:tcW w:w="773" w:type="pct"/>
                </w:tcPr>
                <w:p w:rsidRPr="00C81D90" w:rsidR="00221A2C" w:rsidP="00221A2C" w:rsidRDefault="00903A94" w14:paraId="2DD2B7B1" w14:textId="1F70419C">
                  <w:pPr>
                    <w:jc w:val="right"/>
                    <w:rPr>
                      <w:rFonts w:ascii="Verdana" w:hAnsi="Verdana"/>
                      <w:sz w:val="14"/>
                      <w:szCs w:val="14"/>
                    </w:rPr>
                  </w:pPr>
                  <w:r w:rsidRPr="00C81D90">
                    <w:rPr>
                      <w:rFonts w:ascii="Verdana" w:hAnsi="Verdana"/>
                      <w:sz w:val="14"/>
                      <w:szCs w:val="14"/>
                    </w:rPr>
                    <w:t>19,773</w:t>
                  </w:r>
                </w:p>
              </w:tc>
              <w:tc>
                <w:tcPr>
                  <w:tcW w:w="687" w:type="pct"/>
                </w:tcPr>
                <w:p w:rsidRPr="00C81D90" w:rsidR="00221A2C" w:rsidP="00221A2C" w:rsidRDefault="00C81D90" w14:paraId="07DDDA78" w14:textId="3091C30F">
                  <w:pPr>
                    <w:jc w:val="right"/>
                    <w:rPr>
                      <w:rFonts w:ascii="Verdana" w:hAnsi="Verdana"/>
                      <w:sz w:val="14"/>
                      <w:szCs w:val="14"/>
                    </w:rPr>
                  </w:pPr>
                  <w:r w:rsidRPr="00C81D90">
                    <w:rPr>
                      <w:rFonts w:ascii="Verdana" w:hAnsi="Verdana"/>
                      <w:sz w:val="14"/>
                      <w:szCs w:val="14"/>
                    </w:rPr>
                    <w:t>19,280</w:t>
                  </w:r>
                </w:p>
              </w:tc>
              <w:tc>
                <w:tcPr>
                  <w:tcW w:w="773" w:type="pct"/>
                </w:tcPr>
                <w:p w:rsidRPr="00C81D90" w:rsidR="00221A2C" w:rsidP="00221A2C" w:rsidRDefault="00C81D90" w14:paraId="6512E6E9" w14:textId="62F4D191">
                  <w:pPr>
                    <w:jc w:val="right"/>
                    <w:rPr>
                      <w:rFonts w:ascii="Verdana" w:hAnsi="Verdana"/>
                      <w:sz w:val="14"/>
                      <w:szCs w:val="14"/>
                    </w:rPr>
                  </w:pPr>
                  <w:r w:rsidRPr="00C81D90">
                    <w:rPr>
                      <w:rFonts w:ascii="Verdana" w:hAnsi="Verdana"/>
                      <w:sz w:val="14"/>
                      <w:szCs w:val="14"/>
                    </w:rPr>
                    <w:t>18,798</w:t>
                  </w:r>
                </w:p>
              </w:tc>
              <w:tc>
                <w:tcPr>
                  <w:tcW w:w="450" w:type="pct"/>
                </w:tcPr>
                <w:p w:rsidRPr="00C81D90" w:rsidR="00221A2C" w:rsidP="00221A2C" w:rsidRDefault="00C43C1E" w14:paraId="21317720" w14:textId="4E8A7C8A">
                  <w:pPr>
                    <w:jc w:val="right"/>
                    <w:rPr>
                      <w:rFonts w:ascii="Verdana" w:hAnsi="Verdana"/>
                      <w:sz w:val="14"/>
                      <w:szCs w:val="14"/>
                    </w:rPr>
                  </w:pPr>
                  <w:r>
                    <w:rPr>
                      <w:rFonts w:ascii="Verdana" w:hAnsi="Verdana"/>
                      <w:sz w:val="14"/>
                      <w:szCs w:val="14"/>
                    </w:rPr>
                    <w:t>0</w:t>
                  </w:r>
                </w:p>
              </w:tc>
            </w:tr>
            <w:tr w:rsidRPr="00E65D2F" w:rsidR="00D50265" w:rsidTr="00D50265" w14:paraId="65E92E49" w14:textId="77777777">
              <w:tc>
                <w:tcPr>
                  <w:tcW w:w="1108" w:type="pct"/>
                </w:tcPr>
                <w:p w:rsidRPr="00C81D90" w:rsidR="00221A2C" w:rsidP="00221A2C" w:rsidRDefault="00221A2C" w14:paraId="6A7820C4" w14:textId="77777777">
                  <w:pPr>
                    <w:rPr>
                      <w:rFonts w:ascii="Verdana" w:hAnsi="Verdana"/>
                      <w:sz w:val="14"/>
                      <w:szCs w:val="14"/>
                    </w:rPr>
                  </w:pPr>
                  <w:r w:rsidRPr="00C81D90">
                    <w:rPr>
                      <w:rFonts w:ascii="Verdana" w:hAnsi="Verdana"/>
                      <w:sz w:val="14"/>
                      <w:szCs w:val="14"/>
                    </w:rPr>
                    <w:t xml:space="preserve">Weglekeffecten (TW effect </w:t>
                  </w:r>
                  <w:proofErr w:type="spellStart"/>
                  <w:r w:rsidRPr="00C81D90">
                    <w:rPr>
                      <w:rFonts w:ascii="Verdana" w:hAnsi="Verdana"/>
                      <w:sz w:val="14"/>
                      <w:szCs w:val="14"/>
                    </w:rPr>
                    <w:t>inc.</w:t>
                  </w:r>
                  <w:proofErr w:type="spellEnd"/>
                  <w:r w:rsidRPr="00C81D90">
                    <w:rPr>
                      <w:rFonts w:ascii="Verdana" w:hAnsi="Verdana"/>
                      <w:sz w:val="14"/>
                      <w:szCs w:val="14"/>
                    </w:rPr>
                    <w:t xml:space="preserve"> weglek bijstand)</w:t>
                  </w:r>
                </w:p>
              </w:tc>
              <w:tc>
                <w:tcPr>
                  <w:tcW w:w="373" w:type="pct"/>
                </w:tcPr>
                <w:p w:rsidRPr="00C81D90" w:rsidR="00221A2C" w:rsidP="00221A2C" w:rsidRDefault="00221A2C" w14:paraId="1D8DEB2E" w14:textId="77777777">
                  <w:pPr>
                    <w:jc w:val="right"/>
                    <w:rPr>
                      <w:rFonts w:ascii="Verdana" w:hAnsi="Verdana"/>
                      <w:sz w:val="14"/>
                      <w:szCs w:val="14"/>
                    </w:rPr>
                  </w:pPr>
                </w:p>
              </w:tc>
              <w:tc>
                <w:tcPr>
                  <w:tcW w:w="406" w:type="pct"/>
                </w:tcPr>
                <w:p w:rsidRPr="00C81D90" w:rsidR="00221A2C" w:rsidP="00221A2C" w:rsidRDefault="00221A2C" w14:paraId="6884045F" w14:textId="77777777">
                  <w:pPr>
                    <w:jc w:val="right"/>
                    <w:rPr>
                      <w:rFonts w:ascii="Verdana" w:hAnsi="Verdana"/>
                      <w:sz w:val="14"/>
                      <w:szCs w:val="14"/>
                    </w:rPr>
                  </w:pPr>
                </w:p>
              </w:tc>
              <w:tc>
                <w:tcPr>
                  <w:tcW w:w="429" w:type="pct"/>
                </w:tcPr>
                <w:p w:rsidRPr="00C81D90" w:rsidR="00221A2C" w:rsidP="00221A2C" w:rsidRDefault="00221A2C" w14:paraId="2BA8A759" w14:textId="65188D94">
                  <w:pPr>
                    <w:jc w:val="right"/>
                    <w:rPr>
                      <w:rFonts w:ascii="Verdana" w:hAnsi="Verdana"/>
                      <w:sz w:val="14"/>
                      <w:szCs w:val="14"/>
                    </w:rPr>
                  </w:pPr>
                </w:p>
              </w:tc>
              <w:tc>
                <w:tcPr>
                  <w:tcW w:w="773" w:type="pct"/>
                </w:tcPr>
                <w:p w:rsidRPr="00C81D90" w:rsidR="00221A2C" w:rsidP="00221A2C" w:rsidRDefault="00903A94" w14:paraId="0028DE52" w14:textId="79FC41CD">
                  <w:pPr>
                    <w:jc w:val="right"/>
                    <w:rPr>
                      <w:rFonts w:ascii="Verdana" w:hAnsi="Verdana"/>
                      <w:sz w:val="14"/>
                      <w:szCs w:val="14"/>
                    </w:rPr>
                  </w:pPr>
                  <w:r w:rsidRPr="00C81D90">
                    <w:rPr>
                      <w:rFonts w:ascii="Verdana" w:hAnsi="Verdana"/>
                      <w:sz w:val="14"/>
                      <w:szCs w:val="14"/>
                    </w:rPr>
                    <w:t>-5,547</w:t>
                  </w:r>
                </w:p>
              </w:tc>
              <w:tc>
                <w:tcPr>
                  <w:tcW w:w="687" w:type="pct"/>
                </w:tcPr>
                <w:p w:rsidRPr="00C81D90" w:rsidR="00221A2C" w:rsidP="00221A2C" w:rsidRDefault="00C81D90" w14:paraId="3AE5B33A" w14:textId="5D7549E9">
                  <w:pPr>
                    <w:jc w:val="right"/>
                    <w:rPr>
                      <w:rFonts w:ascii="Verdana" w:hAnsi="Verdana"/>
                      <w:sz w:val="14"/>
                      <w:szCs w:val="14"/>
                    </w:rPr>
                  </w:pPr>
                  <w:r w:rsidRPr="00C81D90">
                    <w:rPr>
                      <w:rFonts w:ascii="Verdana" w:hAnsi="Verdana"/>
                      <w:sz w:val="14"/>
                      <w:szCs w:val="14"/>
                    </w:rPr>
                    <w:t>-5,282</w:t>
                  </w:r>
                </w:p>
              </w:tc>
              <w:tc>
                <w:tcPr>
                  <w:tcW w:w="773" w:type="pct"/>
                </w:tcPr>
                <w:p w:rsidRPr="00C81D90" w:rsidR="00221A2C" w:rsidP="00221A2C" w:rsidRDefault="00C81D90" w14:paraId="19197DD5" w14:textId="77A153F8">
                  <w:pPr>
                    <w:jc w:val="right"/>
                    <w:rPr>
                      <w:rFonts w:ascii="Verdana" w:hAnsi="Verdana"/>
                      <w:sz w:val="14"/>
                      <w:szCs w:val="14"/>
                    </w:rPr>
                  </w:pPr>
                  <w:r w:rsidRPr="00C81D90">
                    <w:rPr>
                      <w:rFonts w:ascii="Verdana" w:hAnsi="Verdana"/>
                      <w:sz w:val="14"/>
                      <w:szCs w:val="14"/>
                    </w:rPr>
                    <w:t>-5,030</w:t>
                  </w:r>
                </w:p>
              </w:tc>
              <w:tc>
                <w:tcPr>
                  <w:tcW w:w="450" w:type="pct"/>
                </w:tcPr>
                <w:p w:rsidRPr="00C81D90" w:rsidR="00221A2C" w:rsidP="00221A2C" w:rsidRDefault="00C43C1E" w14:paraId="01FD1A5E" w14:textId="31D889DC">
                  <w:pPr>
                    <w:jc w:val="right"/>
                    <w:rPr>
                      <w:rFonts w:ascii="Verdana" w:hAnsi="Verdana"/>
                      <w:sz w:val="14"/>
                      <w:szCs w:val="14"/>
                    </w:rPr>
                  </w:pPr>
                  <w:r>
                    <w:rPr>
                      <w:rFonts w:ascii="Verdana" w:hAnsi="Verdana"/>
                      <w:sz w:val="14"/>
                      <w:szCs w:val="14"/>
                    </w:rPr>
                    <w:t>0</w:t>
                  </w:r>
                </w:p>
              </w:tc>
            </w:tr>
            <w:tr w:rsidRPr="00FD1605" w:rsidR="00D50265" w:rsidTr="00D50265" w14:paraId="31A5E77A" w14:textId="77777777">
              <w:tc>
                <w:tcPr>
                  <w:tcW w:w="1108" w:type="pct"/>
                </w:tcPr>
                <w:p w:rsidRPr="00C81D90" w:rsidR="00221A2C" w:rsidP="00221A2C" w:rsidRDefault="00221A2C" w14:paraId="3DA191D2" w14:textId="77777777">
                  <w:pPr>
                    <w:rPr>
                      <w:rFonts w:ascii="Verdana" w:hAnsi="Verdana"/>
                      <w:sz w:val="14"/>
                      <w:szCs w:val="14"/>
                    </w:rPr>
                  </w:pPr>
                  <w:r w:rsidRPr="00C81D90">
                    <w:rPr>
                      <w:rFonts w:ascii="Verdana" w:hAnsi="Verdana"/>
                      <w:sz w:val="14"/>
                      <w:szCs w:val="14"/>
                    </w:rPr>
                    <w:t>Uitvoeringskosten</w:t>
                  </w:r>
                </w:p>
              </w:tc>
              <w:tc>
                <w:tcPr>
                  <w:tcW w:w="373" w:type="pct"/>
                </w:tcPr>
                <w:p w:rsidRPr="00C81D90" w:rsidR="00221A2C" w:rsidP="00221A2C" w:rsidRDefault="00221A2C" w14:paraId="7A63F3F6" w14:textId="77777777">
                  <w:pPr>
                    <w:jc w:val="right"/>
                    <w:rPr>
                      <w:rFonts w:ascii="Verdana" w:hAnsi="Verdana"/>
                      <w:sz w:val="14"/>
                      <w:szCs w:val="14"/>
                    </w:rPr>
                  </w:pPr>
                </w:p>
              </w:tc>
              <w:tc>
                <w:tcPr>
                  <w:tcW w:w="406" w:type="pct"/>
                </w:tcPr>
                <w:p w:rsidRPr="00C81D90" w:rsidR="00221A2C" w:rsidP="00221A2C" w:rsidRDefault="00221A2C" w14:paraId="679319ED" w14:textId="77777777">
                  <w:pPr>
                    <w:jc w:val="right"/>
                    <w:rPr>
                      <w:rFonts w:ascii="Verdana" w:hAnsi="Verdana"/>
                      <w:sz w:val="14"/>
                      <w:szCs w:val="14"/>
                    </w:rPr>
                  </w:pPr>
                </w:p>
              </w:tc>
              <w:tc>
                <w:tcPr>
                  <w:tcW w:w="429" w:type="pct"/>
                </w:tcPr>
                <w:p w:rsidRPr="00C81D90" w:rsidR="00221A2C" w:rsidP="00221A2C" w:rsidRDefault="00221A2C" w14:paraId="11569927" w14:textId="031F599E">
                  <w:pPr>
                    <w:jc w:val="right"/>
                    <w:rPr>
                      <w:rFonts w:ascii="Verdana" w:hAnsi="Verdana"/>
                      <w:sz w:val="14"/>
                      <w:szCs w:val="14"/>
                    </w:rPr>
                  </w:pPr>
                </w:p>
              </w:tc>
              <w:tc>
                <w:tcPr>
                  <w:tcW w:w="773" w:type="pct"/>
                </w:tcPr>
                <w:p w:rsidRPr="00C81D90" w:rsidR="00221A2C" w:rsidP="00221A2C" w:rsidRDefault="00221A2C" w14:paraId="423E30E7" w14:textId="5B2D7A96">
                  <w:pPr>
                    <w:jc w:val="right"/>
                    <w:rPr>
                      <w:rFonts w:ascii="Verdana" w:hAnsi="Verdana"/>
                      <w:sz w:val="14"/>
                      <w:szCs w:val="14"/>
                    </w:rPr>
                  </w:pPr>
                </w:p>
              </w:tc>
              <w:tc>
                <w:tcPr>
                  <w:tcW w:w="687" w:type="pct"/>
                </w:tcPr>
                <w:p w:rsidRPr="00C81D90" w:rsidR="00221A2C" w:rsidP="00221A2C" w:rsidRDefault="00221A2C" w14:paraId="66E6EF8C" w14:textId="7AC4B923">
                  <w:pPr>
                    <w:jc w:val="right"/>
                    <w:rPr>
                      <w:rFonts w:ascii="Verdana" w:hAnsi="Verdana"/>
                      <w:sz w:val="14"/>
                      <w:szCs w:val="14"/>
                    </w:rPr>
                  </w:pPr>
                </w:p>
              </w:tc>
              <w:tc>
                <w:tcPr>
                  <w:tcW w:w="773" w:type="pct"/>
                </w:tcPr>
                <w:p w:rsidRPr="00C81D90" w:rsidR="00221A2C" w:rsidP="005625CB" w:rsidRDefault="00C43C1E" w14:paraId="4480C1B3" w14:textId="67FF5C16">
                  <w:pPr>
                    <w:tabs>
                      <w:tab w:val="center" w:pos="529"/>
                      <w:tab w:val="right" w:pos="1059"/>
                    </w:tabs>
                    <w:rPr>
                      <w:rFonts w:ascii="Verdana" w:hAnsi="Verdana"/>
                      <w:sz w:val="14"/>
                      <w:szCs w:val="14"/>
                    </w:rPr>
                  </w:pPr>
                  <w:r>
                    <w:rPr>
                      <w:rFonts w:ascii="Verdana" w:hAnsi="Verdana"/>
                      <w:sz w:val="14"/>
                      <w:szCs w:val="14"/>
                    </w:rPr>
                    <w:tab/>
                  </w:r>
                  <w:r>
                    <w:rPr>
                      <w:rFonts w:ascii="Verdana" w:hAnsi="Verdana"/>
                      <w:sz w:val="14"/>
                      <w:szCs w:val="14"/>
                    </w:rPr>
                    <w:tab/>
                  </w:r>
                </w:p>
              </w:tc>
              <w:tc>
                <w:tcPr>
                  <w:tcW w:w="450" w:type="pct"/>
                </w:tcPr>
                <w:p w:rsidRPr="00C81D90" w:rsidR="00221A2C" w:rsidP="00221A2C" w:rsidRDefault="00C43C1E" w14:paraId="1A93C2D3" w14:textId="4A7CB93E">
                  <w:pPr>
                    <w:jc w:val="right"/>
                    <w:rPr>
                      <w:rFonts w:ascii="Verdana" w:hAnsi="Verdana"/>
                      <w:sz w:val="14"/>
                      <w:szCs w:val="14"/>
                    </w:rPr>
                  </w:pPr>
                  <w:r>
                    <w:rPr>
                      <w:rFonts w:ascii="Verdana" w:hAnsi="Verdana"/>
                      <w:sz w:val="14"/>
                      <w:szCs w:val="14"/>
                    </w:rPr>
                    <w:t>0</w:t>
                  </w:r>
                </w:p>
              </w:tc>
            </w:tr>
            <w:tr w:rsidRPr="00FD1605" w:rsidR="00D50265" w:rsidTr="00D50265" w14:paraId="2666DC8F" w14:textId="77777777">
              <w:tc>
                <w:tcPr>
                  <w:tcW w:w="1108" w:type="pct"/>
                </w:tcPr>
                <w:p w:rsidRPr="00C81D90" w:rsidR="00221A2C" w:rsidP="00221A2C" w:rsidRDefault="00221A2C" w14:paraId="44AE1075" w14:textId="77777777">
                  <w:pPr>
                    <w:rPr>
                      <w:rFonts w:ascii="Verdana" w:hAnsi="Verdana"/>
                      <w:sz w:val="14"/>
                      <w:szCs w:val="14"/>
                    </w:rPr>
                  </w:pPr>
                </w:p>
              </w:tc>
              <w:tc>
                <w:tcPr>
                  <w:tcW w:w="373" w:type="pct"/>
                </w:tcPr>
                <w:p w:rsidRPr="00C81D90" w:rsidR="00221A2C" w:rsidP="00221A2C" w:rsidRDefault="00221A2C" w14:paraId="64BA29E0" w14:textId="77777777">
                  <w:pPr>
                    <w:jc w:val="right"/>
                    <w:rPr>
                      <w:rFonts w:ascii="Verdana" w:hAnsi="Verdana"/>
                      <w:sz w:val="14"/>
                      <w:szCs w:val="14"/>
                    </w:rPr>
                  </w:pPr>
                </w:p>
              </w:tc>
              <w:tc>
                <w:tcPr>
                  <w:tcW w:w="406" w:type="pct"/>
                </w:tcPr>
                <w:p w:rsidRPr="00C81D90" w:rsidR="00221A2C" w:rsidP="00221A2C" w:rsidRDefault="00221A2C" w14:paraId="54E55A41" w14:textId="77777777">
                  <w:pPr>
                    <w:jc w:val="right"/>
                    <w:rPr>
                      <w:rFonts w:ascii="Verdana" w:hAnsi="Verdana"/>
                      <w:sz w:val="14"/>
                      <w:szCs w:val="14"/>
                    </w:rPr>
                  </w:pPr>
                </w:p>
              </w:tc>
              <w:tc>
                <w:tcPr>
                  <w:tcW w:w="429" w:type="pct"/>
                </w:tcPr>
                <w:p w:rsidRPr="00C81D90" w:rsidR="00221A2C" w:rsidP="00221A2C" w:rsidRDefault="00221A2C" w14:paraId="7DC44E52" w14:textId="77777777">
                  <w:pPr>
                    <w:jc w:val="right"/>
                    <w:rPr>
                      <w:rFonts w:ascii="Verdana" w:hAnsi="Verdana"/>
                      <w:sz w:val="14"/>
                      <w:szCs w:val="14"/>
                    </w:rPr>
                  </w:pPr>
                </w:p>
              </w:tc>
              <w:tc>
                <w:tcPr>
                  <w:tcW w:w="773" w:type="pct"/>
                </w:tcPr>
                <w:p w:rsidRPr="00C81D90" w:rsidR="00221A2C" w:rsidP="00221A2C" w:rsidRDefault="00221A2C" w14:paraId="6EFD9067" w14:textId="77777777">
                  <w:pPr>
                    <w:jc w:val="right"/>
                    <w:rPr>
                      <w:rFonts w:ascii="Verdana" w:hAnsi="Verdana"/>
                      <w:sz w:val="14"/>
                      <w:szCs w:val="14"/>
                    </w:rPr>
                  </w:pPr>
                </w:p>
              </w:tc>
              <w:tc>
                <w:tcPr>
                  <w:tcW w:w="687" w:type="pct"/>
                </w:tcPr>
                <w:p w:rsidRPr="00C81D90" w:rsidR="00221A2C" w:rsidP="00221A2C" w:rsidRDefault="00221A2C" w14:paraId="1099BFEC" w14:textId="77777777">
                  <w:pPr>
                    <w:jc w:val="right"/>
                    <w:rPr>
                      <w:rFonts w:ascii="Verdana" w:hAnsi="Verdana"/>
                      <w:sz w:val="14"/>
                      <w:szCs w:val="14"/>
                    </w:rPr>
                  </w:pPr>
                </w:p>
              </w:tc>
              <w:tc>
                <w:tcPr>
                  <w:tcW w:w="773" w:type="pct"/>
                </w:tcPr>
                <w:p w:rsidRPr="00C81D90" w:rsidR="00221A2C" w:rsidP="00221A2C" w:rsidRDefault="00221A2C" w14:paraId="756487FD" w14:textId="77777777">
                  <w:pPr>
                    <w:jc w:val="right"/>
                    <w:rPr>
                      <w:rFonts w:ascii="Verdana" w:hAnsi="Verdana"/>
                      <w:sz w:val="14"/>
                      <w:szCs w:val="14"/>
                    </w:rPr>
                  </w:pPr>
                </w:p>
              </w:tc>
              <w:tc>
                <w:tcPr>
                  <w:tcW w:w="450" w:type="pct"/>
                </w:tcPr>
                <w:p w:rsidRPr="00C81D90" w:rsidR="00221A2C" w:rsidP="00221A2C" w:rsidRDefault="00221A2C" w14:paraId="2CC1EB26" w14:textId="77777777">
                  <w:pPr>
                    <w:jc w:val="right"/>
                    <w:rPr>
                      <w:rFonts w:ascii="Verdana" w:hAnsi="Verdana"/>
                      <w:sz w:val="14"/>
                      <w:szCs w:val="14"/>
                    </w:rPr>
                  </w:pPr>
                </w:p>
              </w:tc>
            </w:tr>
            <w:tr w:rsidRPr="00FD1605" w:rsidR="00D50265" w:rsidTr="00D50265" w14:paraId="021DB5DF" w14:textId="77777777">
              <w:tc>
                <w:tcPr>
                  <w:tcW w:w="1108" w:type="pct"/>
                </w:tcPr>
                <w:p w:rsidRPr="00C81D90" w:rsidR="00221A2C" w:rsidP="00221A2C" w:rsidRDefault="00221A2C" w14:paraId="532825ED" w14:textId="77777777">
                  <w:pPr>
                    <w:rPr>
                      <w:rFonts w:ascii="Verdana" w:hAnsi="Verdana"/>
                      <w:b/>
                      <w:bCs/>
                      <w:sz w:val="14"/>
                      <w:szCs w:val="14"/>
                    </w:rPr>
                  </w:pPr>
                  <w:r w:rsidRPr="00C81D90">
                    <w:rPr>
                      <w:rFonts w:ascii="Verdana" w:hAnsi="Verdana"/>
                      <w:b/>
                      <w:bCs/>
                      <w:sz w:val="14"/>
                      <w:szCs w:val="14"/>
                    </w:rPr>
                    <w:t>Totaal</w:t>
                  </w:r>
                </w:p>
              </w:tc>
              <w:tc>
                <w:tcPr>
                  <w:tcW w:w="373" w:type="pct"/>
                </w:tcPr>
                <w:p w:rsidRPr="00C81D90" w:rsidR="00221A2C" w:rsidP="00221A2C" w:rsidRDefault="00221A2C" w14:paraId="4643D5FB" w14:textId="77777777">
                  <w:pPr>
                    <w:jc w:val="right"/>
                    <w:rPr>
                      <w:rFonts w:ascii="Verdana" w:hAnsi="Verdana"/>
                      <w:b/>
                      <w:bCs/>
                      <w:sz w:val="14"/>
                      <w:szCs w:val="14"/>
                    </w:rPr>
                  </w:pPr>
                </w:p>
              </w:tc>
              <w:tc>
                <w:tcPr>
                  <w:tcW w:w="406" w:type="pct"/>
                </w:tcPr>
                <w:p w:rsidRPr="00C81D90" w:rsidR="00221A2C" w:rsidP="00221A2C" w:rsidRDefault="00221A2C" w14:paraId="3374D2B4" w14:textId="77777777">
                  <w:pPr>
                    <w:jc w:val="right"/>
                    <w:rPr>
                      <w:rFonts w:ascii="Verdana" w:hAnsi="Verdana"/>
                      <w:b/>
                      <w:bCs/>
                      <w:sz w:val="14"/>
                      <w:szCs w:val="14"/>
                    </w:rPr>
                  </w:pPr>
                </w:p>
              </w:tc>
              <w:tc>
                <w:tcPr>
                  <w:tcW w:w="429" w:type="pct"/>
                </w:tcPr>
                <w:p w:rsidRPr="00C81D90" w:rsidR="00221A2C" w:rsidP="00221A2C" w:rsidRDefault="00221A2C" w14:paraId="23C41909" w14:textId="64BDB413">
                  <w:pPr>
                    <w:jc w:val="right"/>
                    <w:rPr>
                      <w:rFonts w:ascii="Verdana" w:hAnsi="Verdana"/>
                      <w:b/>
                      <w:bCs/>
                      <w:sz w:val="14"/>
                      <w:szCs w:val="14"/>
                    </w:rPr>
                  </w:pPr>
                </w:p>
              </w:tc>
              <w:tc>
                <w:tcPr>
                  <w:tcW w:w="773" w:type="pct"/>
                </w:tcPr>
                <w:p w:rsidRPr="00C81D90" w:rsidR="00221A2C" w:rsidP="00221A2C" w:rsidRDefault="00C81D90" w14:paraId="35013959" w14:textId="5CB22727">
                  <w:pPr>
                    <w:jc w:val="right"/>
                    <w:rPr>
                      <w:rFonts w:ascii="Verdana" w:hAnsi="Verdana"/>
                      <w:b/>
                      <w:bCs/>
                      <w:sz w:val="14"/>
                      <w:szCs w:val="14"/>
                    </w:rPr>
                  </w:pPr>
                  <w:r w:rsidRPr="00C81D90">
                    <w:rPr>
                      <w:rFonts w:ascii="Verdana" w:hAnsi="Verdana"/>
                      <w:b/>
                      <w:bCs/>
                      <w:sz w:val="14"/>
                      <w:szCs w:val="14"/>
                    </w:rPr>
                    <w:t>14,226</w:t>
                  </w:r>
                </w:p>
              </w:tc>
              <w:tc>
                <w:tcPr>
                  <w:tcW w:w="687" w:type="pct"/>
                </w:tcPr>
                <w:p w:rsidRPr="00C81D90" w:rsidR="00221A2C" w:rsidP="00221A2C" w:rsidRDefault="00C81D90" w14:paraId="0B01E553" w14:textId="3994E360">
                  <w:pPr>
                    <w:jc w:val="right"/>
                    <w:rPr>
                      <w:rFonts w:ascii="Verdana" w:hAnsi="Verdana"/>
                      <w:b/>
                      <w:bCs/>
                      <w:sz w:val="14"/>
                      <w:szCs w:val="14"/>
                    </w:rPr>
                  </w:pPr>
                  <w:r w:rsidRPr="00C81D90">
                    <w:rPr>
                      <w:rFonts w:ascii="Verdana" w:hAnsi="Verdana"/>
                      <w:b/>
                      <w:bCs/>
                      <w:sz w:val="14"/>
                      <w:szCs w:val="14"/>
                    </w:rPr>
                    <w:t>13,997</w:t>
                  </w:r>
                </w:p>
              </w:tc>
              <w:tc>
                <w:tcPr>
                  <w:tcW w:w="773" w:type="pct"/>
                </w:tcPr>
                <w:p w:rsidRPr="00C81D90" w:rsidR="00221A2C" w:rsidP="00221A2C" w:rsidRDefault="00C81D90" w14:paraId="62C75A65" w14:textId="1FE3BC68">
                  <w:pPr>
                    <w:jc w:val="right"/>
                    <w:rPr>
                      <w:rFonts w:ascii="Verdana" w:hAnsi="Verdana"/>
                      <w:b/>
                      <w:bCs/>
                      <w:sz w:val="14"/>
                      <w:szCs w:val="14"/>
                    </w:rPr>
                  </w:pPr>
                  <w:r w:rsidRPr="00C81D90">
                    <w:rPr>
                      <w:rFonts w:ascii="Verdana" w:hAnsi="Verdana"/>
                      <w:b/>
                      <w:bCs/>
                      <w:sz w:val="14"/>
                      <w:szCs w:val="14"/>
                    </w:rPr>
                    <w:t>13,768</w:t>
                  </w:r>
                </w:p>
              </w:tc>
              <w:tc>
                <w:tcPr>
                  <w:tcW w:w="450" w:type="pct"/>
                </w:tcPr>
                <w:p w:rsidRPr="00C81D90" w:rsidR="00221A2C" w:rsidP="00221A2C" w:rsidRDefault="00C43C1E" w14:paraId="14E3CC34" w14:textId="2DDB6607">
                  <w:pPr>
                    <w:jc w:val="right"/>
                    <w:rPr>
                      <w:rFonts w:ascii="Verdana" w:hAnsi="Verdana"/>
                      <w:b/>
                      <w:bCs/>
                      <w:sz w:val="14"/>
                      <w:szCs w:val="14"/>
                    </w:rPr>
                  </w:pPr>
                  <w:r>
                    <w:rPr>
                      <w:rFonts w:ascii="Verdana" w:hAnsi="Verdana"/>
                      <w:b/>
                      <w:bCs/>
                      <w:sz w:val="14"/>
                      <w:szCs w:val="14"/>
                    </w:rPr>
                    <w:t>0</w:t>
                  </w:r>
                </w:p>
              </w:tc>
            </w:tr>
          </w:tbl>
          <w:tbl>
            <w:tblPr>
              <w:tblStyle w:val="Tabelraster"/>
              <w:tblpPr w:leftFromText="141" w:rightFromText="141" w:vertAnchor="page" w:horzAnchor="margin" w:tblpY="2152"/>
              <w:tblOverlap w:val="never"/>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val="01E0" w:firstRow="1" w:lastRow="1" w:firstColumn="1" w:lastColumn="1" w:noHBand="0" w:noVBand="0"/>
            </w:tblPr>
            <w:tblGrid>
              <w:gridCol w:w="1879"/>
              <w:gridCol w:w="615"/>
              <w:gridCol w:w="639"/>
              <w:gridCol w:w="690"/>
              <w:gridCol w:w="1275"/>
              <w:gridCol w:w="1134"/>
              <w:gridCol w:w="1275"/>
              <w:gridCol w:w="743"/>
            </w:tblGrid>
            <w:tr w:rsidRPr="0063634E" w:rsidR="00D50265" w:rsidTr="00D50265" w14:paraId="000D416F" w14:textId="77777777">
              <w:tc>
                <w:tcPr>
                  <w:tcW w:w="1138" w:type="pct"/>
                  <w:tcBorders>
                    <w:top w:val="single" w:color="auto" w:sz="4" w:space="0"/>
                    <w:left w:val="single" w:color="auto" w:sz="4" w:space="0"/>
                  </w:tcBorders>
                </w:tcPr>
                <w:p w:rsidRPr="00C81D90" w:rsidR="00221A2C" w:rsidP="00221A2C" w:rsidRDefault="00221A2C" w14:paraId="3E70139B" w14:textId="77777777">
                  <w:pPr>
                    <w:rPr>
                      <w:rFonts w:ascii="Verdana" w:hAnsi="Verdana"/>
                      <w:b/>
                      <w:sz w:val="14"/>
                      <w:szCs w:val="14"/>
                    </w:rPr>
                  </w:pPr>
                  <w:r w:rsidRPr="00C81D90">
                    <w:rPr>
                      <w:rFonts w:ascii="Verdana" w:hAnsi="Verdana"/>
                      <w:b/>
                      <w:sz w:val="14"/>
                      <w:szCs w:val="14"/>
                    </w:rPr>
                    <w:t>Variant c</w:t>
                  </w:r>
                </w:p>
              </w:tc>
              <w:tc>
                <w:tcPr>
                  <w:tcW w:w="373" w:type="pct"/>
                  <w:tcBorders>
                    <w:top w:val="single" w:color="auto" w:sz="4" w:space="0"/>
                  </w:tcBorders>
                </w:tcPr>
                <w:p w:rsidRPr="00C81D90" w:rsidR="00221A2C" w:rsidP="00221A2C" w:rsidRDefault="00221A2C" w14:paraId="6CAD04F6" w14:textId="6167B791">
                  <w:pPr>
                    <w:jc w:val="right"/>
                    <w:rPr>
                      <w:rFonts w:ascii="Verdana" w:hAnsi="Verdana"/>
                      <w:b/>
                      <w:bCs/>
                      <w:sz w:val="14"/>
                      <w:szCs w:val="14"/>
                    </w:rPr>
                  </w:pPr>
                  <w:r w:rsidRPr="00C81D90">
                    <w:rPr>
                      <w:rFonts w:ascii="Verdana" w:hAnsi="Verdana"/>
                      <w:b/>
                      <w:bCs/>
                      <w:sz w:val="14"/>
                      <w:szCs w:val="14"/>
                    </w:rPr>
                    <w:t>202</w:t>
                  </w:r>
                  <w:r w:rsidRPr="00C81D90" w:rsidR="00903A94">
                    <w:rPr>
                      <w:rFonts w:ascii="Verdana" w:hAnsi="Verdana"/>
                      <w:b/>
                      <w:bCs/>
                      <w:sz w:val="14"/>
                      <w:szCs w:val="14"/>
                    </w:rPr>
                    <w:t>6</w:t>
                  </w:r>
                </w:p>
              </w:tc>
              <w:tc>
                <w:tcPr>
                  <w:tcW w:w="387" w:type="pct"/>
                  <w:tcBorders>
                    <w:top w:val="single" w:color="auto" w:sz="4" w:space="0"/>
                  </w:tcBorders>
                </w:tcPr>
                <w:p w:rsidRPr="00C81D90" w:rsidR="00221A2C" w:rsidP="00221A2C" w:rsidRDefault="00221A2C" w14:paraId="44A44189" w14:textId="62FA3248">
                  <w:pPr>
                    <w:jc w:val="right"/>
                    <w:rPr>
                      <w:rFonts w:ascii="Verdana" w:hAnsi="Verdana"/>
                      <w:b/>
                      <w:bCs/>
                      <w:sz w:val="14"/>
                      <w:szCs w:val="14"/>
                    </w:rPr>
                  </w:pPr>
                  <w:r w:rsidRPr="00C81D90">
                    <w:rPr>
                      <w:rFonts w:ascii="Verdana" w:hAnsi="Verdana"/>
                      <w:b/>
                      <w:bCs/>
                      <w:sz w:val="14"/>
                      <w:szCs w:val="14"/>
                    </w:rPr>
                    <w:t>202</w:t>
                  </w:r>
                  <w:r w:rsidRPr="00C81D90" w:rsidR="00903A94">
                    <w:rPr>
                      <w:rFonts w:ascii="Verdana" w:hAnsi="Verdana"/>
                      <w:b/>
                      <w:bCs/>
                      <w:sz w:val="14"/>
                      <w:szCs w:val="14"/>
                    </w:rPr>
                    <w:t>7</w:t>
                  </w:r>
                </w:p>
              </w:tc>
              <w:tc>
                <w:tcPr>
                  <w:tcW w:w="418" w:type="pct"/>
                  <w:tcBorders>
                    <w:top w:val="single" w:color="auto" w:sz="4" w:space="0"/>
                  </w:tcBorders>
                </w:tcPr>
                <w:p w:rsidRPr="00C81D90" w:rsidR="00221A2C" w:rsidP="00221A2C" w:rsidRDefault="00221A2C" w14:paraId="6C72FB76" w14:textId="3367D09E">
                  <w:pPr>
                    <w:jc w:val="right"/>
                    <w:rPr>
                      <w:rFonts w:ascii="Verdana" w:hAnsi="Verdana"/>
                      <w:b/>
                      <w:bCs/>
                      <w:sz w:val="14"/>
                      <w:szCs w:val="14"/>
                    </w:rPr>
                  </w:pPr>
                  <w:r w:rsidRPr="00C81D90">
                    <w:rPr>
                      <w:rFonts w:ascii="Verdana" w:hAnsi="Verdana"/>
                      <w:b/>
                      <w:bCs/>
                      <w:sz w:val="14"/>
                      <w:szCs w:val="14"/>
                    </w:rPr>
                    <w:t>202</w:t>
                  </w:r>
                  <w:r w:rsidRPr="00C81D90" w:rsidR="00903A94">
                    <w:rPr>
                      <w:rFonts w:ascii="Verdana" w:hAnsi="Verdana"/>
                      <w:b/>
                      <w:bCs/>
                      <w:sz w:val="14"/>
                      <w:szCs w:val="14"/>
                    </w:rPr>
                    <w:t>8</w:t>
                  </w:r>
                </w:p>
              </w:tc>
              <w:tc>
                <w:tcPr>
                  <w:tcW w:w="773" w:type="pct"/>
                  <w:tcBorders>
                    <w:top w:val="single" w:color="auto" w:sz="4" w:space="0"/>
                  </w:tcBorders>
                </w:tcPr>
                <w:p w:rsidRPr="00C81D90" w:rsidR="00221A2C" w:rsidP="00221A2C" w:rsidRDefault="00221A2C" w14:paraId="1225BDC7" w14:textId="30BB1CC9">
                  <w:pPr>
                    <w:jc w:val="right"/>
                    <w:rPr>
                      <w:rFonts w:ascii="Verdana" w:hAnsi="Verdana"/>
                      <w:b/>
                      <w:bCs/>
                      <w:sz w:val="14"/>
                      <w:szCs w:val="14"/>
                    </w:rPr>
                  </w:pPr>
                  <w:r w:rsidRPr="00C81D90">
                    <w:rPr>
                      <w:rFonts w:ascii="Verdana" w:hAnsi="Verdana"/>
                      <w:b/>
                      <w:bCs/>
                      <w:sz w:val="14"/>
                      <w:szCs w:val="14"/>
                    </w:rPr>
                    <w:t>202</w:t>
                  </w:r>
                  <w:r w:rsidRPr="00C81D90" w:rsidR="00903A94">
                    <w:rPr>
                      <w:rFonts w:ascii="Verdana" w:hAnsi="Verdana"/>
                      <w:b/>
                      <w:bCs/>
                      <w:sz w:val="14"/>
                      <w:szCs w:val="14"/>
                    </w:rPr>
                    <w:t>9</w:t>
                  </w:r>
                </w:p>
              </w:tc>
              <w:tc>
                <w:tcPr>
                  <w:tcW w:w="687" w:type="pct"/>
                  <w:tcBorders>
                    <w:top w:val="single" w:color="auto" w:sz="4" w:space="0"/>
                  </w:tcBorders>
                </w:tcPr>
                <w:p w:rsidRPr="00C81D90" w:rsidR="00221A2C" w:rsidP="00221A2C" w:rsidRDefault="00221A2C" w14:paraId="4CEE41F3" w14:textId="154C0744">
                  <w:pPr>
                    <w:jc w:val="right"/>
                    <w:rPr>
                      <w:rFonts w:ascii="Verdana" w:hAnsi="Verdana"/>
                      <w:b/>
                      <w:bCs/>
                      <w:sz w:val="14"/>
                      <w:szCs w:val="14"/>
                    </w:rPr>
                  </w:pPr>
                  <w:r w:rsidRPr="00C81D90">
                    <w:rPr>
                      <w:rFonts w:ascii="Verdana" w:hAnsi="Verdana"/>
                      <w:b/>
                      <w:bCs/>
                      <w:sz w:val="14"/>
                      <w:szCs w:val="14"/>
                    </w:rPr>
                    <w:t>20</w:t>
                  </w:r>
                  <w:r w:rsidRPr="00C81D90" w:rsidR="00903A94">
                    <w:rPr>
                      <w:rFonts w:ascii="Verdana" w:hAnsi="Verdana"/>
                      <w:b/>
                      <w:bCs/>
                      <w:sz w:val="14"/>
                      <w:szCs w:val="14"/>
                    </w:rPr>
                    <w:t>30</w:t>
                  </w:r>
                </w:p>
              </w:tc>
              <w:tc>
                <w:tcPr>
                  <w:tcW w:w="773" w:type="pct"/>
                  <w:tcBorders>
                    <w:top w:val="single" w:color="auto" w:sz="4" w:space="0"/>
                  </w:tcBorders>
                </w:tcPr>
                <w:p w:rsidRPr="00C81D90" w:rsidR="00221A2C" w:rsidP="00221A2C" w:rsidRDefault="00221A2C" w14:paraId="6B64EC21" w14:textId="20BF70AE">
                  <w:pPr>
                    <w:jc w:val="right"/>
                    <w:rPr>
                      <w:rFonts w:ascii="Verdana" w:hAnsi="Verdana"/>
                      <w:b/>
                      <w:bCs/>
                      <w:sz w:val="14"/>
                      <w:szCs w:val="14"/>
                    </w:rPr>
                  </w:pPr>
                  <w:r w:rsidRPr="00C81D90">
                    <w:rPr>
                      <w:rFonts w:ascii="Verdana" w:hAnsi="Verdana"/>
                      <w:b/>
                      <w:bCs/>
                      <w:sz w:val="14"/>
                      <w:szCs w:val="14"/>
                    </w:rPr>
                    <w:t>203</w:t>
                  </w:r>
                  <w:r w:rsidRPr="00C81D90" w:rsidR="00903A94">
                    <w:rPr>
                      <w:rFonts w:ascii="Verdana" w:hAnsi="Verdana"/>
                      <w:b/>
                      <w:bCs/>
                      <w:sz w:val="14"/>
                      <w:szCs w:val="14"/>
                    </w:rPr>
                    <w:t>1</w:t>
                  </w:r>
                </w:p>
              </w:tc>
              <w:tc>
                <w:tcPr>
                  <w:tcW w:w="450" w:type="pct"/>
                  <w:tcBorders>
                    <w:top w:val="single" w:color="auto" w:sz="4" w:space="0"/>
                  </w:tcBorders>
                </w:tcPr>
                <w:p w:rsidRPr="00C81D90" w:rsidR="00221A2C" w:rsidP="00221A2C" w:rsidRDefault="00221A2C" w14:paraId="19C39A90" w14:textId="77777777">
                  <w:pPr>
                    <w:jc w:val="right"/>
                    <w:rPr>
                      <w:rFonts w:ascii="Verdana" w:hAnsi="Verdana"/>
                      <w:b/>
                      <w:bCs/>
                      <w:sz w:val="14"/>
                      <w:szCs w:val="14"/>
                    </w:rPr>
                  </w:pPr>
                  <w:proofErr w:type="spellStart"/>
                  <w:r w:rsidRPr="00C81D90">
                    <w:rPr>
                      <w:rFonts w:ascii="Verdana" w:hAnsi="Verdana"/>
                      <w:b/>
                      <w:bCs/>
                      <w:sz w:val="14"/>
                      <w:szCs w:val="14"/>
                    </w:rPr>
                    <w:t>Struc</w:t>
                  </w:r>
                  <w:proofErr w:type="spellEnd"/>
                  <w:r w:rsidRPr="00C81D90">
                    <w:rPr>
                      <w:rFonts w:ascii="Verdana" w:hAnsi="Verdana"/>
                      <w:b/>
                      <w:bCs/>
                      <w:sz w:val="14"/>
                      <w:szCs w:val="14"/>
                    </w:rPr>
                    <w:t>.</w:t>
                  </w:r>
                </w:p>
              </w:tc>
            </w:tr>
            <w:tr w:rsidRPr="0063634E" w:rsidR="00D50265" w:rsidTr="00D50265" w14:paraId="7311305F" w14:textId="77777777">
              <w:tc>
                <w:tcPr>
                  <w:tcW w:w="1138" w:type="pct"/>
                </w:tcPr>
                <w:p w:rsidRPr="00C81D90" w:rsidR="00221A2C" w:rsidP="00221A2C" w:rsidRDefault="00221A2C" w14:paraId="1793FEDE" w14:textId="77777777">
                  <w:pPr>
                    <w:rPr>
                      <w:rFonts w:ascii="Verdana" w:hAnsi="Verdana"/>
                      <w:sz w:val="14"/>
                      <w:szCs w:val="14"/>
                    </w:rPr>
                  </w:pPr>
                  <w:r w:rsidRPr="00C81D90">
                    <w:rPr>
                      <w:rFonts w:ascii="Verdana" w:hAnsi="Verdana"/>
                      <w:sz w:val="14"/>
                      <w:szCs w:val="14"/>
                    </w:rPr>
                    <w:t>Algemene effecten (Wajong)</w:t>
                  </w:r>
                </w:p>
              </w:tc>
              <w:tc>
                <w:tcPr>
                  <w:tcW w:w="373" w:type="pct"/>
                </w:tcPr>
                <w:p w:rsidRPr="00C81D90" w:rsidR="00221A2C" w:rsidP="00221A2C" w:rsidRDefault="00221A2C" w14:paraId="23A53F54" w14:textId="77777777">
                  <w:pPr>
                    <w:jc w:val="right"/>
                    <w:rPr>
                      <w:rFonts w:ascii="Verdana" w:hAnsi="Verdana"/>
                      <w:sz w:val="14"/>
                      <w:szCs w:val="14"/>
                    </w:rPr>
                  </w:pPr>
                </w:p>
              </w:tc>
              <w:tc>
                <w:tcPr>
                  <w:tcW w:w="387" w:type="pct"/>
                </w:tcPr>
                <w:p w:rsidRPr="00C81D90" w:rsidR="00221A2C" w:rsidP="00221A2C" w:rsidRDefault="00221A2C" w14:paraId="157B2EE3" w14:textId="77777777">
                  <w:pPr>
                    <w:jc w:val="right"/>
                    <w:rPr>
                      <w:rFonts w:ascii="Verdana" w:hAnsi="Verdana"/>
                      <w:sz w:val="14"/>
                      <w:szCs w:val="14"/>
                    </w:rPr>
                  </w:pPr>
                </w:p>
              </w:tc>
              <w:tc>
                <w:tcPr>
                  <w:tcW w:w="418" w:type="pct"/>
                </w:tcPr>
                <w:p w:rsidRPr="00C81D90" w:rsidR="00221A2C" w:rsidP="00221A2C" w:rsidRDefault="00221A2C" w14:paraId="31C272AA" w14:textId="6B5286CB">
                  <w:pPr>
                    <w:jc w:val="right"/>
                    <w:rPr>
                      <w:rFonts w:ascii="Verdana" w:hAnsi="Verdana"/>
                      <w:sz w:val="14"/>
                      <w:szCs w:val="14"/>
                    </w:rPr>
                  </w:pPr>
                </w:p>
              </w:tc>
              <w:tc>
                <w:tcPr>
                  <w:tcW w:w="773" w:type="pct"/>
                </w:tcPr>
                <w:p w:rsidRPr="00C81D90" w:rsidR="00221A2C" w:rsidP="00221A2C" w:rsidRDefault="00221A2C" w14:paraId="0BB5A014" w14:textId="77777777">
                  <w:pPr>
                    <w:jc w:val="right"/>
                    <w:rPr>
                      <w:rFonts w:ascii="Verdana" w:hAnsi="Verdana"/>
                      <w:sz w:val="14"/>
                      <w:szCs w:val="14"/>
                    </w:rPr>
                  </w:pPr>
                  <w:r w:rsidRPr="00C81D90">
                    <w:rPr>
                      <w:rFonts w:ascii="Verdana" w:hAnsi="Verdana"/>
                      <w:sz w:val="14"/>
                      <w:szCs w:val="14"/>
                    </w:rPr>
                    <w:t>0</w:t>
                  </w:r>
                </w:p>
              </w:tc>
              <w:tc>
                <w:tcPr>
                  <w:tcW w:w="687" w:type="pct"/>
                </w:tcPr>
                <w:p w:rsidRPr="00C81D90" w:rsidR="00221A2C" w:rsidP="00221A2C" w:rsidRDefault="00221A2C" w14:paraId="51CADB35" w14:textId="77777777">
                  <w:pPr>
                    <w:jc w:val="right"/>
                    <w:rPr>
                      <w:rFonts w:ascii="Verdana" w:hAnsi="Verdana"/>
                      <w:sz w:val="14"/>
                      <w:szCs w:val="14"/>
                    </w:rPr>
                  </w:pPr>
                  <w:r w:rsidRPr="00C81D90">
                    <w:rPr>
                      <w:rFonts w:ascii="Verdana" w:hAnsi="Verdana"/>
                      <w:sz w:val="14"/>
                      <w:szCs w:val="14"/>
                    </w:rPr>
                    <w:t>0</w:t>
                  </w:r>
                </w:p>
              </w:tc>
              <w:tc>
                <w:tcPr>
                  <w:tcW w:w="773" w:type="pct"/>
                </w:tcPr>
                <w:p w:rsidRPr="00C81D90" w:rsidR="00221A2C" w:rsidP="00221A2C" w:rsidRDefault="00221A2C" w14:paraId="6E486614" w14:textId="77777777">
                  <w:pPr>
                    <w:jc w:val="right"/>
                    <w:rPr>
                      <w:rFonts w:ascii="Verdana" w:hAnsi="Verdana"/>
                      <w:sz w:val="14"/>
                      <w:szCs w:val="14"/>
                    </w:rPr>
                  </w:pPr>
                  <w:r w:rsidRPr="00C81D90">
                    <w:rPr>
                      <w:rFonts w:ascii="Verdana" w:hAnsi="Verdana"/>
                      <w:sz w:val="14"/>
                      <w:szCs w:val="14"/>
                    </w:rPr>
                    <w:t>0</w:t>
                  </w:r>
                </w:p>
              </w:tc>
              <w:tc>
                <w:tcPr>
                  <w:tcW w:w="450" w:type="pct"/>
                </w:tcPr>
                <w:p w:rsidRPr="00C81D90" w:rsidR="00221A2C" w:rsidP="00221A2C" w:rsidRDefault="00C43C1E" w14:paraId="6A8107B2" w14:textId="54E5E09A">
                  <w:pPr>
                    <w:jc w:val="right"/>
                    <w:rPr>
                      <w:rFonts w:ascii="Verdana" w:hAnsi="Verdana"/>
                      <w:sz w:val="14"/>
                      <w:szCs w:val="14"/>
                    </w:rPr>
                  </w:pPr>
                  <w:r>
                    <w:rPr>
                      <w:rFonts w:ascii="Verdana" w:hAnsi="Verdana"/>
                      <w:sz w:val="14"/>
                      <w:szCs w:val="14"/>
                    </w:rPr>
                    <w:t>0</w:t>
                  </w:r>
                </w:p>
              </w:tc>
            </w:tr>
            <w:tr w:rsidRPr="0063634E" w:rsidR="00D50265" w:rsidTr="00D50265" w14:paraId="6460F6BC" w14:textId="77777777">
              <w:tc>
                <w:tcPr>
                  <w:tcW w:w="1138" w:type="pct"/>
                </w:tcPr>
                <w:p w:rsidRPr="00C81D90" w:rsidR="00221A2C" w:rsidP="00221A2C" w:rsidRDefault="00221A2C" w14:paraId="75799E40" w14:textId="77777777">
                  <w:pPr>
                    <w:rPr>
                      <w:rFonts w:ascii="Verdana" w:hAnsi="Verdana"/>
                      <w:sz w:val="14"/>
                      <w:szCs w:val="14"/>
                    </w:rPr>
                  </w:pPr>
                  <w:r w:rsidRPr="00C81D90">
                    <w:rPr>
                      <w:rFonts w:ascii="Verdana" w:hAnsi="Verdana"/>
                      <w:sz w:val="14"/>
                      <w:szCs w:val="14"/>
                    </w:rPr>
                    <w:t xml:space="preserve">Weglekeffecten (TW effect </w:t>
                  </w:r>
                  <w:proofErr w:type="spellStart"/>
                  <w:r w:rsidRPr="00C81D90">
                    <w:rPr>
                      <w:rFonts w:ascii="Verdana" w:hAnsi="Verdana"/>
                      <w:sz w:val="14"/>
                      <w:szCs w:val="14"/>
                    </w:rPr>
                    <w:t>inc.</w:t>
                  </w:r>
                  <w:proofErr w:type="spellEnd"/>
                  <w:r w:rsidRPr="00C81D90">
                    <w:rPr>
                      <w:rFonts w:ascii="Verdana" w:hAnsi="Verdana"/>
                      <w:sz w:val="14"/>
                      <w:szCs w:val="14"/>
                    </w:rPr>
                    <w:t xml:space="preserve"> weglek bijstand)</w:t>
                  </w:r>
                </w:p>
              </w:tc>
              <w:tc>
                <w:tcPr>
                  <w:tcW w:w="373" w:type="pct"/>
                </w:tcPr>
                <w:p w:rsidRPr="00C81D90" w:rsidR="00221A2C" w:rsidP="00221A2C" w:rsidRDefault="00221A2C" w14:paraId="55B8F343" w14:textId="77777777">
                  <w:pPr>
                    <w:jc w:val="right"/>
                    <w:rPr>
                      <w:rFonts w:ascii="Verdana" w:hAnsi="Verdana"/>
                      <w:sz w:val="14"/>
                      <w:szCs w:val="14"/>
                    </w:rPr>
                  </w:pPr>
                </w:p>
              </w:tc>
              <w:tc>
                <w:tcPr>
                  <w:tcW w:w="387" w:type="pct"/>
                </w:tcPr>
                <w:p w:rsidRPr="00C81D90" w:rsidR="00221A2C" w:rsidP="00221A2C" w:rsidRDefault="00221A2C" w14:paraId="33592E7A" w14:textId="77777777">
                  <w:pPr>
                    <w:jc w:val="right"/>
                    <w:rPr>
                      <w:rFonts w:ascii="Verdana" w:hAnsi="Verdana"/>
                      <w:sz w:val="14"/>
                      <w:szCs w:val="14"/>
                    </w:rPr>
                  </w:pPr>
                </w:p>
              </w:tc>
              <w:tc>
                <w:tcPr>
                  <w:tcW w:w="418" w:type="pct"/>
                </w:tcPr>
                <w:p w:rsidRPr="00C81D90" w:rsidR="00221A2C" w:rsidP="00221A2C" w:rsidRDefault="00221A2C" w14:paraId="7F58CFB0" w14:textId="580A13CE">
                  <w:pPr>
                    <w:jc w:val="right"/>
                    <w:rPr>
                      <w:rFonts w:ascii="Verdana" w:hAnsi="Verdana"/>
                      <w:sz w:val="14"/>
                      <w:szCs w:val="14"/>
                    </w:rPr>
                  </w:pPr>
                </w:p>
              </w:tc>
              <w:tc>
                <w:tcPr>
                  <w:tcW w:w="773" w:type="pct"/>
                </w:tcPr>
                <w:p w:rsidRPr="00C81D90" w:rsidR="00221A2C" w:rsidP="00221A2C" w:rsidRDefault="00C81D90" w14:paraId="0D249D2F" w14:textId="15A69BA2">
                  <w:pPr>
                    <w:jc w:val="right"/>
                    <w:rPr>
                      <w:rFonts w:ascii="Verdana" w:hAnsi="Verdana"/>
                      <w:sz w:val="14"/>
                      <w:szCs w:val="14"/>
                    </w:rPr>
                  </w:pPr>
                  <w:r w:rsidRPr="00C81D90">
                    <w:rPr>
                      <w:rFonts w:ascii="Verdana" w:hAnsi="Verdana"/>
                      <w:sz w:val="14"/>
                      <w:szCs w:val="14"/>
                    </w:rPr>
                    <w:t>-10,994</w:t>
                  </w:r>
                </w:p>
              </w:tc>
              <w:tc>
                <w:tcPr>
                  <w:tcW w:w="687" w:type="pct"/>
                </w:tcPr>
                <w:p w:rsidRPr="00C81D90" w:rsidR="00221A2C" w:rsidP="00221A2C" w:rsidRDefault="00C81D90" w14:paraId="50AECC7F" w14:textId="33AD4881">
                  <w:pPr>
                    <w:jc w:val="right"/>
                    <w:rPr>
                      <w:rFonts w:ascii="Verdana" w:hAnsi="Verdana"/>
                      <w:sz w:val="14"/>
                      <w:szCs w:val="14"/>
                    </w:rPr>
                  </w:pPr>
                  <w:r w:rsidRPr="00C81D90">
                    <w:rPr>
                      <w:rFonts w:ascii="Verdana" w:hAnsi="Verdana"/>
                      <w:sz w:val="14"/>
                      <w:szCs w:val="14"/>
                    </w:rPr>
                    <w:t>-10,815</w:t>
                  </w:r>
                </w:p>
              </w:tc>
              <w:tc>
                <w:tcPr>
                  <w:tcW w:w="773" w:type="pct"/>
                </w:tcPr>
                <w:p w:rsidRPr="00C81D90" w:rsidR="00221A2C" w:rsidP="00221A2C" w:rsidRDefault="00C81D90" w14:paraId="5CE7F55C" w14:textId="19C34E9D">
                  <w:pPr>
                    <w:jc w:val="right"/>
                    <w:rPr>
                      <w:rFonts w:ascii="Verdana" w:hAnsi="Verdana"/>
                      <w:sz w:val="14"/>
                      <w:szCs w:val="14"/>
                    </w:rPr>
                  </w:pPr>
                  <w:r w:rsidRPr="00C81D90">
                    <w:rPr>
                      <w:rFonts w:ascii="Verdana" w:hAnsi="Verdana"/>
                      <w:sz w:val="14"/>
                      <w:szCs w:val="14"/>
                    </w:rPr>
                    <w:t>-10,638</w:t>
                  </w:r>
                </w:p>
              </w:tc>
              <w:tc>
                <w:tcPr>
                  <w:tcW w:w="450" w:type="pct"/>
                </w:tcPr>
                <w:p w:rsidRPr="00C81D90" w:rsidR="00221A2C" w:rsidP="00221A2C" w:rsidRDefault="00C43C1E" w14:paraId="49BCA05D" w14:textId="11E6476B">
                  <w:pPr>
                    <w:jc w:val="right"/>
                    <w:rPr>
                      <w:rFonts w:ascii="Verdana" w:hAnsi="Verdana"/>
                      <w:sz w:val="14"/>
                      <w:szCs w:val="14"/>
                    </w:rPr>
                  </w:pPr>
                  <w:r>
                    <w:rPr>
                      <w:rFonts w:ascii="Verdana" w:hAnsi="Verdana"/>
                      <w:sz w:val="14"/>
                      <w:szCs w:val="14"/>
                    </w:rPr>
                    <w:t>-3,764</w:t>
                  </w:r>
                </w:p>
              </w:tc>
            </w:tr>
            <w:tr w:rsidRPr="0063634E" w:rsidR="00D50265" w:rsidTr="00D50265" w14:paraId="142A755B" w14:textId="77777777">
              <w:tc>
                <w:tcPr>
                  <w:tcW w:w="1138" w:type="pct"/>
                </w:tcPr>
                <w:p w:rsidRPr="00C81D90" w:rsidR="00221A2C" w:rsidP="00221A2C" w:rsidRDefault="00221A2C" w14:paraId="76E67A29" w14:textId="77777777">
                  <w:pPr>
                    <w:rPr>
                      <w:rFonts w:ascii="Verdana" w:hAnsi="Verdana"/>
                      <w:sz w:val="14"/>
                      <w:szCs w:val="14"/>
                    </w:rPr>
                  </w:pPr>
                  <w:r w:rsidRPr="00C81D90">
                    <w:rPr>
                      <w:rFonts w:ascii="Verdana" w:hAnsi="Verdana"/>
                      <w:sz w:val="14"/>
                      <w:szCs w:val="14"/>
                    </w:rPr>
                    <w:t>Uitvoeringskosten</w:t>
                  </w:r>
                </w:p>
              </w:tc>
              <w:tc>
                <w:tcPr>
                  <w:tcW w:w="373" w:type="pct"/>
                </w:tcPr>
                <w:p w:rsidRPr="00C81D90" w:rsidR="00221A2C" w:rsidP="00221A2C" w:rsidRDefault="00221A2C" w14:paraId="02E97E5E" w14:textId="77777777">
                  <w:pPr>
                    <w:jc w:val="right"/>
                    <w:rPr>
                      <w:rFonts w:ascii="Verdana" w:hAnsi="Verdana"/>
                      <w:sz w:val="14"/>
                      <w:szCs w:val="14"/>
                    </w:rPr>
                  </w:pPr>
                </w:p>
              </w:tc>
              <w:tc>
                <w:tcPr>
                  <w:tcW w:w="387" w:type="pct"/>
                </w:tcPr>
                <w:p w:rsidRPr="00C81D90" w:rsidR="00221A2C" w:rsidP="00221A2C" w:rsidRDefault="00221A2C" w14:paraId="52A19F35" w14:textId="77777777">
                  <w:pPr>
                    <w:jc w:val="right"/>
                    <w:rPr>
                      <w:rFonts w:ascii="Verdana" w:hAnsi="Verdana"/>
                      <w:sz w:val="14"/>
                      <w:szCs w:val="14"/>
                    </w:rPr>
                  </w:pPr>
                </w:p>
              </w:tc>
              <w:tc>
                <w:tcPr>
                  <w:tcW w:w="418" w:type="pct"/>
                </w:tcPr>
                <w:p w:rsidRPr="00C81D90" w:rsidR="00221A2C" w:rsidP="00221A2C" w:rsidRDefault="00221A2C" w14:paraId="1D65A3E7" w14:textId="74AB9707">
                  <w:pPr>
                    <w:jc w:val="right"/>
                    <w:rPr>
                      <w:rFonts w:ascii="Verdana" w:hAnsi="Verdana"/>
                      <w:sz w:val="14"/>
                      <w:szCs w:val="14"/>
                    </w:rPr>
                  </w:pPr>
                </w:p>
              </w:tc>
              <w:tc>
                <w:tcPr>
                  <w:tcW w:w="773" w:type="pct"/>
                </w:tcPr>
                <w:p w:rsidRPr="00C81D90" w:rsidR="00221A2C" w:rsidP="00221A2C" w:rsidRDefault="00221A2C" w14:paraId="5F4D91C2" w14:textId="4A4E94AF">
                  <w:pPr>
                    <w:jc w:val="right"/>
                    <w:rPr>
                      <w:rFonts w:ascii="Verdana" w:hAnsi="Verdana"/>
                      <w:sz w:val="14"/>
                      <w:szCs w:val="14"/>
                    </w:rPr>
                  </w:pPr>
                </w:p>
              </w:tc>
              <w:tc>
                <w:tcPr>
                  <w:tcW w:w="687" w:type="pct"/>
                </w:tcPr>
                <w:p w:rsidRPr="00C81D90" w:rsidR="00221A2C" w:rsidP="00221A2C" w:rsidRDefault="00221A2C" w14:paraId="3DDDAC33" w14:textId="43AADBFC">
                  <w:pPr>
                    <w:jc w:val="right"/>
                    <w:rPr>
                      <w:rFonts w:ascii="Verdana" w:hAnsi="Verdana"/>
                      <w:sz w:val="14"/>
                      <w:szCs w:val="14"/>
                    </w:rPr>
                  </w:pPr>
                </w:p>
              </w:tc>
              <w:tc>
                <w:tcPr>
                  <w:tcW w:w="773" w:type="pct"/>
                </w:tcPr>
                <w:p w:rsidRPr="00C81D90" w:rsidR="00221A2C" w:rsidP="00221A2C" w:rsidRDefault="00221A2C" w14:paraId="7C23E981" w14:textId="0CC6274B">
                  <w:pPr>
                    <w:jc w:val="right"/>
                    <w:rPr>
                      <w:rFonts w:ascii="Verdana" w:hAnsi="Verdana"/>
                      <w:sz w:val="14"/>
                      <w:szCs w:val="14"/>
                    </w:rPr>
                  </w:pPr>
                </w:p>
              </w:tc>
              <w:tc>
                <w:tcPr>
                  <w:tcW w:w="450" w:type="pct"/>
                </w:tcPr>
                <w:p w:rsidRPr="00C81D90" w:rsidR="00221A2C" w:rsidP="00221A2C" w:rsidRDefault="00221A2C" w14:paraId="08C1F6EC" w14:textId="28DE2C6F">
                  <w:pPr>
                    <w:jc w:val="right"/>
                    <w:rPr>
                      <w:rFonts w:ascii="Verdana" w:hAnsi="Verdana"/>
                      <w:sz w:val="14"/>
                      <w:szCs w:val="14"/>
                    </w:rPr>
                  </w:pPr>
                </w:p>
              </w:tc>
            </w:tr>
            <w:tr w:rsidRPr="0063634E" w:rsidR="00D50265" w:rsidTr="00D50265" w14:paraId="6B183106" w14:textId="77777777">
              <w:tc>
                <w:tcPr>
                  <w:tcW w:w="1138" w:type="pct"/>
                </w:tcPr>
                <w:p w:rsidRPr="00C81D90" w:rsidR="00221A2C" w:rsidP="00221A2C" w:rsidRDefault="00221A2C" w14:paraId="3BE4F1AF" w14:textId="77777777">
                  <w:pPr>
                    <w:rPr>
                      <w:rFonts w:ascii="Verdana" w:hAnsi="Verdana"/>
                      <w:sz w:val="14"/>
                      <w:szCs w:val="14"/>
                    </w:rPr>
                  </w:pPr>
                </w:p>
              </w:tc>
              <w:tc>
                <w:tcPr>
                  <w:tcW w:w="373" w:type="pct"/>
                </w:tcPr>
                <w:p w:rsidRPr="00C81D90" w:rsidR="00221A2C" w:rsidP="00221A2C" w:rsidRDefault="00221A2C" w14:paraId="5918A74E" w14:textId="77777777">
                  <w:pPr>
                    <w:jc w:val="right"/>
                    <w:rPr>
                      <w:rFonts w:ascii="Verdana" w:hAnsi="Verdana"/>
                      <w:sz w:val="14"/>
                      <w:szCs w:val="14"/>
                    </w:rPr>
                  </w:pPr>
                </w:p>
              </w:tc>
              <w:tc>
                <w:tcPr>
                  <w:tcW w:w="387" w:type="pct"/>
                </w:tcPr>
                <w:p w:rsidRPr="00C81D90" w:rsidR="00221A2C" w:rsidP="00221A2C" w:rsidRDefault="00221A2C" w14:paraId="21D74849" w14:textId="77777777">
                  <w:pPr>
                    <w:jc w:val="right"/>
                    <w:rPr>
                      <w:rFonts w:ascii="Verdana" w:hAnsi="Verdana"/>
                      <w:sz w:val="14"/>
                      <w:szCs w:val="14"/>
                    </w:rPr>
                  </w:pPr>
                </w:p>
              </w:tc>
              <w:tc>
                <w:tcPr>
                  <w:tcW w:w="418" w:type="pct"/>
                </w:tcPr>
                <w:p w:rsidRPr="00C81D90" w:rsidR="00221A2C" w:rsidP="00221A2C" w:rsidRDefault="00221A2C" w14:paraId="5AFCD00A" w14:textId="77777777">
                  <w:pPr>
                    <w:jc w:val="right"/>
                    <w:rPr>
                      <w:rFonts w:ascii="Verdana" w:hAnsi="Verdana"/>
                      <w:sz w:val="14"/>
                      <w:szCs w:val="14"/>
                    </w:rPr>
                  </w:pPr>
                </w:p>
              </w:tc>
              <w:tc>
                <w:tcPr>
                  <w:tcW w:w="773" w:type="pct"/>
                </w:tcPr>
                <w:p w:rsidRPr="00C81D90" w:rsidR="00221A2C" w:rsidP="00221A2C" w:rsidRDefault="00221A2C" w14:paraId="2FC60054" w14:textId="77777777">
                  <w:pPr>
                    <w:jc w:val="right"/>
                    <w:rPr>
                      <w:rFonts w:ascii="Verdana" w:hAnsi="Verdana"/>
                      <w:sz w:val="14"/>
                      <w:szCs w:val="14"/>
                    </w:rPr>
                  </w:pPr>
                </w:p>
              </w:tc>
              <w:tc>
                <w:tcPr>
                  <w:tcW w:w="687" w:type="pct"/>
                </w:tcPr>
                <w:p w:rsidRPr="00C81D90" w:rsidR="00221A2C" w:rsidP="00221A2C" w:rsidRDefault="00221A2C" w14:paraId="5A07512F" w14:textId="77777777">
                  <w:pPr>
                    <w:jc w:val="right"/>
                    <w:rPr>
                      <w:rFonts w:ascii="Verdana" w:hAnsi="Verdana"/>
                      <w:sz w:val="14"/>
                      <w:szCs w:val="14"/>
                    </w:rPr>
                  </w:pPr>
                </w:p>
              </w:tc>
              <w:tc>
                <w:tcPr>
                  <w:tcW w:w="773" w:type="pct"/>
                </w:tcPr>
                <w:p w:rsidRPr="00C81D90" w:rsidR="00221A2C" w:rsidP="00221A2C" w:rsidRDefault="00221A2C" w14:paraId="65C25A87" w14:textId="77777777">
                  <w:pPr>
                    <w:jc w:val="right"/>
                    <w:rPr>
                      <w:rFonts w:ascii="Verdana" w:hAnsi="Verdana"/>
                      <w:sz w:val="14"/>
                      <w:szCs w:val="14"/>
                    </w:rPr>
                  </w:pPr>
                </w:p>
              </w:tc>
              <w:tc>
                <w:tcPr>
                  <w:tcW w:w="450" w:type="pct"/>
                </w:tcPr>
                <w:p w:rsidRPr="00C81D90" w:rsidR="00221A2C" w:rsidP="00221A2C" w:rsidRDefault="00221A2C" w14:paraId="6C17E0CE" w14:textId="77777777">
                  <w:pPr>
                    <w:jc w:val="right"/>
                    <w:rPr>
                      <w:rFonts w:ascii="Verdana" w:hAnsi="Verdana"/>
                      <w:sz w:val="14"/>
                      <w:szCs w:val="14"/>
                    </w:rPr>
                  </w:pPr>
                </w:p>
              </w:tc>
            </w:tr>
            <w:tr w:rsidRPr="0063634E" w:rsidR="00D50265" w:rsidTr="00D50265" w14:paraId="3F9EE265" w14:textId="77777777">
              <w:tc>
                <w:tcPr>
                  <w:tcW w:w="1138" w:type="pct"/>
                </w:tcPr>
                <w:p w:rsidRPr="00C81D90" w:rsidR="00221A2C" w:rsidP="00221A2C" w:rsidRDefault="00221A2C" w14:paraId="1A1DAC7E" w14:textId="77777777">
                  <w:pPr>
                    <w:rPr>
                      <w:rFonts w:ascii="Verdana" w:hAnsi="Verdana"/>
                      <w:b/>
                      <w:bCs/>
                      <w:sz w:val="14"/>
                      <w:szCs w:val="14"/>
                    </w:rPr>
                  </w:pPr>
                  <w:r w:rsidRPr="00C81D90">
                    <w:rPr>
                      <w:rFonts w:ascii="Verdana" w:hAnsi="Verdana"/>
                      <w:b/>
                      <w:bCs/>
                      <w:sz w:val="14"/>
                      <w:szCs w:val="14"/>
                    </w:rPr>
                    <w:t>Totaal</w:t>
                  </w:r>
                </w:p>
              </w:tc>
              <w:tc>
                <w:tcPr>
                  <w:tcW w:w="373" w:type="pct"/>
                </w:tcPr>
                <w:p w:rsidRPr="00C81D90" w:rsidR="00221A2C" w:rsidP="00221A2C" w:rsidRDefault="00221A2C" w14:paraId="7F6F143E" w14:textId="77777777">
                  <w:pPr>
                    <w:jc w:val="right"/>
                    <w:rPr>
                      <w:rFonts w:ascii="Verdana" w:hAnsi="Verdana"/>
                      <w:b/>
                      <w:bCs/>
                      <w:sz w:val="14"/>
                      <w:szCs w:val="14"/>
                    </w:rPr>
                  </w:pPr>
                </w:p>
              </w:tc>
              <w:tc>
                <w:tcPr>
                  <w:tcW w:w="387" w:type="pct"/>
                </w:tcPr>
                <w:p w:rsidRPr="00C81D90" w:rsidR="00221A2C" w:rsidP="00221A2C" w:rsidRDefault="00221A2C" w14:paraId="636890BF" w14:textId="77777777">
                  <w:pPr>
                    <w:jc w:val="right"/>
                    <w:rPr>
                      <w:rFonts w:ascii="Verdana" w:hAnsi="Verdana"/>
                      <w:b/>
                      <w:bCs/>
                      <w:sz w:val="14"/>
                      <w:szCs w:val="14"/>
                    </w:rPr>
                  </w:pPr>
                </w:p>
              </w:tc>
              <w:tc>
                <w:tcPr>
                  <w:tcW w:w="418" w:type="pct"/>
                </w:tcPr>
                <w:p w:rsidRPr="00C81D90" w:rsidR="00221A2C" w:rsidP="00221A2C" w:rsidRDefault="00221A2C" w14:paraId="3D85E3E7" w14:textId="75CDD802">
                  <w:pPr>
                    <w:jc w:val="right"/>
                    <w:rPr>
                      <w:rFonts w:ascii="Verdana" w:hAnsi="Verdana"/>
                      <w:b/>
                      <w:bCs/>
                      <w:sz w:val="14"/>
                      <w:szCs w:val="14"/>
                    </w:rPr>
                  </w:pPr>
                </w:p>
              </w:tc>
              <w:tc>
                <w:tcPr>
                  <w:tcW w:w="773" w:type="pct"/>
                </w:tcPr>
                <w:p w:rsidRPr="00C81D90" w:rsidR="00221A2C" w:rsidP="00221A2C" w:rsidRDefault="00C81D90" w14:paraId="5484D9B4" w14:textId="74E4B74A">
                  <w:pPr>
                    <w:jc w:val="right"/>
                    <w:rPr>
                      <w:rFonts w:ascii="Verdana" w:hAnsi="Verdana"/>
                      <w:b/>
                      <w:bCs/>
                      <w:sz w:val="14"/>
                      <w:szCs w:val="14"/>
                    </w:rPr>
                  </w:pPr>
                  <w:r w:rsidRPr="00C81D90">
                    <w:rPr>
                      <w:rFonts w:ascii="Verdana" w:hAnsi="Verdana"/>
                      <w:b/>
                      <w:bCs/>
                      <w:sz w:val="14"/>
                      <w:szCs w:val="14"/>
                    </w:rPr>
                    <w:t>-10,994</w:t>
                  </w:r>
                </w:p>
              </w:tc>
              <w:tc>
                <w:tcPr>
                  <w:tcW w:w="687" w:type="pct"/>
                </w:tcPr>
                <w:p w:rsidRPr="00C81D90" w:rsidR="00221A2C" w:rsidP="00221A2C" w:rsidRDefault="00C81D90" w14:paraId="07A09E7E" w14:textId="055887C0">
                  <w:pPr>
                    <w:jc w:val="right"/>
                    <w:rPr>
                      <w:rFonts w:ascii="Verdana" w:hAnsi="Verdana"/>
                      <w:b/>
                      <w:bCs/>
                      <w:sz w:val="14"/>
                      <w:szCs w:val="14"/>
                    </w:rPr>
                  </w:pPr>
                  <w:r w:rsidRPr="00C81D90">
                    <w:rPr>
                      <w:rFonts w:ascii="Verdana" w:hAnsi="Verdana"/>
                      <w:b/>
                      <w:bCs/>
                      <w:sz w:val="14"/>
                      <w:szCs w:val="14"/>
                    </w:rPr>
                    <w:t>-10,815</w:t>
                  </w:r>
                </w:p>
              </w:tc>
              <w:tc>
                <w:tcPr>
                  <w:tcW w:w="773" w:type="pct"/>
                </w:tcPr>
                <w:p w:rsidRPr="00C81D90" w:rsidR="00221A2C" w:rsidP="00221A2C" w:rsidRDefault="00C81D90" w14:paraId="37ED01EB" w14:textId="305C7996">
                  <w:pPr>
                    <w:jc w:val="right"/>
                    <w:rPr>
                      <w:rFonts w:ascii="Verdana" w:hAnsi="Verdana"/>
                      <w:b/>
                      <w:bCs/>
                      <w:sz w:val="14"/>
                      <w:szCs w:val="14"/>
                    </w:rPr>
                  </w:pPr>
                  <w:r w:rsidRPr="00C81D90">
                    <w:rPr>
                      <w:rFonts w:ascii="Verdana" w:hAnsi="Verdana"/>
                      <w:b/>
                      <w:bCs/>
                      <w:sz w:val="14"/>
                      <w:szCs w:val="14"/>
                    </w:rPr>
                    <w:t>-10,638</w:t>
                  </w:r>
                </w:p>
              </w:tc>
              <w:tc>
                <w:tcPr>
                  <w:tcW w:w="450" w:type="pct"/>
                </w:tcPr>
                <w:p w:rsidRPr="00C81D90" w:rsidR="00221A2C" w:rsidP="00221A2C" w:rsidRDefault="00C43C1E" w14:paraId="1A6F6C6A" w14:textId="6E5B5D09">
                  <w:pPr>
                    <w:jc w:val="right"/>
                    <w:rPr>
                      <w:rFonts w:ascii="Verdana" w:hAnsi="Verdana"/>
                      <w:b/>
                      <w:bCs/>
                      <w:sz w:val="14"/>
                      <w:szCs w:val="14"/>
                    </w:rPr>
                  </w:pPr>
                  <w:r>
                    <w:rPr>
                      <w:rFonts w:ascii="Verdana" w:hAnsi="Verdana"/>
                      <w:b/>
                      <w:bCs/>
                      <w:sz w:val="14"/>
                      <w:szCs w:val="14"/>
                    </w:rPr>
                    <w:t>-3,764</w:t>
                  </w:r>
                </w:p>
              </w:tc>
            </w:tr>
          </w:tbl>
          <w:p w:rsidRPr="00704454" w:rsidR="00221A2C" w:rsidP="00221A2C" w:rsidRDefault="00221A2C" w14:paraId="42FA334E" w14:textId="77777777">
            <w:pPr>
              <w:spacing w:after="0" w:line="240" w:lineRule="auto"/>
              <w:rPr>
                <w:rStyle w:val="normaltextrun"/>
                <w:lang w:val="nl-NL"/>
              </w:rPr>
            </w:pPr>
          </w:p>
        </w:tc>
      </w:tr>
      <w:tr w:rsidRPr="00911891" w:rsidR="005E4A03" w:rsidTr="009C048F" w14:paraId="7374A445" w14:textId="77777777">
        <w:trPr>
          <w:trHeight w:val="315"/>
        </w:trPr>
        <w:tc>
          <w:tcPr>
            <w:tcW w:w="1951" w:type="dxa"/>
            <w:tcBorders>
              <w:top w:val="nil"/>
              <w:left w:val="single" w:color="auto" w:sz="8" w:space="0"/>
              <w:bottom w:val="single" w:color="auto" w:sz="8" w:space="0"/>
              <w:right w:val="nil"/>
            </w:tcBorders>
            <w:noWrap/>
          </w:tcPr>
          <w:p w:rsidRPr="00704454" w:rsidR="005E4A03" w:rsidP="00BF4FBB" w:rsidRDefault="005E4A03" w14:paraId="7444C97D"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Toelichting raming</w:t>
            </w:r>
          </w:p>
        </w:tc>
        <w:tc>
          <w:tcPr>
            <w:tcW w:w="8398" w:type="dxa"/>
            <w:tcBorders>
              <w:top w:val="single" w:color="auto" w:sz="4" w:space="0"/>
              <w:left w:val="single" w:color="auto" w:sz="4" w:space="0"/>
              <w:bottom w:val="single" w:color="auto" w:sz="8" w:space="0"/>
              <w:right w:val="single" w:color="auto" w:sz="4" w:space="0"/>
            </w:tcBorders>
            <w:noWrap/>
          </w:tcPr>
          <w:p w:rsidRPr="009351D6" w:rsidR="00573FE5" w:rsidP="00573FE5" w:rsidRDefault="00573FE5" w14:paraId="2DFFD5AB" w14:textId="77777777">
            <w:pPr>
              <w:spacing w:after="0" w:line="240" w:lineRule="auto"/>
              <w:rPr>
                <w:rFonts w:eastAsia="Verdana" w:cs="Verdana"/>
                <w:color w:val="000000"/>
                <w:szCs w:val="18"/>
                <w:lang w:val="nl-NL" w:eastAsia="nl-NL"/>
              </w:rPr>
            </w:pPr>
            <w:r w:rsidRPr="009351D6">
              <w:rPr>
                <w:rFonts w:eastAsia="Verdana" w:cs="Verdana"/>
                <w:color w:val="000000"/>
                <w:szCs w:val="18"/>
                <w:lang w:val="nl-NL" w:eastAsia="nl-NL"/>
              </w:rPr>
              <w:t>Vo</w:t>
            </w:r>
            <w:r>
              <w:rPr>
                <w:rFonts w:eastAsia="Verdana" w:cs="Verdana"/>
                <w:color w:val="000000"/>
                <w:szCs w:val="18"/>
                <w:lang w:val="nl-NL" w:eastAsia="nl-NL"/>
              </w:rPr>
              <w:t>or variant a en b: a</w:t>
            </w:r>
            <w:r w:rsidRPr="009351D6">
              <w:rPr>
                <w:rFonts w:eastAsia="Verdana" w:cs="Verdana"/>
                <w:color w:val="000000"/>
                <w:szCs w:val="18"/>
                <w:lang w:val="nl-NL" w:eastAsia="nl-NL"/>
              </w:rPr>
              <w:t xml:space="preserve">lle Wajonguitkeringen voor mensen met arbeidsvermogen worden verhoogd tot de alleenstaandennorm in de TW. </w:t>
            </w:r>
            <w:r>
              <w:rPr>
                <w:rFonts w:eastAsia="Verdana" w:cs="Verdana"/>
                <w:color w:val="000000"/>
                <w:szCs w:val="18"/>
                <w:lang w:val="nl-NL" w:eastAsia="nl-NL"/>
              </w:rPr>
              <w:t xml:space="preserve">Zij hebben hierdoor geen recht meer op een aanvulling uit de TW. </w:t>
            </w:r>
            <w:r w:rsidRPr="009351D6">
              <w:rPr>
                <w:rFonts w:eastAsia="Verdana" w:cs="Verdana"/>
                <w:color w:val="000000"/>
                <w:szCs w:val="18"/>
                <w:lang w:val="nl-NL" w:eastAsia="nl-NL"/>
              </w:rPr>
              <w:t>Dit zorgt voor een daling van het aantal TW gerechtigden</w:t>
            </w:r>
            <w:r>
              <w:rPr>
                <w:rFonts w:eastAsia="Verdana" w:cs="Verdana"/>
                <w:color w:val="000000"/>
                <w:szCs w:val="18"/>
                <w:lang w:val="nl-NL" w:eastAsia="nl-NL"/>
              </w:rPr>
              <w:t xml:space="preserve"> en daarmee tot een besparing van de TW uitgaven. </w:t>
            </w:r>
          </w:p>
          <w:p w:rsidR="00573FE5" w:rsidP="00573FE5" w:rsidRDefault="00573FE5" w14:paraId="4AB4D484" w14:textId="77777777">
            <w:pPr>
              <w:spacing w:after="0" w:line="240" w:lineRule="auto"/>
              <w:rPr>
                <w:rFonts w:eastAsia="Verdana" w:cs="Verdana"/>
                <w:color w:val="000000"/>
                <w:szCs w:val="18"/>
                <w:lang w:val="nl-NL" w:eastAsia="nl-NL"/>
              </w:rPr>
            </w:pPr>
          </w:p>
          <w:p w:rsidRPr="00FD1605" w:rsidR="005E4A03" w:rsidP="00BF4FBB" w:rsidRDefault="00573FE5" w14:paraId="74B233A8" w14:textId="6F3580F8">
            <w:pPr>
              <w:spacing w:after="0" w:line="240" w:lineRule="auto"/>
              <w:rPr>
                <w:rFonts w:eastAsia="Times New Roman" w:cs="Calibri"/>
                <w:color w:val="000000"/>
                <w:szCs w:val="18"/>
                <w:lang w:val="nl-NL" w:eastAsia="nl-NL"/>
              </w:rPr>
            </w:pPr>
            <w:r>
              <w:rPr>
                <w:rFonts w:eastAsia="Verdana" w:cs="Verdana"/>
                <w:color w:val="000000"/>
                <w:szCs w:val="18"/>
                <w:lang w:val="nl-NL" w:eastAsia="nl-NL"/>
              </w:rPr>
              <w:t>Voor variant c: d</w:t>
            </w:r>
            <w:r w:rsidRPr="009351D6">
              <w:rPr>
                <w:rFonts w:eastAsia="Verdana" w:cs="Verdana"/>
                <w:color w:val="000000"/>
                <w:szCs w:val="18"/>
                <w:lang w:val="nl-NL" w:eastAsia="nl-NL"/>
              </w:rPr>
              <w:t xml:space="preserve">e TW wordt afgeschaft voor Wajonggerechtigden. </w:t>
            </w:r>
            <w:r>
              <w:rPr>
                <w:rFonts w:eastAsia="Verdana" w:cs="Verdana"/>
                <w:color w:val="000000"/>
                <w:szCs w:val="18"/>
                <w:lang w:val="nl-NL" w:eastAsia="nl-NL"/>
              </w:rPr>
              <w:t xml:space="preserve">Dit zorgt voor een daling van het aantal TW gerechtigden ter grote van de Wajong populatie in de TW. Dit leidt tot een besparing van de TW uitgaven. </w:t>
            </w:r>
          </w:p>
        </w:tc>
      </w:tr>
      <w:tr w:rsidRPr="00EB3835" w:rsidR="005E4A03" w:rsidTr="009C048F" w14:paraId="469A4D3B" w14:textId="77777777">
        <w:trPr>
          <w:trHeight w:val="315"/>
        </w:trPr>
        <w:tc>
          <w:tcPr>
            <w:tcW w:w="1951" w:type="dxa"/>
            <w:tcBorders>
              <w:top w:val="nil"/>
              <w:left w:val="single" w:color="auto" w:sz="8" w:space="0"/>
              <w:bottom w:val="single" w:color="auto" w:sz="8" w:space="0"/>
              <w:right w:val="nil"/>
            </w:tcBorders>
            <w:noWrap/>
          </w:tcPr>
          <w:p w:rsidRPr="00704454" w:rsidR="005E4A03" w:rsidP="00BF4FBB" w:rsidRDefault="005E4A03" w14:paraId="5CCEEF2A"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Inkomens-</w:t>
            </w:r>
          </w:p>
          <w:p w:rsidRPr="00704454" w:rsidR="005E4A03" w:rsidP="00BF4FBB" w:rsidRDefault="005E4A03" w14:paraId="09BA0118"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effecten</w:t>
            </w:r>
          </w:p>
        </w:tc>
        <w:tc>
          <w:tcPr>
            <w:tcW w:w="8398" w:type="dxa"/>
            <w:tcBorders>
              <w:top w:val="single" w:color="auto" w:sz="4" w:space="0"/>
              <w:left w:val="single" w:color="auto" w:sz="4" w:space="0"/>
              <w:bottom w:val="single" w:color="auto" w:sz="8" w:space="0"/>
              <w:right w:val="single" w:color="auto" w:sz="4" w:space="0"/>
            </w:tcBorders>
            <w:noWrap/>
          </w:tcPr>
          <w:p w:rsidRPr="006778FF" w:rsidR="0052629D" w:rsidP="0052629D" w:rsidRDefault="0052629D" w14:paraId="12EF2C17" w14:textId="4FA69968">
            <w:pPr>
              <w:pStyle w:val="Lijstalinea"/>
              <w:numPr>
                <w:ilvl w:val="0"/>
                <w:numId w:val="16"/>
              </w:numPr>
              <w:spacing w:after="0" w:line="240" w:lineRule="auto"/>
              <w:rPr>
                <w:rFonts w:eastAsia="Times New Roman"/>
                <w:szCs w:val="18"/>
                <w:lang w:val="nl-NL"/>
              </w:rPr>
            </w:pPr>
            <w:r w:rsidRPr="006778FF">
              <w:rPr>
                <w:rFonts w:eastAsia="Verdana" w:cs="Verdana"/>
                <w:szCs w:val="18"/>
                <w:lang w:val="nl-NL"/>
              </w:rPr>
              <w:t xml:space="preserve">De hoogte van de uitkering voor Wajonggerechtigden die nu al een toeslag ontvangen blijft hetzelfde (verhoogde Wajong = oude hoogte Wajong + toeslag). </w:t>
            </w:r>
            <w:r w:rsidRPr="0052629D">
              <w:rPr>
                <w:rFonts w:eastAsia="Times New Roman"/>
                <w:szCs w:val="18"/>
                <w:lang w:val="nl-NL"/>
              </w:rPr>
              <w:t xml:space="preserve">Alle andere Wajonggerechtigden gaan er licht op vooruit. </w:t>
            </w:r>
            <w:r w:rsidRPr="006778FF">
              <w:rPr>
                <w:rFonts w:eastAsia="Verdana" w:cs="Verdana"/>
                <w:szCs w:val="18"/>
                <w:lang w:val="nl-NL"/>
              </w:rPr>
              <w:t xml:space="preserve">In specifieke situaties </w:t>
            </w:r>
            <w:r>
              <w:rPr>
                <w:rFonts w:eastAsia="Verdana" w:cs="Verdana"/>
                <w:szCs w:val="18"/>
                <w:lang w:val="nl-NL"/>
              </w:rPr>
              <w:t>kan deze variant er</w:t>
            </w:r>
            <w:r w:rsidRPr="006778FF">
              <w:rPr>
                <w:rFonts w:eastAsia="Verdana" w:cs="Verdana"/>
                <w:szCs w:val="18"/>
                <w:lang w:val="nl-NL"/>
              </w:rPr>
              <w:t>toe leiden dat het garantiebedrag van werkende Wajonggerechtigden vervalt. Daarnaast geldt dat het inkomen van Wajonggerechtigden die naast hun TW-aanvulling en Wajonguitkering g</w:t>
            </w:r>
            <w:r w:rsidRPr="0052629D">
              <w:rPr>
                <w:lang w:val="nl-NL"/>
              </w:rPr>
              <w:t xml:space="preserve">aan </w:t>
            </w:r>
            <w:r w:rsidRPr="006778FF">
              <w:rPr>
                <w:rFonts w:eastAsia="Verdana" w:cs="Verdana"/>
                <w:szCs w:val="18"/>
                <w:lang w:val="nl-NL"/>
              </w:rPr>
              <w:t xml:space="preserve">werken, tijdelijk licht </w:t>
            </w:r>
            <w:r w:rsidR="000F7E27">
              <w:rPr>
                <w:rFonts w:eastAsia="Verdana" w:cs="Verdana"/>
                <w:szCs w:val="18"/>
                <w:lang w:val="nl-NL"/>
              </w:rPr>
              <w:t>kan stijgen of dalen</w:t>
            </w:r>
            <w:r w:rsidRPr="006778FF">
              <w:rPr>
                <w:rFonts w:eastAsia="Verdana" w:cs="Verdana"/>
                <w:szCs w:val="18"/>
                <w:lang w:val="nl-NL"/>
              </w:rPr>
              <w:t>, omdat de Wajong andere verrekenregels kent dan de TW.</w:t>
            </w:r>
            <w:r w:rsidR="00D46741">
              <w:rPr>
                <w:rFonts w:eastAsia="Verdana" w:cs="Verdana"/>
                <w:szCs w:val="18"/>
                <w:lang w:val="nl-NL"/>
              </w:rPr>
              <w:t xml:space="preserve"> </w:t>
            </w:r>
            <w:r w:rsidRPr="009B5D9C" w:rsidR="00D46741">
              <w:rPr>
                <w:rFonts w:eastAsia="Verdana" w:cs="Verdana"/>
                <w:szCs w:val="18"/>
                <w:lang w:val="nl-NL"/>
              </w:rPr>
              <w:t>Tevens geldt hier dat de verhoging van de Wajong tijdelijk en afhankelijk van de ontwikkelingen in de afbouw van de dubbele heffingskorting is net zoals dat nu in de T</w:t>
            </w:r>
            <w:r w:rsidRPr="009B5D9C" w:rsidR="00383073">
              <w:rPr>
                <w:rFonts w:eastAsia="Verdana" w:cs="Verdana"/>
                <w:szCs w:val="18"/>
                <w:lang w:val="nl-NL"/>
              </w:rPr>
              <w:t>W</w:t>
            </w:r>
            <w:r w:rsidRPr="009B5D9C" w:rsidR="00D46741">
              <w:rPr>
                <w:rFonts w:eastAsia="Verdana" w:cs="Verdana"/>
                <w:szCs w:val="18"/>
                <w:lang w:val="nl-NL"/>
              </w:rPr>
              <w:t xml:space="preserve"> het geval is.</w:t>
            </w:r>
            <w:r w:rsidR="00FE0D04">
              <w:rPr>
                <w:rFonts w:cs="Calibri"/>
                <w:szCs w:val="18"/>
                <w:lang w:val="nl-NL"/>
              </w:rPr>
              <w:t xml:space="preserve"> Dit effect is mogelijk minder zichtbaar door</w:t>
            </w:r>
            <w:r w:rsidRPr="00833170" w:rsidR="00FE0D04">
              <w:rPr>
                <w:rFonts w:cs="Calibri"/>
                <w:szCs w:val="18"/>
                <w:lang w:val="nl-NL"/>
              </w:rPr>
              <w:t xml:space="preserve"> de </w:t>
            </w:r>
            <w:r w:rsidR="00FE0D04">
              <w:rPr>
                <w:rFonts w:cs="Calibri"/>
                <w:szCs w:val="18"/>
                <w:lang w:val="nl-NL"/>
              </w:rPr>
              <w:t>half</w:t>
            </w:r>
            <w:r w:rsidRPr="00833170" w:rsidR="00FE0D04">
              <w:rPr>
                <w:rFonts w:cs="Calibri"/>
                <w:szCs w:val="18"/>
                <w:lang w:val="nl-NL"/>
              </w:rPr>
              <w:t>jaarlijkse indexatie waarmee de uitkering standaard wordt verhoogd.</w:t>
            </w:r>
          </w:p>
          <w:p w:rsidRPr="00427B38" w:rsidR="00427B38" w:rsidP="006778FF" w:rsidRDefault="00D46741" w14:paraId="7B4F9138" w14:textId="56409817">
            <w:pPr>
              <w:pStyle w:val="Lijstalinea"/>
              <w:numPr>
                <w:ilvl w:val="0"/>
                <w:numId w:val="16"/>
              </w:numPr>
              <w:spacing w:after="0" w:line="240" w:lineRule="auto"/>
              <w:rPr>
                <w:rFonts w:eastAsia="Times New Roman"/>
                <w:color w:val="000000"/>
                <w:szCs w:val="18"/>
                <w:lang w:val="nl-NL" w:eastAsia="nl-NL"/>
              </w:rPr>
            </w:pPr>
            <w:r w:rsidRPr="009B5D9C">
              <w:rPr>
                <w:rFonts w:eastAsia="Verdana" w:cs="Verdana"/>
                <w:szCs w:val="18"/>
                <w:lang w:val="nl-NL"/>
              </w:rPr>
              <w:t>In deze variant gelden dezelfde effecten als bij variant a. Aanvullend</w:t>
            </w:r>
            <w:r>
              <w:rPr>
                <w:rFonts w:eastAsia="Verdana" w:cs="Verdana"/>
                <w:szCs w:val="18"/>
                <w:lang w:val="nl-NL"/>
              </w:rPr>
              <w:t xml:space="preserve"> </w:t>
            </w:r>
            <w:r w:rsidRPr="006778FF" w:rsidR="00427B38">
              <w:rPr>
                <w:rFonts w:eastAsia="Verdana" w:cs="Verdana"/>
                <w:szCs w:val="18"/>
                <w:lang w:val="nl-NL"/>
              </w:rPr>
              <w:t xml:space="preserve">geldt </w:t>
            </w:r>
            <w:r w:rsidR="00427B38">
              <w:rPr>
                <w:rFonts w:eastAsia="Verdana" w:cs="Verdana"/>
                <w:szCs w:val="18"/>
                <w:lang w:val="nl-NL"/>
              </w:rPr>
              <w:t xml:space="preserve">dat </w:t>
            </w:r>
            <w:r w:rsidRPr="00427B38" w:rsidR="00427B38">
              <w:rPr>
                <w:rFonts w:eastAsia="Times New Roman"/>
                <w:color w:val="000000"/>
                <w:szCs w:val="18"/>
                <w:lang w:val="nl-NL" w:eastAsia="nl-NL"/>
              </w:rPr>
              <w:t>e</w:t>
            </w:r>
            <w:r w:rsidRPr="00427B38" w:rsidR="00427B38">
              <w:rPr>
                <w:rFonts w:eastAsia="Times New Roman"/>
                <w:color w:val="000000"/>
                <w:lang w:val="nl-NL" w:eastAsia="nl-NL"/>
              </w:rPr>
              <w:t xml:space="preserve">en deel van de </w:t>
            </w:r>
            <w:r w:rsidRPr="00427B38" w:rsidR="00427B38">
              <w:rPr>
                <w:rFonts w:eastAsia="Times New Roman"/>
                <w:color w:val="000000"/>
                <w:szCs w:val="18"/>
                <w:lang w:val="nl-NL" w:eastAsia="nl-NL"/>
              </w:rPr>
              <w:t>gehuwde Wajonggerechtigden</w:t>
            </w:r>
            <w:r w:rsidR="000F7E27">
              <w:rPr>
                <w:rFonts w:eastAsia="Times New Roman"/>
                <w:color w:val="000000"/>
                <w:szCs w:val="18"/>
                <w:lang w:val="nl-NL" w:eastAsia="nl-NL"/>
              </w:rPr>
              <w:t xml:space="preserve"> die nu een TW-aanvulling krijgen vanwege</w:t>
            </w:r>
            <w:r w:rsidRPr="00427B38" w:rsidR="00427B38">
              <w:rPr>
                <w:rFonts w:eastAsia="Times New Roman"/>
                <w:szCs w:val="18"/>
                <w:lang w:val="nl-NL"/>
              </w:rPr>
              <w:t xml:space="preserve"> de</w:t>
            </w:r>
            <w:r w:rsidR="000F7E27">
              <w:rPr>
                <w:rFonts w:eastAsia="Times New Roman"/>
                <w:szCs w:val="18"/>
                <w:lang w:val="nl-NL"/>
              </w:rPr>
              <w:t xml:space="preserve"> strengere</w:t>
            </w:r>
            <w:r w:rsidRPr="00427B38" w:rsidR="00427B38">
              <w:rPr>
                <w:rFonts w:eastAsia="Times New Roman"/>
                <w:szCs w:val="18"/>
                <w:lang w:val="nl-NL"/>
              </w:rPr>
              <w:t xml:space="preserve"> voorwaarden van de bijstand geen aanvulling </w:t>
            </w:r>
            <w:r w:rsidR="000F7E27">
              <w:rPr>
                <w:rFonts w:eastAsia="Times New Roman"/>
                <w:szCs w:val="18"/>
                <w:lang w:val="nl-NL"/>
              </w:rPr>
              <w:t xml:space="preserve">meer </w:t>
            </w:r>
            <w:r w:rsidRPr="00427B38" w:rsidR="00427B38">
              <w:rPr>
                <w:rFonts w:eastAsia="Times New Roman"/>
                <w:szCs w:val="18"/>
                <w:lang w:val="nl-NL"/>
              </w:rPr>
              <w:t>z</w:t>
            </w:r>
            <w:r w:rsidRPr="00427B38" w:rsidR="00427B38">
              <w:rPr>
                <w:rFonts w:eastAsia="Times New Roman"/>
                <w:lang w:val="nl-NL"/>
              </w:rPr>
              <w:t xml:space="preserve">al </w:t>
            </w:r>
            <w:r w:rsidRPr="00427B38" w:rsidR="00427B38">
              <w:rPr>
                <w:rFonts w:eastAsia="Times New Roman"/>
                <w:szCs w:val="18"/>
                <w:lang w:val="nl-NL"/>
              </w:rPr>
              <w:t>ontvangen</w:t>
            </w:r>
            <w:r w:rsidRPr="00427B38" w:rsidR="00427B38">
              <w:rPr>
                <w:rFonts w:eastAsia="Times New Roman"/>
                <w:color w:val="000000"/>
                <w:szCs w:val="18"/>
                <w:lang w:val="nl-NL" w:eastAsia="nl-NL"/>
              </w:rPr>
              <w:t xml:space="preserve"> (bijvoorbeeld omdat zij daarvoor te veel vermogen hebben).</w:t>
            </w:r>
            <w:r w:rsidRPr="00427B38" w:rsidR="00427B38">
              <w:rPr>
                <w:rFonts w:eastAsia="Times New Roman"/>
                <w:color w:val="000000"/>
                <w:lang w:val="nl-NL" w:eastAsia="nl-NL"/>
              </w:rPr>
              <w:t xml:space="preserve"> </w:t>
            </w:r>
            <w:r w:rsidRPr="00427B38" w:rsidR="00427B38">
              <w:rPr>
                <w:rFonts w:eastAsia="Times New Roman"/>
                <w:szCs w:val="18"/>
                <w:lang w:val="nl-NL"/>
              </w:rPr>
              <w:t xml:space="preserve">Hun inkomenssituatie verslechtert, doordat </w:t>
            </w:r>
            <w:r w:rsidR="000F7E27">
              <w:rPr>
                <w:rFonts w:eastAsia="Times New Roman"/>
                <w:szCs w:val="18"/>
                <w:lang w:val="nl-NL"/>
              </w:rPr>
              <w:t xml:space="preserve">hun </w:t>
            </w:r>
            <w:r w:rsidRPr="00427B38" w:rsidR="00427B38">
              <w:rPr>
                <w:rFonts w:eastAsia="Times New Roman"/>
                <w:color w:val="000000"/>
                <w:szCs w:val="18"/>
                <w:lang w:val="nl-NL" w:eastAsia="nl-NL"/>
              </w:rPr>
              <w:t xml:space="preserve">uitkering daalt van 100% van het brutominimumloon (TW-gehuwdennorm) naar 70% (Wajong-uitkering). </w:t>
            </w:r>
          </w:p>
          <w:p w:rsidRPr="00656119" w:rsidR="0052629D" w:rsidP="00656119" w:rsidRDefault="00427B38" w14:paraId="787447E5" w14:textId="6F288D0D">
            <w:pPr>
              <w:pStyle w:val="Lijstalinea"/>
              <w:numPr>
                <w:ilvl w:val="0"/>
                <w:numId w:val="16"/>
              </w:numPr>
              <w:spacing w:after="0" w:line="240" w:lineRule="auto"/>
              <w:rPr>
                <w:rFonts w:eastAsia="Times New Roman"/>
                <w:szCs w:val="18"/>
                <w:lang w:val="nl-NL"/>
              </w:rPr>
            </w:pPr>
            <w:r>
              <w:rPr>
                <w:rFonts w:eastAsia="Times New Roman"/>
                <w:szCs w:val="18"/>
                <w:lang w:val="nl-NL"/>
              </w:rPr>
              <w:t xml:space="preserve">In deze variant geldt eveneens </w:t>
            </w:r>
            <w:r>
              <w:rPr>
                <w:rFonts w:eastAsia="Verdana" w:cs="Verdana"/>
                <w:szCs w:val="18"/>
                <w:lang w:val="nl-NL"/>
              </w:rPr>
              <w:t xml:space="preserve">dat </w:t>
            </w:r>
            <w:r w:rsidRPr="00427B38">
              <w:rPr>
                <w:rFonts w:eastAsia="Times New Roman"/>
                <w:color w:val="000000"/>
                <w:szCs w:val="18"/>
                <w:lang w:val="nl-NL" w:eastAsia="nl-NL"/>
              </w:rPr>
              <w:t>e</w:t>
            </w:r>
            <w:r w:rsidRPr="00427B38">
              <w:rPr>
                <w:rFonts w:eastAsia="Times New Roman"/>
                <w:color w:val="000000"/>
                <w:lang w:val="nl-NL" w:eastAsia="nl-NL"/>
              </w:rPr>
              <w:t xml:space="preserve">en deel van de </w:t>
            </w:r>
            <w:r w:rsidRPr="00427B38">
              <w:rPr>
                <w:rFonts w:eastAsia="Times New Roman"/>
                <w:color w:val="000000"/>
                <w:szCs w:val="18"/>
                <w:lang w:val="nl-NL" w:eastAsia="nl-NL"/>
              </w:rPr>
              <w:t xml:space="preserve">gehuwde Wajonggerechtigden </w:t>
            </w:r>
            <w:r w:rsidRPr="00427B38">
              <w:rPr>
                <w:rFonts w:eastAsia="Times New Roman"/>
                <w:szCs w:val="18"/>
                <w:lang w:val="nl-NL"/>
              </w:rPr>
              <w:t>met de voorwaarden van de bijstand geen aanvulling</w:t>
            </w:r>
            <w:r w:rsidR="000F7E27">
              <w:rPr>
                <w:rFonts w:eastAsia="Times New Roman"/>
                <w:szCs w:val="18"/>
                <w:lang w:val="nl-NL"/>
              </w:rPr>
              <w:t xml:space="preserve"> meer</w:t>
            </w:r>
            <w:r w:rsidRPr="00427B38">
              <w:rPr>
                <w:rFonts w:eastAsia="Times New Roman"/>
                <w:szCs w:val="18"/>
                <w:lang w:val="nl-NL"/>
              </w:rPr>
              <w:t xml:space="preserve"> z</w:t>
            </w:r>
            <w:r w:rsidRPr="00427B38">
              <w:rPr>
                <w:rFonts w:eastAsia="Times New Roman"/>
                <w:lang w:val="nl-NL"/>
              </w:rPr>
              <w:t xml:space="preserve">al </w:t>
            </w:r>
            <w:r w:rsidRPr="00427B38">
              <w:rPr>
                <w:rFonts w:eastAsia="Times New Roman"/>
                <w:szCs w:val="18"/>
                <w:lang w:val="nl-NL"/>
              </w:rPr>
              <w:t>ontvangen</w:t>
            </w:r>
            <w:r w:rsidRPr="00427B38">
              <w:rPr>
                <w:rFonts w:eastAsia="Times New Roman"/>
                <w:color w:val="000000"/>
                <w:szCs w:val="18"/>
                <w:lang w:val="nl-NL" w:eastAsia="nl-NL"/>
              </w:rPr>
              <w:t>.</w:t>
            </w:r>
            <w:r w:rsidRPr="00427B38">
              <w:rPr>
                <w:rFonts w:eastAsia="Times New Roman"/>
                <w:color w:val="000000"/>
                <w:lang w:val="nl-NL" w:eastAsia="nl-NL"/>
              </w:rPr>
              <w:t xml:space="preserve"> </w:t>
            </w:r>
            <w:r w:rsidRPr="00427B38">
              <w:rPr>
                <w:rFonts w:eastAsia="Times New Roman"/>
                <w:szCs w:val="18"/>
                <w:lang w:val="nl-NL"/>
              </w:rPr>
              <w:t>Hun inkomenssituatie verslechtert</w:t>
            </w:r>
            <w:r>
              <w:rPr>
                <w:rFonts w:eastAsia="Times New Roman"/>
                <w:szCs w:val="18"/>
                <w:lang w:val="nl-NL"/>
              </w:rPr>
              <w:t>. Daarnaast daalt het inkomen licht van alleenstaande Wajonggerechtigden die nu een TW-aanvulling krijgen.</w:t>
            </w:r>
          </w:p>
          <w:p w:rsidRPr="00FD1605" w:rsidR="005E4A03" w:rsidP="00427B38" w:rsidRDefault="005E4A03" w14:paraId="3B47A539" w14:textId="77777777">
            <w:pPr>
              <w:spacing w:after="0" w:line="240" w:lineRule="auto"/>
              <w:rPr>
                <w:rFonts w:eastAsia="Times New Roman" w:cs="Calibri"/>
                <w:color w:val="000000"/>
                <w:szCs w:val="18"/>
                <w:lang w:val="nl-NL" w:eastAsia="nl-NL"/>
              </w:rPr>
            </w:pPr>
          </w:p>
        </w:tc>
      </w:tr>
      <w:tr w:rsidRPr="00EB3835" w:rsidR="005E4A03" w:rsidTr="009C048F" w14:paraId="5CC62585" w14:textId="77777777">
        <w:trPr>
          <w:trHeight w:val="689"/>
        </w:trPr>
        <w:tc>
          <w:tcPr>
            <w:tcW w:w="1951" w:type="dxa"/>
            <w:tcBorders>
              <w:top w:val="nil"/>
              <w:left w:val="single" w:color="auto" w:sz="8" w:space="0"/>
              <w:bottom w:val="single" w:color="auto" w:sz="8" w:space="0"/>
              <w:right w:val="nil"/>
            </w:tcBorders>
            <w:noWrap/>
          </w:tcPr>
          <w:p w:rsidRPr="00704454" w:rsidR="005E4A03" w:rsidP="00BF4FBB" w:rsidRDefault="005E4A03" w14:paraId="28919BE3"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t>Arbeidsmarkt-effecten</w:t>
            </w:r>
          </w:p>
        </w:tc>
        <w:tc>
          <w:tcPr>
            <w:tcW w:w="8398" w:type="dxa"/>
            <w:tcBorders>
              <w:top w:val="single" w:color="auto" w:sz="4" w:space="0"/>
              <w:left w:val="single" w:color="auto" w:sz="4" w:space="0"/>
              <w:bottom w:val="single" w:color="auto" w:sz="8" w:space="0"/>
              <w:right w:val="single" w:color="auto" w:sz="4" w:space="0"/>
            </w:tcBorders>
            <w:noWrap/>
          </w:tcPr>
          <w:p w:rsidRPr="00FD1605" w:rsidR="005E4A03" w:rsidP="00BF4FBB" w:rsidRDefault="00B70F80" w14:paraId="6E5380D3" w14:textId="5654F4E5">
            <w:pPr>
              <w:spacing w:after="0" w:line="240" w:lineRule="auto"/>
              <w:rPr>
                <w:szCs w:val="18"/>
                <w:lang w:val="nl-NL"/>
              </w:rPr>
            </w:pPr>
            <w:r>
              <w:rPr>
                <w:rFonts w:eastAsia="Times New Roman" w:cs="Calibri"/>
                <w:color w:val="000000"/>
                <w:szCs w:val="18"/>
                <w:lang w:val="nl-NL" w:eastAsia="nl-NL"/>
              </w:rPr>
              <w:t xml:space="preserve">Een vereenvoudigde en een in sommige gevallen hogere uitkering biedt meer zekerheid en dat kan een positief effect hebben op het zetten van de stap naar werk. </w:t>
            </w:r>
            <w:r w:rsidRPr="006122F2">
              <w:rPr>
                <w:rFonts w:eastAsia="Times New Roman" w:cs="Calibri"/>
                <w:color w:val="000000"/>
                <w:szCs w:val="18"/>
                <w:lang w:val="nl-NL" w:eastAsia="nl-NL"/>
              </w:rPr>
              <w:t xml:space="preserve">Aan de andere kant kan een hogere </w:t>
            </w:r>
            <w:r>
              <w:rPr>
                <w:rFonts w:eastAsia="Times New Roman" w:cs="Calibri"/>
                <w:color w:val="000000"/>
                <w:szCs w:val="18"/>
                <w:lang w:val="nl-NL" w:eastAsia="nl-NL"/>
              </w:rPr>
              <w:t>uitkering</w:t>
            </w:r>
            <w:r w:rsidRPr="006122F2">
              <w:rPr>
                <w:rFonts w:eastAsia="Times New Roman" w:cs="Calibri"/>
                <w:color w:val="000000"/>
                <w:szCs w:val="18"/>
                <w:lang w:val="nl-NL" w:eastAsia="nl-NL"/>
              </w:rPr>
              <w:t xml:space="preserve"> de </w:t>
            </w:r>
            <w:r>
              <w:rPr>
                <w:rFonts w:eastAsia="Times New Roman" w:cs="Calibri"/>
                <w:color w:val="000000"/>
                <w:szCs w:val="18"/>
                <w:lang w:val="nl-NL" w:eastAsia="nl-NL"/>
              </w:rPr>
              <w:t xml:space="preserve">financiële </w:t>
            </w:r>
            <w:r w:rsidRPr="006122F2">
              <w:rPr>
                <w:rFonts w:eastAsia="Times New Roman" w:cs="Calibri"/>
                <w:color w:val="000000"/>
                <w:szCs w:val="18"/>
                <w:lang w:val="nl-NL" w:eastAsia="nl-NL"/>
              </w:rPr>
              <w:t>prikkel tot werken verkleinen</w:t>
            </w:r>
            <w:r>
              <w:rPr>
                <w:rFonts w:eastAsia="Times New Roman" w:cs="Calibri"/>
                <w:color w:val="000000"/>
                <w:szCs w:val="18"/>
                <w:lang w:val="nl-NL" w:eastAsia="nl-NL"/>
              </w:rPr>
              <w:t>.</w:t>
            </w:r>
          </w:p>
          <w:p w:rsidRPr="00FD1605" w:rsidR="00833170" w:rsidP="00833170" w:rsidRDefault="005E4A03" w14:paraId="08BB97E8" w14:textId="56B4C55C">
            <w:pPr>
              <w:spacing w:after="0" w:line="240" w:lineRule="auto"/>
              <w:rPr>
                <w:szCs w:val="18"/>
                <w:lang w:val="nl-NL"/>
              </w:rPr>
            </w:pPr>
            <w:r w:rsidRPr="00FD1605">
              <w:rPr>
                <w:szCs w:val="18"/>
                <w:lang w:val="nl-NL"/>
              </w:rPr>
              <w:t xml:space="preserve">Aanvullend geldt voor gehuwde Wajonggerechtigden dat in variant b </w:t>
            </w:r>
            <w:r w:rsidR="00A8792A">
              <w:rPr>
                <w:szCs w:val="18"/>
                <w:lang w:val="nl-NL"/>
              </w:rPr>
              <w:t xml:space="preserve">en c </w:t>
            </w:r>
            <w:r w:rsidRPr="00FD1605">
              <w:rPr>
                <w:szCs w:val="18"/>
                <w:lang w:val="nl-NL"/>
              </w:rPr>
              <w:t xml:space="preserve">het wegvallen van het recht op toeslag kan leiden tot een lager inkomen of </w:t>
            </w:r>
            <w:r w:rsidR="00A8792A">
              <w:rPr>
                <w:szCs w:val="18"/>
                <w:lang w:val="nl-NL"/>
              </w:rPr>
              <w:t>alleen een aanvulling uit de bijstand</w:t>
            </w:r>
            <w:r w:rsidRPr="00FD1605">
              <w:rPr>
                <w:szCs w:val="18"/>
                <w:lang w:val="nl-NL"/>
              </w:rPr>
              <w:t xml:space="preserve">. </w:t>
            </w:r>
            <w:r w:rsidR="008F6EBA">
              <w:rPr>
                <w:szCs w:val="18"/>
                <w:lang w:val="nl-NL"/>
              </w:rPr>
              <w:t>Een</w:t>
            </w:r>
            <w:r w:rsidR="00A8792A">
              <w:rPr>
                <w:szCs w:val="18"/>
                <w:lang w:val="nl-NL"/>
              </w:rPr>
              <w:t xml:space="preserve"> lager inkomen en de strengere voorwaarden in de bijstand kunnen een </w:t>
            </w:r>
            <w:r w:rsidRPr="00FD1605">
              <w:rPr>
                <w:szCs w:val="18"/>
                <w:lang w:val="nl-NL"/>
              </w:rPr>
              <w:t>positieve prikkel tot werken geven.</w:t>
            </w:r>
            <w:r w:rsidR="00833170">
              <w:rPr>
                <w:szCs w:val="18"/>
                <w:lang w:val="nl-NL"/>
              </w:rPr>
              <w:t xml:space="preserve"> </w:t>
            </w:r>
            <w:r w:rsidR="00B70F80">
              <w:rPr>
                <w:rFonts w:eastAsia="Times New Roman" w:cs="Calibri"/>
                <w:color w:val="000000"/>
                <w:szCs w:val="18"/>
                <w:lang w:val="nl-NL" w:eastAsia="nl-NL"/>
              </w:rPr>
              <w:t>Hier geldt dan wel ook weer dat dat</w:t>
            </w:r>
            <w:r w:rsidRPr="006122F2" w:rsidR="00B70F80">
              <w:rPr>
                <w:rFonts w:eastAsia="Times New Roman" w:cs="Calibri"/>
                <w:color w:val="000000"/>
                <w:szCs w:val="18"/>
                <w:lang w:val="nl-NL" w:eastAsia="nl-NL"/>
              </w:rPr>
              <w:t xml:space="preserve"> de </w:t>
            </w:r>
            <w:r w:rsidR="00B70F80">
              <w:rPr>
                <w:rFonts w:eastAsia="Times New Roman" w:cs="Calibri"/>
                <w:color w:val="000000"/>
                <w:szCs w:val="18"/>
                <w:lang w:val="nl-NL" w:eastAsia="nl-NL"/>
              </w:rPr>
              <w:t>toename in</w:t>
            </w:r>
            <w:r w:rsidRPr="006122F2" w:rsidR="00B70F80">
              <w:rPr>
                <w:rFonts w:eastAsia="Times New Roman" w:cs="Calibri"/>
                <w:color w:val="000000"/>
                <w:szCs w:val="18"/>
                <w:lang w:val="nl-NL" w:eastAsia="nl-NL"/>
              </w:rPr>
              <w:t xml:space="preserve"> </w:t>
            </w:r>
            <w:r w:rsidRPr="006122F2" w:rsidR="00B70F80">
              <w:rPr>
                <w:rFonts w:eastAsia="Times New Roman" w:cs="Calibri"/>
                <w:color w:val="000000"/>
                <w:szCs w:val="18"/>
                <w:lang w:val="nl-NL" w:eastAsia="nl-NL"/>
              </w:rPr>
              <w:lastRenderedPageBreak/>
              <w:t>financiële onzekerheid door een lager</w:t>
            </w:r>
            <w:r w:rsidR="0031772E">
              <w:rPr>
                <w:rFonts w:eastAsia="Times New Roman" w:cs="Calibri"/>
                <w:color w:val="000000"/>
                <w:szCs w:val="18"/>
                <w:lang w:val="nl-NL" w:eastAsia="nl-NL"/>
              </w:rPr>
              <w:t xml:space="preserve"> inkomen</w:t>
            </w:r>
            <w:r w:rsidRPr="006122F2" w:rsidR="00B70F80">
              <w:rPr>
                <w:rFonts w:eastAsia="Times New Roman" w:cs="Calibri"/>
                <w:color w:val="000000"/>
                <w:szCs w:val="18"/>
                <w:lang w:val="nl-NL" w:eastAsia="nl-NL"/>
              </w:rPr>
              <w:t xml:space="preserve"> </w:t>
            </w:r>
            <w:r w:rsidR="00B70F80">
              <w:rPr>
                <w:rFonts w:eastAsia="Times New Roman" w:cs="Calibri"/>
                <w:color w:val="000000"/>
                <w:szCs w:val="18"/>
                <w:lang w:val="nl-NL" w:eastAsia="nl-NL"/>
              </w:rPr>
              <w:t>juist weer</w:t>
            </w:r>
            <w:r w:rsidRPr="006122F2" w:rsidR="00B70F80">
              <w:rPr>
                <w:rFonts w:eastAsia="Times New Roman" w:cs="Calibri"/>
                <w:color w:val="000000"/>
                <w:szCs w:val="18"/>
                <w:lang w:val="nl-NL" w:eastAsia="nl-NL"/>
              </w:rPr>
              <w:t xml:space="preserve"> een belemmering zou kunnen zijn om werk te hervatten.</w:t>
            </w:r>
          </w:p>
          <w:p w:rsidRPr="00FD1605" w:rsidR="005E4A03" w:rsidP="00BF4FBB" w:rsidRDefault="005E4A03" w14:paraId="1482181D" w14:textId="1FBF547C">
            <w:pPr>
              <w:spacing w:after="0" w:line="240" w:lineRule="auto"/>
              <w:rPr>
                <w:szCs w:val="18"/>
                <w:lang w:val="nl-NL"/>
              </w:rPr>
            </w:pPr>
          </w:p>
          <w:p w:rsidRPr="00FD1605" w:rsidR="005E4A03" w:rsidP="00BF4FBB" w:rsidRDefault="005E4A03" w14:paraId="086D1B8A" w14:textId="77777777">
            <w:pPr>
              <w:spacing w:after="0" w:line="240" w:lineRule="auto"/>
              <w:rPr>
                <w:rFonts w:eastAsia="Times New Roman"/>
                <w:szCs w:val="18"/>
                <w:lang w:val="nl-NL"/>
              </w:rPr>
            </w:pPr>
            <w:r w:rsidRPr="00FD1605">
              <w:rPr>
                <w:rFonts w:eastAsia="Times New Roman"/>
                <w:szCs w:val="18"/>
                <w:lang w:val="nl-NL"/>
              </w:rPr>
              <w:t xml:space="preserve">Gezien de beperkte doelgroep en de beperkte effecten het effect op de arbeidsmarkt naar verwachting klein. </w:t>
            </w:r>
          </w:p>
        </w:tc>
      </w:tr>
      <w:tr w:rsidRPr="00EB3835" w:rsidR="005E4A03" w:rsidTr="009C048F" w14:paraId="1772D75A" w14:textId="77777777">
        <w:trPr>
          <w:trHeight w:val="315"/>
        </w:trPr>
        <w:tc>
          <w:tcPr>
            <w:tcW w:w="1951" w:type="dxa"/>
            <w:tcBorders>
              <w:top w:val="nil"/>
              <w:left w:val="single" w:color="auto" w:sz="8" w:space="0"/>
              <w:bottom w:val="single" w:color="auto" w:sz="8" w:space="0"/>
              <w:right w:val="nil"/>
            </w:tcBorders>
            <w:noWrap/>
          </w:tcPr>
          <w:p w:rsidRPr="00704454" w:rsidR="005E4A03" w:rsidP="00BF4FBB" w:rsidRDefault="005E4A03" w14:paraId="389A357C" w14:textId="77777777">
            <w:pPr>
              <w:spacing w:after="0" w:line="240" w:lineRule="auto"/>
              <w:rPr>
                <w:rFonts w:eastAsia="Times New Roman" w:cs="Calibri"/>
                <w:b/>
                <w:bCs/>
                <w:color w:val="000000"/>
                <w:szCs w:val="18"/>
                <w:lang w:val="nl-NL" w:eastAsia="nl-NL"/>
              </w:rPr>
            </w:pPr>
            <w:r w:rsidRPr="00704454">
              <w:rPr>
                <w:rFonts w:eastAsia="Times New Roman" w:cs="Calibri"/>
                <w:b/>
                <w:bCs/>
                <w:color w:val="000000"/>
                <w:szCs w:val="18"/>
                <w:lang w:val="nl-NL" w:eastAsia="nl-NL"/>
              </w:rPr>
              <w:lastRenderedPageBreak/>
              <w:t>Overige relevante aspecten</w:t>
            </w:r>
          </w:p>
        </w:tc>
        <w:tc>
          <w:tcPr>
            <w:tcW w:w="8398" w:type="dxa"/>
            <w:tcBorders>
              <w:top w:val="single" w:color="auto" w:sz="4" w:space="0"/>
              <w:left w:val="single" w:color="auto" w:sz="4" w:space="0"/>
              <w:bottom w:val="single" w:color="auto" w:sz="8" w:space="0"/>
              <w:right w:val="single" w:color="auto" w:sz="4" w:space="0"/>
            </w:tcBorders>
            <w:noWrap/>
          </w:tcPr>
          <w:p w:rsidRPr="00FD1605" w:rsidR="005E4A03" w:rsidP="00BF4FBB" w:rsidRDefault="005E4A03" w14:paraId="0F02AB8B" w14:textId="77777777">
            <w:pPr>
              <w:spacing w:after="0" w:line="240" w:lineRule="auto"/>
              <w:rPr>
                <w:rFonts w:eastAsia="Times New Roman"/>
                <w:szCs w:val="18"/>
                <w:lang w:val="nl-NL" w:eastAsia="nl-NL"/>
              </w:rPr>
            </w:pPr>
            <w:r w:rsidRPr="00FD1605">
              <w:rPr>
                <w:rFonts w:eastAsia="Times New Roman"/>
                <w:szCs w:val="18"/>
                <w:lang w:val="nl-NL" w:eastAsia="nl-NL"/>
              </w:rPr>
              <w:t xml:space="preserve">In het Syntheseonderzoek niet-gebruik inkomensondersteunende regelingen SZW van Significant </w:t>
            </w:r>
            <w:proofErr w:type="spellStart"/>
            <w:r w:rsidRPr="00FD1605">
              <w:rPr>
                <w:rFonts w:eastAsia="Times New Roman"/>
                <w:szCs w:val="18"/>
                <w:lang w:val="nl-NL" w:eastAsia="nl-NL"/>
              </w:rPr>
              <w:t>Ape</w:t>
            </w:r>
            <w:proofErr w:type="spellEnd"/>
            <w:r w:rsidRPr="00FD1605">
              <w:rPr>
                <w:rFonts w:eastAsia="Times New Roman"/>
                <w:szCs w:val="18"/>
                <w:lang w:val="nl-NL" w:eastAsia="nl-NL"/>
              </w:rPr>
              <w:t xml:space="preserve"> staan een aantal kenmerken gemeld die regelingen op het niveau van regelgeving een hoog risico op niet-gebruik geven, wetgeving die is gericht op gestigmatiseerde groepen, regelingen waarbij het aanvraaginitiatief bij de burger ligt, een inkomenstoets, instabiel recht: de uitkering verandert wanneer de leefomstandigheden veranderen). De Toeslagenwet in zijn huidige vorm voldoet aan deze criteria.</w:t>
            </w:r>
            <w:r w:rsidRPr="00704454">
              <w:rPr>
                <w:rStyle w:val="Voetnootmarkering"/>
                <w:rFonts w:eastAsia="Times New Roman"/>
                <w:szCs w:val="18"/>
                <w:lang w:val="nl-NL" w:eastAsia="nl-NL"/>
              </w:rPr>
              <w:footnoteReference w:id="16"/>
            </w:r>
            <w:r w:rsidRPr="00FD1605">
              <w:rPr>
                <w:rFonts w:eastAsia="Times New Roman"/>
                <w:szCs w:val="18"/>
                <w:lang w:val="nl-NL" w:eastAsia="nl-NL"/>
              </w:rPr>
              <w:t xml:space="preserve"> </w:t>
            </w:r>
          </w:p>
          <w:p w:rsidRPr="00FD1605" w:rsidR="005E4A03" w:rsidP="00BF4FBB" w:rsidRDefault="005E4A03" w14:paraId="747BB0A2" w14:textId="77777777">
            <w:pPr>
              <w:spacing w:after="0" w:line="240" w:lineRule="auto"/>
              <w:rPr>
                <w:rFonts w:eastAsia="Times New Roman"/>
                <w:szCs w:val="18"/>
                <w:lang w:val="nl-NL"/>
              </w:rPr>
            </w:pPr>
          </w:p>
          <w:p w:rsidRPr="00FD1605" w:rsidR="005E4A03" w:rsidP="00BF4FBB" w:rsidRDefault="005E4A03" w14:paraId="48343F72" w14:textId="77777777">
            <w:pPr>
              <w:spacing w:after="0" w:line="240" w:lineRule="auto"/>
              <w:rPr>
                <w:rFonts w:eastAsia="Times New Roman"/>
                <w:szCs w:val="18"/>
                <w:lang w:val="nl-NL"/>
              </w:rPr>
            </w:pPr>
            <w:r w:rsidRPr="00FD1605">
              <w:rPr>
                <w:rFonts w:eastAsia="Times New Roman"/>
                <w:szCs w:val="18"/>
                <w:lang w:val="nl-NL"/>
              </w:rPr>
              <w:t xml:space="preserve">Mensen met een beperking hebben een hoger risico om in een financieel kwetsbare positie te komen. Het onderzoeksrapport van het Nibud ‘Rapport meerkosten van het leven met een beperking (2024)’ stelt dat huishoudens met een beperking niet dezelfde financiële ruimte hebben als huishoudens zonder handicap. Zij hebben te maken met relatief hoge meerkosten als gevolg van hun handicap. Zij hebben ook minder kansen om hun inkomen te vergroten. “In sommige gevallen zijn mensen met een beperking en een inkomen boven het minimum zelfs nauwelijks beter af dan hetzelfde huishoudtype zonder meerkosten op bijstandsniveau. […] Het risico op tekorten voor huishoudens met een beperking is groter en de levensstandaard als gevolg van meerkosten is lager.” </w:t>
            </w:r>
          </w:p>
        </w:tc>
      </w:tr>
    </w:tbl>
    <w:p w:rsidRPr="00FD1605" w:rsidR="005E4A03" w:rsidP="005E4A03" w:rsidRDefault="005E4A03" w14:paraId="2BBC507E" w14:textId="77777777">
      <w:pPr>
        <w:spacing w:after="0"/>
        <w:rPr>
          <w:lang w:val="nl-NL"/>
        </w:rPr>
      </w:pPr>
    </w:p>
    <w:p w:rsidRPr="00FD1605" w:rsidR="000D2E36" w:rsidRDefault="000D2E36" w14:paraId="62A403D6" w14:textId="542D8EBC">
      <w:pPr>
        <w:rPr>
          <w:lang w:val="nl-NL"/>
        </w:rPr>
      </w:pPr>
    </w:p>
    <w:sectPr w:rsidRPr="00FD1605" w:rsidR="000D2E36" w:rsidSect="001E6A24">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86E6B" w14:textId="77777777" w:rsidR="00A84C30" w:rsidRDefault="00A84C30" w:rsidP="00274420">
      <w:pPr>
        <w:spacing w:after="0" w:line="240" w:lineRule="auto"/>
      </w:pPr>
      <w:r>
        <w:separator/>
      </w:r>
    </w:p>
  </w:endnote>
  <w:endnote w:type="continuationSeparator" w:id="0">
    <w:p w14:paraId="49CF461B" w14:textId="77777777" w:rsidR="00A84C30" w:rsidRDefault="00A84C30" w:rsidP="00274420">
      <w:pPr>
        <w:spacing w:after="0" w:line="240" w:lineRule="auto"/>
      </w:pPr>
      <w:r>
        <w:continuationSeparator/>
      </w:r>
    </w:p>
  </w:endnote>
  <w:endnote w:type="continuationNotice" w:id="1">
    <w:p w14:paraId="75A727C2" w14:textId="77777777" w:rsidR="00143A38" w:rsidRDefault="00143A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2F48C" w14:textId="77777777" w:rsidR="00C6028A" w:rsidRDefault="00C6028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40EFF" w14:textId="77777777" w:rsidR="00C6028A" w:rsidRDefault="00C6028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CD859" w14:textId="77777777" w:rsidR="00C6028A" w:rsidRDefault="00C6028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DECF2" w14:textId="77777777" w:rsidR="00A84C30" w:rsidRDefault="00A84C30" w:rsidP="00274420">
      <w:pPr>
        <w:spacing w:after="0" w:line="240" w:lineRule="auto"/>
      </w:pPr>
      <w:r>
        <w:separator/>
      </w:r>
    </w:p>
  </w:footnote>
  <w:footnote w:type="continuationSeparator" w:id="0">
    <w:p w14:paraId="423B3462" w14:textId="77777777" w:rsidR="00A84C30" w:rsidRDefault="00A84C30" w:rsidP="00274420">
      <w:pPr>
        <w:spacing w:after="0" w:line="240" w:lineRule="auto"/>
      </w:pPr>
      <w:r>
        <w:continuationSeparator/>
      </w:r>
    </w:p>
  </w:footnote>
  <w:footnote w:type="continuationNotice" w:id="1">
    <w:p w14:paraId="069109D1" w14:textId="77777777" w:rsidR="00143A38" w:rsidRDefault="00143A38">
      <w:pPr>
        <w:spacing w:after="0" w:line="240" w:lineRule="auto"/>
      </w:pPr>
    </w:p>
  </w:footnote>
  <w:footnote w:id="2">
    <w:p w14:paraId="6D26B309" w14:textId="77777777" w:rsidR="00274420" w:rsidRPr="00F923C7" w:rsidRDefault="00274420" w:rsidP="00274420">
      <w:pPr>
        <w:pStyle w:val="Voetnoottekst"/>
        <w:rPr>
          <w:rFonts w:ascii="Verdana" w:hAnsi="Verdana" w:cstheme="minorHAnsi"/>
          <w:sz w:val="16"/>
          <w:szCs w:val="16"/>
        </w:rPr>
      </w:pPr>
      <w:r w:rsidRPr="00F923C7">
        <w:rPr>
          <w:rStyle w:val="Voetnootmarkering"/>
          <w:rFonts w:ascii="Verdana" w:hAnsi="Verdana" w:cstheme="minorHAnsi"/>
          <w:sz w:val="16"/>
          <w:szCs w:val="16"/>
        </w:rPr>
        <w:footnoteRef/>
      </w:r>
      <w:r w:rsidRPr="00F923C7">
        <w:rPr>
          <w:rFonts w:ascii="Verdana" w:hAnsi="Verdana" w:cstheme="minorHAnsi"/>
          <w:sz w:val="16"/>
          <w:szCs w:val="16"/>
        </w:rPr>
        <w:t xml:space="preserve"> </w:t>
      </w:r>
      <w:r w:rsidRPr="00F923C7">
        <w:rPr>
          <w:rFonts w:ascii="Verdana" w:hAnsi="Verdana" w:cstheme="minorHAnsi"/>
          <w:color w:val="464646"/>
          <w:sz w:val="16"/>
          <w:szCs w:val="16"/>
        </w:rPr>
        <w:t>Wet van 2 juli 2014, </w:t>
      </w:r>
      <w:hyperlink r:id="rId1" w:tooltip="Wet van 2 juli 2014 tot wijziging van de Wet werk en bijstand en enkele andere sociale zekerheidswetten (Wet maatregelen Wet werk en bijstand en enkele andere wetten)" w:history="1">
        <w:r w:rsidRPr="00F923C7">
          <w:rPr>
            <w:rStyle w:val="Hyperlink"/>
            <w:rFonts w:ascii="Verdana" w:hAnsi="Verdana" w:cstheme="minorHAnsi"/>
            <w:color w:val="0079B2"/>
            <w:sz w:val="16"/>
            <w:szCs w:val="16"/>
          </w:rPr>
          <w:t>Stb. 2014, 269</w:t>
        </w:r>
      </w:hyperlink>
      <w:r w:rsidRPr="00F923C7">
        <w:rPr>
          <w:rFonts w:ascii="Verdana" w:hAnsi="Verdana" w:cstheme="minorHAnsi"/>
          <w:color w:val="464646"/>
          <w:sz w:val="16"/>
          <w:szCs w:val="16"/>
        </w:rPr>
        <w:t>, werd lid 7 (destijds als lid 6) aan art. 2 toegevoegd.</w:t>
      </w:r>
    </w:p>
  </w:footnote>
  <w:footnote w:id="3">
    <w:p w14:paraId="00AF4B6C" w14:textId="77777777" w:rsidR="00274420" w:rsidRPr="00223330" w:rsidRDefault="00274420" w:rsidP="00274420">
      <w:pPr>
        <w:pStyle w:val="Voetnoottekst"/>
        <w:rPr>
          <w:rFonts w:cstheme="minorHAnsi"/>
          <w:color w:val="000000"/>
          <w:sz w:val="18"/>
          <w:szCs w:val="18"/>
        </w:rPr>
      </w:pPr>
      <w:r w:rsidRPr="00F923C7">
        <w:rPr>
          <w:rStyle w:val="Voetnootmarkering"/>
          <w:rFonts w:ascii="Verdana" w:hAnsi="Verdana" w:cstheme="minorHAnsi"/>
          <w:sz w:val="16"/>
          <w:szCs w:val="16"/>
        </w:rPr>
        <w:footnoteRef/>
      </w:r>
      <w:r w:rsidRPr="00F923C7">
        <w:rPr>
          <w:rFonts w:ascii="Verdana" w:hAnsi="Verdana" w:cstheme="minorHAnsi"/>
          <w:sz w:val="16"/>
          <w:szCs w:val="16"/>
        </w:rPr>
        <w:t xml:space="preserve"> In de TW prevaleert partnerschap boven kostendelers. Bijvoorbeeld als een gehuwd stel een woningdeler heeft, dan ontvangen zij toeslag tot 100% van het sociaal minimum mét inkomstenverrekening van de partnerinkomsten.</w:t>
      </w:r>
      <w:r w:rsidRPr="00223330">
        <w:rPr>
          <w:rFonts w:cstheme="minorHAnsi"/>
          <w:sz w:val="18"/>
          <w:szCs w:val="18"/>
        </w:rPr>
        <w:t xml:space="preserve"> </w:t>
      </w:r>
    </w:p>
  </w:footnote>
  <w:footnote w:id="4">
    <w:p w14:paraId="6ECBBAE0" w14:textId="09F83E41" w:rsidR="00334990" w:rsidRPr="00F923C7" w:rsidRDefault="00334990">
      <w:pPr>
        <w:pStyle w:val="Voetnoottekst"/>
        <w:rPr>
          <w:rFonts w:ascii="Verdana" w:hAnsi="Verdana"/>
          <w:sz w:val="16"/>
          <w:szCs w:val="16"/>
        </w:rPr>
      </w:pPr>
      <w:r w:rsidRPr="00F923C7">
        <w:rPr>
          <w:rStyle w:val="Voetnootmarkering"/>
          <w:rFonts w:ascii="Verdana" w:hAnsi="Verdana"/>
          <w:sz w:val="16"/>
          <w:szCs w:val="16"/>
        </w:rPr>
        <w:footnoteRef/>
      </w:r>
      <w:r w:rsidRPr="00F923C7">
        <w:rPr>
          <w:rFonts w:ascii="Verdana" w:hAnsi="Verdana"/>
          <w:sz w:val="16"/>
          <w:szCs w:val="16"/>
        </w:rPr>
        <w:t xml:space="preserve"> Bijlage bij Kamerstukken II 2025/26, 32 847, nr. 1403</w:t>
      </w:r>
    </w:p>
  </w:footnote>
  <w:footnote w:id="5">
    <w:p w14:paraId="205616E9" w14:textId="77777777" w:rsidR="00274420" w:rsidRPr="00F923C7" w:rsidRDefault="00274420" w:rsidP="00274420">
      <w:pPr>
        <w:pStyle w:val="Voetnoottekst"/>
        <w:rPr>
          <w:rFonts w:ascii="Verdana" w:hAnsi="Verdana"/>
          <w:sz w:val="16"/>
          <w:szCs w:val="16"/>
        </w:rPr>
      </w:pPr>
      <w:r w:rsidRPr="00F923C7">
        <w:rPr>
          <w:rStyle w:val="Voetnootmarkering"/>
          <w:rFonts w:ascii="Verdana" w:hAnsi="Verdana"/>
          <w:sz w:val="16"/>
          <w:szCs w:val="16"/>
        </w:rPr>
        <w:footnoteRef/>
      </w:r>
      <w:r w:rsidRPr="00F923C7">
        <w:rPr>
          <w:rFonts w:ascii="Verdana" w:hAnsi="Verdana"/>
          <w:sz w:val="16"/>
          <w:szCs w:val="16"/>
        </w:rPr>
        <w:t xml:space="preserve"> In de uitvoering worden dubbele aanvragen nu zoveel mogelijk voorkomen. Eén partner wordt aangewezen met de hoogste basiswet-uitkering. </w:t>
      </w:r>
    </w:p>
  </w:footnote>
  <w:footnote w:id="6">
    <w:p w14:paraId="3ED8DD5B" w14:textId="722AC920" w:rsidR="003C797B" w:rsidRDefault="003C797B" w:rsidP="003C797B">
      <w:pPr>
        <w:pStyle w:val="Voetnoottekst"/>
      </w:pPr>
      <w:r w:rsidRPr="00F923C7">
        <w:rPr>
          <w:rStyle w:val="Voetnootmarkering"/>
          <w:rFonts w:ascii="Verdana" w:hAnsi="Verdana"/>
          <w:sz w:val="16"/>
          <w:szCs w:val="16"/>
        </w:rPr>
        <w:footnoteRef/>
      </w:r>
      <w:r w:rsidRPr="00F923C7">
        <w:rPr>
          <w:rFonts w:ascii="Verdana" w:hAnsi="Verdana"/>
          <w:sz w:val="16"/>
          <w:szCs w:val="16"/>
        </w:rPr>
        <w:t xml:space="preserve"> </w:t>
      </w:r>
      <w:hyperlink r:id="rId2" w:history="1">
        <w:r w:rsidRPr="00F923C7">
          <w:rPr>
            <w:rStyle w:val="Hyperlink"/>
            <w:rFonts w:ascii="Verdana" w:hAnsi="Verdana"/>
            <w:kern w:val="0"/>
            <w:sz w:val="16"/>
            <w:szCs w:val="16"/>
            <w14:ligatures w14:val="none"/>
          </w:rPr>
          <w:t>Uitkeringsbedragen januari 2026</w:t>
        </w:r>
      </w:hyperlink>
    </w:p>
  </w:footnote>
  <w:footnote w:id="7">
    <w:p w14:paraId="12FC2B95" w14:textId="1181FE06" w:rsidR="00BF0BF0" w:rsidRPr="00F923C7" w:rsidRDefault="00BF0BF0">
      <w:pPr>
        <w:pStyle w:val="Voetnoottekst"/>
        <w:rPr>
          <w:rFonts w:ascii="Verdana" w:hAnsi="Verdana"/>
          <w:sz w:val="16"/>
          <w:szCs w:val="16"/>
        </w:rPr>
      </w:pPr>
      <w:r w:rsidRPr="00F923C7">
        <w:rPr>
          <w:rStyle w:val="Voetnootmarkering"/>
          <w:rFonts w:ascii="Verdana" w:hAnsi="Verdana"/>
          <w:sz w:val="16"/>
          <w:szCs w:val="16"/>
        </w:rPr>
        <w:footnoteRef/>
      </w:r>
      <w:r w:rsidRPr="00F923C7">
        <w:rPr>
          <w:rFonts w:ascii="Verdana" w:hAnsi="Verdana"/>
          <w:sz w:val="16"/>
          <w:szCs w:val="16"/>
        </w:rPr>
        <w:t xml:space="preserve"> De WW-uitkering dient te zijn ontstaan op of na het bereiken van de leeftijd van 57,5 jaar. Deze uitzondering geldt niet voor oudere arbeidsongeschikten (WIA, WAO, Wajong-gerechtigde) met een aanvullende toeslag. Zie artikel 7 lid 4 Tw. </w:t>
      </w:r>
    </w:p>
  </w:footnote>
  <w:footnote w:id="8">
    <w:p w14:paraId="6BD2A8A6" w14:textId="02C7390C" w:rsidR="00836AF5" w:rsidRDefault="00836AF5" w:rsidP="00836AF5">
      <w:pPr>
        <w:pStyle w:val="Voetnoottekst"/>
      </w:pPr>
      <w:r>
        <w:rPr>
          <w:rStyle w:val="Voetnootmarkering"/>
        </w:rPr>
        <w:footnoteRef/>
      </w:r>
      <w:r>
        <w:t xml:space="preserve"> </w:t>
      </w:r>
      <w:r w:rsidR="00F923C7">
        <w:rPr>
          <w:rFonts w:ascii="Verdana" w:hAnsi="Verdana"/>
          <w:sz w:val="16"/>
          <w:szCs w:val="16"/>
        </w:rPr>
        <w:t>Kamerstukken II</w:t>
      </w:r>
      <w:r w:rsidRPr="00F923C7">
        <w:rPr>
          <w:rFonts w:ascii="Verdana" w:hAnsi="Verdana"/>
          <w:sz w:val="16"/>
          <w:szCs w:val="16"/>
        </w:rPr>
        <w:t xml:space="preserve"> 1985</w:t>
      </w:r>
      <w:r w:rsidR="00F923C7">
        <w:rPr>
          <w:rFonts w:ascii="Verdana" w:hAnsi="Verdana"/>
          <w:sz w:val="16"/>
          <w:szCs w:val="16"/>
        </w:rPr>
        <w:t>/</w:t>
      </w:r>
      <w:r w:rsidRPr="00F923C7">
        <w:rPr>
          <w:rFonts w:ascii="Verdana" w:hAnsi="Verdana"/>
          <w:sz w:val="16"/>
          <w:szCs w:val="16"/>
        </w:rPr>
        <w:t>86, 19 257, nr. 3, blz. 26 en 30/31.</w:t>
      </w:r>
    </w:p>
  </w:footnote>
  <w:footnote w:id="9">
    <w:p w14:paraId="6EB250EA" w14:textId="6CC8C3A6" w:rsidR="00126D9C" w:rsidRPr="00F923C7" w:rsidRDefault="00126D9C">
      <w:pPr>
        <w:pStyle w:val="Voetnoottekst"/>
        <w:rPr>
          <w:rFonts w:ascii="Verdana" w:hAnsi="Verdana"/>
          <w:sz w:val="16"/>
          <w:szCs w:val="16"/>
        </w:rPr>
      </w:pPr>
      <w:r w:rsidRPr="00F923C7">
        <w:rPr>
          <w:rStyle w:val="Voetnootmarkering"/>
          <w:rFonts w:ascii="Verdana" w:hAnsi="Verdana"/>
          <w:sz w:val="16"/>
          <w:szCs w:val="16"/>
        </w:rPr>
        <w:footnoteRef/>
      </w:r>
      <w:r w:rsidRPr="00F923C7">
        <w:rPr>
          <w:rFonts w:ascii="Verdana" w:hAnsi="Verdana"/>
          <w:sz w:val="16"/>
          <w:szCs w:val="16"/>
        </w:rPr>
        <w:t xml:space="preserve"> Bij de loongerelateerde uitkeringen (WW, WIA) kan dit ook voorkomen, maar is de uitkering vaak al hoger dan de Toeslagenwetnorm.</w:t>
      </w:r>
    </w:p>
  </w:footnote>
  <w:footnote w:id="10">
    <w:p w14:paraId="55A48310" w14:textId="77777777" w:rsidR="00B86051" w:rsidRPr="001A755E" w:rsidRDefault="00B86051" w:rsidP="00B86051">
      <w:pPr>
        <w:pStyle w:val="Voetnoottekst"/>
        <w:rPr>
          <w:rFonts w:ascii="Verdana" w:hAnsi="Verdana"/>
          <w:sz w:val="16"/>
          <w:szCs w:val="16"/>
        </w:rPr>
      </w:pPr>
      <w:r w:rsidRPr="001A755E">
        <w:rPr>
          <w:rStyle w:val="Voetnootmarkering"/>
          <w:rFonts w:ascii="Verdana" w:hAnsi="Verdana"/>
          <w:sz w:val="16"/>
          <w:szCs w:val="16"/>
        </w:rPr>
        <w:footnoteRef/>
      </w:r>
      <w:r w:rsidRPr="001A755E">
        <w:rPr>
          <w:rFonts w:ascii="Verdana" w:hAnsi="Verdana"/>
          <w:sz w:val="16"/>
          <w:szCs w:val="16"/>
        </w:rPr>
        <w:t xml:space="preserve"> Kamerstukken II 2024/25, 36 602, nr. 3</w:t>
      </w:r>
    </w:p>
  </w:footnote>
  <w:footnote w:id="11">
    <w:p w14:paraId="2A96030F" w14:textId="77777777" w:rsidR="009F6BA4" w:rsidRPr="00656119" w:rsidRDefault="009F6BA4" w:rsidP="009F6BA4">
      <w:pPr>
        <w:pStyle w:val="Voetnoottekst"/>
        <w:rPr>
          <w:rFonts w:ascii="Verdana" w:hAnsi="Verdana"/>
          <w:sz w:val="16"/>
          <w:szCs w:val="16"/>
        </w:rPr>
      </w:pPr>
      <w:r w:rsidRPr="00656119">
        <w:rPr>
          <w:rStyle w:val="Voetnootmarkering"/>
          <w:rFonts w:ascii="Verdana" w:hAnsi="Verdana"/>
          <w:sz w:val="16"/>
          <w:szCs w:val="16"/>
        </w:rPr>
        <w:footnoteRef/>
      </w:r>
      <w:r w:rsidRPr="00656119">
        <w:rPr>
          <w:rFonts w:ascii="Verdana" w:hAnsi="Verdana"/>
          <w:sz w:val="16"/>
          <w:szCs w:val="16"/>
        </w:rPr>
        <w:t xml:space="preserve"> </w:t>
      </w:r>
      <w:hyperlink r:id="rId3" w:anchor=":~:text=Dat%20geldt%20ook%20voor%20de,van%20deze%20eeuw%20de%2040%25." w:history="1">
        <w:r w:rsidRPr="00656119">
          <w:rPr>
            <w:rStyle w:val="Hyperlink"/>
            <w:rFonts w:ascii="Verdana" w:hAnsi="Verdana"/>
            <w:sz w:val="16"/>
            <w:szCs w:val="16"/>
          </w:rPr>
          <w:t>Webpublicatie De Nederlandse economie in historisch perspectief: 3 Arbeidsaanbod en werkgelegenheid | CPB.nl</w:t>
        </w:r>
      </w:hyperlink>
    </w:p>
  </w:footnote>
  <w:footnote w:id="12">
    <w:p w14:paraId="58001E87" w14:textId="77777777" w:rsidR="009F6BA4" w:rsidRDefault="009F6BA4" w:rsidP="009F6BA4">
      <w:pPr>
        <w:pStyle w:val="Voetnoottekst"/>
      </w:pPr>
      <w:r w:rsidRPr="00656119">
        <w:rPr>
          <w:rStyle w:val="Voetnootmarkering"/>
          <w:rFonts w:ascii="Verdana" w:hAnsi="Verdana"/>
          <w:sz w:val="16"/>
          <w:szCs w:val="16"/>
        </w:rPr>
        <w:footnoteRef/>
      </w:r>
      <w:r w:rsidRPr="00656119">
        <w:rPr>
          <w:rFonts w:ascii="Verdana" w:hAnsi="Verdana"/>
          <w:sz w:val="16"/>
          <w:szCs w:val="16"/>
        </w:rPr>
        <w:t xml:space="preserve"> </w:t>
      </w:r>
      <w:hyperlink r:id="rId4" w:anchor=":~:text=De%20situatie%20in%20Nederland,van%20mannen%2035%2C4%20uur." w:history="1">
        <w:r w:rsidRPr="00656119">
          <w:rPr>
            <w:rStyle w:val="Hyperlink"/>
            <w:rFonts w:ascii="Verdana" w:hAnsi="Verdana"/>
            <w:sz w:val="16"/>
            <w:szCs w:val="16"/>
          </w:rPr>
          <w:t>Arbeidsparticipatie van vrouwen | Gendergelijkheid | College voor de Rechten van de Mens (mensenrechten.nl)</w:t>
        </w:r>
      </w:hyperlink>
    </w:p>
  </w:footnote>
  <w:footnote w:id="13">
    <w:p w14:paraId="743D7D36" w14:textId="689286F1" w:rsidR="005E4A03" w:rsidRPr="00656119" w:rsidRDefault="005E4A03" w:rsidP="005E4A03">
      <w:pPr>
        <w:pStyle w:val="Voetnoottekst"/>
        <w:rPr>
          <w:rFonts w:ascii="Verdana" w:hAnsi="Verdana" w:cstheme="minorHAnsi"/>
          <w:sz w:val="16"/>
          <w:szCs w:val="16"/>
        </w:rPr>
      </w:pPr>
      <w:r w:rsidRPr="00656119">
        <w:rPr>
          <w:rStyle w:val="Voetnootmarkering"/>
          <w:rFonts w:ascii="Verdana" w:hAnsi="Verdana" w:cstheme="minorHAnsi"/>
          <w:sz w:val="16"/>
          <w:szCs w:val="16"/>
        </w:rPr>
        <w:footnoteRef/>
      </w:r>
      <w:r w:rsidRPr="00656119">
        <w:rPr>
          <w:rFonts w:ascii="Verdana" w:hAnsi="Verdana" w:cstheme="minorHAnsi"/>
          <w:sz w:val="16"/>
          <w:szCs w:val="16"/>
        </w:rPr>
        <w:t xml:space="preserve"> Het bruto sociaal minimum in de Toeslagenwet heeft officieel de ‘TW-norm’. Deze norm is </w:t>
      </w:r>
      <w:r w:rsidR="00FC61F8" w:rsidRPr="00656119">
        <w:rPr>
          <w:rFonts w:ascii="Verdana" w:hAnsi="Verdana" w:cstheme="minorHAnsi"/>
          <w:sz w:val="16"/>
          <w:szCs w:val="16"/>
        </w:rPr>
        <w:t xml:space="preserve">voor alleenstaande </w:t>
      </w:r>
      <w:r w:rsidRPr="00656119">
        <w:rPr>
          <w:rFonts w:ascii="Verdana" w:hAnsi="Verdana" w:cstheme="minorHAnsi"/>
          <w:sz w:val="16"/>
          <w:szCs w:val="16"/>
        </w:rPr>
        <w:t>een afgeleide van het netto sociaal minimum in de bijstand. In de netto bijstandsnorm is rekening gehouden met de dubbele heffingskorting en de afbouw ervan in de bijstand. Doordat het bruto sociaal minimum van de Toeslagenwet afgeleid is van de netto bijstandsnorm zit deze dus hier dus ook in verwerkt.</w:t>
      </w:r>
    </w:p>
  </w:footnote>
  <w:footnote w:id="14">
    <w:p w14:paraId="75F9719B" w14:textId="699D8C3F" w:rsidR="005E4A03" w:rsidRPr="00E15425" w:rsidRDefault="00B067D0" w:rsidP="005E4A03">
      <w:pPr>
        <w:pStyle w:val="Voetnoottekst"/>
        <w:rPr>
          <w:rFonts w:ascii="Verdana" w:hAnsi="Verdana"/>
          <w:sz w:val="14"/>
          <w:szCs w:val="14"/>
        </w:rPr>
      </w:pPr>
      <w:r w:rsidRPr="00656119">
        <w:rPr>
          <w:rStyle w:val="Voetnootmarkering"/>
          <w:rFonts w:ascii="Verdana" w:hAnsi="Verdana"/>
          <w:sz w:val="16"/>
          <w:szCs w:val="16"/>
        </w:rPr>
        <w:footnoteRef/>
      </w:r>
      <w:r w:rsidRPr="00656119">
        <w:rPr>
          <w:rFonts w:ascii="Verdana" w:hAnsi="Verdana"/>
          <w:sz w:val="16"/>
          <w:szCs w:val="16"/>
        </w:rPr>
        <w:t xml:space="preserve"> Nederlandse Arbeidsinspectie (juni 2023). </w:t>
      </w:r>
      <w:r w:rsidRPr="00656119">
        <w:rPr>
          <w:rFonts w:ascii="Verdana" w:hAnsi="Verdana"/>
          <w:i/>
          <w:sz w:val="16"/>
          <w:szCs w:val="16"/>
        </w:rPr>
        <w:t>Onderzoeksrapport niet-gebruik van de Toeslagenwet.</w:t>
      </w:r>
      <w:r w:rsidRPr="00656119">
        <w:rPr>
          <w:rFonts w:ascii="Verdana" w:hAnsi="Verdana"/>
          <w:sz w:val="16"/>
          <w:szCs w:val="16"/>
        </w:rPr>
        <w:t xml:space="preserve"> Den haag. Peilmoment september 2019.</w:t>
      </w:r>
    </w:p>
  </w:footnote>
  <w:footnote w:id="15">
    <w:p w14:paraId="10305BF9" w14:textId="21BE11A6" w:rsidR="00A31BFD" w:rsidRPr="00656119" w:rsidRDefault="00A31BFD">
      <w:pPr>
        <w:pStyle w:val="Voetnoottekst"/>
        <w:rPr>
          <w:rFonts w:ascii="Verdana" w:hAnsi="Verdana"/>
          <w:sz w:val="16"/>
          <w:szCs w:val="16"/>
        </w:rPr>
      </w:pPr>
      <w:r w:rsidRPr="00656119">
        <w:rPr>
          <w:rStyle w:val="Voetnootmarkering"/>
          <w:rFonts w:ascii="Verdana" w:hAnsi="Verdana"/>
          <w:sz w:val="16"/>
          <w:szCs w:val="16"/>
        </w:rPr>
        <w:footnoteRef/>
      </w:r>
      <w:r w:rsidRPr="00656119">
        <w:rPr>
          <w:rFonts w:ascii="Verdana" w:hAnsi="Verdana"/>
          <w:sz w:val="16"/>
          <w:szCs w:val="16"/>
        </w:rPr>
        <w:t xml:space="preserve"> In variant a komt dat doordat alle Wajong-uitkeringen </w:t>
      </w:r>
      <w:r w:rsidR="004F5921" w:rsidRPr="00656119">
        <w:rPr>
          <w:rFonts w:ascii="Verdana" w:hAnsi="Verdana"/>
          <w:sz w:val="16"/>
          <w:szCs w:val="16"/>
        </w:rPr>
        <w:t xml:space="preserve">voor mensen met arbeidsvermogen </w:t>
      </w:r>
      <w:r w:rsidRPr="00656119">
        <w:rPr>
          <w:rFonts w:ascii="Verdana" w:hAnsi="Verdana"/>
          <w:sz w:val="16"/>
          <w:szCs w:val="16"/>
        </w:rPr>
        <w:t>worden verhoogd, maar in de toekomst zullen worden verlaagd.</w:t>
      </w:r>
    </w:p>
  </w:footnote>
  <w:footnote w:id="16">
    <w:p w14:paraId="33D97A13" w14:textId="7454903A" w:rsidR="005E4A03" w:rsidRPr="006D001E" w:rsidRDefault="005E4A03" w:rsidP="005E4A03">
      <w:pPr>
        <w:pStyle w:val="Voetnoottekst"/>
        <w:rPr>
          <w:rFonts w:ascii="Verdana" w:hAnsi="Verdana"/>
        </w:rPr>
      </w:pPr>
      <w:r w:rsidRPr="006D001E">
        <w:rPr>
          <w:rStyle w:val="Voetnootmarkering"/>
          <w:rFonts w:ascii="Verdana" w:hAnsi="Verdana"/>
          <w:sz w:val="16"/>
          <w:szCs w:val="16"/>
        </w:rPr>
        <w:footnoteRef/>
      </w:r>
      <w:r w:rsidRPr="006D001E">
        <w:rPr>
          <w:rFonts w:ascii="Verdana" w:hAnsi="Verdana"/>
          <w:sz w:val="16"/>
          <w:szCs w:val="16"/>
        </w:rPr>
        <w:t xml:space="preserve"> </w:t>
      </w:r>
      <w:r w:rsidR="00656119">
        <w:rPr>
          <w:rFonts w:ascii="Verdana" w:hAnsi="Verdana"/>
          <w:sz w:val="16"/>
          <w:szCs w:val="16"/>
        </w:rPr>
        <w:t xml:space="preserve">Bijlage bij </w:t>
      </w:r>
      <w:r w:rsidR="00656119" w:rsidRPr="00D50265">
        <w:rPr>
          <w:rFonts w:ascii="Verdana" w:hAnsi="Verdana"/>
          <w:sz w:val="16"/>
          <w:szCs w:val="16"/>
        </w:rPr>
        <w:t>Kamer</w:t>
      </w:r>
      <w:r w:rsidR="00656119" w:rsidRPr="00656119">
        <w:rPr>
          <w:rFonts w:ascii="Verdana" w:hAnsi="Verdana"/>
          <w:sz w:val="16"/>
          <w:szCs w:val="16"/>
        </w:rPr>
        <w:t>stukken II 2022/23, 26 448, nr. 696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63E7" w14:textId="77777777" w:rsidR="00C6028A" w:rsidRDefault="00C6028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100C3" w14:textId="77777777" w:rsidR="00C6028A" w:rsidRDefault="00C6028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80C64" w14:textId="77777777" w:rsidR="00C6028A" w:rsidRDefault="00C6028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69AF"/>
    <w:multiLevelType w:val="hybridMultilevel"/>
    <w:tmpl w:val="517091BA"/>
    <w:lvl w:ilvl="0" w:tplc="F7FC0F38">
      <w:start w:val="1"/>
      <w:numFmt w:val="upperLetter"/>
      <w:lvlText w:val="%1."/>
      <w:lvlJc w:val="left"/>
      <w:pPr>
        <w:ind w:left="720" w:hanging="360"/>
      </w:pPr>
      <w:rPr>
        <w:rFonts w:eastAsiaTheme="majorEastAsia" w:cstheme="majorBidi" w:hint="default"/>
        <w:b/>
        <w:i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4B2241"/>
    <w:multiLevelType w:val="hybridMultilevel"/>
    <w:tmpl w:val="7A28BB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E11528F"/>
    <w:multiLevelType w:val="hybridMultilevel"/>
    <w:tmpl w:val="081EA638"/>
    <w:lvl w:ilvl="0" w:tplc="D8C21812">
      <w:start w:val="1"/>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1CA2A78"/>
    <w:multiLevelType w:val="hybridMultilevel"/>
    <w:tmpl w:val="593E2DFE"/>
    <w:lvl w:ilvl="0" w:tplc="19F42058">
      <w:numFmt w:val="bullet"/>
      <w:lvlText w:val="-"/>
      <w:lvlJc w:val="left"/>
      <w:pPr>
        <w:ind w:left="720" w:hanging="360"/>
      </w:pPr>
      <w:rPr>
        <w:rFonts w:ascii="Verdana" w:eastAsia="Times New Roman"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380B03"/>
    <w:multiLevelType w:val="hybridMultilevel"/>
    <w:tmpl w:val="58F4F632"/>
    <w:lvl w:ilvl="0" w:tplc="6346CB30">
      <w:start w:val="1"/>
      <w:numFmt w:val="bullet"/>
      <w:lvlText w:val=""/>
      <w:lvlJc w:val="left"/>
      <w:pPr>
        <w:ind w:left="720" w:hanging="360"/>
      </w:pPr>
      <w:rPr>
        <w:rFonts w:ascii="Symbol" w:hAnsi="Symbol"/>
      </w:rPr>
    </w:lvl>
    <w:lvl w:ilvl="1" w:tplc="9288EFFC">
      <w:start w:val="1"/>
      <w:numFmt w:val="bullet"/>
      <w:lvlText w:val=""/>
      <w:lvlJc w:val="left"/>
      <w:pPr>
        <w:ind w:left="720" w:hanging="360"/>
      </w:pPr>
      <w:rPr>
        <w:rFonts w:ascii="Symbol" w:hAnsi="Symbol"/>
      </w:rPr>
    </w:lvl>
    <w:lvl w:ilvl="2" w:tplc="42BA3C72">
      <w:start w:val="1"/>
      <w:numFmt w:val="bullet"/>
      <w:lvlText w:val=""/>
      <w:lvlJc w:val="left"/>
      <w:pPr>
        <w:ind w:left="720" w:hanging="360"/>
      </w:pPr>
      <w:rPr>
        <w:rFonts w:ascii="Symbol" w:hAnsi="Symbol"/>
      </w:rPr>
    </w:lvl>
    <w:lvl w:ilvl="3" w:tplc="53ECE6EC">
      <w:start w:val="1"/>
      <w:numFmt w:val="bullet"/>
      <w:lvlText w:val=""/>
      <w:lvlJc w:val="left"/>
      <w:pPr>
        <w:ind w:left="720" w:hanging="360"/>
      </w:pPr>
      <w:rPr>
        <w:rFonts w:ascii="Symbol" w:hAnsi="Symbol"/>
      </w:rPr>
    </w:lvl>
    <w:lvl w:ilvl="4" w:tplc="AFC6DEC2">
      <w:start w:val="1"/>
      <w:numFmt w:val="bullet"/>
      <w:lvlText w:val=""/>
      <w:lvlJc w:val="left"/>
      <w:pPr>
        <w:ind w:left="720" w:hanging="360"/>
      </w:pPr>
      <w:rPr>
        <w:rFonts w:ascii="Symbol" w:hAnsi="Symbol"/>
      </w:rPr>
    </w:lvl>
    <w:lvl w:ilvl="5" w:tplc="73064250">
      <w:start w:val="1"/>
      <w:numFmt w:val="bullet"/>
      <w:lvlText w:val=""/>
      <w:lvlJc w:val="left"/>
      <w:pPr>
        <w:ind w:left="720" w:hanging="360"/>
      </w:pPr>
      <w:rPr>
        <w:rFonts w:ascii="Symbol" w:hAnsi="Symbol"/>
      </w:rPr>
    </w:lvl>
    <w:lvl w:ilvl="6" w:tplc="6AB075C4">
      <w:start w:val="1"/>
      <w:numFmt w:val="bullet"/>
      <w:lvlText w:val=""/>
      <w:lvlJc w:val="left"/>
      <w:pPr>
        <w:ind w:left="720" w:hanging="360"/>
      </w:pPr>
      <w:rPr>
        <w:rFonts w:ascii="Symbol" w:hAnsi="Symbol"/>
      </w:rPr>
    </w:lvl>
    <w:lvl w:ilvl="7" w:tplc="5C98B73E">
      <w:start w:val="1"/>
      <w:numFmt w:val="bullet"/>
      <w:lvlText w:val=""/>
      <w:lvlJc w:val="left"/>
      <w:pPr>
        <w:ind w:left="720" w:hanging="360"/>
      </w:pPr>
      <w:rPr>
        <w:rFonts w:ascii="Symbol" w:hAnsi="Symbol"/>
      </w:rPr>
    </w:lvl>
    <w:lvl w:ilvl="8" w:tplc="6B40D494">
      <w:start w:val="1"/>
      <w:numFmt w:val="bullet"/>
      <w:lvlText w:val=""/>
      <w:lvlJc w:val="left"/>
      <w:pPr>
        <w:ind w:left="720" w:hanging="360"/>
      </w:pPr>
      <w:rPr>
        <w:rFonts w:ascii="Symbol" w:hAnsi="Symbol"/>
      </w:rPr>
    </w:lvl>
  </w:abstractNum>
  <w:abstractNum w:abstractNumId="5" w15:restartNumberingAfterBreak="0">
    <w:nsid w:val="14BE6D9E"/>
    <w:multiLevelType w:val="hybridMultilevel"/>
    <w:tmpl w:val="62EA14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5784252"/>
    <w:multiLevelType w:val="hybridMultilevel"/>
    <w:tmpl w:val="9C1E930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9DF2543"/>
    <w:multiLevelType w:val="hybridMultilevel"/>
    <w:tmpl w:val="B5D65B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BF42171"/>
    <w:multiLevelType w:val="hybridMultilevel"/>
    <w:tmpl w:val="8788CCF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7E822B3"/>
    <w:multiLevelType w:val="hybridMultilevel"/>
    <w:tmpl w:val="21FAB98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DA40120"/>
    <w:multiLevelType w:val="hybridMultilevel"/>
    <w:tmpl w:val="4D5EA8C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085015B"/>
    <w:multiLevelType w:val="hybridMultilevel"/>
    <w:tmpl w:val="30E88A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38C1971"/>
    <w:multiLevelType w:val="hybridMultilevel"/>
    <w:tmpl w:val="AB521CA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AEE44BE"/>
    <w:multiLevelType w:val="hybridMultilevel"/>
    <w:tmpl w:val="E516359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9C11077"/>
    <w:multiLevelType w:val="hybridMultilevel"/>
    <w:tmpl w:val="69DCBD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9873945"/>
    <w:multiLevelType w:val="hybridMultilevel"/>
    <w:tmpl w:val="54DAC0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AA32D27"/>
    <w:multiLevelType w:val="hybridMultilevel"/>
    <w:tmpl w:val="A9583B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66C668F"/>
    <w:multiLevelType w:val="hybridMultilevel"/>
    <w:tmpl w:val="E516359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6DC27D6"/>
    <w:multiLevelType w:val="hybridMultilevel"/>
    <w:tmpl w:val="8012D0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B941DCC"/>
    <w:multiLevelType w:val="hybridMultilevel"/>
    <w:tmpl w:val="9F8C3B1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FD97560"/>
    <w:multiLevelType w:val="multilevel"/>
    <w:tmpl w:val="9549BC54"/>
    <w:lvl w:ilvl="0">
      <w:numFmt w:val="decimal"/>
      <w:pStyle w:val="Lijstopsomteken"/>
      <w:lvlText w:val="●"/>
      <w:lvlJc w:val="left"/>
      <w:pPr>
        <w:ind w:left="220" w:hanging="220"/>
      </w:pPr>
    </w:lvl>
    <w:lvl w:ilvl="1">
      <w:start w:val="1"/>
      <w:numFmt w:val="decimal"/>
      <w:pStyle w:val="Lijstopsomteken2"/>
      <w:lvlText w:val="-"/>
      <w:lvlJc w:val="left"/>
      <w:pPr>
        <w:ind w:left="440" w:hanging="22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465780040">
    <w:abstractNumId w:val="1"/>
  </w:num>
  <w:num w:numId="2" w16cid:durableId="1120025569">
    <w:abstractNumId w:val="20"/>
  </w:num>
  <w:num w:numId="3" w16cid:durableId="356319291">
    <w:abstractNumId w:val="11"/>
  </w:num>
  <w:num w:numId="4" w16cid:durableId="207912579">
    <w:abstractNumId w:val="5"/>
  </w:num>
  <w:num w:numId="5" w16cid:durableId="460731446">
    <w:abstractNumId w:val="15"/>
  </w:num>
  <w:num w:numId="6" w16cid:durableId="318312885">
    <w:abstractNumId w:val="2"/>
  </w:num>
  <w:num w:numId="7" w16cid:durableId="1281914004">
    <w:abstractNumId w:val="10"/>
  </w:num>
  <w:num w:numId="8" w16cid:durableId="2037195392">
    <w:abstractNumId w:val="4"/>
  </w:num>
  <w:num w:numId="9" w16cid:durableId="528568955">
    <w:abstractNumId w:val="3"/>
  </w:num>
  <w:num w:numId="10" w16cid:durableId="955864326">
    <w:abstractNumId w:val="0"/>
  </w:num>
  <w:num w:numId="11" w16cid:durableId="1090732472">
    <w:abstractNumId w:val="13"/>
  </w:num>
  <w:num w:numId="12" w16cid:durableId="2134401999">
    <w:abstractNumId w:val="19"/>
  </w:num>
  <w:num w:numId="13" w16cid:durableId="2076009594">
    <w:abstractNumId w:val="12"/>
  </w:num>
  <w:num w:numId="14" w16cid:durableId="410930543">
    <w:abstractNumId w:val="6"/>
  </w:num>
  <w:num w:numId="15" w16cid:durableId="265238348">
    <w:abstractNumId w:val="9"/>
  </w:num>
  <w:num w:numId="16" w16cid:durableId="1484463997">
    <w:abstractNumId w:val="8"/>
  </w:num>
  <w:num w:numId="17" w16cid:durableId="1323656296">
    <w:abstractNumId w:val="14"/>
  </w:num>
  <w:num w:numId="18" w16cid:durableId="644629750">
    <w:abstractNumId w:val="16"/>
  </w:num>
  <w:num w:numId="19" w16cid:durableId="1509566014">
    <w:abstractNumId w:val="18"/>
  </w:num>
  <w:num w:numId="20" w16cid:durableId="1420054594">
    <w:abstractNumId w:val="17"/>
  </w:num>
  <w:num w:numId="21" w16cid:durableId="20947368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420"/>
    <w:rsid w:val="000027D3"/>
    <w:rsid w:val="000031E0"/>
    <w:rsid w:val="00004157"/>
    <w:rsid w:val="00007AA0"/>
    <w:rsid w:val="00010AF2"/>
    <w:rsid w:val="0001104E"/>
    <w:rsid w:val="000138A1"/>
    <w:rsid w:val="00013FB3"/>
    <w:rsid w:val="00015596"/>
    <w:rsid w:val="00024617"/>
    <w:rsid w:val="00030D0A"/>
    <w:rsid w:val="00033031"/>
    <w:rsid w:val="00046AF1"/>
    <w:rsid w:val="000518CD"/>
    <w:rsid w:val="0005344F"/>
    <w:rsid w:val="000608CB"/>
    <w:rsid w:val="000646A3"/>
    <w:rsid w:val="00065F68"/>
    <w:rsid w:val="00067738"/>
    <w:rsid w:val="00070665"/>
    <w:rsid w:val="00071CF6"/>
    <w:rsid w:val="00074EE5"/>
    <w:rsid w:val="00076F9A"/>
    <w:rsid w:val="00077E40"/>
    <w:rsid w:val="0008390D"/>
    <w:rsid w:val="000853B8"/>
    <w:rsid w:val="00085C8C"/>
    <w:rsid w:val="000956B9"/>
    <w:rsid w:val="00096013"/>
    <w:rsid w:val="00096475"/>
    <w:rsid w:val="000A4715"/>
    <w:rsid w:val="000B180E"/>
    <w:rsid w:val="000B6A93"/>
    <w:rsid w:val="000B755F"/>
    <w:rsid w:val="000C167A"/>
    <w:rsid w:val="000C2261"/>
    <w:rsid w:val="000C4C3F"/>
    <w:rsid w:val="000D17AD"/>
    <w:rsid w:val="000D2364"/>
    <w:rsid w:val="000D2E36"/>
    <w:rsid w:val="000E0AA4"/>
    <w:rsid w:val="000E0F20"/>
    <w:rsid w:val="000E40E7"/>
    <w:rsid w:val="000E42AC"/>
    <w:rsid w:val="000E6450"/>
    <w:rsid w:val="000E7DFC"/>
    <w:rsid w:val="000F7E27"/>
    <w:rsid w:val="00100B9C"/>
    <w:rsid w:val="0010153E"/>
    <w:rsid w:val="00110CE5"/>
    <w:rsid w:val="001134C1"/>
    <w:rsid w:val="001214CB"/>
    <w:rsid w:val="00123064"/>
    <w:rsid w:val="001233B1"/>
    <w:rsid w:val="0012466C"/>
    <w:rsid w:val="00125FF6"/>
    <w:rsid w:val="00126D9C"/>
    <w:rsid w:val="0013191C"/>
    <w:rsid w:val="00131DFD"/>
    <w:rsid w:val="00132616"/>
    <w:rsid w:val="00133670"/>
    <w:rsid w:val="001359E9"/>
    <w:rsid w:val="00136F69"/>
    <w:rsid w:val="00141E15"/>
    <w:rsid w:val="00143A38"/>
    <w:rsid w:val="00143C98"/>
    <w:rsid w:val="0014572A"/>
    <w:rsid w:val="0016524D"/>
    <w:rsid w:val="001654D5"/>
    <w:rsid w:val="001674BC"/>
    <w:rsid w:val="00167656"/>
    <w:rsid w:val="00170E98"/>
    <w:rsid w:val="00172DD7"/>
    <w:rsid w:val="00177750"/>
    <w:rsid w:val="0018211E"/>
    <w:rsid w:val="0018630A"/>
    <w:rsid w:val="00186478"/>
    <w:rsid w:val="001871C7"/>
    <w:rsid w:val="00191801"/>
    <w:rsid w:val="00192EB5"/>
    <w:rsid w:val="00193141"/>
    <w:rsid w:val="00194F3E"/>
    <w:rsid w:val="001A3367"/>
    <w:rsid w:val="001A7CE2"/>
    <w:rsid w:val="001B0CE8"/>
    <w:rsid w:val="001B0E3E"/>
    <w:rsid w:val="001B4AB7"/>
    <w:rsid w:val="001B4BDD"/>
    <w:rsid w:val="001C23A8"/>
    <w:rsid w:val="001C5141"/>
    <w:rsid w:val="001C5320"/>
    <w:rsid w:val="001D0FF3"/>
    <w:rsid w:val="001D1AA5"/>
    <w:rsid w:val="001D1E5F"/>
    <w:rsid w:val="001E167B"/>
    <w:rsid w:val="001E25F9"/>
    <w:rsid w:val="001E3010"/>
    <w:rsid w:val="001E6A24"/>
    <w:rsid w:val="001F0C9A"/>
    <w:rsid w:val="001F17B8"/>
    <w:rsid w:val="001F5DA4"/>
    <w:rsid w:val="001F7602"/>
    <w:rsid w:val="002033C0"/>
    <w:rsid w:val="002034DE"/>
    <w:rsid w:val="0020498C"/>
    <w:rsid w:val="0020576D"/>
    <w:rsid w:val="00214784"/>
    <w:rsid w:val="00214DAB"/>
    <w:rsid w:val="002178F1"/>
    <w:rsid w:val="00220990"/>
    <w:rsid w:val="00221A2C"/>
    <w:rsid w:val="00224E8A"/>
    <w:rsid w:val="00227DE6"/>
    <w:rsid w:val="00230F36"/>
    <w:rsid w:val="00233279"/>
    <w:rsid w:val="002335F1"/>
    <w:rsid w:val="002341D5"/>
    <w:rsid w:val="002426D8"/>
    <w:rsid w:val="00244A27"/>
    <w:rsid w:val="00245BCF"/>
    <w:rsid w:val="00253670"/>
    <w:rsid w:val="00255F39"/>
    <w:rsid w:val="00256868"/>
    <w:rsid w:val="00264BB9"/>
    <w:rsid w:val="002663E5"/>
    <w:rsid w:val="00270DD5"/>
    <w:rsid w:val="00270F4E"/>
    <w:rsid w:val="002733F4"/>
    <w:rsid w:val="00273AB0"/>
    <w:rsid w:val="00274420"/>
    <w:rsid w:val="00290CAA"/>
    <w:rsid w:val="00291442"/>
    <w:rsid w:val="002938C5"/>
    <w:rsid w:val="00294572"/>
    <w:rsid w:val="002A165B"/>
    <w:rsid w:val="002A41B1"/>
    <w:rsid w:val="002A4DE0"/>
    <w:rsid w:val="002B05B0"/>
    <w:rsid w:val="002B12FB"/>
    <w:rsid w:val="002B1977"/>
    <w:rsid w:val="002B261A"/>
    <w:rsid w:val="002B3E64"/>
    <w:rsid w:val="002B7B96"/>
    <w:rsid w:val="002C270A"/>
    <w:rsid w:val="002C3661"/>
    <w:rsid w:val="002C3B70"/>
    <w:rsid w:val="002D0DED"/>
    <w:rsid w:val="002D7012"/>
    <w:rsid w:val="002D753F"/>
    <w:rsid w:val="002E0C7C"/>
    <w:rsid w:val="002E44B5"/>
    <w:rsid w:val="002E4FB9"/>
    <w:rsid w:val="002F4A0B"/>
    <w:rsid w:val="002F7D02"/>
    <w:rsid w:val="00300B64"/>
    <w:rsid w:val="00305484"/>
    <w:rsid w:val="00312BAD"/>
    <w:rsid w:val="0031401C"/>
    <w:rsid w:val="0031772E"/>
    <w:rsid w:val="003178F2"/>
    <w:rsid w:val="003221C7"/>
    <w:rsid w:val="00327768"/>
    <w:rsid w:val="00327ED1"/>
    <w:rsid w:val="00330890"/>
    <w:rsid w:val="003309BE"/>
    <w:rsid w:val="00330DB7"/>
    <w:rsid w:val="0033329B"/>
    <w:rsid w:val="00334990"/>
    <w:rsid w:val="003400F8"/>
    <w:rsid w:val="00341DBE"/>
    <w:rsid w:val="00345A8D"/>
    <w:rsid w:val="00346B92"/>
    <w:rsid w:val="00353D76"/>
    <w:rsid w:val="00355044"/>
    <w:rsid w:val="00355120"/>
    <w:rsid w:val="003648F8"/>
    <w:rsid w:val="0036750B"/>
    <w:rsid w:val="003767CE"/>
    <w:rsid w:val="00376E4C"/>
    <w:rsid w:val="00380791"/>
    <w:rsid w:val="00381516"/>
    <w:rsid w:val="0038208C"/>
    <w:rsid w:val="0038253E"/>
    <w:rsid w:val="00382D63"/>
    <w:rsid w:val="00383073"/>
    <w:rsid w:val="003874A6"/>
    <w:rsid w:val="00390183"/>
    <w:rsid w:val="003925A5"/>
    <w:rsid w:val="00392B88"/>
    <w:rsid w:val="003936A8"/>
    <w:rsid w:val="00397F2D"/>
    <w:rsid w:val="003A0106"/>
    <w:rsid w:val="003A23DD"/>
    <w:rsid w:val="003A3150"/>
    <w:rsid w:val="003A4554"/>
    <w:rsid w:val="003B1591"/>
    <w:rsid w:val="003B1638"/>
    <w:rsid w:val="003B191D"/>
    <w:rsid w:val="003B2268"/>
    <w:rsid w:val="003B4296"/>
    <w:rsid w:val="003B6859"/>
    <w:rsid w:val="003C0726"/>
    <w:rsid w:val="003C13C8"/>
    <w:rsid w:val="003C2CF7"/>
    <w:rsid w:val="003C797B"/>
    <w:rsid w:val="003D0EA0"/>
    <w:rsid w:val="003D14C2"/>
    <w:rsid w:val="003D3B2A"/>
    <w:rsid w:val="003D4354"/>
    <w:rsid w:val="003D6492"/>
    <w:rsid w:val="003D6A1F"/>
    <w:rsid w:val="003D7340"/>
    <w:rsid w:val="003F0994"/>
    <w:rsid w:val="003F0A09"/>
    <w:rsid w:val="003F6DB0"/>
    <w:rsid w:val="00400EB1"/>
    <w:rsid w:val="004051DE"/>
    <w:rsid w:val="00406099"/>
    <w:rsid w:val="00412CB0"/>
    <w:rsid w:val="00414EA4"/>
    <w:rsid w:val="00415451"/>
    <w:rsid w:val="004166F8"/>
    <w:rsid w:val="004232D4"/>
    <w:rsid w:val="00423BDC"/>
    <w:rsid w:val="0042413A"/>
    <w:rsid w:val="00426315"/>
    <w:rsid w:val="00427B38"/>
    <w:rsid w:val="00431FA7"/>
    <w:rsid w:val="00432202"/>
    <w:rsid w:val="00434338"/>
    <w:rsid w:val="00436B22"/>
    <w:rsid w:val="004375A1"/>
    <w:rsid w:val="004439AE"/>
    <w:rsid w:val="0044753B"/>
    <w:rsid w:val="00451942"/>
    <w:rsid w:val="00456AE6"/>
    <w:rsid w:val="00457817"/>
    <w:rsid w:val="00464157"/>
    <w:rsid w:val="0047478C"/>
    <w:rsid w:val="00482180"/>
    <w:rsid w:val="0048633E"/>
    <w:rsid w:val="00486ED2"/>
    <w:rsid w:val="0049154F"/>
    <w:rsid w:val="00494EB8"/>
    <w:rsid w:val="00495CCD"/>
    <w:rsid w:val="00495D29"/>
    <w:rsid w:val="00496454"/>
    <w:rsid w:val="00497BB7"/>
    <w:rsid w:val="004A19E5"/>
    <w:rsid w:val="004A1D8B"/>
    <w:rsid w:val="004A4AD1"/>
    <w:rsid w:val="004A6C93"/>
    <w:rsid w:val="004A7E7F"/>
    <w:rsid w:val="004B38F4"/>
    <w:rsid w:val="004B6F74"/>
    <w:rsid w:val="004C4BEF"/>
    <w:rsid w:val="004C6881"/>
    <w:rsid w:val="004C6C5B"/>
    <w:rsid w:val="004C70C0"/>
    <w:rsid w:val="004D1ED3"/>
    <w:rsid w:val="004D27FD"/>
    <w:rsid w:val="004D57F2"/>
    <w:rsid w:val="004D74D8"/>
    <w:rsid w:val="004E0F72"/>
    <w:rsid w:val="004E1654"/>
    <w:rsid w:val="004E2F17"/>
    <w:rsid w:val="004E53CD"/>
    <w:rsid w:val="004E630B"/>
    <w:rsid w:val="004F1CEB"/>
    <w:rsid w:val="004F2D39"/>
    <w:rsid w:val="004F3DDD"/>
    <w:rsid w:val="004F4AA6"/>
    <w:rsid w:val="004F54F7"/>
    <w:rsid w:val="004F5921"/>
    <w:rsid w:val="004F7FC2"/>
    <w:rsid w:val="00503C1B"/>
    <w:rsid w:val="00504B1E"/>
    <w:rsid w:val="00505336"/>
    <w:rsid w:val="00511476"/>
    <w:rsid w:val="00512E82"/>
    <w:rsid w:val="005136ED"/>
    <w:rsid w:val="00515BAA"/>
    <w:rsid w:val="0052038D"/>
    <w:rsid w:val="005206D7"/>
    <w:rsid w:val="00521594"/>
    <w:rsid w:val="00523DF0"/>
    <w:rsid w:val="0052432B"/>
    <w:rsid w:val="0052629D"/>
    <w:rsid w:val="0053404E"/>
    <w:rsid w:val="005556BC"/>
    <w:rsid w:val="005625CB"/>
    <w:rsid w:val="005628CA"/>
    <w:rsid w:val="0056513A"/>
    <w:rsid w:val="00570C76"/>
    <w:rsid w:val="00573867"/>
    <w:rsid w:val="00573FE5"/>
    <w:rsid w:val="0058187C"/>
    <w:rsid w:val="0058415B"/>
    <w:rsid w:val="00584AFC"/>
    <w:rsid w:val="00591E50"/>
    <w:rsid w:val="00593128"/>
    <w:rsid w:val="00594C0F"/>
    <w:rsid w:val="005A096A"/>
    <w:rsid w:val="005A17F5"/>
    <w:rsid w:val="005A53FE"/>
    <w:rsid w:val="005A6599"/>
    <w:rsid w:val="005A6913"/>
    <w:rsid w:val="005B29C9"/>
    <w:rsid w:val="005B4F55"/>
    <w:rsid w:val="005B597C"/>
    <w:rsid w:val="005C0014"/>
    <w:rsid w:val="005C4A21"/>
    <w:rsid w:val="005C5716"/>
    <w:rsid w:val="005C6003"/>
    <w:rsid w:val="005D3AC3"/>
    <w:rsid w:val="005D5BF5"/>
    <w:rsid w:val="005E075F"/>
    <w:rsid w:val="005E327E"/>
    <w:rsid w:val="005E4A03"/>
    <w:rsid w:val="005E4B4D"/>
    <w:rsid w:val="005E6233"/>
    <w:rsid w:val="005F456B"/>
    <w:rsid w:val="00600210"/>
    <w:rsid w:val="00602C24"/>
    <w:rsid w:val="00605693"/>
    <w:rsid w:val="006064CE"/>
    <w:rsid w:val="00607282"/>
    <w:rsid w:val="006106C8"/>
    <w:rsid w:val="006115DF"/>
    <w:rsid w:val="00612B8A"/>
    <w:rsid w:val="006151F7"/>
    <w:rsid w:val="006166AB"/>
    <w:rsid w:val="006169A7"/>
    <w:rsid w:val="00617071"/>
    <w:rsid w:val="00625772"/>
    <w:rsid w:val="00626F1F"/>
    <w:rsid w:val="0064173A"/>
    <w:rsid w:val="0064490C"/>
    <w:rsid w:val="0064526D"/>
    <w:rsid w:val="0064598A"/>
    <w:rsid w:val="00646CA4"/>
    <w:rsid w:val="00647786"/>
    <w:rsid w:val="00651154"/>
    <w:rsid w:val="006524C9"/>
    <w:rsid w:val="0065511E"/>
    <w:rsid w:val="0065561D"/>
    <w:rsid w:val="00655A27"/>
    <w:rsid w:val="00656119"/>
    <w:rsid w:val="00657AFD"/>
    <w:rsid w:val="00657E08"/>
    <w:rsid w:val="00671A6F"/>
    <w:rsid w:val="00672DA9"/>
    <w:rsid w:val="006748D1"/>
    <w:rsid w:val="00675B3E"/>
    <w:rsid w:val="0067681B"/>
    <w:rsid w:val="006778FF"/>
    <w:rsid w:val="00681CA3"/>
    <w:rsid w:val="00681EDB"/>
    <w:rsid w:val="0068493A"/>
    <w:rsid w:val="00684E8C"/>
    <w:rsid w:val="00691147"/>
    <w:rsid w:val="00691943"/>
    <w:rsid w:val="00695935"/>
    <w:rsid w:val="006A28E0"/>
    <w:rsid w:val="006A4770"/>
    <w:rsid w:val="006A7630"/>
    <w:rsid w:val="006B0809"/>
    <w:rsid w:val="006B0C10"/>
    <w:rsid w:val="006B2CCB"/>
    <w:rsid w:val="006B3295"/>
    <w:rsid w:val="006C1DB3"/>
    <w:rsid w:val="006C293D"/>
    <w:rsid w:val="006C2ACD"/>
    <w:rsid w:val="006C468A"/>
    <w:rsid w:val="006C49C4"/>
    <w:rsid w:val="006D272A"/>
    <w:rsid w:val="006D2CC5"/>
    <w:rsid w:val="006D62F5"/>
    <w:rsid w:val="006E233C"/>
    <w:rsid w:val="006E6072"/>
    <w:rsid w:val="006F0344"/>
    <w:rsid w:val="006F2012"/>
    <w:rsid w:val="006F3A46"/>
    <w:rsid w:val="006F5EDC"/>
    <w:rsid w:val="006F673C"/>
    <w:rsid w:val="00700331"/>
    <w:rsid w:val="00701C8E"/>
    <w:rsid w:val="0070412F"/>
    <w:rsid w:val="00704454"/>
    <w:rsid w:val="00704D28"/>
    <w:rsid w:val="00705F12"/>
    <w:rsid w:val="007111C5"/>
    <w:rsid w:val="007130B2"/>
    <w:rsid w:val="00725043"/>
    <w:rsid w:val="007265FA"/>
    <w:rsid w:val="0072731E"/>
    <w:rsid w:val="00727EF6"/>
    <w:rsid w:val="00732569"/>
    <w:rsid w:val="00732ADA"/>
    <w:rsid w:val="0074122F"/>
    <w:rsid w:val="0074340D"/>
    <w:rsid w:val="0074616A"/>
    <w:rsid w:val="00753031"/>
    <w:rsid w:val="00756F6B"/>
    <w:rsid w:val="0076138F"/>
    <w:rsid w:val="00761F14"/>
    <w:rsid w:val="00762F31"/>
    <w:rsid w:val="00764B6D"/>
    <w:rsid w:val="00770CE7"/>
    <w:rsid w:val="0077634A"/>
    <w:rsid w:val="00777D2F"/>
    <w:rsid w:val="0078534B"/>
    <w:rsid w:val="007943FC"/>
    <w:rsid w:val="007A3AC2"/>
    <w:rsid w:val="007A495C"/>
    <w:rsid w:val="007A680E"/>
    <w:rsid w:val="007A6B40"/>
    <w:rsid w:val="007B0886"/>
    <w:rsid w:val="007B272F"/>
    <w:rsid w:val="007B4F84"/>
    <w:rsid w:val="007C449C"/>
    <w:rsid w:val="007C4A09"/>
    <w:rsid w:val="007C6CE0"/>
    <w:rsid w:val="007C72CA"/>
    <w:rsid w:val="007D7B9E"/>
    <w:rsid w:val="007E2008"/>
    <w:rsid w:val="007E2D5B"/>
    <w:rsid w:val="007E6C9F"/>
    <w:rsid w:val="007F1897"/>
    <w:rsid w:val="007F2753"/>
    <w:rsid w:val="00801532"/>
    <w:rsid w:val="00804ACD"/>
    <w:rsid w:val="008065E1"/>
    <w:rsid w:val="00815FAA"/>
    <w:rsid w:val="008163C1"/>
    <w:rsid w:val="008208AC"/>
    <w:rsid w:val="00822D37"/>
    <w:rsid w:val="00822FD5"/>
    <w:rsid w:val="00833170"/>
    <w:rsid w:val="00834417"/>
    <w:rsid w:val="00835BF6"/>
    <w:rsid w:val="00836AF5"/>
    <w:rsid w:val="00845E57"/>
    <w:rsid w:val="00851ACA"/>
    <w:rsid w:val="008521AF"/>
    <w:rsid w:val="00853367"/>
    <w:rsid w:val="0085541B"/>
    <w:rsid w:val="0085783A"/>
    <w:rsid w:val="00860E6E"/>
    <w:rsid w:val="008631C1"/>
    <w:rsid w:val="0086388C"/>
    <w:rsid w:val="008650A4"/>
    <w:rsid w:val="00866959"/>
    <w:rsid w:val="00871419"/>
    <w:rsid w:val="00872533"/>
    <w:rsid w:val="00873014"/>
    <w:rsid w:val="0087348C"/>
    <w:rsid w:val="00875431"/>
    <w:rsid w:val="00876AF4"/>
    <w:rsid w:val="00876EB7"/>
    <w:rsid w:val="00890B24"/>
    <w:rsid w:val="00894C90"/>
    <w:rsid w:val="00895A67"/>
    <w:rsid w:val="008968CD"/>
    <w:rsid w:val="00897C66"/>
    <w:rsid w:val="008A05C5"/>
    <w:rsid w:val="008A3131"/>
    <w:rsid w:val="008A47EF"/>
    <w:rsid w:val="008A6E5A"/>
    <w:rsid w:val="008B48AC"/>
    <w:rsid w:val="008B5441"/>
    <w:rsid w:val="008B7435"/>
    <w:rsid w:val="008C2384"/>
    <w:rsid w:val="008C2F34"/>
    <w:rsid w:val="008C4FD7"/>
    <w:rsid w:val="008D0DA3"/>
    <w:rsid w:val="008D3098"/>
    <w:rsid w:val="008F34C2"/>
    <w:rsid w:val="008F359E"/>
    <w:rsid w:val="008F47BB"/>
    <w:rsid w:val="008F6EBA"/>
    <w:rsid w:val="008F724C"/>
    <w:rsid w:val="00900263"/>
    <w:rsid w:val="00903A94"/>
    <w:rsid w:val="00904CEF"/>
    <w:rsid w:val="00906268"/>
    <w:rsid w:val="0090626B"/>
    <w:rsid w:val="00906407"/>
    <w:rsid w:val="00911891"/>
    <w:rsid w:val="009122CD"/>
    <w:rsid w:val="00913061"/>
    <w:rsid w:val="00913B9B"/>
    <w:rsid w:val="009208F4"/>
    <w:rsid w:val="00921340"/>
    <w:rsid w:val="009226E6"/>
    <w:rsid w:val="009238FB"/>
    <w:rsid w:val="0093411A"/>
    <w:rsid w:val="009354FD"/>
    <w:rsid w:val="00936EF6"/>
    <w:rsid w:val="00937136"/>
    <w:rsid w:val="009424FD"/>
    <w:rsid w:val="0094492B"/>
    <w:rsid w:val="009466B1"/>
    <w:rsid w:val="009512C0"/>
    <w:rsid w:val="009526B8"/>
    <w:rsid w:val="00956C6B"/>
    <w:rsid w:val="00957535"/>
    <w:rsid w:val="009612CE"/>
    <w:rsid w:val="009614B6"/>
    <w:rsid w:val="00963E42"/>
    <w:rsid w:val="00965CDA"/>
    <w:rsid w:val="00967D76"/>
    <w:rsid w:val="00972C62"/>
    <w:rsid w:val="00973998"/>
    <w:rsid w:val="0097661A"/>
    <w:rsid w:val="009804DE"/>
    <w:rsid w:val="00982168"/>
    <w:rsid w:val="009A0172"/>
    <w:rsid w:val="009A520D"/>
    <w:rsid w:val="009B2A97"/>
    <w:rsid w:val="009B314D"/>
    <w:rsid w:val="009B5D9C"/>
    <w:rsid w:val="009B64BC"/>
    <w:rsid w:val="009B6F37"/>
    <w:rsid w:val="009B7F70"/>
    <w:rsid w:val="009C048F"/>
    <w:rsid w:val="009D41A1"/>
    <w:rsid w:val="009D5763"/>
    <w:rsid w:val="009F075C"/>
    <w:rsid w:val="009F1B7D"/>
    <w:rsid w:val="009F6BA4"/>
    <w:rsid w:val="009F6F0F"/>
    <w:rsid w:val="00A02882"/>
    <w:rsid w:val="00A0500A"/>
    <w:rsid w:val="00A06962"/>
    <w:rsid w:val="00A06CD7"/>
    <w:rsid w:val="00A11939"/>
    <w:rsid w:val="00A17BE5"/>
    <w:rsid w:val="00A27BCD"/>
    <w:rsid w:val="00A27C63"/>
    <w:rsid w:val="00A31B52"/>
    <w:rsid w:val="00A31BFD"/>
    <w:rsid w:val="00A330CC"/>
    <w:rsid w:val="00A35E09"/>
    <w:rsid w:val="00A35E73"/>
    <w:rsid w:val="00A449D9"/>
    <w:rsid w:val="00A45DE2"/>
    <w:rsid w:val="00A526C1"/>
    <w:rsid w:val="00A529C7"/>
    <w:rsid w:val="00A577A8"/>
    <w:rsid w:val="00A57EDF"/>
    <w:rsid w:val="00A606B4"/>
    <w:rsid w:val="00A60E28"/>
    <w:rsid w:val="00A71CD7"/>
    <w:rsid w:val="00A733BB"/>
    <w:rsid w:val="00A75138"/>
    <w:rsid w:val="00A75672"/>
    <w:rsid w:val="00A843A8"/>
    <w:rsid w:val="00A84C30"/>
    <w:rsid w:val="00A8792A"/>
    <w:rsid w:val="00A92724"/>
    <w:rsid w:val="00A93623"/>
    <w:rsid w:val="00A9366C"/>
    <w:rsid w:val="00A939FB"/>
    <w:rsid w:val="00A95283"/>
    <w:rsid w:val="00A9683C"/>
    <w:rsid w:val="00AA1075"/>
    <w:rsid w:val="00AA2722"/>
    <w:rsid w:val="00AA367B"/>
    <w:rsid w:val="00AA5AE8"/>
    <w:rsid w:val="00AA64BF"/>
    <w:rsid w:val="00AA64D2"/>
    <w:rsid w:val="00AA7101"/>
    <w:rsid w:val="00AA7816"/>
    <w:rsid w:val="00AA7B48"/>
    <w:rsid w:val="00AB1A5D"/>
    <w:rsid w:val="00AB22FD"/>
    <w:rsid w:val="00AC018E"/>
    <w:rsid w:val="00AC0886"/>
    <w:rsid w:val="00AC215E"/>
    <w:rsid w:val="00AC3BE4"/>
    <w:rsid w:val="00AC5290"/>
    <w:rsid w:val="00AD0AEF"/>
    <w:rsid w:val="00AD77A6"/>
    <w:rsid w:val="00AE1595"/>
    <w:rsid w:val="00AE1B37"/>
    <w:rsid w:val="00AE2FAC"/>
    <w:rsid w:val="00AE33AA"/>
    <w:rsid w:val="00AE3DDF"/>
    <w:rsid w:val="00AE4057"/>
    <w:rsid w:val="00AE608B"/>
    <w:rsid w:val="00AF0B70"/>
    <w:rsid w:val="00AF3FB1"/>
    <w:rsid w:val="00B0120D"/>
    <w:rsid w:val="00B030C1"/>
    <w:rsid w:val="00B03CB6"/>
    <w:rsid w:val="00B0595F"/>
    <w:rsid w:val="00B06701"/>
    <w:rsid w:val="00B067D0"/>
    <w:rsid w:val="00B114B4"/>
    <w:rsid w:val="00B114E8"/>
    <w:rsid w:val="00B20AFF"/>
    <w:rsid w:val="00B220CF"/>
    <w:rsid w:val="00B31097"/>
    <w:rsid w:val="00B344E0"/>
    <w:rsid w:val="00B34559"/>
    <w:rsid w:val="00B35046"/>
    <w:rsid w:val="00B36F5C"/>
    <w:rsid w:val="00B37C5E"/>
    <w:rsid w:val="00B40550"/>
    <w:rsid w:val="00B42F14"/>
    <w:rsid w:val="00B45B97"/>
    <w:rsid w:val="00B46081"/>
    <w:rsid w:val="00B47BA8"/>
    <w:rsid w:val="00B527E3"/>
    <w:rsid w:val="00B52B23"/>
    <w:rsid w:val="00B55736"/>
    <w:rsid w:val="00B55F9E"/>
    <w:rsid w:val="00B575DB"/>
    <w:rsid w:val="00B60D97"/>
    <w:rsid w:val="00B61694"/>
    <w:rsid w:val="00B62502"/>
    <w:rsid w:val="00B62A41"/>
    <w:rsid w:val="00B6377C"/>
    <w:rsid w:val="00B63980"/>
    <w:rsid w:val="00B64DC0"/>
    <w:rsid w:val="00B6500A"/>
    <w:rsid w:val="00B6656E"/>
    <w:rsid w:val="00B67B57"/>
    <w:rsid w:val="00B70F80"/>
    <w:rsid w:val="00B7175C"/>
    <w:rsid w:val="00B732B7"/>
    <w:rsid w:val="00B75675"/>
    <w:rsid w:val="00B771D1"/>
    <w:rsid w:val="00B807C5"/>
    <w:rsid w:val="00B85317"/>
    <w:rsid w:val="00B86051"/>
    <w:rsid w:val="00B86DFC"/>
    <w:rsid w:val="00B8794D"/>
    <w:rsid w:val="00B9243D"/>
    <w:rsid w:val="00B93782"/>
    <w:rsid w:val="00B97ACF"/>
    <w:rsid w:val="00BA0DA0"/>
    <w:rsid w:val="00BA3C35"/>
    <w:rsid w:val="00BB5222"/>
    <w:rsid w:val="00BB7CA9"/>
    <w:rsid w:val="00BC0AAF"/>
    <w:rsid w:val="00BC68AA"/>
    <w:rsid w:val="00BC692C"/>
    <w:rsid w:val="00BD151F"/>
    <w:rsid w:val="00BD2A12"/>
    <w:rsid w:val="00BD5B57"/>
    <w:rsid w:val="00BE135A"/>
    <w:rsid w:val="00BE157F"/>
    <w:rsid w:val="00BE4392"/>
    <w:rsid w:val="00BF0BF0"/>
    <w:rsid w:val="00BF2E85"/>
    <w:rsid w:val="00BF50A6"/>
    <w:rsid w:val="00BF5973"/>
    <w:rsid w:val="00BF5C7E"/>
    <w:rsid w:val="00C003BE"/>
    <w:rsid w:val="00C01110"/>
    <w:rsid w:val="00C028D7"/>
    <w:rsid w:val="00C04FC7"/>
    <w:rsid w:val="00C0735C"/>
    <w:rsid w:val="00C2440F"/>
    <w:rsid w:val="00C27D64"/>
    <w:rsid w:val="00C30D31"/>
    <w:rsid w:val="00C32DF9"/>
    <w:rsid w:val="00C35710"/>
    <w:rsid w:val="00C363B7"/>
    <w:rsid w:val="00C36F57"/>
    <w:rsid w:val="00C421A1"/>
    <w:rsid w:val="00C43C1E"/>
    <w:rsid w:val="00C45A37"/>
    <w:rsid w:val="00C5255B"/>
    <w:rsid w:val="00C52CBC"/>
    <w:rsid w:val="00C6028A"/>
    <w:rsid w:val="00C60F95"/>
    <w:rsid w:val="00C62460"/>
    <w:rsid w:val="00C632B9"/>
    <w:rsid w:val="00C71392"/>
    <w:rsid w:val="00C743F4"/>
    <w:rsid w:val="00C7474D"/>
    <w:rsid w:val="00C76289"/>
    <w:rsid w:val="00C815FF"/>
    <w:rsid w:val="00C81A1A"/>
    <w:rsid w:val="00C81D90"/>
    <w:rsid w:val="00C84C66"/>
    <w:rsid w:val="00C8625D"/>
    <w:rsid w:val="00C90C5B"/>
    <w:rsid w:val="00C90FE4"/>
    <w:rsid w:val="00C93010"/>
    <w:rsid w:val="00C9421D"/>
    <w:rsid w:val="00C94928"/>
    <w:rsid w:val="00C95112"/>
    <w:rsid w:val="00CA1921"/>
    <w:rsid w:val="00CA2FD8"/>
    <w:rsid w:val="00CA3DC1"/>
    <w:rsid w:val="00CA5A8D"/>
    <w:rsid w:val="00CB4FCE"/>
    <w:rsid w:val="00CB523B"/>
    <w:rsid w:val="00CC09F0"/>
    <w:rsid w:val="00CC1A94"/>
    <w:rsid w:val="00CC6375"/>
    <w:rsid w:val="00CD3D53"/>
    <w:rsid w:val="00CE422C"/>
    <w:rsid w:val="00CF0A88"/>
    <w:rsid w:val="00CF0F7B"/>
    <w:rsid w:val="00CF2872"/>
    <w:rsid w:val="00CF4437"/>
    <w:rsid w:val="00CF714E"/>
    <w:rsid w:val="00D01BAD"/>
    <w:rsid w:val="00D05999"/>
    <w:rsid w:val="00D14305"/>
    <w:rsid w:val="00D14846"/>
    <w:rsid w:val="00D16380"/>
    <w:rsid w:val="00D208F4"/>
    <w:rsid w:val="00D209C2"/>
    <w:rsid w:val="00D22C7A"/>
    <w:rsid w:val="00D26FA2"/>
    <w:rsid w:val="00D3023A"/>
    <w:rsid w:val="00D32F32"/>
    <w:rsid w:val="00D32F57"/>
    <w:rsid w:val="00D343DE"/>
    <w:rsid w:val="00D35C85"/>
    <w:rsid w:val="00D374B0"/>
    <w:rsid w:val="00D42B02"/>
    <w:rsid w:val="00D44B6D"/>
    <w:rsid w:val="00D4553A"/>
    <w:rsid w:val="00D46741"/>
    <w:rsid w:val="00D4679E"/>
    <w:rsid w:val="00D50265"/>
    <w:rsid w:val="00D52BE5"/>
    <w:rsid w:val="00D537ED"/>
    <w:rsid w:val="00D53888"/>
    <w:rsid w:val="00D562DD"/>
    <w:rsid w:val="00D56F6B"/>
    <w:rsid w:val="00D57417"/>
    <w:rsid w:val="00D6166C"/>
    <w:rsid w:val="00D6226F"/>
    <w:rsid w:val="00D62300"/>
    <w:rsid w:val="00D62373"/>
    <w:rsid w:val="00D66F07"/>
    <w:rsid w:val="00D70D2F"/>
    <w:rsid w:val="00D724B2"/>
    <w:rsid w:val="00D74AB9"/>
    <w:rsid w:val="00D77B7F"/>
    <w:rsid w:val="00D77DCF"/>
    <w:rsid w:val="00D83727"/>
    <w:rsid w:val="00D849AA"/>
    <w:rsid w:val="00D93746"/>
    <w:rsid w:val="00D960AA"/>
    <w:rsid w:val="00DA48F6"/>
    <w:rsid w:val="00DB0F3A"/>
    <w:rsid w:val="00DB5BD0"/>
    <w:rsid w:val="00DB6B6E"/>
    <w:rsid w:val="00DB7B75"/>
    <w:rsid w:val="00DC2274"/>
    <w:rsid w:val="00DC2C7D"/>
    <w:rsid w:val="00DC4DCE"/>
    <w:rsid w:val="00DC5718"/>
    <w:rsid w:val="00DC58CD"/>
    <w:rsid w:val="00DD1151"/>
    <w:rsid w:val="00DD2759"/>
    <w:rsid w:val="00DD47A5"/>
    <w:rsid w:val="00DE069E"/>
    <w:rsid w:val="00DE26E4"/>
    <w:rsid w:val="00DE4C2E"/>
    <w:rsid w:val="00DE598F"/>
    <w:rsid w:val="00DF291A"/>
    <w:rsid w:val="00DF2B59"/>
    <w:rsid w:val="00DF5517"/>
    <w:rsid w:val="00DF58CB"/>
    <w:rsid w:val="00DF7893"/>
    <w:rsid w:val="00DF7D81"/>
    <w:rsid w:val="00E054E7"/>
    <w:rsid w:val="00E05CDA"/>
    <w:rsid w:val="00E06598"/>
    <w:rsid w:val="00E07379"/>
    <w:rsid w:val="00E15D31"/>
    <w:rsid w:val="00E17101"/>
    <w:rsid w:val="00E2272F"/>
    <w:rsid w:val="00E25B20"/>
    <w:rsid w:val="00E26DB2"/>
    <w:rsid w:val="00E31395"/>
    <w:rsid w:val="00E3211C"/>
    <w:rsid w:val="00E342C2"/>
    <w:rsid w:val="00E361C1"/>
    <w:rsid w:val="00E45E18"/>
    <w:rsid w:val="00E46C0F"/>
    <w:rsid w:val="00E50A78"/>
    <w:rsid w:val="00E57847"/>
    <w:rsid w:val="00E6663F"/>
    <w:rsid w:val="00E70DEA"/>
    <w:rsid w:val="00E72D6F"/>
    <w:rsid w:val="00E77668"/>
    <w:rsid w:val="00E82247"/>
    <w:rsid w:val="00E83CE5"/>
    <w:rsid w:val="00E85278"/>
    <w:rsid w:val="00E9072B"/>
    <w:rsid w:val="00E95AC4"/>
    <w:rsid w:val="00EA07A0"/>
    <w:rsid w:val="00EA1B5D"/>
    <w:rsid w:val="00EA1CEB"/>
    <w:rsid w:val="00EA2A73"/>
    <w:rsid w:val="00EA2DE8"/>
    <w:rsid w:val="00EA3274"/>
    <w:rsid w:val="00EB3835"/>
    <w:rsid w:val="00EB55B2"/>
    <w:rsid w:val="00EB666E"/>
    <w:rsid w:val="00EB6759"/>
    <w:rsid w:val="00EC056E"/>
    <w:rsid w:val="00EC0A29"/>
    <w:rsid w:val="00EC2984"/>
    <w:rsid w:val="00EC40DB"/>
    <w:rsid w:val="00ED06FE"/>
    <w:rsid w:val="00ED3D47"/>
    <w:rsid w:val="00ED4157"/>
    <w:rsid w:val="00ED4A95"/>
    <w:rsid w:val="00ED633E"/>
    <w:rsid w:val="00EE4735"/>
    <w:rsid w:val="00EE78DA"/>
    <w:rsid w:val="00EF5A7E"/>
    <w:rsid w:val="00EF5ECD"/>
    <w:rsid w:val="00F05D0D"/>
    <w:rsid w:val="00F066AD"/>
    <w:rsid w:val="00F07A2C"/>
    <w:rsid w:val="00F10ABE"/>
    <w:rsid w:val="00F12D05"/>
    <w:rsid w:val="00F1332E"/>
    <w:rsid w:val="00F13D5D"/>
    <w:rsid w:val="00F1596A"/>
    <w:rsid w:val="00F165C9"/>
    <w:rsid w:val="00F17145"/>
    <w:rsid w:val="00F208B5"/>
    <w:rsid w:val="00F22815"/>
    <w:rsid w:val="00F27217"/>
    <w:rsid w:val="00F34DB9"/>
    <w:rsid w:val="00F34F26"/>
    <w:rsid w:val="00F371A9"/>
    <w:rsid w:val="00F414EE"/>
    <w:rsid w:val="00F4255E"/>
    <w:rsid w:val="00F51880"/>
    <w:rsid w:val="00F51BCF"/>
    <w:rsid w:val="00F5407A"/>
    <w:rsid w:val="00F56195"/>
    <w:rsid w:val="00F56224"/>
    <w:rsid w:val="00F6153B"/>
    <w:rsid w:val="00F658CB"/>
    <w:rsid w:val="00F727BD"/>
    <w:rsid w:val="00F72FBE"/>
    <w:rsid w:val="00F83DD4"/>
    <w:rsid w:val="00F85123"/>
    <w:rsid w:val="00F91F09"/>
    <w:rsid w:val="00F923C7"/>
    <w:rsid w:val="00F92D2B"/>
    <w:rsid w:val="00FA228C"/>
    <w:rsid w:val="00FA7EA3"/>
    <w:rsid w:val="00FB06B6"/>
    <w:rsid w:val="00FB0FBC"/>
    <w:rsid w:val="00FB3319"/>
    <w:rsid w:val="00FB4B4E"/>
    <w:rsid w:val="00FB4DF4"/>
    <w:rsid w:val="00FB4E90"/>
    <w:rsid w:val="00FB5598"/>
    <w:rsid w:val="00FC2241"/>
    <w:rsid w:val="00FC3003"/>
    <w:rsid w:val="00FC34A8"/>
    <w:rsid w:val="00FC5A9B"/>
    <w:rsid w:val="00FC61F8"/>
    <w:rsid w:val="00FD1605"/>
    <w:rsid w:val="00FD35C8"/>
    <w:rsid w:val="00FD40F0"/>
    <w:rsid w:val="00FD5C27"/>
    <w:rsid w:val="00FE0D04"/>
    <w:rsid w:val="00FE0E4B"/>
    <w:rsid w:val="00FF5673"/>
    <w:rsid w:val="00FF67EE"/>
    <w:rsid w:val="00FF7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41C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442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27442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274420"/>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274420"/>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274420"/>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274420"/>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274420"/>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274420"/>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274420"/>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74420"/>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274420"/>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274420"/>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semiHidden/>
    <w:rsid w:val="00274420"/>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274420"/>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274420"/>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274420"/>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274420"/>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274420"/>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2744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7442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7442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74420"/>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27442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74420"/>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274420"/>
    <w:pPr>
      <w:ind w:left="720"/>
      <w:contextualSpacing/>
    </w:pPr>
  </w:style>
  <w:style w:type="character" w:styleId="Intensievebenadrukking">
    <w:name w:val="Intense Emphasis"/>
    <w:basedOn w:val="Standaardalinea-lettertype"/>
    <w:uiPriority w:val="21"/>
    <w:qFormat/>
    <w:rsid w:val="00274420"/>
    <w:rPr>
      <w:i/>
      <w:iCs/>
      <w:color w:val="2E74B5" w:themeColor="accent1" w:themeShade="BF"/>
    </w:rPr>
  </w:style>
  <w:style w:type="paragraph" w:styleId="Duidelijkcitaat">
    <w:name w:val="Intense Quote"/>
    <w:basedOn w:val="Standaard"/>
    <w:next w:val="Standaard"/>
    <w:link w:val="DuidelijkcitaatChar"/>
    <w:uiPriority w:val="30"/>
    <w:qFormat/>
    <w:rsid w:val="0027442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274420"/>
    <w:rPr>
      <w:i/>
      <w:iCs/>
      <w:color w:val="2E74B5" w:themeColor="accent1" w:themeShade="BF"/>
    </w:rPr>
  </w:style>
  <w:style w:type="character" w:styleId="Intensieveverwijzing">
    <w:name w:val="Intense Reference"/>
    <w:basedOn w:val="Standaardalinea-lettertype"/>
    <w:uiPriority w:val="32"/>
    <w:qFormat/>
    <w:rsid w:val="00274420"/>
    <w:rPr>
      <w:b/>
      <w:bCs/>
      <w:smallCaps/>
      <w:color w:val="2E74B5" w:themeColor="accent1" w:themeShade="BF"/>
      <w:spacing w:val="5"/>
    </w:rPr>
  </w:style>
  <w:style w:type="table" w:styleId="Tabelraster">
    <w:name w:val="Table Grid"/>
    <w:basedOn w:val="Standaardtabel"/>
    <w:rsid w:val="00274420"/>
    <w:pPr>
      <w:spacing w:after="0" w:line="240" w:lineRule="auto"/>
    </w:pPr>
    <w:rPr>
      <w:rFonts w:ascii="Times New Roman" w:eastAsia="Times New Roman" w:hAnsi="Times New Roman" w:cs="Times New Roman"/>
      <w:sz w:val="20"/>
      <w:szCs w:val="20"/>
      <w:lang w:val="nl-N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nhideWhenUsed/>
    <w:rsid w:val="00274420"/>
    <w:pPr>
      <w:spacing w:after="0" w:line="240" w:lineRule="auto"/>
    </w:pPr>
    <w:rPr>
      <w:rFonts w:asciiTheme="minorHAnsi" w:hAnsiTheme="minorHAnsi"/>
      <w:kern w:val="2"/>
      <w:sz w:val="20"/>
      <w:szCs w:val="20"/>
      <w:lang w:val="nl-NL"/>
      <w14:ligatures w14:val="standardContextual"/>
    </w:rPr>
  </w:style>
  <w:style w:type="character" w:customStyle="1" w:styleId="VoetnoottekstChar">
    <w:name w:val="Voetnoottekst Char"/>
    <w:basedOn w:val="Standaardalinea-lettertype"/>
    <w:link w:val="Voetnoottekst"/>
    <w:rsid w:val="00274420"/>
    <w:rPr>
      <w:rFonts w:asciiTheme="minorHAnsi" w:hAnsiTheme="minorHAnsi"/>
      <w:kern w:val="2"/>
      <w:sz w:val="20"/>
      <w:szCs w:val="20"/>
      <w:lang w:val="nl-NL"/>
      <w14:ligatures w14:val="standardContextual"/>
    </w:rPr>
  </w:style>
  <w:style w:type="character" w:styleId="Voetnootmarkering">
    <w:name w:val="footnote reference"/>
    <w:basedOn w:val="Standaardalinea-lettertype"/>
    <w:semiHidden/>
    <w:unhideWhenUsed/>
    <w:rsid w:val="00274420"/>
    <w:rPr>
      <w:vertAlign w:val="superscript"/>
    </w:rPr>
  </w:style>
  <w:style w:type="paragraph" w:styleId="Tekstopmerking">
    <w:name w:val="annotation text"/>
    <w:basedOn w:val="Standaard"/>
    <w:link w:val="TekstopmerkingChar"/>
    <w:uiPriority w:val="99"/>
    <w:unhideWhenUsed/>
    <w:rsid w:val="00274420"/>
    <w:pPr>
      <w:spacing w:after="0" w:line="240" w:lineRule="auto"/>
    </w:pPr>
    <w:rPr>
      <w:rFonts w:ascii="Times New Roman" w:eastAsia="Times New Roman" w:hAnsi="Times New Roman" w:cs="Times New Roman"/>
      <w:sz w:val="20"/>
      <w:szCs w:val="20"/>
      <w:lang w:val="nl-NL" w:eastAsia="nl-NL"/>
    </w:rPr>
  </w:style>
  <w:style w:type="character" w:customStyle="1" w:styleId="TekstopmerkingChar">
    <w:name w:val="Tekst opmerking Char"/>
    <w:basedOn w:val="Standaardalinea-lettertype"/>
    <w:link w:val="Tekstopmerking"/>
    <w:uiPriority w:val="99"/>
    <w:rsid w:val="00274420"/>
    <w:rPr>
      <w:rFonts w:ascii="Times New Roman" w:eastAsia="Times New Roman" w:hAnsi="Times New Roman" w:cs="Times New Roman"/>
      <w:sz w:val="20"/>
      <w:szCs w:val="20"/>
      <w:lang w:val="nl-NL" w:eastAsia="nl-NL"/>
    </w:rPr>
  </w:style>
  <w:style w:type="character" w:styleId="Verwijzingopmerking">
    <w:name w:val="annotation reference"/>
    <w:basedOn w:val="Standaardalinea-lettertype"/>
    <w:uiPriority w:val="99"/>
    <w:semiHidden/>
    <w:unhideWhenUsed/>
    <w:rsid w:val="00274420"/>
    <w:rPr>
      <w:sz w:val="16"/>
      <w:szCs w:val="16"/>
    </w:rPr>
  </w:style>
  <w:style w:type="character" w:styleId="Hyperlink">
    <w:name w:val="Hyperlink"/>
    <w:basedOn w:val="Standaardalinea-lettertype"/>
    <w:uiPriority w:val="99"/>
    <w:unhideWhenUsed/>
    <w:rsid w:val="00274420"/>
    <w:rPr>
      <w:color w:val="0000FF"/>
      <w:u w:val="singl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locked/>
    <w:rsid w:val="00274420"/>
  </w:style>
  <w:style w:type="paragraph" w:customStyle="1" w:styleId="Lijstopsomteken">
    <w:name w:val="Lijst opsom teken"/>
    <w:basedOn w:val="Standaard"/>
    <w:uiPriority w:val="5"/>
    <w:qFormat/>
    <w:rsid w:val="00836AF5"/>
    <w:pPr>
      <w:numPr>
        <w:numId w:val="2"/>
      </w:numPr>
      <w:autoSpaceDN w:val="0"/>
      <w:spacing w:after="0" w:line="240" w:lineRule="atLeast"/>
    </w:pPr>
    <w:rPr>
      <w:rFonts w:cs="Calibri"/>
      <w:color w:val="000000"/>
      <w:szCs w:val="18"/>
      <w:lang w:val="nl-NL" w:eastAsia="nl-NL"/>
    </w:rPr>
  </w:style>
  <w:style w:type="paragraph" w:customStyle="1" w:styleId="Lijstopsomteken2">
    <w:name w:val="Lijst opsom teken 2"/>
    <w:basedOn w:val="Standaard"/>
    <w:uiPriority w:val="5"/>
    <w:qFormat/>
    <w:rsid w:val="00836AF5"/>
    <w:pPr>
      <w:numPr>
        <w:ilvl w:val="1"/>
        <w:numId w:val="2"/>
      </w:numPr>
      <w:autoSpaceDN w:val="0"/>
      <w:spacing w:after="0" w:line="240" w:lineRule="atLeast"/>
    </w:pPr>
    <w:rPr>
      <w:rFonts w:cs="Calibri"/>
      <w:color w:val="000000"/>
      <w:szCs w:val="18"/>
      <w:lang w:val="nl-NL" w:eastAsia="nl-NL"/>
    </w:rPr>
  </w:style>
  <w:style w:type="paragraph" w:styleId="Inhopg1">
    <w:name w:val="toc 1"/>
    <w:basedOn w:val="Standaard"/>
    <w:next w:val="Standaard"/>
    <w:autoRedefine/>
    <w:uiPriority w:val="39"/>
    <w:unhideWhenUsed/>
    <w:rsid w:val="00E2272F"/>
    <w:pPr>
      <w:tabs>
        <w:tab w:val="right" w:leader="dot" w:pos="9017"/>
      </w:tabs>
      <w:spacing w:before="120" w:after="120"/>
    </w:pPr>
    <w:rPr>
      <w:rFonts w:eastAsia="Times New Roman" w:cstheme="minorHAnsi"/>
      <w:caps/>
      <w:noProof/>
      <w:sz w:val="20"/>
      <w:szCs w:val="20"/>
      <w:lang w:eastAsia="nl-NL"/>
    </w:rPr>
  </w:style>
  <w:style w:type="paragraph" w:styleId="Inhopg2">
    <w:name w:val="toc 2"/>
    <w:basedOn w:val="Standaard"/>
    <w:next w:val="Standaard"/>
    <w:autoRedefine/>
    <w:uiPriority w:val="39"/>
    <w:unhideWhenUsed/>
    <w:rsid w:val="009A520D"/>
    <w:pPr>
      <w:spacing w:after="0"/>
      <w:ind w:left="180"/>
    </w:pPr>
    <w:rPr>
      <w:rFonts w:asciiTheme="minorHAnsi" w:hAnsiTheme="minorHAnsi" w:cstheme="minorHAnsi"/>
      <w:smallCaps/>
      <w:sz w:val="20"/>
      <w:szCs w:val="20"/>
    </w:rPr>
  </w:style>
  <w:style w:type="paragraph" w:styleId="Inhopg3">
    <w:name w:val="toc 3"/>
    <w:basedOn w:val="Standaard"/>
    <w:next w:val="Standaard"/>
    <w:autoRedefine/>
    <w:uiPriority w:val="39"/>
    <w:unhideWhenUsed/>
    <w:rsid w:val="009A520D"/>
    <w:pPr>
      <w:spacing w:after="0"/>
      <w:ind w:left="360"/>
    </w:pPr>
    <w:rPr>
      <w:rFonts w:asciiTheme="minorHAnsi" w:hAnsiTheme="minorHAnsi" w:cstheme="minorHAnsi"/>
      <w:i/>
      <w:iCs/>
      <w:sz w:val="20"/>
      <w:szCs w:val="20"/>
    </w:rPr>
  </w:style>
  <w:style w:type="paragraph" w:styleId="Inhopg4">
    <w:name w:val="toc 4"/>
    <w:basedOn w:val="Standaard"/>
    <w:next w:val="Standaard"/>
    <w:autoRedefine/>
    <w:uiPriority w:val="39"/>
    <w:unhideWhenUsed/>
    <w:rsid w:val="009A520D"/>
    <w:pPr>
      <w:spacing w:after="0"/>
      <w:ind w:left="540"/>
    </w:pPr>
    <w:rPr>
      <w:rFonts w:asciiTheme="minorHAnsi" w:hAnsiTheme="minorHAnsi" w:cstheme="minorHAnsi"/>
      <w:szCs w:val="18"/>
    </w:rPr>
  </w:style>
  <w:style w:type="paragraph" w:styleId="Inhopg5">
    <w:name w:val="toc 5"/>
    <w:basedOn w:val="Standaard"/>
    <w:next w:val="Standaard"/>
    <w:autoRedefine/>
    <w:uiPriority w:val="39"/>
    <w:unhideWhenUsed/>
    <w:rsid w:val="009A520D"/>
    <w:pPr>
      <w:spacing w:after="0"/>
      <w:ind w:left="720"/>
    </w:pPr>
    <w:rPr>
      <w:rFonts w:asciiTheme="minorHAnsi" w:hAnsiTheme="minorHAnsi" w:cstheme="minorHAnsi"/>
      <w:szCs w:val="18"/>
    </w:rPr>
  </w:style>
  <w:style w:type="paragraph" w:styleId="Inhopg6">
    <w:name w:val="toc 6"/>
    <w:basedOn w:val="Standaard"/>
    <w:next w:val="Standaard"/>
    <w:autoRedefine/>
    <w:uiPriority w:val="39"/>
    <w:unhideWhenUsed/>
    <w:rsid w:val="009A520D"/>
    <w:pPr>
      <w:spacing w:after="0"/>
      <w:ind w:left="900"/>
    </w:pPr>
    <w:rPr>
      <w:rFonts w:asciiTheme="minorHAnsi" w:hAnsiTheme="minorHAnsi" w:cstheme="minorHAnsi"/>
      <w:szCs w:val="18"/>
    </w:rPr>
  </w:style>
  <w:style w:type="paragraph" w:styleId="Inhopg7">
    <w:name w:val="toc 7"/>
    <w:basedOn w:val="Standaard"/>
    <w:next w:val="Standaard"/>
    <w:autoRedefine/>
    <w:uiPriority w:val="39"/>
    <w:unhideWhenUsed/>
    <w:rsid w:val="009A520D"/>
    <w:pPr>
      <w:spacing w:after="0"/>
      <w:ind w:left="1080"/>
    </w:pPr>
    <w:rPr>
      <w:rFonts w:asciiTheme="minorHAnsi" w:hAnsiTheme="minorHAnsi" w:cstheme="minorHAnsi"/>
      <w:szCs w:val="18"/>
    </w:rPr>
  </w:style>
  <w:style w:type="paragraph" w:styleId="Inhopg8">
    <w:name w:val="toc 8"/>
    <w:basedOn w:val="Standaard"/>
    <w:next w:val="Standaard"/>
    <w:autoRedefine/>
    <w:uiPriority w:val="39"/>
    <w:unhideWhenUsed/>
    <w:rsid w:val="009A520D"/>
    <w:pPr>
      <w:spacing w:after="0"/>
      <w:ind w:left="1260"/>
    </w:pPr>
    <w:rPr>
      <w:rFonts w:asciiTheme="minorHAnsi" w:hAnsiTheme="minorHAnsi" w:cstheme="minorHAnsi"/>
      <w:szCs w:val="18"/>
    </w:rPr>
  </w:style>
  <w:style w:type="paragraph" w:styleId="Inhopg9">
    <w:name w:val="toc 9"/>
    <w:basedOn w:val="Standaard"/>
    <w:next w:val="Standaard"/>
    <w:autoRedefine/>
    <w:uiPriority w:val="39"/>
    <w:unhideWhenUsed/>
    <w:rsid w:val="009A520D"/>
    <w:pPr>
      <w:spacing w:after="0"/>
      <w:ind w:left="1440"/>
    </w:pPr>
    <w:rPr>
      <w:rFonts w:asciiTheme="minorHAnsi" w:hAnsiTheme="minorHAnsi" w:cstheme="minorHAnsi"/>
      <w:szCs w:val="18"/>
    </w:rPr>
  </w:style>
  <w:style w:type="paragraph" w:styleId="Revisie">
    <w:name w:val="Revision"/>
    <w:hidden/>
    <w:uiPriority w:val="99"/>
    <w:semiHidden/>
    <w:rsid w:val="00EC2984"/>
    <w:pPr>
      <w:spacing w:after="0" w:line="240" w:lineRule="auto"/>
    </w:pPr>
  </w:style>
  <w:style w:type="paragraph" w:styleId="Onderwerpvanopmerking">
    <w:name w:val="annotation subject"/>
    <w:basedOn w:val="Tekstopmerking"/>
    <w:next w:val="Tekstopmerking"/>
    <w:link w:val="OnderwerpvanopmerkingChar"/>
    <w:uiPriority w:val="99"/>
    <w:semiHidden/>
    <w:unhideWhenUsed/>
    <w:rsid w:val="00AC215E"/>
    <w:pPr>
      <w:spacing w:after="160"/>
    </w:pPr>
    <w:rPr>
      <w:rFonts w:ascii="Verdana" w:eastAsiaTheme="minorHAnsi" w:hAnsi="Verdana" w:cstheme="minorBidi"/>
      <w:b/>
      <w:bCs/>
      <w:lang w:val="en-US" w:eastAsia="en-US"/>
    </w:rPr>
  </w:style>
  <w:style w:type="character" w:customStyle="1" w:styleId="OnderwerpvanopmerkingChar">
    <w:name w:val="Onderwerp van opmerking Char"/>
    <w:basedOn w:val="TekstopmerkingChar"/>
    <w:link w:val="Onderwerpvanopmerking"/>
    <w:uiPriority w:val="99"/>
    <w:semiHidden/>
    <w:rsid w:val="00AC215E"/>
    <w:rPr>
      <w:rFonts w:ascii="Times New Roman" w:eastAsia="Times New Roman" w:hAnsi="Times New Roman" w:cs="Times New Roman"/>
      <w:b/>
      <w:bCs/>
      <w:sz w:val="20"/>
      <w:szCs w:val="20"/>
      <w:lang w:val="nl-NL" w:eastAsia="nl-NL"/>
    </w:rPr>
  </w:style>
  <w:style w:type="paragraph" w:styleId="Koptekst">
    <w:name w:val="header"/>
    <w:basedOn w:val="Standaard"/>
    <w:link w:val="KoptekstChar"/>
    <w:uiPriority w:val="99"/>
    <w:unhideWhenUsed/>
    <w:rsid w:val="00143A3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43A38"/>
  </w:style>
  <w:style w:type="paragraph" w:styleId="Voettekst">
    <w:name w:val="footer"/>
    <w:basedOn w:val="Standaard"/>
    <w:link w:val="VoettekstChar"/>
    <w:uiPriority w:val="99"/>
    <w:unhideWhenUsed/>
    <w:rsid w:val="00143A3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43A38"/>
  </w:style>
  <w:style w:type="character" w:customStyle="1" w:styleId="normaltextrun">
    <w:name w:val="normaltextrun"/>
    <w:basedOn w:val="Standaardalinea-lettertype"/>
    <w:rsid w:val="005E4A03"/>
  </w:style>
  <w:style w:type="character" w:styleId="Onopgelostemelding">
    <w:name w:val="Unresolved Mention"/>
    <w:basedOn w:val="Standaardalinea-lettertype"/>
    <w:uiPriority w:val="99"/>
    <w:semiHidden/>
    <w:unhideWhenUsed/>
    <w:rsid w:val="00DB6B6E"/>
    <w:rPr>
      <w:color w:val="605E5C"/>
      <w:shd w:val="clear" w:color="auto" w:fill="E1DFDD"/>
    </w:rPr>
  </w:style>
  <w:style w:type="character" w:styleId="GevolgdeHyperlink">
    <w:name w:val="FollowedHyperlink"/>
    <w:basedOn w:val="Standaardalinea-lettertype"/>
    <w:uiPriority w:val="99"/>
    <w:semiHidden/>
    <w:unhideWhenUsed/>
    <w:rsid w:val="00DB6B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642377">
      <w:bodyDiv w:val="1"/>
      <w:marLeft w:val="0"/>
      <w:marRight w:val="0"/>
      <w:marTop w:val="0"/>
      <w:marBottom w:val="0"/>
      <w:divBdr>
        <w:top w:val="none" w:sz="0" w:space="0" w:color="auto"/>
        <w:left w:val="none" w:sz="0" w:space="0" w:color="auto"/>
        <w:bottom w:val="none" w:sz="0" w:space="0" w:color="auto"/>
        <w:right w:val="none" w:sz="0" w:space="0" w:color="auto"/>
      </w:divBdr>
    </w:div>
    <w:div w:id="965428023">
      <w:bodyDiv w:val="1"/>
      <w:marLeft w:val="0"/>
      <w:marRight w:val="0"/>
      <w:marTop w:val="0"/>
      <w:marBottom w:val="0"/>
      <w:divBdr>
        <w:top w:val="none" w:sz="0" w:space="0" w:color="auto"/>
        <w:left w:val="none" w:sz="0" w:space="0" w:color="auto"/>
        <w:bottom w:val="none" w:sz="0" w:space="0" w:color="auto"/>
        <w:right w:val="none" w:sz="0" w:space="0" w:color="auto"/>
      </w:divBdr>
    </w:div>
    <w:div w:id="1379477751">
      <w:bodyDiv w:val="1"/>
      <w:marLeft w:val="0"/>
      <w:marRight w:val="0"/>
      <w:marTop w:val="0"/>
      <w:marBottom w:val="0"/>
      <w:divBdr>
        <w:top w:val="none" w:sz="0" w:space="0" w:color="auto"/>
        <w:left w:val="none" w:sz="0" w:space="0" w:color="auto"/>
        <w:bottom w:val="none" w:sz="0" w:space="0" w:color="auto"/>
        <w:right w:val="none" w:sz="0" w:space="0" w:color="auto"/>
      </w:divBdr>
    </w:div>
    <w:div w:id="2136095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cpb.nl/de-nederlandse-economie-in-historisch-perspectief-arbeidsaanbod-en-werkgelegenheid" TargetMode="External"/><Relationship Id="rId2" Type="http://schemas.openxmlformats.org/officeDocument/2006/relationships/hyperlink" Target="https://open.overheid.nl/documenten/df696620-6a03-4333-94ce-58d216f48c5c/file" TargetMode="External"/><Relationship Id="rId1" Type="http://schemas.openxmlformats.org/officeDocument/2006/relationships/hyperlink" Target="https://www.ndsz.nl/content/stb-2014-269" TargetMode="External"/><Relationship Id="rId4" Type="http://schemas.openxmlformats.org/officeDocument/2006/relationships/hyperlink" Target="https://www.mensenrechten.nl/themas/gendergelijkheid/arbeidsparticipatie-van-vrouwe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39</ap:Pages>
  <ap:Words>18663</ap:Words>
  <ap:Characters>102648</ap:Characters>
  <ap:DocSecurity>0</ap:DocSecurity>
  <ap:Lines>855</ap:Lines>
  <ap:Paragraphs>242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121069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2026-07-09T12:21:00.0000000Z</dcterms:created>
  <dcterms:modified xsi:type="dcterms:W3CDTF">2026-07-09T12:21:00.0000000Z</dcterms:modified>
  <version/>
  <category/>
</coreProperties>
</file>