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0CE" w:rsidP="00B57705" w:rsidRDefault="004920CE" w14:paraId="7E0516DA" w14:textId="04B16296">
      <w:r w:rsidRPr="008C5EBF">
        <w:t xml:space="preserve">Het IBO </w:t>
      </w:r>
      <w:r>
        <w:t>Vereenvoudiging Sociale Zekerheid</w:t>
      </w:r>
      <w:r>
        <w:rPr>
          <w:rStyle w:val="Voetnootmarkering"/>
        </w:rPr>
        <w:footnoteReference w:id="1"/>
      </w:r>
      <w:r>
        <w:t xml:space="preserve"> </w:t>
      </w:r>
      <w:r w:rsidRPr="008C5EBF">
        <w:t>beschrijft dat de Toeslagenwet</w:t>
      </w:r>
      <w:r>
        <w:t xml:space="preserve"> </w:t>
      </w:r>
      <w:r w:rsidRPr="008C5EBF">
        <w:t>voor een beperkte groep mensen tot veel complexiteit kan leiden.</w:t>
      </w:r>
      <w:r>
        <w:t xml:space="preserve"> </w:t>
      </w:r>
      <w:r w:rsidRPr="008C5EBF" w:rsidR="00FF56A7">
        <w:t>In de kabinetsreactie op het IBO heeft het toenmalige kabinet toegezegd een verkenning uit te voeren naar vereenvoudigingsopties in de T</w:t>
      </w:r>
      <w:r w:rsidR="00FF56A7">
        <w:t>oeslagenwet</w:t>
      </w:r>
      <w:r w:rsidR="00FF56A7">
        <w:rPr>
          <w:rStyle w:val="Voetnootmarkering"/>
        </w:rPr>
        <w:footnoteReference w:id="2"/>
      </w:r>
      <w:r w:rsidR="00FF56A7">
        <w:t xml:space="preserve">. </w:t>
      </w:r>
      <w:r w:rsidRPr="008C5EBF" w:rsidR="00FF56A7">
        <w:t xml:space="preserve">Met deze brief </w:t>
      </w:r>
      <w:r w:rsidR="00FF56A7">
        <w:t>wordt</w:t>
      </w:r>
      <w:r w:rsidRPr="008C5EBF" w:rsidR="00FF56A7">
        <w:t xml:space="preserve"> uw Kamer over de </w:t>
      </w:r>
      <w:r w:rsidR="00FF56A7">
        <w:t>uitkomsten</w:t>
      </w:r>
      <w:r w:rsidRPr="008C5EBF" w:rsidR="00FF56A7">
        <w:t xml:space="preserve"> van </w:t>
      </w:r>
      <w:r w:rsidR="00FF56A7">
        <w:t>deze verkenning geïnformeerd</w:t>
      </w:r>
      <w:r w:rsidRPr="008C5EBF" w:rsidR="00FF56A7">
        <w:t>.</w:t>
      </w:r>
    </w:p>
    <w:p w:rsidR="004920CE" w:rsidP="00B57705" w:rsidRDefault="004920CE" w14:paraId="2EB54857" w14:textId="77777777"/>
    <w:p w:rsidR="00B57705" w:rsidP="00B57705" w:rsidRDefault="00B57705" w14:paraId="0B5DC7CF" w14:textId="39F95EC4">
      <w:r>
        <w:t>Het stelsel van inkomensondersteuning</w:t>
      </w:r>
      <w:r w:rsidRPr="007345B0">
        <w:t xml:space="preserve"> beoogt </w:t>
      </w:r>
      <w:r>
        <w:t>werknemers</w:t>
      </w:r>
      <w:r w:rsidRPr="007345B0">
        <w:t xml:space="preserve"> inkomensbescherming te bieden wanneer zij door werkloosheid, ziekte of arbeidsongeschiktheid niet kunnen werken</w:t>
      </w:r>
      <w:r>
        <w:t xml:space="preserve">. Deze inkomensbescherming bieden we </w:t>
      </w:r>
      <w:r w:rsidRPr="007345B0">
        <w:t xml:space="preserve">door middel van uitkeringen op grond van de WW, ZW, WIA, WAO, WAZ, Wajong, </w:t>
      </w:r>
      <w:proofErr w:type="spellStart"/>
      <w:r w:rsidRPr="007345B0">
        <w:t>Wazo</w:t>
      </w:r>
      <w:proofErr w:type="spellEnd"/>
      <w:r w:rsidRPr="007345B0">
        <w:t xml:space="preserve">, </w:t>
      </w:r>
      <w:proofErr w:type="spellStart"/>
      <w:r w:rsidRPr="007345B0">
        <w:t>Wamil</w:t>
      </w:r>
      <w:proofErr w:type="spellEnd"/>
      <w:r w:rsidRPr="007345B0">
        <w:t xml:space="preserve"> of IOW. Als deze inkomensverzekeringen niet toereikend zijn voor een inkomen </w:t>
      </w:r>
      <w:r>
        <w:t xml:space="preserve">ter hoogte van </w:t>
      </w:r>
      <w:r w:rsidRPr="007345B0">
        <w:t xml:space="preserve">het sociaal minimum, kan </w:t>
      </w:r>
      <w:r>
        <w:t xml:space="preserve">UWV </w:t>
      </w:r>
      <w:r w:rsidRPr="007345B0">
        <w:t xml:space="preserve">een toeslag </w:t>
      </w:r>
      <w:r>
        <w:t>verlenen</w:t>
      </w:r>
      <w:r w:rsidRPr="007345B0">
        <w:t xml:space="preserve"> op grond van de Toeslagenwet</w:t>
      </w:r>
      <w:r>
        <w:t>.</w:t>
      </w:r>
    </w:p>
    <w:p w:rsidR="00B57705" w:rsidP="00B57705" w:rsidRDefault="00B57705" w14:paraId="27C71A15" w14:textId="77777777"/>
    <w:p w:rsidR="00B57705" w:rsidP="00B57705" w:rsidRDefault="00B57705" w14:paraId="1C404EDB" w14:textId="145010F4">
      <w:r>
        <w:t xml:space="preserve">De Toeslagenwet is een moeilijke wet voor mensen om te begrijpen en voor UWV om uit te voeren. </w:t>
      </w:r>
      <w:r w:rsidRPr="008C5EBF">
        <w:t>Deze complexiteit leidt tot een groot potentieel niet-gebruik van de regeling.</w:t>
      </w:r>
      <w:r>
        <w:t xml:space="preserve"> </w:t>
      </w:r>
      <w:r w:rsidR="004329F9">
        <w:t>Het betreft hier potentieel niet-gebruik, omdat het daadwerkelijke niet-gebruik van de Toeslagenwet niet precies is vast te stellen</w:t>
      </w:r>
      <w:r w:rsidR="00A64EF2">
        <w:t xml:space="preserve">. Hiervoor zijn </w:t>
      </w:r>
      <w:r w:rsidR="00012AC7">
        <w:t xml:space="preserve">namelijk </w:t>
      </w:r>
      <w:r w:rsidR="00A64EF2">
        <w:t>gegevens nodig waarover onderzoekers en UWV niet</w:t>
      </w:r>
      <w:r w:rsidR="00C471F1">
        <w:t xml:space="preserve"> (mogen)</w:t>
      </w:r>
      <w:r w:rsidR="00A64EF2">
        <w:t xml:space="preserve"> beschikken. </w:t>
      </w:r>
      <w:r>
        <w:t>H</w:t>
      </w:r>
      <w:r w:rsidRPr="008C5EBF">
        <w:t xml:space="preserve">et rapport ‘Niet-gebruik van de Toeslagenwet’ van de Nederlandse Arbeidsinspectie </w:t>
      </w:r>
      <w:r>
        <w:t xml:space="preserve">onderschrijft </w:t>
      </w:r>
      <w:r w:rsidRPr="008C5EBF">
        <w:t>dat het potentieel niet-gebruik van de T</w:t>
      </w:r>
      <w:r>
        <w:t>oeslagenwet</w:t>
      </w:r>
      <w:r w:rsidRPr="008C5EBF">
        <w:t xml:space="preserve"> hoog is</w:t>
      </w:r>
      <w:r>
        <w:rPr>
          <w:rStyle w:val="Voetnootmarkering"/>
        </w:rPr>
        <w:footnoteReference w:id="3"/>
      </w:r>
      <w:r w:rsidRPr="008C5EBF">
        <w:t>. In de knelpuntenbrieven en uitvoeringstoets kostendelersnorm wijst</w:t>
      </w:r>
      <w:r>
        <w:t xml:space="preserve"> ook</w:t>
      </w:r>
      <w:r w:rsidRPr="008C5EBF">
        <w:t xml:space="preserve"> UWV op de beperkte uitvoerbaarheid van de T</w:t>
      </w:r>
      <w:r>
        <w:t>oeslagenwet</w:t>
      </w:r>
      <w:r>
        <w:rPr>
          <w:rStyle w:val="Voetnootmarkering"/>
        </w:rPr>
        <w:footnoteReference w:id="4"/>
      </w:r>
      <w:r w:rsidRPr="008C5EBF">
        <w:t xml:space="preserve">. </w:t>
      </w:r>
      <w:r>
        <w:t>De complexiteit</w:t>
      </w:r>
      <w:r w:rsidRPr="008C5EBF">
        <w:t xml:space="preserve"> leidt tot foutgevoelig</w:t>
      </w:r>
      <w:r>
        <w:t xml:space="preserve">heid bij mensen en uitvoering </w:t>
      </w:r>
      <w:r w:rsidRPr="008C5EBF">
        <w:t>en</w:t>
      </w:r>
      <w:r w:rsidR="00362A84">
        <w:t xml:space="preserve"> tot</w:t>
      </w:r>
      <w:r w:rsidRPr="008C5EBF">
        <w:t xml:space="preserve"> </w:t>
      </w:r>
      <w:r>
        <w:t xml:space="preserve">risico’s op </w:t>
      </w:r>
      <w:r w:rsidRPr="008C5EBF">
        <w:t>terugvorderingen.</w:t>
      </w:r>
      <w:r>
        <w:t xml:space="preserve"> </w:t>
      </w:r>
    </w:p>
    <w:p w:rsidR="00B57705" w:rsidP="00B57705" w:rsidRDefault="00B57705" w14:paraId="6E447543" w14:textId="77777777"/>
    <w:p w:rsidR="00F82757" w:rsidP="00B57705" w:rsidRDefault="00F82757" w14:paraId="51F91652" w14:textId="77777777"/>
    <w:p w:rsidR="00F82757" w:rsidP="00B57705" w:rsidRDefault="00F82757" w14:paraId="5CBE72D6" w14:textId="77777777"/>
    <w:p w:rsidR="00F82757" w:rsidP="00B57705" w:rsidRDefault="00F82757" w14:paraId="21B14827" w14:textId="77777777"/>
    <w:p w:rsidR="00F82757" w:rsidP="00B57705" w:rsidRDefault="00F82757" w14:paraId="42E88F91" w14:textId="77777777"/>
    <w:p w:rsidR="00F82757" w:rsidP="00B57705" w:rsidRDefault="00F82757" w14:paraId="031E8CC7" w14:textId="77777777"/>
    <w:p w:rsidRPr="008C5EBF" w:rsidR="00B57705" w:rsidP="00B57705" w:rsidRDefault="00B57705" w14:paraId="53538D31" w14:textId="6DDAF732">
      <w:pPr>
        <w:rPr>
          <w:i/>
          <w:iCs/>
        </w:rPr>
      </w:pPr>
      <w:r>
        <w:rPr>
          <w:i/>
          <w:iCs/>
        </w:rPr>
        <w:lastRenderedPageBreak/>
        <w:t>De Toeslagenwet</w:t>
      </w:r>
    </w:p>
    <w:p w:rsidRPr="00DC5222" w:rsidR="00B57705" w:rsidP="00B57705" w:rsidRDefault="00B57705" w14:paraId="475C6266" w14:textId="7FEB9608">
      <w:pPr>
        <w:rPr>
          <w:highlight w:val="yellow"/>
        </w:rPr>
      </w:pPr>
      <w:r w:rsidRPr="00DC5222">
        <w:t>Het doel van de T</w:t>
      </w:r>
      <w:r>
        <w:t>oeslagenwet</w:t>
      </w:r>
      <w:r w:rsidRPr="00DC5222">
        <w:t xml:space="preserve"> is te voorkomen dat mensen een inkomen onder het sociaal minimum of laatstverdiende loon</w:t>
      </w:r>
      <w:r>
        <w:rPr>
          <w:rStyle w:val="Voetnootmarkering"/>
        </w:rPr>
        <w:footnoteReference w:id="5"/>
      </w:r>
      <w:r w:rsidRPr="00DC5222">
        <w:t xml:space="preserve"> krijgen als zij werkloos</w:t>
      </w:r>
      <w:r>
        <w:t>, ziek</w:t>
      </w:r>
      <w:r w:rsidRPr="00DC5222">
        <w:t xml:space="preserve"> of </w:t>
      </w:r>
      <w:proofErr w:type="gramStart"/>
      <w:r w:rsidRPr="00DC5222">
        <w:t>arbeidsongeschikt</w:t>
      </w:r>
      <w:proofErr w:type="gramEnd"/>
      <w:r w:rsidRPr="00DC5222">
        <w:t xml:space="preserve"> worden</w:t>
      </w:r>
      <w:r>
        <w:t>. Daarnaast moet</w:t>
      </w:r>
      <w:r w:rsidRPr="00DC5222">
        <w:t xml:space="preserve"> er recht </w:t>
      </w:r>
      <w:r>
        <w:t xml:space="preserve">bestaan </w:t>
      </w:r>
      <w:r w:rsidRPr="00DC5222">
        <w:t>op</w:t>
      </w:r>
      <w:r>
        <w:t xml:space="preserve"> een</w:t>
      </w:r>
      <w:r w:rsidRPr="00DC5222">
        <w:t xml:space="preserve"> loondervingsuitkering bij UWV</w:t>
      </w:r>
      <w:r w:rsidR="00B12C2B">
        <w:rPr>
          <w:rStyle w:val="Voetnootmarkering"/>
        </w:rPr>
        <w:footnoteReference w:id="6"/>
      </w:r>
      <w:r w:rsidRPr="00DC5222">
        <w:t>.</w:t>
      </w:r>
      <w:r>
        <w:t xml:space="preserve"> </w:t>
      </w:r>
      <w:r w:rsidRPr="00A177B9">
        <w:t xml:space="preserve">Volgens de Toeslagenwet wordt onder loondervingsuitkeringen verstaan: de basisuitkeringen WW, ZW, WIA, WAO, WAZ, </w:t>
      </w:r>
      <w:r>
        <w:t>en ook</w:t>
      </w:r>
      <w:r w:rsidRPr="00A177B9">
        <w:t xml:space="preserve"> een uitkering of inkomensvoorziening op grond van de Wajong, </w:t>
      </w:r>
      <w:proofErr w:type="spellStart"/>
      <w:r w:rsidRPr="00A177B9">
        <w:t>Wazo</w:t>
      </w:r>
      <w:proofErr w:type="spellEnd"/>
      <w:r w:rsidRPr="00A177B9">
        <w:t xml:space="preserve">, de </w:t>
      </w:r>
      <w:proofErr w:type="spellStart"/>
      <w:r w:rsidRPr="00A177B9">
        <w:t>Wa</w:t>
      </w:r>
      <w:r>
        <w:t>mil</w:t>
      </w:r>
      <w:proofErr w:type="spellEnd"/>
      <w:r w:rsidRPr="00A177B9">
        <w:t xml:space="preserve"> en de IOW.</w:t>
      </w:r>
    </w:p>
    <w:p w:rsidR="00B57705" w:rsidP="00B57705" w:rsidRDefault="00B57705" w14:paraId="3E37B57A" w14:textId="77777777"/>
    <w:p w:rsidR="00B57705" w:rsidP="00B57705" w:rsidRDefault="00B57705" w14:paraId="7A39DBAA" w14:textId="6F874C24">
      <w:r>
        <w:t>Een aanvulling vanuit de Toeslagenwet is ook</w:t>
      </w:r>
      <w:r w:rsidRPr="00DC5222">
        <w:t xml:space="preserve"> bedoeld om te voorkomen dat de groep met een loondervingsuitkering naar de algemene bijstand wordt verwezen en daardoor (direct) te maken krijgt met onder andere de vermogenstoets die daarvoor geldt. In de Memorie van Toelichting</w:t>
      </w:r>
      <w:r w:rsidR="007D058F">
        <w:rPr>
          <w:rStyle w:val="Voetnootmarkering"/>
        </w:rPr>
        <w:footnoteReference w:id="7"/>
      </w:r>
      <w:r w:rsidRPr="00DC5222">
        <w:t xml:space="preserve"> is toegelicht dat met de T</w:t>
      </w:r>
      <w:r>
        <w:t>oeslagenwet</w:t>
      </w:r>
      <w:r w:rsidRPr="00DC5222">
        <w:t xml:space="preserve"> een ‘tussen</w:t>
      </w:r>
      <w:r>
        <w:t>regime</w:t>
      </w:r>
      <w:r w:rsidRPr="00DC5222">
        <w:t>’ is gecreëerd tussen de loondervingsuitkeringen van UWV</w:t>
      </w:r>
      <w:r>
        <w:rPr>
          <w:vertAlign w:val="superscript"/>
        </w:rPr>
        <w:t xml:space="preserve"> </w:t>
      </w:r>
      <w:r w:rsidRPr="00DC5222">
        <w:t xml:space="preserve">en de algemene bijstand </w:t>
      </w:r>
      <w:r>
        <w:t>die wordt uitgevoerd door</w:t>
      </w:r>
      <w:r w:rsidRPr="00DC5222">
        <w:t xml:space="preserve"> gemeente</w:t>
      </w:r>
      <w:r>
        <w:t>n</w:t>
      </w:r>
      <w:r w:rsidRPr="00DC5222">
        <w:t>. De uitvoering is destijds bij UWV belegd om te voorkomen dat mensen naar twee loketten moeten (gemeente en UWV).</w:t>
      </w:r>
    </w:p>
    <w:p w:rsidR="00B57705" w:rsidP="00B57705" w:rsidRDefault="00B57705" w14:paraId="18ACFA80" w14:textId="77777777"/>
    <w:p w:rsidR="00B57705" w:rsidP="00B57705" w:rsidRDefault="00B57705" w14:paraId="3F12D026" w14:textId="3DF3B6E2">
      <w:r w:rsidRPr="00DC5222">
        <w:t>Bij de T</w:t>
      </w:r>
      <w:r>
        <w:t>oeslagenwet</w:t>
      </w:r>
      <w:r w:rsidRPr="00DC5222">
        <w:t xml:space="preserve"> geldt het uitgangspunt dat een uitkering plus toeslag niet hoger mag zijn dan hetgeen is verzekerd in de basiswet</w:t>
      </w:r>
      <w:r w:rsidR="0054625F">
        <w:rPr>
          <w:rStyle w:val="Voetnootmarkering"/>
        </w:rPr>
        <w:footnoteReference w:id="8"/>
      </w:r>
      <w:r w:rsidRPr="00DC5222">
        <w:t xml:space="preserve">. De uitkeringen samen worden gemaximeerd tot het oude loonniveau van vóór de verzekerde gebeurtenis (werkloosheid, ziekte of arbeidsongeschiktheid). </w:t>
      </w:r>
      <w:r>
        <w:t>Hierbij wordt uitgegaan</w:t>
      </w:r>
      <w:r w:rsidRPr="00DC5222">
        <w:t xml:space="preserve"> van het dagloon van de basiswet</w:t>
      </w:r>
      <w:r>
        <w:rPr>
          <w:rStyle w:val="Voetnootmarkering"/>
        </w:rPr>
        <w:footnoteReference w:id="9"/>
      </w:r>
      <w:r w:rsidRPr="00DC5222">
        <w:t>.</w:t>
      </w:r>
      <w:r>
        <w:t xml:space="preserve"> De Toeslagenwet is een voorziening </w:t>
      </w:r>
      <w:r w:rsidR="000A5AA2">
        <w:t xml:space="preserve">en wordt gefinancierd uit de algemene middelen. Daarnaast </w:t>
      </w:r>
      <w:r>
        <w:t>heeft</w:t>
      </w:r>
      <w:r w:rsidR="000A5AA2">
        <w:t xml:space="preserve"> de Toeslagenwet</w:t>
      </w:r>
      <w:r>
        <w:t xml:space="preserve"> een toets op gezinsinkomen.</w:t>
      </w:r>
    </w:p>
    <w:p w:rsidR="00B57705" w:rsidP="00B57705" w:rsidRDefault="00B57705" w14:paraId="4FC81EDD" w14:textId="77777777"/>
    <w:p w:rsidRPr="002B3C8A" w:rsidR="00B57705" w:rsidP="00B57705" w:rsidRDefault="00B57705" w14:paraId="4B54F50D" w14:textId="77777777">
      <w:pPr>
        <w:rPr>
          <w:i/>
          <w:iCs/>
        </w:rPr>
      </w:pPr>
      <w:r>
        <w:t>Net als bij</w:t>
      </w:r>
      <w:r w:rsidRPr="002B3C8A">
        <w:t xml:space="preserve"> de basiswetten moet</w:t>
      </w:r>
      <w:r>
        <w:t>en uitkeringsgerechtigden een aanvraag indienen voor</w:t>
      </w:r>
      <w:r w:rsidRPr="002B3C8A">
        <w:t xml:space="preserve"> de T</w:t>
      </w:r>
      <w:r>
        <w:t>oeslagenwet</w:t>
      </w:r>
      <w:r w:rsidRPr="002B3C8A">
        <w:t xml:space="preserve">. Zonder aanvraag </w:t>
      </w:r>
      <w:r>
        <w:t xml:space="preserve">heeft UWV </w:t>
      </w:r>
      <w:r w:rsidRPr="002B3C8A">
        <w:t xml:space="preserve">geen wettelijke grondslag om te beoordelen of </w:t>
      </w:r>
      <w:r>
        <w:t>iemand</w:t>
      </w:r>
      <w:r w:rsidRPr="002B3C8A">
        <w:t xml:space="preserve"> recht</w:t>
      </w:r>
      <w:r>
        <w:t xml:space="preserve"> heeft</w:t>
      </w:r>
      <w:r w:rsidRPr="002B3C8A">
        <w:t xml:space="preserve"> op</w:t>
      </w:r>
      <w:r>
        <w:t xml:space="preserve"> een aanvulling vanuit de</w:t>
      </w:r>
      <w:r w:rsidRPr="002B3C8A">
        <w:t xml:space="preserve"> T</w:t>
      </w:r>
      <w:r>
        <w:t>oeslagenwet</w:t>
      </w:r>
      <w:r w:rsidRPr="002B3C8A">
        <w:t xml:space="preserve">. </w:t>
      </w:r>
    </w:p>
    <w:p w:rsidR="00B57705" w:rsidP="00B57705" w:rsidRDefault="00B57705" w14:paraId="1549DBBA" w14:textId="77777777"/>
    <w:p w:rsidR="00B57705" w:rsidP="00B57705" w:rsidRDefault="00B57705" w14:paraId="4D7F268B" w14:textId="77777777">
      <w:pPr>
        <w:rPr>
          <w:i/>
          <w:iCs/>
        </w:rPr>
      </w:pPr>
      <w:r>
        <w:rPr>
          <w:i/>
          <w:iCs/>
        </w:rPr>
        <w:t>Complexiteit en toegangseisen</w:t>
      </w:r>
    </w:p>
    <w:p w:rsidRPr="00D1287D" w:rsidR="00B57705" w:rsidP="00B57705" w:rsidRDefault="00B57705" w14:paraId="21F67046" w14:textId="4B2C381E">
      <w:pPr>
        <w:rPr>
          <w:i/>
          <w:iCs/>
        </w:rPr>
      </w:pPr>
      <w:r>
        <w:t>M</w:t>
      </w:r>
      <w:r w:rsidRPr="003A3DB1">
        <w:t xml:space="preserve">ensen </w:t>
      </w:r>
      <w:r>
        <w:t xml:space="preserve">met een aanvulling vanuit de Toeslagenwet hebben </w:t>
      </w:r>
      <w:r w:rsidRPr="003A3DB1">
        <w:t>te maken met</w:t>
      </w:r>
      <w:r>
        <w:t xml:space="preserve"> minimaal</w:t>
      </w:r>
      <w:r w:rsidRPr="003A3DB1">
        <w:t xml:space="preserve"> twee </w:t>
      </w:r>
      <w:r>
        <w:t>uitkeringsregelingen</w:t>
      </w:r>
      <w:r w:rsidRPr="003A3DB1">
        <w:t xml:space="preserve"> (bijvoorbeeld WIA + T</w:t>
      </w:r>
      <w:r>
        <w:t>W</w:t>
      </w:r>
      <w:r w:rsidRPr="003A3DB1">
        <w:t>, of WW + T</w:t>
      </w:r>
      <w:r>
        <w:t>W</w:t>
      </w:r>
      <w:r w:rsidRPr="003A3DB1">
        <w:t>)</w:t>
      </w:r>
      <w:r>
        <w:t>. Als het verzekerde loon onder het sociaal minimum ligt, kunnen mensen daarbovenop aanvullende bijstand nodig hebben. I</w:t>
      </w:r>
      <w:r w:rsidRPr="003A3DB1">
        <w:t>n 14% van de gevallen</w:t>
      </w:r>
      <w:r>
        <w:t xml:space="preserve"> hebben mensen daardoor te maken met</w:t>
      </w:r>
      <w:r w:rsidRPr="003A3DB1">
        <w:t xml:space="preserve"> drie </w:t>
      </w:r>
      <w:r>
        <w:t>uitkeringsregelingen</w:t>
      </w:r>
      <w:r w:rsidRPr="003A3DB1">
        <w:t xml:space="preserve"> (</w:t>
      </w:r>
      <w:r w:rsidR="00A42C74">
        <w:t>bijvoorbeeld WIA</w:t>
      </w:r>
      <w:r w:rsidR="00D51783">
        <w:t xml:space="preserve"> + </w:t>
      </w:r>
      <w:r w:rsidR="00A42C74">
        <w:t xml:space="preserve">TW </w:t>
      </w:r>
      <w:r w:rsidRPr="003A3DB1">
        <w:t>+</w:t>
      </w:r>
      <w:r w:rsidR="000A2CAB">
        <w:t xml:space="preserve"> </w:t>
      </w:r>
      <w:r w:rsidRPr="003A3DB1">
        <w:t>Participatiewe</w:t>
      </w:r>
      <w:r>
        <w:t>t). V</w:t>
      </w:r>
      <w:r w:rsidRPr="003A3DB1">
        <w:t xml:space="preserve">oor </w:t>
      </w:r>
      <w:r>
        <w:t xml:space="preserve">deze uitkeringen gelden verschillende </w:t>
      </w:r>
      <w:r w:rsidRPr="003A3DB1">
        <w:t xml:space="preserve">voorwaarden, verplichtingen en verrekenregels bij inkomen. </w:t>
      </w:r>
      <w:r>
        <w:t>In combinatie</w:t>
      </w:r>
      <w:r w:rsidRPr="003A3DB1">
        <w:t xml:space="preserve"> met het feit dat de doelgroep van de T</w:t>
      </w:r>
      <w:r>
        <w:t>oeslagenwet</w:t>
      </w:r>
      <w:r w:rsidRPr="003A3DB1">
        <w:t xml:space="preserve"> ook afhankelijk is van toeslagen</w:t>
      </w:r>
      <w:r>
        <w:t xml:space="preserve"> en gemeentelijke regelingen</w:t>
      </w:r>
      <w:r w:rsidRPr="003A3DB1">
        <w:t>, heeft deze groep te maken met een opeenstapeling van wetten</w:t>
      </w:r>
      <w:r>
        <w:t>, regels en verplichtingen</w:t>
      </w:r>
      <w:r w:rsidRPr="003A3DB1">
        <w:t>.</w:t>
      </w:r>
    </w:p>
    <w:p w:rsidR="00B57705" w:rsidP="00B57705" w:rsidRDefault="00B57705" w14:paraId="063DF5BD" w14:textId="77777777"/>
    <w:p w:rsidR="00B57705" w:rsidP="00B57705" w:rsidRDefault="00B57705" w14:paraId="12091201" w14:textId="77777777">
      <w:r>
        <w:lastRenderedPageBreak/>
        <w:t xml:space="preserve">Doordat de Toeslagenwet is vormgegeven als een </w:t>
      </w:r>
      <w:r w:rsidRPr="006615F9">
        <w:t>‘tussen</w:t>
      </w:r>
      <w:r>
        <w:t>regime</w:t>
      </w:r>
      <w:r w:rsidRPr="006615F9">
        <w:t>’</w:t>
      </w:r>
      <w:r>
        <w:t>, wijken d</w:t>
      </w:r>
      <w:r w:rsidRPr="006615F9">
        <w:t>e rechten en plichten van de T</w:t>
      </w:r>
      <w:r>
        <w:t>oeslagenwet</w:t>
      </w:r>
      <w:r w:rsidRPr="006615F9">
        <w:t xml:space="preserve"> veelal af van </w:t>
      </w:r>
      <w:r>
        <w:t xml:space="preserve">zowel </w:t>
      </w:r>
      <w:r w:rsidRPr="006615F9">
        <w:t xml:space="preserve">de loondervingsuitkeringen </w:t>
      </w:r>
      <w:r>
        <w:t>als</w:t>
      </w:r>
      <w:r w:rsidRPr="006615F9">
        <w:t xml:space="preserve"> van de bijstand. Dit maakt het stelsel van inkomensondersteuning lastiger te begrijpen</w:t>
      </w:r>
      <w:r>
        <w:t>.</w:t>
      </w:r>
      <w:r w:rsidRPr="006615F9">
        <w:t xml:space="preserve"> </w:t>
      </w:r>
      <w:r>
        <w:t>V</w:t>
      </w:r>
      <w:r w:rsidRPr="006615F9">
        <w:t>oor UWV</w:t>
      </w:r>
      <w:r>
        <w:t xml:space="preserve"> zijn de afwijkingen van de loondervingsuitkeringen moeilijk om uit te voeren</w:t>
      </w:r>
      <w:r w:rsidRPr="006615F9">
        <w:t xml:space="preserve">. </w:t>
      </w:r>
    </w:p>
    <w:p w:rsidRPr="00391FAB" w:rsidR="00B57705" w:rsidP="00B57705" w:rsidRDefault="00B57705" w14:paraId="010468A3" w14:textId="77777777"/>
    <w:p w:rsidR="004A2BD1" w:rsidP="00B57705" w:rsidRDefault="00B57705" w14:paraId="0251C26A" w14:textId="07E73D75">
      <w:pPr>
        <w:rPr>
          <w:rStyle w:val="Verwijzingopmerking"/>
        </w:rPr>
      </w:pPr>
      <w:r>
        <w:t xml:space="preserve">Een fundamentele bron van complexiteit is het feit dat de Toeslagenwet </w:t>
      </w:r>
      <w:r w:rsidRPr="006615F9">
        <w:t>een aanvulling is tot het sociaal minimum en het sociaal minimum leefvormafhankelijk is.</w:t>
      </w:r>
      <w:r w:rsidR="004A2BD1">
        <w:t xml:space="preserve"> Daarom</w:t>
      </w:r>
      <w:r w:rsidRPr="004A2BD1" w:rsidR="004A2BD1">
        <w:t xml:space="preserve"> moet UWV bij het vaststellen van het recht op aanvulling vanuit de T</w:t>
      </w:r>
      <w:r w:rsidR="00E24689">
        <w:t>oeslagenwet</w:t>
      </w:r>
      <w:r w:rsidRPr="004A2BD1" w:rsidR="004A2BD1">
        <w:t xml:space="preserve"> rekening houden met iemands huishoudsituatie (alleenstaande/paar/kostendelers), </w:t>
      </w:r>
      <w:r w:rsidR="00BC619E">
        <w:t>wat</w:t>
      </w:r>
      <w:r w:rsidRPr="004A2BD1" w:rsidR="004A2BD1">
        <w:t xml:space="preserve"> gemeenten</w:t>
      </w:r>
      <w:r w:rsidR="00BC619E">
        <w:t xml:space="preserve"> ook </w:t>
      </w:r>
      <w:r w:rsidRPr="004A2BD1" w:rsidR="004A2BD1">
        <w:t xml:space="preserve">moeten bij de </w:t>
      </w:r>
      <w:r w:rsidR="00151899">
        <w:t>bijstand</w:t>
      </w:r>
      <w:r w:rsidRPr="004A2BD1" w:rsidR="004A2BD1">
        <w:t>.</w:t>
      </w:r>
      <w:r w:rsidRPr="006615F9">
        <w:t xml:space="preserve"> </w:t>
      </w:r>
      <w:bookmarkStart w:name="_Hlk216699758" w:id="0"/>
      <w:r>
        <w:t>Alle andere uitkeringen die UWV verstrekt, zijn individuele uitkeringen.</w:t>
      </w:r>
      <w:bookmarkEnd w:id="0"/>
      <w:r>
        <w:t xml:space="preserve"> </w:t>
      </w:r>
      <w:r w:rsidR="00E24689">
        <w:t xml:space="preserve">Om deze complexiteit volledig weg te nemen, zou de aanvulling in de Toeslagenwet geïndividualiseerd moeten worden, waarbij het criterium van de leefvorm wordt losgelaten en het karakter van de sociale voorziening wijzigt. Dit creëert echter een groter verschil met de </w:t>
      </w:r>
      <w:r w:rsidR="00151899">
        <w:t>bijstand, die ook een uitkering tot sociaal minimum biedt, maar onder strengere voorwaarden.</w:t>
      </w:r>
    </w:p>
    <w:p w:rsidR="004A2BD1" w:rsidP="00B57705" w:rsidRDefault="004A2BD1" w14:paraId="0655F25A" w14:textId="77777777">
      <w:pPr>
        <w:rPr>
          <w:rStyle w:val="Verwijzingopmerking"/>
        </w:rPr>
      </w:pPr>
    </w:p>
    <w:p w:rsidRPr="003A3DB1" w:rsidR="00B57705" w:rsidP="00B57705" w:rsidRDefault="00B57705" w14:paraId="212EF881" w14:textId="30C4BB66">
      <w:pPr>
        <w:rPr>
          <w:i/>
          <w:iCs/>
        </w:rPr>
      </w:pPr>
      <w:r>
        <w:t>Daarnaast zorgt h</w:t>
      </w:r>
      <w:r w:rsidRPr="003A3DB1">
        <w:t>et afwijkende karakter van de T</w:t>
      </w:r>
      <w:r>
        <w:t>oeslagenwet</w:t>
      </w:r>
      <w:r w:rsidRPr="003A3DB1">
        <w:t xml:space="preserve"> voor extra complexiteit in zowel de uitvoering als het stelsel, en is niet altijd logisch en uitlegbaar. </w:t>
      </w:r>
      <w:r>
        <w:t>Voorbeelden van het afwijkende karakter zijn:</w:t>
      </w:r>
    </w:p>
    <w:p w:rsidRPr="003A3DB1" w:rsidR="00B57705" w:rsidP="00B57705" w:rsidRDefault="00B57705" w14:paraId="220024B0" w14:textId="77777777">
      <w:pPr>
        <w:numPr>
          <w:ilvl w:val="0"/>
          <w:numId w:val="9"/>
        </w:numPr>
        <w:rPr>
          <w:i/>
          <w:iCs/>
        </w:rPr>
      </w:pPr>
      <w:r w:rsidRPr="003A3DB1">
        <w:t>Afwijkende regels voor de verrekening van inkomsten (vrijlatingsregels) en een afwijkend inkomensbegrip in het Algemeen Inkomensbesluit</w:t>
      </w:r>
      <w:r>
        <w:t>. I</w:t>
      </w:r>
      <w:r w:rsidRPr="003A3DB1">
        <w:t>n de T</w:t>
      </w:r>
      <w:r>
        <w:t xml:space="preserve">oeslagenwet </w:t>
      </w:r>
      <w:r w:rsidRPr="003A3DB1">
        <w:t>worden meer soorten inkomen verrekend, tegen een lager percentage</w:t>
      </w:r>
      <w:r>
        <w:t xml:space="preserve"> </w:t>
      </w:r>
      <w:r w:rsidRPr="003A3DB1">
        <w:t xml:space="preserve">en met een apart maximum; </w:t>
      </w:r>
    </w:p>
    <w:p w:rsidRPr="003A3DB1" w:rsidR="00B57705" w:rsidP="00B57705" w:rsidRDefault="00B57705" w14:paraId="7A8C3F46" w14:textId="77777777">
      <w:pPr>
        <w:numPr>
          <w:ilvl w:val="0"/>
          <w:numId w:val="9"/>
        </w:numPr>
        <w:rPr>
          <w:i/>
          <w:iCs/>
        </w:rPr>
      </w:pPr>
      <w:r w:rsidRPr="003A3DB1">
        <w:t>Een afwijkende sociaalminimumnorm, waardoor mensen in de T</w:t>
      </w:r>
      <w:r>
        <w:t xml:space="preserve">oeslagenwet </w:t>
      </w:r>
      <w:r w:rsidRPr="003A3DB1">
        <w:t xml:space="preserve">alsnog onder sociaal minimum kunnen blijven steken en een nadere aanvulling uit de algemene bijstand nodig hebben om tot </w:t>
      </w:r>
      <w:r>
        <w:t xml:space="preserve">het </w:t>
      </w:r>
      <w:r w:rsidRPr="003A3DB1">
        <w:t>sociaal minimum te komen</w:t>
      </w:r>
      <w:bookmarkStart w:name="_Hlk216699780" w:id="1"/>
      <w:r>
        <w:t>. Ook kunnen mensen recht hebben op een Toeslagenwet-aanvulling terwijl zij al boven het sociaal minimum van de bijstand zitten</w:t>
      </w:r>
      <w:bookmarkEnd w:id="1"/>
      <w:r w:rsidRPr="003A3DB1">
        <w:t>;</w:t>
      </w:r>
    </w:p>
    <w:p w:rsidRPr="005B1F1B" w:rsidR="00B57705" w:rsidP="00B57705" w:rsidRDefault="00B57705" w14:paraId="716465FD" w14:textId="1D9BD236">
      <w:pPr>
        <w:numPr>
          <w:ilvl w:val="0"/>
          <w:numId w:val="9"/>
        </w:numPr>
        <w:rPr>
          <w:i/>
          <w:iCs/>
        </w:rPr>
      </w:pPr>
      <w:r w:rsidRPr="003A3DB1">
        <w:t xml:space="preserve">Afwijkende </w:t>
      </w:r>
      <w:r>
        <w:t>voorwaarden</w:t>
      </w:r>
      <w:r w:rsidRPr="003A3DB1">
        <w:t xml:space="preserve"> </w:t>
      </w:r>
      <w:r w:rsidR="00DC1E57">
        <w:t xml:space="preserve">om aanspraak te maken op de Toeslagenwet, zoals </w:t>
      </w:r>
      <w:r w:rsidR="00A95E2F">
        <w:t>een partner geboren voor</w:t>
      </w:r>
      <w:r w:rsidR="00A87EBD">
        <w:t xml:space="preserve"> 31 december</w:t>
      </w:r>
      <w:r w:rsidR="00A95E2F">
        <w:t xml:space="preserve"> 197</w:t>
      </w:r>
      <w:r w:rsidR="00A87EBD">
        <w:t>1</w:t>
      </w:r>
      <w:r w:rsidR="00A95E2F">
        <w:t xml:space="preserve"> tenzij tot het huishouden een </w:t>
      </w:r>
      <w:r w:rsidRPr="003A3DB1">
        <w:t>kind</w:t>
      </w:r>
      <w:r w:rsidR="00587B42">
        <w:t xml:space="preserve"> onder de 12 jaar</w:t>
      </w:r>
      <w:r w:rsidRPr="003A3DB1">
        <w:t xml:space="preserve"> </w:t>
      </w:r>
      <w:r w:rsidR="00A95E2F">
        <w:t xml:space="preserve">behoort. </w:t>
      </w:r>
    </w:p>
    <w:p w:rsidRPr="003A3DB1" w:rsidR="00B57705" w:rsidP="00B57705" w:rsidRDefault="00B57705" w14:paraId="33A97F64" w14:textId="77777777">
      <w:pPr>
        <w:ind w:left="780"/>
        <w:rPr>
          <w:i/>
          <w:iCs/>
        </w:rPr>
      </w:pPr>
    </w:p>
    <w:p w:rsidR="00B57705" w:rsidP="00B57705" w:rsidRDefault="00B57705" w14:paraId="0888E923" w14:textId="66400BEE">
      <w:r w:rsidRPr="006615F9">
        <w:t>Deze complexiteit</w:t>
      </w:r>
      <w:r w:rsidR="001C4FC4">
        <w:t xml:space="preserve"> verhoogt de drempel tot het aanvragen van de Toeslagenwet en</w:t>
      </w:r>
      <w:r w:rsidRPr="006615F9">
        <w:t xml:space="preserve"> </w:t>
      </w:r>
      <w:r w:rsidR="00D57487">
        <w:t>zou</w:t>
      </w:r>
      <w:r w:rsidRPr="006615F9" w:rsidR="00D57487">
        <w:t xml:space="preserve"> </w:t>
      </w:r>
      <w:r w:rsidR="001C4FC4">
        <w:t>daardoor</w:t>
      </w:r>
      <w:r w:rsidR="00D57487">
        <w:t xml:space="preserve"> bij kunnen dragen aan</w:t>
      </w:r>
      <w:r w:rsidR="001C4FC4">
        <w:t xml:space="preserve"> </w:t>
      </w:r>
      <w:r w:rsidR="00D57487">
        <w:t>de</w:t>
      </w:r>
      <w:r w:rsidRPr="006615F9">
        <w:t xml:space="preserve"> hoge mate van potentieel niet-gebruik. </w:t>
      </w:r>
      <w:r>
        <w:t>De omvang van het</w:t>
      </w:r>
      <w:r w:rsidRPr="006615F9">
        <w:t xml:space="preserve"> daadwerkelijke niet-gebruik </w:t>
      </w:r>
      <w:r>
        <w:t>van</w:t>
      </w:r>
      <w:r w:rsidRPr="006615F9">
        <w:t xml:space="preserve"> de T</w:t>
      </w:r>
      <w:r>
        <w:t>oeslagenwet</w:t>
      </w:r>
      <w:r w:rsidRPr="006615F9">
        <w:t xml:space="preserve"> is</w:t>
      </w:r>
      <w:r>
        <w:t xml:space="preserve"> lastig vast te stellen. Het </w:t>
      </w:r>
      <w:r w:rsidRPr="001F4F38">
        <w:t xml:space="preserve">Syntheseonderzoek niet-gebruik inkomensondersteunende regelingen </w:t>
      </w:r>
      <w:r>
        <w:t xml:space="preserve">wijst op </w:t>
      </w:r>
      <w:r w:rsidRPr="006615F9">
        <w:t xml:space="preserve">een aantal algemene oorzaken die </w:t>
      </w:r>
      <w:r>
        <w:t>het</w:t>
      </w:r>
      <w:r w:rsidRPr="006615F9">
        <w:t xml:space="preserve"> risico op niet-gebruik </w:t>
      </w:r>
      <w:r>
        <w:t>verhogen</w:t>
      </w:r>
      <w:r>
        <w:rPr>
          <w:rStyle w:val="Voetnootmarkering"/>
        </w:rPr>
        <w:footnoteReference w:id="10"/>
      </w:r>
      <w:r w:rsidRPr="006615F9">
        <w:t>. Voor de T</w:t>
      </w:r>
      <w:r>
        <w:t>oeslagenwet</w:t>
      </w:r>
      <w:r w:rsidRPr="006615F9">
        <w:t xml:space="preserve"> gaat het onder andere om complexe begrippen, aanvraaginitiatief dat bij </w:t>
      </w:r>
      <w:r>
        <w:t xml:space="preserve">mensen </w:t>
      </w:r>
      <w:r w:rsidRPr="006615F9">
        <w:t>ligt, een inkomenstoets (ook voor de partner) en het recht op uitkering verandert wanneer de leefomstandigheden veranderen.</w:t>
      </w:r>
    </w:p>
    <w:p w:rsidR="00B57705" w:rsidP="00B57705" w:rsidRDefault="00B57705" w14:paraId="076493F9" w14:textId="77777777"/>
    <w:p w:rsidR="00B57705" w:rsidP="00B57705" w:rsidRDefault="00B57705" w14:paraId="388D6A09" w14:textId="77777777">
      <w:pPr>
        <w:rPr>
          <w:i/>
          <w:iCs/>
        </w:rPr>
      </w:pPr>
      <w:r>
        <w:rPr>
          <w:i/>
          <w:iCs/>
        </w:rPr>
        <w:t>Uitkomsten verkenning</w:t>
      </w:r>
    </w:p>
    <w:p w:rsidR="00B57705" w:rsidP="00B57705" w:rsidRDefault="00B57705" w14:paraId="2429A60D" w14:textId="77777777">
      <w:pPr>
        <w:spacing w:line="240" w:lineRule="exact"/>
      </w:pPr>
      <w:r>
        <w:t xml:space="preserve">Samen met UWV is een </w:t>
      </w:r>
      <w:r w:rsidRPr="003B1D78">
        <w:t xml:space="preserve">verkenning </w:t>
      </w:r>
      <w:r>
        <w:t xml:space="preserve">gedaan naar de complexiteit van de Toeslagenwet en mogelijke vereenvoudigingsopties. </w:t>
      </w:r>
      <w:r w:rsidRPr="00C36D78">
        <w:t>In de verkenning zijn uiteenlopende maatregelen onderzocht om de T</w:t>
      </w:r>
      <w:r>
        <w:t>oeslagenwet</w:t>
      </w:r>
      <w:r w:rsidRPr="00C36D78">
        <w:t xml:space="preserve"> te vereenvoudigen en het beleidsdoel van de T</w:t>
      </w:r>
      <w:r>
        <w:t>oeslagenwet</w:t>
      </w:r>
      <w:r w:rsidRPr="00C36D78">
        <w:t xml:space="preserve"> beter te kunnen behalen.</w:t>
      </w:r>
      <w:r>
        <w:t xml:space="preserve"> De maatregelen zijn uitgewerkt in de fichebundel in de bijlage bij deze Kamerbrief.</w:t>
      </w:r>
    </w:p>
    <w:p w:rsidR="00B57705" w:rsidP="00B57705" w:rsidRDefault="00B57705" w14:paraId="6CD3FED6" w14:textId="77777777">
      <w:pPr>
        <w:spacing w:line="240" w:lineRule="exact"/>
      </w:pPr>
    </w:p>
    <w:p w:rsidR="00B57705" w:rsidP="00B57705" w:rsidRDefault="00B57705" w14:paraId="1BE447D6" w14:textId="77777777">
      <w:pPr>
        <w:spacing w:line="240" w:lineRule="exact"/>
      </w:pPr>
      <w:r w:rsidRPr="00C36D78">
        <w:lastRenderedPageBreak/>
        <w:t>De maatregelen zijn beoordeeld aan de hand van de principes ‘een zeker en voorspelbaar inkomen’ en ‘een begrijpelijk stelsel’ voor zowel de uitkeringsgerechtigde als de uitvoerder (UWV). Daarnaast is gekeken naar specifieke inkomenseffecten, arbeidsmarkteffecten, juridische haalbaarheid, uitvoerbaarheid, budgettaire effecten en handhaafbaarheid.</w:t>
      </w:r>
      <w:r>
        <w:t xml:space="preserve"> </w:t>
      </w:r>
      <w:r w:rsidRPr="00C36D78">
        <w:t>D</w:t>
      </w:r>
      <w:r>
        <w:t xml:space="preserve">it heeft geleid tot </w:t>
      </w:r>
      <w:r w:rsidRPr="00C36D78">
        <w:t xml:space="preserve">een lijst </w:t>
      </w:r>
      <w:r>
        <w:t xml:space="preserve">met </w:t>
      </w:r>
      <w:r w:rsidRPr="00C36D78">
        <w:t>beleidsopties, die soms een aanscherping van de voorwaarden voor een aanvulling betekenen en soms een versoepeling. Alle maatregelen vereisen een aanpassing van wet- of regelgeving.</w:t>
      </w:r>
    </w:p>
    <w:p w:rsidR="00B57705" w:rsidP="00B57705" w:rsidRDefault="00B57705" w14:paraId="1FA4AC65" w14:textId="77777777">
      <w:pPr>
        <w:spacing w:line="240" w:lineRule="exact"/>
      </w:pPr>
    </w:p>
    <w:p w:rsidR="00B57705" w:rsidP="00B57705" w:rsidRDefault="00B57705" w14:paraId="0B765565" w14:textId="33B88A09">
      <w:pPr>
        <w:spacing w:line="240" w:lineRule="exact"/>
      </w:pPr>
      <w:r>
        <w:t>Het algemene beeld uit de verkenning is</w:t>
      </w:r>
      <w:r w:rsidRPr="003B1D78">
        <w:t xml:space="preserve"> dat de complexiteit</w:t>
      </w:r>
      <w:r>
        <w:t xml:space="preserve"> </w:t>
      </w:r>
      <w:r w:rsidRPr="003B1D78">
        <w:t xml:space="preserve">grotendeels voortkomt uit </w:t>
      </w:r>
      <w:r>
        <w:t xml:space="preserve">de </w:t>
      </w:r>
      <w:r w:rsidRPr="003B1D78">
        <w:t xml:space="preserve">bepalingen en voorwaarden </w:t>
      </w:r>
      <w:r>
        <w:t>i</w:t>
      </w:r>
      <w:r w:rsidRPr="003B1D78">
        <w:t>n de T</w:t>
      </w:r>
      <w:r>
        <w:t>oeslagenwet,</w:t>
      </w:r>
      <w:r w:rsidRPr="003B1D78">
        <w:t xml:space="preserve"> die zowel afwijken van de basiswetten</w:t>
      </w:r>
      <w:r>
        <w:t xml:space="preserve"> van UWV</w:t>
      </w:r>
      <w:r w:rsidRPr="003B1D78">
        <w:t xml:space="preserve"> als </w:t>
      </w:r>
      <w:r>
        <w:t xml:space="preserve">van </w:t>
      </w:r>
      <w:r w:rsidRPr="003B1D78">
        <w:t>de Participatiewet</w:t>
      </w:r>
      <w:r>
        <w:t xml:space="preserve">. </w:t>
      </w:r>
      <w:r w:rsidRPr="003B1D78">
        <w:t>Deze afwijkingen zijn deels te verklaren vanuit</w:t>
      </w:r>
      <w:r>
        <w:t xml:space="preserve"> het</w:t>
      </w:r>
      <w:r w:rsidRPr="003B1D78">
        <w:t xml:space="preserve"> beleidsdoel v</w:t>
      </w:r>
      <w:r>
        <w:t>an</w:t>
      </w:r>
      <w:r w:rsidRPr="003B1D78">
        <w:t xml:space="preserve"> de T</w:t>
      </w:r>
      <w:r>
        <w:t>oeslagenwet</w:t>
      </w:r>
      <w:r w:rsidRPr="003B1D78">
        <w:t xml:space="preserve"> of komen voort uit tijdsverloop</w:t>
      </w:r>
      <w:r w:rsidR="00E74C7B">
        <w:rPr>
          <w:rStyle w:val="Voetnootmarkering"/>
        </w:rPr>
        <w:footnoteReference w:id="11"/>
      </w:r>
      <w:r w:rsidRPr="003B1D78">
        <w:t xml:space="preserve">. </w:t>
      </w:r>
    </w:p>
    <w:p w:rsidR="00B57705" w:rsidP="00B57705" w:rsidRDefault="00B57705" w14:paraId="55B6A7BB" w14:textId="77777777">
      <w:pPr>
        <w:spacing w:line="240" w:lineRule="exact"/>
      </w:pPr>
    </w:p>
    <w:p w:rsidR="00B57705" w:rsidP="00B57705" w:rsidRDefault="00B57705" w14:paraId="5B4D98EF" w14:textId="327F4985">
      <w:pPr>
        <w:spacing w:line="240" w:lineRule="exact"/>
      </w:pPr>
      <w:r w:rsidRPr="00E202E6">
        <w:t>Uit de verkenning zien we 3 lijnen om de Toeslagenwet te vereenvoudigen en niet-gebruik tegen te gaan. Namelijk: 1) het gebruik van de T</w:t>
      </w:r>
      <w:r>
        <w:t>oeslagenwet</w:t>
      </w:r>
      <w:r w:rsidRPr="00E202E6">
        <w:t xml:space="preserve"> vergroten</w:t>
      </w:r>
      <w:r>
        <w:t xml:space="preserve">, </w:t>
      </w:r>
      <w:r w:rsidRPr="00E202E6">
        <w:t>2) specifieke voorwaarden en wettelijke bepalingen binnen de T</w:t>
      </w:r>
      <w:r>
        <w:t>oeslagenwet</w:t>
      </w:r>
      <w:r w:rsidRPr="00E202E6">
        <w:t xml:space="preserve"> vereenvoudigen</w:t>
      </w:r>
      <w:r>
        <w:t xml:space="preserve"> </w:t>
      </w:r>
      <w:r w:rsidRPr="00E202E6">
        <w:t>en 3) een fundamentele herziening waarbij de T</w:t>
      </w:r>
      <w:r>
        <w:t xml:space="preserve">oeslagenwet </w:t>
      </w:r>
      <w:r w:rsidRPr="00E202E6">
        <w:t>geen aparte regeling meer</w:t>
      </w:r>
      <w:r>
        <w:t xml:space="preserve"> is.</w:t>
      </w:r>
    </w:p>
    <w:p w:rsidR="00B57705" w:rsidP="00B57705" w:rsidRDefault="00B57705" w14:paraId="4AF0E729" w14:textId="77777777">
      <w:pPr>
        <w:spacing w:line="240" w:lineRule="exact"/>
      </w:pPr>
    </w:p>
    <w:p w:rsidRPr="00C82882" w:rsidR="00B57705" w:rsidP="00B57705" w:rsidRDefault="00B57705" w14:paraId="16E0DDAC" w14:textId="77777777">
      <w:pPr>
        <w:spacing w:line="240" w:lineRule="exact"/>
        <w:rPr>
          <w:u w:val="single"/>
        </w:rPr>
      </w:pPr>
      <w:r>
        <w:rPr>
          <w:u w:val="single"/>
        </w:rPr>
        <w:t>Lijn 1. Gebruik Toeslagenwet vergroten</w:t>
      </w:r>
    </w:p>
    <w:p w:rsidR="00B57705" w:rsidP="00B57705" w:rsidRDefault="00B57705" w14:paraId="4BA4D7CA" w14:textId="77777777">
      <w:pPr>
        <w:spacing w:line="240" w:lineRule="exact"/>
      </w:pPr>
      <w:r>
        <w:t>In de A-fiches in de bijlage zijn</w:t>
      </w:r>
      <w:r w:rsidRPr="00DB30D2">
        <w:t xml:space="preserve"> enkele opties in kaart gebracht </w:t>
      </w:r>
      <w:r>
        <w:t>die</w:t>
      </w:r>
      <w:r w:rsidRPr="00DB30D2">
        <w:t xml:space="preserve"> het bereik van de T</w:t>
      </w:r>
      <w:r>
        <w:t>oeslagenwet</w:t>
      </w:r>
      <w:r w:rsidRPr="00DB30D2">
        <w:t xml:space="preserve"> </w:t>
      </w:r>
      <w:r>
        <w:t>kunnen</w:t>
      </w:r>
      <w:r w:rsidRPr="00DB30D2">
        <w:t xml:space="preserve"> vergroten. Deze</w:t>
      </w:r>
      <w:r>
        <w:t xml:space="preserve"> opties</w:t>
      </w:r>
      <w:r w:rsidRPr="00DB30D2">
        <w:t xml:space="preserve"> verminderen de complexiteit van het stelsel op zichzelf niet, maar bestrijden wel een symptoom van de huidige complexiteit. Daarmee kunnen deze</w:t>
      </w:r>
      <w:r>
        <w:t xml:space="preserve"> opties</w:t>
      </w:r>
      <w:r w:rsidRPr="00DB30D2">
        <w:t xml:space="preserve"> voor mensen alsnog gunstige effecten hebben. Tot deze opties behoren </w:t>
      </w:r>
      <w:r>
        <w:t xml:space="preserve">onder andere </w:t>
      </w:r>
      <w:r w:rsidRPr="00DB30D2">
        <w:t>een naamswijziging en het schrappen van de maximering van de toeslag tot het dagloon van de basiswet.</w:t>
      </w:r>
    </w:p>
    <w:p w:rsidR="00235311" w:rsidP="00B57705" w:rsidRDefault="00235311" w14:paraId="16A4E147" w14:textId="77777777">
      <w:pPr>
        <w:spacing w:line="240" w:lineRule="exact"/>
      </w:pPr>
    </w:p>
    <w:p w:rsidR="00235311" w:rsidP="00B57705" w:rsidRDefault="00E00C24" w14:paraId="4D1E296F" w14:textId="22D79565">
      <w:pPr>
        <w:spacing w:line="240" w:lineRule="exact"/>
      </w:pPr>
      <w:r>
        <w:t>De Toeslagenwet is daarnaast opgenomen in het wetsvoorstel ‘Proactieve dienstverlening SZW’</w:t>
      </w:r>
      <w:r w:rsidR="00831C26">
        <w:rPr>
          <w:rStyle w:val="Voetnootmarkering"/>
        </w:rPr>
        <w:footnoteReference w:id="12"/>
      </w:r>
      <w:r>
        <w:t xml:space="preserve">. </w:t>
      </w:r>
      <w:r w:rsidR="009A0081">
        <w:t xml:space="preserve">Door deze wetswijziging </w:t>
      </w:r>
      <w:r w:rsidRPr="00235311" w:rsidR="00235311">
        <w:t xml:space="preserve">kan </w:t>
      </w:r>
      <w:proofErr w:type="gramStart"/>
      <w:r w:rsidRPr="00235311" w:rsidR="00235311">
        <w:t>UWV uitkeringsgerechtigden</w:t>
      </w:r>
      <w:proofErr w:type="gramEnd"/>
      <w:r w:rsidRPr="00235311" w:rsidR="00235311">
        <w:t xml:space="preserve"> actief informeren over de mogelijkheid van </w:t>
      </w:r>
      <w:r w:rsidR="00235311">
        <w:t>een aanvulling vanuit de Toeslagenwet</w:t>
      </w:r>
      <w:r w:rsidR="0068154B">
        <w:t xml:space="preserve"> en de aanvraag faciliteren</w:t>
      </w:r>
      <w:r w:rsidR="00235311">
        <w:t xml:space="preserve">. </w:t>
      </w:r>
      <w:r w:rsidRPr="00235311" w:rsidR="00235311">
        <w:t xml:space="preserve">In aanloop naar </w:t>
      </w:r>
      <w:r w:rsidR="009A0081">
        <w:t>de inwerkingtreding van de wetswijziging</w:t>
      </w:r>
      <w:r w:rsidRPr="00235311" w:rsidR="00235311">
        <w:t xml:space="preserve"> neemt UWV in sommige gevallen al pr</w:t>
      </w:r>
      <w:r w:rsidR="00235311">
        <w:t>oactief contact op met uitkeringsgerechtigden</w:t>
      </w:r>
      <w:r w:rsidR="0068154B">
        <w:t xml:space="preserve"> </w:t>
      </w:r>
      <w:r w:rsidRPr="0068154B" w:rsidR="0068154B">
        <w:t>en zorgt voor een gecombineerde aanvraag van WW en Toeslagenwet</w:t>
      </w:r>
      <w:r w:rsidR="00235311">
        <w:t>.</w:t>
      </w:r>
      <w:r w:rsidR="00E74C7B">
        <w:t xml:space="preserve"> </w:t>
      </w:r>
      <w:r w:rsidR="0089051E">
        <w:t>De verkende opties voor vereenvoudiging van de Toeslagenwet kunnen het niet-gebruik naar verwachting verder terugdringen.</w:t>
      </w:r>
    </w:p>
    <w:p w:rsidR="00B57705" w:rsidP="00B57705" w:rsidRDefault="00B57705" w14:paraId="0DF74517" w14:textId="77777777">
      <w:pPr>
        <w:spacing w:line="240" w:lineRule="exact"/>
      </w:pPr>
    </w:p>
    <w:p w:rsidRPr="00C82882" w:rsidR="00B57705" w:rsidP="00B57705" w:rsidRDefault="00B57705" w14:paraId="62223BA0" w14:textId="58343A46">
      <w:pPr>
        <w:spacing w:line="240" w:lineRule="exact"/>
        <w:rPr>
          <w:u w:val="single"/>
        </w:rPr>
      </w:pPr>
      <w:r>
        <w:rPr>
          <w:u w:val="single"/>
        </w:rPr>
        <w:t xml:space="preserve">Lijn 2. </w:t>
      </w:r>
      <w:r w:rsidR="00645819">
        <w:rPr>
          <w:u w:val="single"/>
        </w:rPr>
        <w:t>Maatregelen</w:t>
      </w:r>
      <w:r w:rsidR="00ED4179">
        <w:rPr>
          <w:u w:val="single"/>
        </w:rPr>
        <w:t xml:space="preserve"> binnen de Toeslagenwet</w:t>
      </w:r>
    </w:p>
    <w:p w:rsidR="00B57705" w:rsidP="00B57705" w:rsidRDefault="00ED4179" w14:paraId="565652C6" w14:textId="5DAA334E">
      <w:pPr>
        <w:spacing w:line="240" w:lineRule="exact"/>
      </w:pPr>
      <w:r>
        <w:t>De</w:t>
      </w:r>
      <w:r w:rsidR="00B57705">
        <w:t xml:space="preserve"> Toeslagenwet </w:t>
      </w:r>
      <w:r>
        <w:t xml:space="preserve">kan </w:t>
      </w:r>
      <w:r w:rsidR="00B57705">
        <w:t xml:space="preserve">vereenvoudigd worden door specifieke voorwaarden en wettelijke bepalingen in de Toeslagenwet te vereenvoudigen (B-fiches in de bijlage). Daarbij kan gekeken worden naar bestaande regels in de basiswetten of de Participatiewet om de geldende verplichtingen mee te harmoniseren. </w:t>
      </w:r>
      <w:r w:rsidRPr="0056696D" w:rsidR="00B57705">
        <w:t>Uitgangspunt hierbij is dat harmonisatie daadwerkelijk tot vereenvoudiging voor mensen en uitvoering leidt en geen extra toegangseisen of verdere complexiteit in de T</w:t>
      </w:r>
      <w:r w:rsidR="00B57705">
        <w:t>oeslagenwet</w:t>
      </w:r>
      <w:r w:rsidRPr="0056696D" w:rsidR="00B57705">
        <w:t xml:space="preserve"> introduceert.</w:t>
      </w:r>
      <w:r w:rsidR="00B57705">
        <w:t xml:space="preserve"> Aangezien</w:t>
      </w:r>
      <w:r w:rsidRPr="00DB30D2" w:rsidR="00B57705">
        <w:t xml:space="preserve"> de uitvoering bij UWV is belegd, dienen de maatregelen de uitvoering voor UWV te vereenvoudigen. </w:t>
      </w:r>
      <w:r w:rsidRPr="0056696D" w:rsidR="00B57705">
        <w:t>D</w:t>
      </w:r>
      <w:r w:rsidR="00B57705">
        <w:t>eze maatregelen</w:t>
      </w:r>
      <w:r w:rsidRPr="0056696D" w:rsidR="00B57705">
        <w:t xml:space="preserve"> zijn veelal kleinere </w:t>
      </w:r>
      <w:r w:rsidR="00B57705">
        <w:t>vereenvoudigingen</w:t>
      </w:r>
      <w:r w:rsidRPr="0056696D" w:rsidR="00B57705">
        <w:t xml:space="preserve"> met </w:t>
      </w:r>
      <w:r w:rsidR="00D70DF7">
        <w:t xml:space="preserve">vaak </w:t>
      </w:r>
      <w:r w:rsidR="00B57705">
        <w:t>relatief kleinere</w:t>
      </w:r>
      <w:r w:rsidRPr="0056696D" w:rsidR="00B57705">
        <w:t xml:space="preserve"> budgettaire effecten.</w:t>
      </w:r>
      <w:r w:rsidR="00937367">
        <w:t xml:space="preserve"> Al deze maatregelen vereisen een aanpassing van wet- en regelgeving.</w:t>
      </w:r>
    </w:p>
    <w:p w:rsidR="00B57705" w:rsidP="00B57705" w:rsidRDefault="00B57705" w14:paraId="48B2541D" w14:textId="77777777">
      <w:pPr>
        <w:spacing w:line="240" w:lineRule="exact"/>
      </w:pPr>
    </w:p>
    <w:p w:rsidR="00B57705" w:rsidP="00B57705" w:rsidRDefault="00B57705" w14:paraId="7C51C2BC" w14:textId="24530A49">
      <w:pPr>
        <w:spacing w:line="240" w:lineRule="exact"/>
      </w:pPr>
      <w:r>
        <w:t xml:space="preserve">Voorbeelden van maatregelen </w:t>
      </w:r>
      <w:r w:rsidR="00645819">
        <w:t xml:space="preserve">binnen de Toeslagenwet </w:t>
      </w:r>
      <w:r>
        <w:t>zijn het vereenvoudigen van de vrijlatingsregeling waarbij de afwijkende regels voor de verrekening van inkomsten worden geharmoniseerd. Ook kan het inkomensbegrip in de Toeslagenwet geharmoniseerd worden met de basiswetten van UWV. Daarnaast zou de leefvorm vereenvoudigd kunnen worden door afschaffing van de kostendelersnorm in de Toeslagenwet. Hoewel de kostendelersnorm ook in andere sociale voorzieningen (zoals de Participatiewet en Algemene nabestaandenwet) wordt toegepast, kent deze verschillen in de uitvoering en effecten op uitkeringshoogten.</w:t>
      </w:r>
    </w:p>
    <w:p w:rsidR="00B57705" w:rsidP="00B57705" w:rsidRDefault="00B57705" w14:paraId="67A89D35" w14:textId="77777777">
      <w:pPr>
        <w:spacing w:line="240" w:lineRule="exact"/>
      </w:pPr>
    </w:p>
    <w:p w:rsidRPr="00C82882" w:rsidR="00B57705" w:rsidP="00B57705" w:rsidRDefault="00B57705" w14:paraId="4AA3DE48" w14:textId="77777777">
      <w:pPr>
        <w:spacing w:line="240" w:lineRule="exact"/>
        <w:rPr>
          <w:u w:val="single"/>
        </w:rPr>
      </w:pPr>
      <w:r w:rsidRPr="00C82882">
        <w:rPr>
          <w:u w:val="single"/>
        </w:rPr>
        <w:t xml:space="preserve">Lijn </w:t>
      </w:r>
      <w:r>
        <w:rPr>
          <w:u w:val="single"/>
        </w:rPr>
        <w:t>3</w:t>
      </w:r>
      <w:r w:rsidRPr="00C82882">
        <w:rPr>
          <w:u w:val="single"/>
        </w:rPr>
        <w:t>. Fundamentele herziening</w:t>
      </w:r>
    </w:p>
    <w:p w:rsidR="00B57705" w:rsidP="00B57705" w:rsidRDefault="00B57705" w14:paraId="0B935CCE" w14:textId="4ACDEC47">
      <w:pPr>
        <w:spacing w:line="240" w:lineRule="exact"/>
      </w:pPr>
      <w:r>
        <w:t>E</w:t>
      </w:r>
      <w:r w:rsidRPr="00E202E6">
        <w:t xml:space="preserve">en fundamentele vereenvoudiging </w:t>
      </w:r>
      <w:r>
        <w:t>van de Toeslagenwet is</w:t>
      </w:r>
      <w:r w:rsidR="00763588">
        <w:t xml:space="preserve"> op de langere termijn</w:t>
      </w:r>
      <w:r>
        <w:t xml:space="preserve"> </w:t>
      </w:r>
      <w:r w:rsidRPr="00E202E6">
        <w:t xml:space="preserve">te bereiken door rechten en plichten te integreren in ofwel de loondervingsuitkeringen (basiswetten), ofwel de algemene bijstand. </w:t>
      </w:r>
    </w:p>
    <w:p w:rsidR="00B57705" w:rsidP="00B57705" w:rsidRDefault="00B57705" w14:paraId="2F5C0CD9" w14:textId="77777777">
      <w:pPr>
        <w:spacing w:line="240" w:lineRule="exact"/>
      </w:pPr>
    </w:p>
    <w:p w:rsidR="00B57705" w:rsidP="00B57705" w:rsidRDefault="00B57705" w14:paraId="7965BBA4" w14:textId="181BB96E">
      <w:pPr>
        <w:spacing w:line="240" w:lineRule="exact"/>
      </w:pPr>
      <w:r>
        <w:t>Dit</w:t>
      </w:r>
      <w:r w:rsidRPr="00E202E6">
        <w:t xml:space="preserve"> houdt in dat de T</w:t>
      </w:r>
      <w:r>
        <w:t>oeslagenwet</w:t>
      </w:r>
      <w:r w:rsidRPr="00E202E6">
        <w:t xml:space="preserve"> fundamenteel vereenvoudigd zou kunnen worden door het sociaal minimum volledig te incorporeren in de basiswetten, waarmee de T</w:t>
      </w:r>
      <w:r>
        <w:t>oeslagenwet</w:t>
      </w:r>
      <w:r w:rsidRPr="00E202E6">
        <w:t xml:space="preserve"> overbodig wordt. </w:t>
      </w:r>
      <w:r>
        <w:t xml:space="preserve">Hierbij wordt </w:t>
      </w:r>
      <w:r w:rsidRPr="00196B7B">
        <w:t>de basis</w:t>
      </w:r>
      <w:r>
        <w:t>wet</w:t>
      </w:r>
      <w:r w:rsidRPr="00196B7B">
        <w:t xml:space="preserve">uitkering </w:t>
      </w:r>
      <w:r w:rsidRPr="00FB4A48">
        <w:t xml:space="preserve">van </w:t>
      </w:r>
      <w:r>
        <w:t>mensen</w:t>
      </w:r>
      <w:r w:rsidRPr="00FB4A48">
        <w:t xml:space="preserve"> die onder het sociaal minimum zitten</w:t>
      </w:r>
      <w:r>
        <w:t>,</w:t>
      </w:r>
      <w:r w:rsidRPr="00FB4A48">
        <w:t xml:space="preserve"> </w:t>
      </w:r>
      <w:r w:rsidRPr="00196B7B">
        <w:t>aan</w:t>
      </w:r>
      <w:r>
        <w:t>gevuld</w:t>
      </w:r>
      <w:r w:rsidRPr="00196B7B">
        <w:t xml:space="preserve"> tot </w:t>
      </w:r>
      <w:r>
        <w:t xml:space="preserve">de alleenstaandennorm van de Toeslagenwet. In de gevallen waarbij het verzekerde loon onder het sociaal minimum ligt, wordt de aanvulling </w:t>
      </w:r>
      <w:r w:rsidRPr="00FB4A48">
        <w:t xml:space="preserve">gemaximeerd op </w:t>
      </w:r>
      <w:r>
        <w:t>het oude loonniveau</w:t>
      </w:r>
      <w:r w:rsidRPr="00FB4A48">
        <w:t>.</w:t>
      </w:r>
      <w:r>
        <w:t xml:space="preserve"> </w:t>
      </w:r>
      <w:r w:rsidRPr="00196B7B">
        <w:t xml:space="preserve">Gevolg is dat de aanvullende </w:t>
      </w:r>
      <w:r>
        <w:t>toeslag voor alleenstaanden</w:t>
      </w:r>
      <w:r w:rsidRPr="00196B7B">
        <w:t xml:space="preserve"> overbodig wordt. Hiermee wordt </w:t>
      </w:r>
      <w:r>
        <w:t xml:space="preserve">voor deze groep </w:t>
      </w:r>
      <w:r w:rsidRPr="00196B7B">
        <w:t>stapeling van regelingen en niet-gebruik van de Toeslagenwet tegengegaan</w:t>
      </w:r>
      <w:r>
        <w:t>. Voor gehuwden en meerpersoonshuishoudens betekent dit dat de Toeslagenwet vervalt en zij voor een aanvulling tot aan het sociaal minimum naar de gemeente kunnen voor een aanvullende bijstandsuitkering.</w:t>
      </w:r>
    </w:p>
    <w:p w:rsidR="00B57705" w:rsidP="00B57705" w:rsidRDefault="00B57705" w14:paraId="4EDC8879" w14:textId="77777777">
      <w:pPr>
        <w:spacing w:line="240" w:lineRule="exact"/>
      </w:pPr>
    </w:p>
    <w:p w:rsidR="00B57705" w:rsidP="00B57705" w:rsidRDefault="00B57705" w14:paraId="7D6C7A92" w14:textId="42F6E69D">
      <w:pPr>
        <w:spacing w:line="240" w:lineRule="exact"/>
      </w:pPr>
      <w:r>
        <w:t xml:space="preserve">Een andere mogelijkheid is </w:t>
      </w:r>
      <w:r w:rsidRPr="00E202E6">
        <w:t>de T</w:t>
      </w:r>
      <w:r>
        <w:t>oeslagenwet</w:t>
      </w:r>
      <w:r w:rsidRPr="00E202E6">
        <w:t xml:space="preserve"> afschaffen en de Participatiewet aan te wijzen als universeel vangnet voor wie een aanvulling tot sociaal minimum nodig heeft, met gelijke voorwaarden voor iedereen.</w:t>
      </w:r>
      <w:r>
        <w:t xml:space="preserve"> </w:t>
      </w:r>
      <w:r w:rsidRPr="00DC21B5">
        <w:t xml:space="preserve">Het is dan niet meer mogelijk om een </w:t>
      </w:r>
      <w:r>
        <w:t xml:space="preserve">aanvullende </w:t>
      </w:r>
      <w:r w:rsidRPr="00DC21B5">
        <w:t>toeslag te krijgen vanuit UWV. Deze maatregel vergroot de begrijpelijkheid van het sociale vangnet, maar betekent voor sommige mensen dat zij geen aanvulling meer zullen ontvangen</w:t>
      </w:r>
      <w:r>
        <w:t xml:space="preserve"> vanwege de</w:t>
      </w:r>
      <w:r w:rsidR="00D3029B">
        <w:t xml:space="preserve"> striktere</w:t>
      </w:r>
      <w:r>
        <w:t xml:space="preserve"> toegangseisen in de Participatiewet. Daarnaast betekent dit dat meer mensen te maken zullen krijgen met twee loketten, namelijk UWV en </w:t>
      </w:r>
      <w:r w:rsidR="00D3029B">
        <w:t xml:space="preserve">hun </w:t>
      </w:r>
      <w:r>
        <w:t xml:space="preserve">gemeente. </w:t>
      </w:r>
    </w:p>
    <w:p w:rsidR="00B57705" w:rsidP="00B57705" w:rsidRDefault="00B57705" w14:paraId="45A73377" w14:textId="77777777">
      <w:pPr>
        <w:spacing w:line="240" w:lineRule="exact"/>
      </w:pPr>
    </w:p>
    <w:p w:rsidR="00B57705" w:rsidP="00B57705" w:rsidRDefault="00B57705" w14:paraId="3A6E42F5" w14:textId="78F6A977">
      <w:pPr>
        <w:spacing w:line="240" w:lineRule="exact"/>
      </w:pPr>
      <w:r>
        <w:t xml:space="preserve">In de C-fiches in de bijlage zijn deze twee maatregelen uitgewerkt, naast andere maatregelen die tussen deze opties in zitten. </w:t>
      </w:r>
      <w:r w:rsidR="00FE7732">
        <w:t>Deze twee</w:t>
      </w:r>
      <w:r>
        <w:t xml:space="preserve"> </w:t>
      </w:r>
      <w:r w:rsidRPr="0056696D">
        <w:t>opties vergen fundamenteel andere keuzes ten aanzien van de aard van de werknemersverzekeringen, de Toeslagenwet en de algemene bijstand.</w:t>
      </w:r>
      <w:r>
        <w:t xml:space="preserve"> De budgettaire consequenties van deze opties zijn substantieel. </w:t>
      </w:r>
    </w:p>
    <w:p w:rsidR="00B57705" w:rsidP="00B57705" w:rsidRDefault="00B57705" w14:paraId="330B8BF8" w14:textId="77777777">
      <w:pPr>
        <w:spacing w:line="240" w:lineRule="exact"/>
      </w:pPr>
    </w:p>
    <w:p w:rsidR="00B57705" w:rsidP="00B57705" w:rsidRDefault="00F05BC2" w14:paraId="5D057033" w14:textId="3FC4B610">
      <w:pPr>
        <w:spacing w:line="240" w:lineRule="exact"/>
      </w:pPr>
      <w:r>
        <w:t>Vanwege de samenhang met andere wetten lopen</w:t>
      </w:r>
      <w:r w:rsidR="00043426">
        <w:t xml:space="preserve"> </w:t>
      </w:r>
      <w:r w:rsidR="00B57705">
        <w:t>d</w:t>
      </w:r>
      <w:r w:rsidRPr="0056696D" w:rsidR="00B57705">
        <w:t xml:space="preserve">eze </w:t>
      </w:r>
      <w:r w:rsidR="0068154B">
        <w:t>fundamentele opties</w:t>
      </w:r>
      <w:r w:rsidRPr="0056696D" w:rsidR="0068154B">
        <w:t xml:space="preserve"> </w:t>
      </w:r>
      <w:r>
        <w:t>mee in</w:t>
      </w:r>
      <w:r w:rsidRPr="0056696D" w:rsidR="00B57705">
        <w:t xml:space="preserve"> de </w:t>
      </w:r>
      <w:r w:rsidR="00043426">
        <w:t>H</w:t>
      </w:r>
      <w:r w:rsidRPr="0056696D" w:rsidR="00B57705">
        <w:t>ervormingsagenda inkomensondersteuning</w:t>
      </w:r>
      <w:r w:rsidR="00043426">
        <w:t>. In deze agenda bezien wij</w:t>
      </w:r>
      <w:r w:rsidRPr="0056696D" w:rsidR="00B57705">
        <w:t xml:space="preserve"> de</w:t>
      </w:r>
      <w:r w:rsidR="00043426">
        <w:t xml:space="preserve"> regelingen in de</w:t>
      </w:r>
      <w:r w:rsidRPr="0056696D" w:rsidR="00B57705">
        <w:t xml:space="preserve"> sociale zekerheid in</w:t>
      </w:r>
      <w:r w:rsidR="00043426">
        <w:t xml:space="preserve"> het</w:t>
      </w:r>
      <w:r w:rsidRPr="0056696D" w:rsidR="00B57705">
        <w:t xml:space="preserve"> breder</w:t>
      </w:r>
      <w:r w:rsidR="00043426">
        <w:t>e</w:t>
      </w:r>
      <w:r w:rsidRPr="0056696D" w:rsidR="00B57705">
        <w:t xml:space="preserve"> verband</w:t>
      </w:r>
      <w:r w:rsidR="00043426">
        <w:t xml:space="preserve"> van het gehele stelsel.</w:t>
      </w:r>
      <w:r w:rsidRPr="0056696D" w:rsidR="00B57705">
        <w:t xml:space="preserve"> </w:t>
      </w:r>
      <w:r w:rsidR="00B57705">
        <w:t xml:space="preserve"> </w:t>
      </w:r>
      <w:r>
        <w:t>Daarbij</w:t>
      </w:r>
      <w:r w:rsidRPr="0056696D" w:rsidR="00043426">
        <w:t xml:space="preserve"> </w:t>
      </w:r>
      <w:r w:rsidRPr="0056696D" w:rsidR="00B57705">
        <w:t>kunnen de principiële uitgangspunten van de werknemersverzekeringen, de T</w:t>
      </w:r>
      <w:r w:rsidR="00B57705">
        <w:t>oeslagenwet</w:t>
      </w:r>
      <w:r w:rsidRPr="0056696D" w:rsidR="00B57705">
        <w:t xml:space="preserve"> en de bijstand heroverw</w:t>
      </w:r>
      <w:r w:rsidR="00B57705">
        <w:t>o</w:t>
      </w:r>
      <w:r w:rsidRPr="0056696D" w:rsidR="00B57705">
        <w:t>gen worden</w:t>
      </w:r>
      <w:r>
        <w:t xml:space="preserve"> en</w:t>
      </w:r>
      <w:r w:rsidRPr="0056696D" w:rsidR="00B57705">
        <w:t xml:space="preserve"> kunnen de substantiële budgettaire consequenties van dergelijke wijzigingen</w:t>
      </w:r>
      <w:r w:rsidR="00B57705">
        <w:t xml:space="preserve"> scherper</w:t>
      </w:r>
      <w:r w:rsidRPr="0056696D" w:rsidR="00B57705">
        <w:t xml:space="preserve"> in kaart worden gebracht.</w:t>
      </w:r>
      <w:r w:rsidR="00B57705">
        <w:t xml:space="preserve"> Uw Kamer wordt voor de zomer geïnformeerd over de </w:t>
      </w:r>
      <w:r w:rsidR="00043426">
        <w:t>H</w:t>
      </w:r>
      <w:r w:rsidR="00B57705">
        <w:t>ervormingsagenda inkomensondersteuning.</w:t>
      </w:r>
      <w:r w:rsidRPr="00B57705" w:rsidR="00B57705">
        <w:rPr>
          <w:color w:val="auto"/>
          <w:highlight w:val="yellow"/>
        </w:rPr>
        <w:t xml:space="preserve"> </w:t>
      </w:r>
    </w:p>
    <w:p w:rsidRPr="00E202E6" w:rsidR="00B57705" w:rsidP="00B57705" w:rsidRDefault="00B57705" w14:paraId="34AE3CD4" w14:textId="77777777"/>
    <w:p w:rsidR="00B57705" w:rsidP="00B57705" w:rsidRDefault="00B57705" w14:paraId="1B6064DD" w14:textId="77777777">
      <w:pPr>
        <w:spacing w:line="240" w:lineRule="exact"/>
        <w:rPr>
          <w:i/>
          <w:iCs/>
        </w:rPr>
      </w:pPr>
      <w:r>
        <w:rPr>
          <w:i/>
          <w:iCs/>
        </w:rPr>
        <w:lastRenderedPageBreak/>
        <w:t>Vervolg</w:t>
      </w:r>
    </w:p>
    <w:p w:rsidR="00B57705" w:rsidP="00B57705" w:rsidRDefault="00B57705" w14:paraId="5C0A2F93" w14:textId="3E2128FF">
      <w:pPr>
        <w:spacing w:line="240" w:lineRule="exact"/>
      </w:pPr>
      <w:r>
        <w:t xml:space="preserve">De Toeslagenwet is een complexe wet voor mensen en uitvoering. De verkenning met UWV laat uiteenlopende maatregelen zien waarmee de Toeslagenwet vereenvoudigd kan worden. </w:t>
      </w:r>
    </w:p>
    <w:p w:rsidR="00B57705" w:rsidP="00B57705" w:rsidRDefault="00B57705" w14:paraId="0DD00A93" w14:textId="77777777">
      <w:pPr>
        <w:spacing w:line="240" w:lineRule="exact"/>
      </w:pPr>
    </w:p>
    <w:p w:rsidR="00AA1519" w:rsidP="00B57705" w:rsidRDefault="00E86073" w14:paraId="4A38D049" w14:textId="6574166B">
      <w:pPr>
        <w:spacing w:line="240" w:lineRule="exact"/>
      </w:pPr>
      <w:r w:rsidRPr="00E86073">
        <w:t xml:space="preserve">In de voorjaarsbesluitvorming 2025 </w:t>
      </w:r>
      <w:r w:rsidR="00763588">
        <w:t>waren</w:t>
      </w:r>
      <w:r w:rsidRPr="00E86073" w:rsidR="00763588">
        <w:t xml:space="preserve"> </w:t>
      </w:r>
      <w:r w:rsidRPr="00E86073">
        <w:t xml:space="preserve">middelen </w:t>
      </w:r>
      <w:r w:rsidRPr="00E86073" w:rsidR="00F82757">
        <w:t>vrijgemaakt</w:t>
      </w:r>
      <w:r w:rsidRPr="00E86073">
        <w:t xml:space="preserve"> om de Toeslagenwet op korte termijn te vereenvoudigen. Dit betr</w:t>
      </w:r>
      <w:r w:rsidR="00D70DF7">
        <w:t>of</w:t>
      </w:r>
      <w:r w:rsidRPr="00E86073">
        <w:t xml:space="preserve"> ongeveer €4 miljoen per jaar. </w:t>
      </w:r>
      <w:r w:rsidR="00877E27">
        <w:t>Het pakket aan</w:t>
      </w:r>
      <w:r w:rsidRPr="00E86073" w:rsidR="00877E27">
        <w:t xml:space="preserve"> </w:t>
      </w:r>
      <w:r w:rsidRPr="00E86073">
        <w:t>maatregelen d</w:t>
      </w:r>
      <w:r w:rsidR="0020163C">
        <w:t>at</w:t>
      </w:r>
      <w:r w:rsidRPr="00E86073">
        <w:t xml:space="preserve"> binnen </w:t>
      </w:r>
      <w:r w:rsidR="00A4265C">
        <w:t>d</w:t>
      </w:r>
      <w:r w:rsidR="00877E27">
        <w:t>eze middelen</w:t>
      </w:r>
      <w:r w:rsidRPr="00E86073">
        <w:t xml:space="preserve"> genomen </w:t>
      </w:r>
      <w:r w:rsidR="0020163C">
        <w:t>kan</w:t>
      </w:r>
      <w:r w:rsidRPr="00E86073" w:rsidR="0020163C">
        <w:t xml:space="preserve"> </w:t>
      </w:r>
      <w:r w:rsidRPr="00E86073">
        <w:t>worden, leid</w:t>
      </w:r>
      <w:r w:rsidR="0020163C">
        <w:t>t</w:t>
      </w:r>
      <w:r w:rsidRPr="00E86073">
        <w:t xml:space="preserve"> maar beperkt tot een vereenvoudiging voor mensen en uitvoering. </w:t>
      </w:r>
      <w:r w:rsidR="00B95339">
        <w:t>Mede d</w:t>
      </w:r>
      <w:r w:rsidRPr="00E86073">
        <w:t xml:space="preserve">aarom is in de voorjaarsbesluitvorming 2026 besloten om deze middelen </w:t>
      </w:r>
      <w:r w:rsidR="0053036A">
        <w:t xml:space="preserve">in te zetten voor de tegenvaller op de </w:t>
      </w:r>
      <w:r w:rsidR="004B66EA">
        <w:t>SZW-begroting</w:t>
      </w:r>
      <w:r w:rsidRPr="00E86073">
        <w:t>.</w:t>
      </w:r>
    </w:p>
    <w:p w:rsidR="00B57705" w:rsidP="00B57705" w:rsidRDefault="00B57705" w14:paraId="67D0CA81" w14:textId="77777777">
      <w:pPr>
        <w:spacing w:line="240" w:lineRule="exact"/>
      </w:pPr>
    </w:p>
    <w:p w:rsidR="00B57705" w:rsidP="00B57705" w:rsidRDefault="00DD5DB8" w14:paraId="03A65AFA" w14:textId="07256F97">
      <w:pPr>
        <w:spacing w:line="240" w:lineRule="exact"/>
      </w:pPr>
      <w:r>
        <w:t xml:space="preserve">Een fundamentele vereenvoudiging van de Toeslagenwet vraagt om een integrale blik op het </w:t>
      </w:r>
      <w:r w:rsidRPr="00C51C08">
        <w:t>vangnet dat ervoor moet zorgen dat iedereen in de noodzakelijke bestaanskosten kan voorzien.</w:t>
      </w:r>
      <w:r>
        <w:t xml:space="preserve"> </w:t>
      </w:r>
      <w:r w:rsidR="00B57705">
        <w:t xml:space="preserve">Centraal staat de vraag op welke manier mensen een aanvulling zouden moeten krijgen tot het sociaal minimum. </w:t>
      </w:r>
      <w:r w:rsidR="008A7938">
        <w:t>Deze vraag verkennen wij verder in het kader van de Hervormingsagenda inkomensondersteuning.</w:t>
      </w:r>
      <w:r w:rsidR="00074DB6">
        <w:t xml:space="preserve"> Uw Kamer wordt voor de zomer geïnformeerd over de Hervormingsagenda inkomensondersteuning.</w:t>
      </w:r>
      <w:r w:rsidR="008A7938">
        <w:t xml:space="preserve"> </w:t>
      </w:r>
    </w:p>
    <w:p w:rsidR="002D4294" w:rsidRDefault="002D4294" w14:paraId="382A9DEB" w14:textId="77777777"/>
    <w:p w:rsidR="002D4294" w:rsidRDefault="002D4294" w14:paraId="382A9DED" w14:textId="77777777">
      <w:pPr>
        <w:pStyle w:val="WitregelW1bodytekst"/>
      </w:pPr>
    </w:p>
    <w:p w:rsidR="002D4294" w:rsidRDefault="00576AD5" w14:paraId="382A9DEE" w14:textId="013568E3">
      <w:r>
        <w:t xml:space="preserve">De Minister van Sociale Zaken            De Minister van Werk                              en </w:t>
      </w:r>
      <w:proofErr w:type="gramStart"/>
      <w:r w:rsidR="00F82757">
        <w:t xml:space="preserve">Werkgelegenheid,  </w:t>
      </w:r>
      <w:r>
        <w:t xml:space="preserve"> </w:t>
      </w:r>
      <w:proofErr w:type="gramEnd"/>
      <w:r>
        <w:t xml:space="preserve">                     </w:t>
      </w:r>
      <w:r w:rsidR="00F82757">
        <w:t xml:space="preserve"> </w:t>
      </w:r>
      <w:r>
        <w:t>en Participatie,</w:t>
      </w:r>
    </w:p>
    <w:p w:rsidR="002D4294" w:rsidRDefault="002D4294" w14:paraId="382A9DEF" w14:textId="77777777"/>
    <w:p w:rsidR="002D4294" w:rsidRDefault="002D4294" w14:paraId="382A9DF0" w14:textId="77777777"/>
    <w:p w:rsidR="002D4294" w:rsidRDefault="002D4294" w14:paraId="382A9DF1" w14:textId="77777777"/>
    <w:p w:rsidR="002D4294" w:rsidRDefault="002D4294" w14:paraId="382A9DF2" w14:textId="77777777"/>
    <w:p w:rsidR="002D4294" w:rsidRDefault="002D4294" w14:paraId="382A9DF3" w14:textId="77777777"/>
    <w:p w:rsidR="002D4294" w:rsidRDefault="00576AD5" w14:paraId="382A9DF4" w14:textId="77777777">
      <w:r>
        <w:t>J.A. Vijlbrief                                      A.A. Aartsen</w:t>
      </w:r>
    </w:p>
    <w:sectPr w:rsidR="002D429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9DFD" w14:textId="77777777" w:rsidR="00576AD5" w:rsidRDefault="00576AD5">
      <w:pPr>
        <w:spacing w:line="240" w:lineRule="auto"/>
      </w:pPr>
      <w:r>
        <w:separator/>
      </w:r>
    </w:p>
  </w:endnote>
  <w:endnote w:type="continuationSeparator" w:id="0">
    <w:p w14:paraId="382A9DFF" w14:textId="77777777" w:rsidR="00576AD5" w:rsidRDefault="00576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3173" w14:textId="77777777" w:rsidR="001C5A82" w:rsidRDefault="001C5A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D726" w14:textId="77777777" w:rsidR="001C5A82" w:rsidRDefault="001C5A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771A" w14:textId="77777777" w:rsidR="001C5A82" w:rsidRDefault="001C5A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9DF9" w14:textId="77777777" w:rsidR="00576AD5" w:rsidRDefault="00576AD5">
      <w:pPr>
        <w:spacing w:line="240" w:lineRule="auto"/>
      </w:pPr>
      <w:r>
        <w:separator/>
      </w:r>
    </w:p>
  </w:footnote>
  <w:footnote w:type="continuationSeparator" w:id="0">
    <w:p w14:paraId="382A9DFB" w14:textId="77777777" w:rsidR="00576AD5" w:rsidRDefault="00576AD5">
      <w:pPr>
        <w:spacing w:line="240" w:lineRule="auto"/>
      </w:pPr>
      <w:r>
        <w:continuationSeparator/>
      </w:r>
    </w:p>
  </w:footnote>
  <w:footnote w:id="1">
    <w:p w14:paraId="70F85B69" w14:textId="77777777" w:rsidR="004920CE" w:rsidRPr="00E67F2A" w:rsidRDefault="004920CE" w:rsidP="004920CE">
      <w:pPr>
        <w:pStyle w:val="Voetnoottekst"/>
        <w:rPr>
          <w:sz w:val="16"/>
          <w:szCs w:val="16"/>
        </w:rPr>
      </w:pPr>
      <w:r w:rsidRPr="00E67F2A">
        <w:rPr>
          <w:rStyle w:val="Voetnootmarkering"/>
          <w:sz w:val="16"/>
          <w:szCs w:val="16"/>
        </w:rPr>
        <w:footnoteRef/>
      </w:r>
      <w:r w:rsidRPr="00E67F2A">
        <w:rPr>
          <w:sz w:val="16"/>
          <w:szCs w:val="16"/>
        </w:rPr>
        <w:t xml:space="preserve"> Bijlage bij Kamerstukken II 2022/23, 29 362, nr. 328</w:t>
      </w:r>
    </w:p>
  </w:footnote>
  <w:footnote w:id="2">
    <w:p w14:paraId="5072EB35" w14:textId="77777777" w:rsidR="00FF56A7" w:rsidRPr="00E67F2A" w:rsidRDefault="00FF56A7" w:rsidP="00FF56A7">
      <w:pPr>
        <w:pStyle w:val="Voetnoottekst"/>
        <w:rPr>
          <w:sz w:val="16"/>
          <w:szCs w:val="16"/>
        </w:rPr>
      </w:pPr>
      <w:r w:rsidRPr="00E67F2A">
        <w:rPr>
          <w:rStyle w:val="Voetnootmarkering"/>
          <w:sz w:val="16"/>
          <w:szCs w:val="16"/>
        </w:rPr>
        <w:footnoteRef/>
      </w:r>
      <w:r w:rsidRPr="00E67F2A">
        <w:rPr>
          <w:sz w:val="16"/>
          <w:szCs w:val="16"/>
        </w:rPr>
        <w:t xml:space="preserve"> Kamerstukken II 2022/23, 29 362, nr. 328</w:t>
      </w:r>
    </w:p>
  </w:footnote>
  <w:footnote w:id="3">
    <w:p w14:paraId="405A66C6" w14:textId="77777777" w:rsidR="00B57705" w:rsidRPr="00E67F2A" w:rsidRDefault="00B57705" w:rsidP="00B57705">
      <w:pPr>
        <w:pStyle w:val="Voetnoottekst"/>
        <w:rPr>
          <w:sz w:val="16"/>
          <w:szCs w:val="16"/>
        </w:rPr>
      </w:pPr>
      <w:r w:rsidRPr="00E67F2A">
        <w:rPr>
          <w:rStyle w:val="Voetnootmarkering"/>
          <w:sz w:val="16"/>
          <w:szCs w:val="16"/>
        </w:rPr>
        <w:footnoteRef/>
      </w:r>
      <w:r w:rsidRPr="00E67F2A">
        <w:rPr>
          <w:sz w:val="16"/>
          <w:szCs w:val="16"/>
        </w:rPr>
        <w:t xml:space="preserve"> </w:t>
      </w:r>
      <w:r>
        <w:rPr>
          <w:sz w:val="16"/>
          <w:szCs w:val="16"/>
        </w:rPr>
        <w:t xml:space="preserve">Het potentiële niet-gebruik van de Toeslagenwet wordt voor de verschillende basiswetten tussen 35% en 68% ingeschat. </w:t>
      </w:r>
      <w:r w:rsidRPr="00E67F2A">
        <w:rPr>
          <w:sz w:val="16"/>
          <w:szCs w:val="16"/>
        </w:rPr>
        <w:t>Bijlage bij Kamerstukken II 2023/24, 26 448, nr. 733</w:t>
      </w:r>
    </w:p>
  </w:footnote>
  <w:footnote w:id="4">
    <w:p w14:paraId="67258AAA" w14:textId="2E5FAB19" w:rsidR="00B57705" w:rsidRPr="00E67F2A" w:rsidRDefault="00B57705" w:rsidP="00B57705">
      <w:pPr>
        <w:pStyle w:val="Voetnoottekst"/>
        <w:rPr>
          <w:sz w:val="16"/>
          <w:szCs w:val="16"/>
        </w:rPr>
      </w:pPr>
      <w:r w:rsidRPr="00E67F2A">
        <w:rPr>
          <w:rStyle w:val="Voetnootmarkering"/>
          <w:sz w:val="16"/>
          <w:szCs w:val="16"/>
        </w:rPr>
        <w:footnoteRef/>
      </w:r>
      <w:r w:rsidRPr="00E67F2A">
        <w:rPr>
          <w:sz w:val="16"/>
          <w:szCs w:val="16"/>
        </w:rPr>
        <w:t xml:space="preserve"> Bijlage bij Kamerstukken II 2020/21, 26 448, nr. 652 </w:t>
      </w:r>
      <w:r w:rsidR="008B553B" w:rsidRPr="008B553B">
        <w:rPr>
          <w:sz w:val="16"/>
          <w:szCs w:val="16"/>
        </w:rPr>
        <w:t>en bijlage bij Kamerstukken II 2013/14, 33 801, nr. 3</w:t>
      </w:r>
    </w:p>
  </w:footnote>
  <w:footnote w:id="5">
    <w:p w14:paraId="52FC51E6" w14:textId="77777777" w:rsidR="00B57705" w:rsidRDefault="00B57705" w:rsidP="00B57705">
      <w:pPr>
        <w:pStyle w:val="Voetnoottekst"/>
      </w:pPr>
      <w:r w:rsidRPr="00E67F2A">
        <w:rPr>
          <w:rStyle w:val="Voetnootmarkering"/>
          <w:sz w:val="16"/>
          <w:szCs w:val="16"/>
        </w:rPr>
        <w:footnoteRef/>
      </w:r>
      <w:r w:rsidRPr="00E67F2A">
        <w:rPr>
          <w:sz w:val="16"/>
          <w:szCs w:val="16"/>
        </w:rPr>
        <w:t xml:space="preserve"> </w:t>
      </w:r>
      <w:proofErr w:type="gramStart"/>
      <w:r w:rsidRPr="00E67F2A">
        <w:rPr>
          <w:sz w:val="16"/>
          <w:szCs w:val="16"/>
        </w:rPr>
        <w:t>Indien</w:t>
      </w:r>
      <w:proofErr w:type="gramEnd"/>
      <w:r w:rsidRPr="00E67F2A">
        <w:rPr>
          <w:sz w:val="16"/>
          <w:szCs w:val="16"/>
        </w:rPr>
        <w:t xml:space="preserve"> iemands laatstverdiende loon voor intreden van het verzekerd risico al lager lag dan het geldend sociaal minimum, maximeert de Toeslagenwet het bedrag aan aanvullende toeslag tot het laatstverdiende loon.</w:t>
      </w:r>
    </w:p>
  </w:footnote>
  <w:footnote w:id="6">
    <w:p w14:paraId="0BE7B2E9" w14:textId="55E48C8D" w:rsidR="00B12C2B" w:rsidRPr="00B12C2B" w:rsidRDefault="00B12C2B">
      <w:pPr>
        <w:pStyle w:val="Voetnoottekst"/>
        <w:rPr>
          <w:sz w:val="16"/>
          <w:szCs w:val="16"/>
        </w:rPr>
      </w:pPr>
      <w:r w:rsidRPr="00B12C2B">
        <w:rPr>
          <w:rStyle w:val="Voetnootmarkering"/>
          <w:sz w:val="16"/>
          <w:szCs w:val="16"/>
        </w:rPr>
        <w:footnoteRef/>
      </w:r>
      <w:r w:rsidRPr="00B12C2B">
        <w:rPr>
          <w:sz w:val="16"/>
          <w:szCs w:val="16"/>
        </w:rPr>
        <w:t xml:space="preserve"> </w:t>
      </w:r>
      <w:r>
        <w:rPr>
          <w:sz w:val="16"/>
          <w:szCs w:val="16"/>
        </w:rPr>
        <w:t>I</w:t>
      </w:r>
      <w:r w:rsidRPr="00B12C2B">
        <w:rPr>
          <w:sz w:val="16"/>
          <w:szCs w:val="16"/>
        </w:rPr>
        <w:t xml:space="preserve">n het tweede ziektejaar kunnen mensen </w:t>
      </w:r>
      <w:r w:rsidR="007614D0">
        <w:rPr>
          <w:sz w:val="16"/>
          <w:szCs w:val="16"/>
        </w:rPr>
        <w:t xml:space="preserve">ook </w:t>
      </w:r>
      <w:r w:rsidRPr="00B12C2B">
        <w:rPr>
          <w:sz w:val="16"/>
          <w:szCs w:val="16"/>
        </w:rPr>
        <w:t xml:space="preserve">toeslag op loon aanvragen bij UWV als </w:t>
      </w:r>
      <w:proofErr w:type="gramStart"/>
      <w:r w:rsidRPr="00B12C2B">
        <w:rPr>
          <w:sz w:val="16"/>
          <w:szCs w:val="16"/>
        </w:rPr>
        <w:t xml:space="preserve">het </w:t>
      </w:r>
      <w:r w:rsidR="00277A16">
        <w:rPr>
          <w:sz w:val="16"/>
          <w:szCs w:val="16"/>
        </w:rPr>
        <w:t xml:space="preserve">verminderde </w:t>
      </w:r>
      <w:r w:rsidRPr="00B12C2B">
        <w:rPr>
          <w:sz w:val="16"/>
          <w:szCs w:val="16"/>
        </w:rPr>
        <w:t>loon</w:t>
      </w:r>
      <w:r w:rsidR="00277A16">
        <w:rPr>
          <w:sz w:val="16"/>
          <w:szCs w:val="16"/>
        </w:rPr>
        <w:t>doorbetaling</w:t>
      </w:r>
      <w:proofErr w:type="gramEnd"/>
      <w:r w:rsidR="00277A16">
        <w:rPr>
          <w:sz w:val="16"/>
          <w:szCs w:val="16"/>
        </w:rPr>
        <w:t xml:space="preserve"> bij ziekte</w:t>
      </w:r>
      <w:r w:rsidRPr="00B12C2B">
        <w:rPr>
          <w:sz w:val="16"/>
          <w:szCs w:val="16"/>
        </w:rPr>
        <w:t xml:space="preserve"> onder het sociaal minimum komt. </w:t>
      </w:r>
    </w:p>
  </w:footnote>
  <w:footnote w:id="7">
    <w:p w14:paraId="3480E3AF" w14:textId="2B71E656" w:rsidR="007D058F" w:rsidRPr="007D058F" w:rsidRDefault="007D058F">
      <w:pPr>
        <w:pStyle w:val="Voetnoottekst"/>
        <w:rPr>
          <w:sz w:val="16"/>
          <w:szCs w:val="16"/>
        </w:rPr>
      </w:pPr>
      <w:r w:rsidRPr="007D058F">
        <w:rPr>
          <w:rStyle w:val="Voetnootmarkering"/>
          <w:sz w:val="16"/>
          <w:szCs w:val="16"/>
        </w:rPr>
        <w:footnoteRef/>
      </w:r>
      <w:r w:rsidRPr="007D058F">
        <w:rPr>
          <w:sz w:val="16"/>
          <w:szCs w:val="16"/>
        </w:rPr>
        <w:t xml:space="preserve"> Kamerstukken II 1985/86, 19 257, nr. 3</w:t>
      </w:r>
      <w:r>
        <w:rPr>
          <w:sz w:val="16"/>
          <w:szCs w:val="16"/>
        </w:rPr>
        <w:t>.</w:t>
      </w:r>
    </w:p>
  </w:footnote>
  <w:footnote w:id="8">
    <w:p w14:paraId="49BBD5CA" w14:textId="026CC7D3" w:rsidR="0054625F" w:rsidRPr="0054625F" w:rsidRDefault="0054625F">
      <w:pPr>
        <w:pStyle w:val="Voetnoottekst"/>
        <w:rPr>
          <w:sz w:val="16"/>
          <w:szCs w:val="16"/>
        </w:rPr>
      </w:pPr>
      <w:r w:rsidRPr="0054625F">
        <w:rPr>
          <w:rStyle w:val="Voetnootmarkering"/>
          <w:sz w:val="16"/>
          <w:szCs w:val="16"/>
        </w:rPr>
        <w:footnoteRef/>
      </w:r>
      <w:r w:rsidRPr="0054625F">
        <w:rPr>
          <w:sz w:val="16"/>
          <w:szCs w:val="16"/>
        </w:rPr>
        <w:t xml:space="preserve"> Onder basiswet verstaan we de loondervingsuitkeringen bij UWV. Basiswet is geen juridische </w:t>
      </w:r>
      <w:r w:rsidR="00943F3C" w:rsidRPr="0054625F">
        <w:rPr>
          <w:sz w:val="16"/>
          <w:szCs w:val="16"/>
        </w:rPr>
        <w:t xml:space="preserve">bestaande </w:t>
      </w:r>
      <w:r w:rsidRPr="0054625F">
        <w:rPr>
          <w:sz w:val="16"/>
          <w:szCs w:val="16"/>
        </w:rPr>
        <w:t>term, maar wordt in deze kamerbrief gebruikt omwille van de leesbaarheid.</w:t>
      </w:r>
    </w:p>
  </w:footnote>
  <w:footnote w:id="9">
    <w:p w14:paraId="34DEC0DE" w14:textId="395857F4" w:rsidR="00B57705" w:rsidRPr="00E848BA" w:rsidRDefault="00B57705" w:rsidP="00B57705">
      <w:pPr>
        <w:pStyle w:val="Voetnoottekst"/>
        <w:rPr>
          <w:sz w:val="16"/>
          <w:szCs w:val="16"/>
        </w:rPr>
      </w:pPr>
      <w:r w:rsidRPr="00E848BA">
        <w:rPr>
          <w:rStyle w:val="Voetnootmarkering"/>
          <w:sz w:val="16"/>
          <w:szCs w:val="16"/>
        </w:rPr>
        <w:footnoteRef/>
      </w:r>
      <w:r w:rsidRPr="00E848BA">
        <w:rPr>
          <w:sz w:val="16"/>
          <w:szCs w:val="16"/>
        </w:rPr>
        <w:t xml:space="preserve"> Met uitzondering van de Wajong</w:t>
      </w:r>
      <w:r w:rsidR="007614D0">
        <w:rPr>
          <w:sz w:val="16"/>
          <w:szCs w:val="16"/>
        </w:rPr>
        <w:t xml:space="preserve"> en IOW</w:t>
      </w:r>
      <w:r w:rsidRPr="00E848BA">
        <w:rPr>
          <w:sz w:val="16"/>
          <w:szCs w:val="16"/>
        </w:rPr>
        <w:t xml:space="preserve">. Bij de Wajong </w:t>
      </w:r>
      <w:r w:rsidR="007614D0">
        <w:rPr>
          <w:sz w:val="16"/>
          <w:szCs w:val="16"/>
        </w:rPr>
        <w:t xml:space="preserve">en IOW </w:t>
      </w:r>
      <w:r w:rsidRPr="00E848BA">
        <w:rPr>
          <w:sz w:val="16"/>
          <w:szCs w:val="16"/>
        </w:rPr>
        <w:t>wordt met de grondslag gerekend (zie artikel 8a TW).</w:t>
      </w:r>
    </w:p>
  </w:footnote>
  <w:footnote w:id="10">
    <w:p w14:paraId="6099D618" w14:textId="77777777" w:rsidR="00B57705" w:rsidRPr="001F4F38" w:rsidRDefault="00B57705" w:rsidP="00B57705">
      <w:pPr>
        <w:pStyle w:val="Voetnoottekst"/>
        <w:rPr>
          <w:sz w:val="16"/>
          <w:szCs w:val="16"/>
        </w:rPr>
      </w:pPr>
      <w:r w:rsidRPr="001F4F38">
        <w:rPr>
          <w:rStyle w:val="Voetnootmarkering"/>
          <w:sz w:val="16"/>
          <w:szCs w:val="16"/>
        </w:rPr>
        <w:footnoteRef/>
      </w:r>
      <w:r w:rsidRPr="001F4F38">
        <w:rPr>
          <w:sz w:val="16"/>
          <w:szCs w:val="16"/>
        </w:rPr>
        <w:t xml:space="preserve"> </w:t>
      </w:r>
      <w:r>
        <w:rPr>
          <w:sz w:val="16"/>
          <w:szCs w:val="16"/>
        </w:rPr>
        <w:t xml:space="preserve">Bijlage bij Kamerstukken II </w:t>
      </w:r>
      <w:r w:rsidRPr="001742BA">
        <w:rPr>
          <w:sz w:val="16"/>
          <w:szCs w:val="16"/>
        </w:rPr>
        <w:t>2022</w:t>
      </w:r>
      <w:r>
        <w:rPr>
          <w:sz w:val="16"/>
          <w:szCs w:val="16"/>
        </w:rPr>
        <w:t>/</w:t>
      </w:r>
      <w:r w:rsidRPr="001742BA">
        <w:rPr>
          <w:sz w:val="16"/>
          <w:szCs w:val="16"/>
        </w:rPr>
        <w:t>23, 26 448, nr. 696</w:t>
      </w:r>
    </w:p>
  </w:footnote>
  <w:footnote w:id="11">
    <w:p w14:paraId="499455B5" w14:textId="3106369C" w:rsidR="00E74C7B" w:rsidRPr="00E74C7B" w:rsidRDefault="00E74C7B">
      <w:pPr>
        <w:pStyle w:val="Voetnoottekst"/>
        <w:rPr>
          <w:sz w:val="16"/>
          <w:szCs w:val="16"/>
        </w:rPr>
      </w:pPr>
      <w:r w:rsidRPr="00E74C7B">
        <w:rPr>
          <w:rStyle w:val="Voetnootmarkering"/>
          <w:sz w:val="16"/>
          <w:szCs w:val="16"/>
        </w:rPr>
        <w:footnoteRef/>
      </w:r>
      <w:r w:rsidRPr="00E74C7B">
        <w:rPr>
          <w:sz w:val="16"/>
          <w:szCs w:val="16"/>
        </w:rPr>
        <w:t xml:space="preserve">De Toeslagenwet </w:t>
      </w:r>
      <w:r w:rsidR="000A5AA2">
        <w:rPr>
          <w:sz w:val="16"/>
          <w:szCs w:val="16"/>
        </w:rPr>
        <w:t>is ingevoerd in 1986</w:t>
      </w:r>
      <w:r w:rsidR="00A27ED3">
        <w:rPr>
          <w:sz w:val="16"/>
          <w:szCs w:val="16"/>
        </w:rPr>
        <w:t xml:space="preserve">. </w:t>
      </w:r>
      <w:r w:rsidR="005B6DFC">
        <w:rPr>
          <w:sz w:val="16"/>
          <w:szCs w:val="16"/>
        </w:rPr>
        <w:t>De wetgeving is sindsdien minder aangepast op maatschappelijke ontwikkelingen dan andere regelingen, bijvoorbeeld ten aanzien van de aanwezigheid van partners en kinderen in het huishouden.</w:t>
      </w:r>
    </w:p>
  </w:footnote>
  <w:footnote w:id="12">
    <w:p w14:paraId="438B0328" w14:textId="5D9A6324" w:rsidR="00831C26" w:rsidRPr="00831C26" w:rsidRDefault="00831C26">
      <w:pPr>
        <w:pStyle w:val="Voetnoottekst"/>
        <w:rPr>
          <w:sz w:val="16"/>
          <w:szCs w:val="16"/>
        </w:rPr>
      </w:pPr>
      <w:r w:rsidRPr="00831C26">
        <w:rPr>
          <w:rStyle w:val="Voetnootmarkering"/>
          <w:sz w:val="16"/>
          <w:szCs w:val="16"/>
        </w:rPr>
        <w:footnoteRef/>
      </w:r>
      <w:r w:rsidRPr="00831C26">
        <w:rPr>
          <w:sz w:val="16"/>
          <w:szCs w:val="16"/>
        </w:rPr>
        <w:t xml:space="preserve"> Kamerstukken II 2024/25, 36 799,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B661" w14:textId="77777777" w:rsidR="001C5A82" w:rsidRDefault="001C5A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9DF5" w14:textId="77777777" w:rsidR="002D4294" w:rsidRDefault="00576AD5">
    <w:r>
      <w:rPr>
        <w:noProof/>
      </w:rPr>
      <mc:AlternateContent>
        <mc:Choice Requires="wps">
          <w:drawing>
            <wp:anchor distT="0" distB="0" distL="0" distR="0" simplePos="0" relativeHeight="251654144" behindDoc="0" locked="1" layoutInCell="1" allowOverlap="1" wp14:anchorId="382A9DF9" wp14:editId="382A9DFA">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82A9E29" w14:textId="77777777" w:rsidR="002D4294" w:rsidRDefault="002D4294">
                          <w:pPr>
                            <w:pStyle w:val="WitregelW2"/>
                          </w:pPr>
                        </w:p>
                        <w:p w14:paraId="382A9E2A" w14:textId="77777777" w:rsidR="002D4294" w:rsidRDefault="00576AD5">
                          <w:pPr>
                            <w:pStyle w:val="Referentiegegevenskopjes"/>
                          </w:pPr>
                          <w:r>
                            <w:t>Datum</w:t>
                          </w:r>
                        </w:p>
                        <w:p w14:paraId="6B6FE749" w14:textId="149AB656" w:rsidR="001D6380" w:rsidRDefault="00F82757">
                          <w:pPr>
                            <w:pStyle w:val="Referentiegegevens"/>
                          </w:pPr>
                          <w:r>
                            <w:t>09-07-2026</w:t>
                          </w:r>
                          <w:r w:rsidR="00E60103">
                            <w:fldChar w:fldCharType="begin"/>
                          </w:r>
                          <w:r w:rsidR="00E60103">
                            <w:instrText xml:space="preserve"> DOCPROPERTY  "iDatum"  \* MERGEFORMAT </w:instrText>
                          </w:r>
                          <w:r w:rsidR="00E60103">
                            <w:fldChar w:fldCharType="end"/>
                          </w:r>
                        </w:p>
                        <w:p w14:paraId="382A9E2C" w14:textId="77777777" w:rsidR="002D4294" w:rsidRDefault="002D4294">
                          <w:pPr>
                            <w:pStyle w:val="WitregelW1"/>
                          </w:pPr>
                        </w:p>
                        <w:p w14:paraId="382A9E2D" w14:textId="77777777" w:rsidR="002D4294" w:rsidRDefault="00576AD5">
                          <w:pPr>
                            <w:pStyle w:val="Referentiegegevenskopjes"/>
                          </w:pPr>
                          <w:r>
                            <w:t>Onze referentie</w:t>
                          </w:r>
                        </w:p>
                        <w:p w14:paraId="3F08BA28" w14:textId="718E717E" w:rsidR="001D6380" w:rsidRDefault="00E60103">
                          <w:pPr>
                            <w:pStyle w:val="ReferentiegegevensHL"/>
                          </w:pPr>
                          <w:r>
                            <w:fldChar w:fldCharType="begin"/>
                          </w:r>
                          <w:r>
                            <w:instrText xml:space="preserve"> DOCPROPERTY  "iOnsKenmerk"  \* MERGEFORMAT </w:instrText>
                          </w:r>
                          <w:r>
                            <w:fldChar w:fldCharType="separate"/>
                          </w:r>
                          <w:r w:rsidR="001C5A82">
                            <w:t>2026-0000187275</w:t>
                          </w:r>
                          <w:r>
                            <w:fldChar w:fldCharType="end"/>
                          </w:r>
                        </w:p>
                      </w:txbxContent>
                    </wps:txbx>
                    <wps:bodyPr vert="horz" wrap="square" lIns="0" tIns="0" rIns="0" bIns="0" anchor="t" anchorCtr="0"/>
                  </wps:wsp>
                </a:graphicData>
              </a:graphic>
            </wp:anchor>
          </w:drawing>
        </mc:Choice>
        <mc:Fallback>
          <w:pict>
            <v:shapetype w14:anchorId="382A9DF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82A9E29" w14:textId="77777777" w:rsidR="002D4294" w:rsidRDefault="002D4294">
                    <w:pPr>
                      <w:pStyle w:val="WitregelW2"/>
                    </w:pPr>
                  </w:p>
                  <w:p w14:paraId="382A9E2A" w14:textId="77777777" w:rsidR="002D4294" w:rsidRDefault="00576AD5">
                    <w:pPr>
                      <w:pStyle w:val="Referentiegegevenskopjes"/>
                    </w:pPr>
                    <w:r>
                      <w:t>Datum</w:t>
                    </w:r>
                  </w:p>
                  <w:p w14:paraId="6B6FE749" w14:textId="149AB656" w:rsidR="001D6380" w:rsidRDefault="00F82757">
                    <w:pPr>
                      <w:pStyle w:val="Referentiegegevens"/>
                    </w:pPr>
                    <w:r>
                      <w:t>09-07-2026</w:t>
                    </w:r>
                    <w:r w:rsidR="00E60103">
                      <w:fldChar w:fldCharType="begin"/>
                    </w:r>
                    <w:r w:rsidR="00E60103">
                      <w:instrText xml:space="preserve"> DOCPROPERTY  "iDatum"  \* MERGEFORMAT </w:instrText>
                    </w:r>
                    <w:r w:rsidR="00E60103">
                      <w:fldChar w:fldCharType="end"/>
                    </w:r>
                  </w:p>
                  <w:p w14:paraId="382A9E2C" w14:textId="77777777" w:rsidR="002D4294" w:rsidRDefault="002D4294">
                    <w:pPr>
                      <w:pStyle w:val="WitregelW1"/>
                    </w:pPr>
                  </w:p>
                  <w:p w14:paraId="382A9E2D" w14:textId="77777777" w:rsidR="002D4294" w:rsidRDefault="00576AD5">
                    <w:pPr>
                      <w:pStyle w:val="Referentiegegevenskopjes"/>
                    </w:pPr>
                    <w:r>
                      <w:t>Onze referentie</w:t>
                    </w:r>
                  </w:p>
                  <w:p w14:paraId="3F08BA28" w14:textId="718E717E" w:rsidR="001D6380" w:rsidRDefault="00E60103">
                    <w:pPr>
                      <w:pStyle w:val="ReferentiegegevensHL"/>
                    </w:pPr>
                    <w:r>
                      <w:fldChar w:fldCharType="begin"/>
                    </w:r>
                    <w:r>
                      <w:instrText xml:space="preserve"> DOCPROPERTY  "iOnsKenmerk"  \* MERGEFORMAT </w:instrText>
                    </w:r>
                    <w:r>
                      <w:fldChar w:fldCharType="separate"/>
                    </w:r>
                    <w:r w:rsidR="001C5A82">
                      <w:t>2026-0000187275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82A9DFB" wp14:editId="382A9DFC">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B371D43" w14:textId="77777777" w:rsidR="001D6380" w:rsidRDefault="00E6010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82A9DF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B371D43" w14:textId="77777777" w:rsidR="001D6380" w:rsidRDefault="00E6010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9DF7" w14:textId="77777777" w:rsidR="002D4294" w:rsidRDefault="00576AD5">
    <w:pPr>
      <w:spacing w:after="7029" w:line="14" w:lineRule="exact"/>
    </w:pPr>
    <w:r>
      <w:rPr>
        <w:noProof/>
      </w:rPr>
      <mc:AlternateContent>
        <mc:Choice Requires="wps">
          <w:drawing>
            <wp:anchor distT="0" distB="0" distL="0" distR="0" simplePos="0" relativeHeight="251656192" behindDoc="0" locked="1" layoutInCell="1" allowOverlap="1" wp14:anchorId="382A9DFD" wp14:editId="382A9DF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2A9E09" w14:textId="77777777" w:rsidR="002D4294" w:rsidRDefault="00576AD5">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82A9DFD"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82A9E09" w14:textId="77777777" w:rsidR="002D4294" w:rsidRDefault="00576AD5">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82A9DFF" wp14:editId="382A9E00">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82A9E0B" w14:textId="77777777" w:rsidR="002D4294" w:rsidRDefault="002D4294">
                          <w:pPr>
                            <w:pStyle w:val="WitregelW1"/>
                          </w:pPr>
                        </w:p>
                        <w:p w14:paraId="382A9E0C" w14:textId="77777777" w:rsidR="002D4294" w:rsidRPr="00B57705" w:rsidRDefault="00576AD5">
                          <w:pPr>
                            <w:pStyle w:val="Afzendgegevens"/>
                            <w:rPr>
                              <w:lang w:val="de-DE"/>
                            </w:rPr>
                          </w:pPr>
                          <w:r w:rsidRPr="00B57705">
                            <w:rPr>
                              <w:lang w:val="de-DE"/>
                            </w:rPr>
                            <w:t>Postbus 90801</w:t>
                          </w:r>
                        </w:p>
                        <w:p w14:paraId="382A9E0D" w14:textId="371685A9" w:rsidR="002D4294" w:rsidRPr="00B57705" w:rsidRDefault="00576AD5">
                          <w:pPr>
                            <w:pStyle w:val="Afzendgegevens"/>
                            <w:rPr>
                              <w:lang w:val="de-DE"/>
                            </w:rPr>
                          </w:pPr>
                          <w:r w:rsidRPr="00B57705">
                            <w:rPr>
                              <w:lang w:val="de-DE"/>
                            </w:rPr>
                            <w:t xml:space="preserve">2509 </w:t>
                          </w:r>
                          <w:r w:rsidR="00F82757" w:rsidRPr="00B57705">
                            <w:rPr>
                              <w:lang w:val="de-DE"/>
                            </w:rPr>
                            <w:t>LV Den</w:t>
                          </w:r>
                          <w:r w:rsidRPr="00B57705">
                            <w:rPr>
                              <w:lang w:val="de-DE"/>
                            </w:rPr>
                            <w:t xml:space="preserve"> Haag</w:t>
                          </w:r>
                        </w:p>
                        <w:p w14:paraId="382A9E0E" w14:textId="77777777" w:rsidR="002D4294" w:rsidRPr="00B57705" w:rsidRDefault="00576AD5">
                          <w:pPr>
                            <w:pStyle w:val="Afzendgegevens"/>
                            <w:rPr>
                              <w:lang w:val="de-DE"/>
                            </w:rPr>
                          </w:pPr>
                          <w:r w:rsidRPr="00B57705">
                            <w:rPr>
                              <w:lang w:val="de-DE"/>
                            </w:rPr>
                            <w:t>T   070 333 44 44</w:t>
                          </w:r>
                        </w:p>
                        <w:p w14:paraId="382A9E0F" w14:textId="77777777" w:rsidR="002D4294" w:rsidRPr="00B57705" w:rsidRDefault="002D4294">
                          <w:pPr>
                            <w:pStyle w:val="WitregelW2"/>
                            <w:rPr>
                              <w:lang w:val="de-DE"/>
                            </w:rPr>
                          </w:pPr>
                        </w:p>
                        <w:p w14:paraId="382A9E10" w14:textId="77777777" w:rsidR="002D4294" w:rsidRDefault="00576AD5">
                          <w:pPr>
                            <w:pStyle w:val="Referentiegegevenskopjes"/>
                          </w:pPr>
                          <w:r>
                            <w:t>Onze referentie</w:t>
                          </w:r>
                        </w:p>
                        <w:p w14:paraId="4B5B80F8" w14:textId="51AD475C" w:rsidR="001D6380" w:rsidRDefault="00E60103">
                          <w:pPr>
                            <w:pStyle w:val="ReferentiegegevensHL"/>
                          </w:pPr>
                          <w:r>
                            <w:fldChar w:fldCharType="begin"/>
                          </w:r>
                          <w:r>
                            <w:instrText xml:space="preserve"> DOCPROPERTY  "iOnsKenmerk"  \* MERGEFORMAT </w:instrText>
                          </w:r>
                          <w:r>
                            <w:fldChar w:fldCharType="separate"/>
                          </w:r>
                          <w:r w:rsidR="001C5A82">
                            <w:t>2026-0000187275</w:t>
                          </w:r>
                          <w:r>
                            <w:fldChar w:fldCharType="end"/>
                          </w:r>
                        </w:p>
                        <w:p w14:paraId="382A9E12" w14:textId="77777777" w:rsidR="002D4294" w:rsidRDefault="002D4294">
                          <w:pPr>
                            <w:pStyle w:val="WitregelW1"/>
                          </w:pPr>
                        </w:p>
                        <w:p w14:paraId="106F7B65" w14:textId="72285E0C" w:rsidR="001D6380" w:rsidRDefault="00E60103">
                          <w:pPr>
                            <w:pStyle w:val="Referentiegegevens"/>
                          </w:pPr>
                          <w:r>
                            <w:fldChar w:fldCharType="begin"/>
                          </w:r>
                          <w:r>
                            <w:instrText xml:space="preserve"> DOCPROPERTY  "iCC"  \* MERGEFORMAT </w:instrText>
                          </w:r>
                          <w:r>
                            <w:fldChar w:fldCharType="end"/>
                          </w:r>
                        </w:p>
                        <w:p w14:paraId="382A9E14" w14:textId="77777777" w:rsidR="002D4294" w:rsidRDefault="002D4294">
                          <w:pPr>
                            <w:pStyle w:val="WitregelW1"/>
                          </w:pPr>
                        </w:p>
                        <w:p w14:paraId="43104214" w14:textId="77777777" w:rsidR="00090974" w:rsidRPr="00090974" w:rsidRDefault="00090974">
                          <w:pPr>
                            <w:pStyle w:val="Referentiegegevens"/>
                            <w:rPr>
                              <w:b/>
                              <w:bCs/>
                            </w:rPr>
                          </w:pPr>
                          <w:r w:rsidRPr="00090974">
                            <w:rPr>
                              <w:b/>
                              <w:bCs/>
                            </w:rPr>
                            <w:t xml:space="preserve">Bijlage </w:t>
                          </w:r>
                        </w:p>
                        <w:p w14:paraId="1FDD883E" w14:textId="310AE545" w:rsidR="001D6380" w:rsidRDefault="00E60103">
                          <w:pPr>
                            <w:pStyle w:val="Referentiegegevens"/>
                          </w:pPr>
                          <w:r>
                            <w:t>1</w:t>
                          </w: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82A9DF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82A9E0B" w14:textId="77777777" w:rsidR="002D4294" w:rsidRDefault="002D4294">
                    <w:pPr>
                      <w:pStyle w:val="WitregelW1"/>
                    </w:pPr>
                  </w:p>
                  <w:p w14:paraId="382A9E0C" w14:textId="77777777" w:rsidR="002D4294" w:rsidRPr="00B57705" w:rsidRDefault="00576AD5">
                    <w:pPr>
                      <w:pStyle w:val="Afzendgegevens"/>
                      <w:rPr>
                        <w:lang w:val="de-DE"/>
                      </w:rPr>
                    </w:pPr>
                    <w:r w:rsidRPr="00B57705">
                      <w:rPr>
                        <w:lang w:val="de-DE"/>
                      </w:rPr>
                      <w:t>Postbus 90801</w:t>
                    </w:r>
                  </w:p>
                  <w:p w14:paraId="382A9E0D" w14:textId="371685A9" w:rsidR="002D4294" w:rsidRPr="00B57705" w:rsidRDefault="00576AD5">
                    <w:pPr>
                      <w:pStyle w:val="Afzendgegevens"/>
                      <w:rPr>
                        <w:lang w:val="de-DE"/>
                      </w:rPr>
                    </w:pPr>
                    <w:r w:rsidRPr="00B57705">
                      <w:rPr>
                        <w:lang w:val="de-DE"/>
                      </w:rPr>
                      <w:t xml:space="preserve">2509 </w:t>
                    </w:r>
                    <w:r w:rsidR="00F82757" w:rsidRPr="00B57705">
                      <w:rPr>
                        <w:lang w:val="de-DE"/>
                      </w:rPr>
                      <w:t>LV Den</w:t>
                    </w:r>
                    <w:r w:rsidRPr="00B57705">
                      <w:rPr>
                        <w:lang w:val="de-DE"/>
                      </w:rPr>
                      <w:t xml:space="preserve"> Haag</w:t>
                    </w:r>
                  </w:p>
                  <w:p w14:paraId="382A9E0E" w14:textId="77777777" w:rsidR="002D4294" w:rsidRPr="00B57705" w:rsidRDefault="00576AD5">
                    <w:pPr>
                      <w:pStyle w:val="Afzendgegevens"/>
                      <w:rPr>
                        <w:lang w:val="de-DE"/>
                      </w:rPr>
                    </w:pPr>
                    <w:r w:rsidRPr="00B57705">
                      <w:rPr>
                        <w:lang w:val="de-DE"/>
                      </w:rPr>
                      <w:t>T   070 333 44 44</w:t>
                    </w:r>
                  </w:p>
                  <w:p w14:paraId="382A9E0F" w14:textId="77777777" w:rsidR="002D4294" w:rsidRPr="00B57705" w:rsidRDefault="002D4294">
                    <w:pPr>
                      <w:pStyle w:val="WitregelW2"/>
                      <w:rPr>
                        <w:lang w:val="de-DE"/>
                      </w:rPr>
                    </w:pPr>
                  </w:p>
                  <w:p w14:paraId="382A9E10" w14:textId="77777777" w:rsidR="002D4294" w:rsidRDefault="00576AD5">
                    <w:pPr>
                      <w:pStyle w:val="Referentiegegevenskopjes"/>
                    </w:pPr>
                    <w:r>
                      <w:t>Onze referentie</w:t>
                    </w:r>
                  </w:p>
                  <w:p w14:paraId="4B5B80F8" w14:textId="51AD475C" w:rsidR="001D6380" w:rsidRDefault="00E60103">
                    <w:pPr>
                      <w:pStyle w:val="ReferentiegegevensHL"/>
                    </w:pPr>
                    <w:r>
                      <w:fldChar w:fldCharType="begin"/>
                    </w:r>
                    <w:r>
                      <w:instrText xml:space="preserve"> DOCPROPERTY  "iOnsKenmerk"  \* MERGEFORMAT </w:instrText>
                    </w:r>
                    <w:r>
                      <w:fldChar w:fldCharType="separate"/>
                    </w:r>
                    <w:r w:rsidR="001C5A82">
                      <w:t>2026-0000187275</w:t>
                    </w:r>
                    <w:r>
                      <w:fldChar w:fldCharType="end"/>
                    </w:r>
                  </w:p>
                  <w:p w14:paraId="382A9E12" w14:textId="77777777" w:rsidR="002D4294" w:rsidRDefault="002D4294">
                    <w:pPr>
                      <w:pStyle w:val="WitregelW1"/>
                    </w:pPr>
                  </w:p>
                  <w:p w14:paraId="106F7B65" w14:textId="72285E0C" w:rsidR="001D6380" w:rsidRDefault="00E60103">
                    <w:pPr>
                      <w:pStyle w:val="Referentiegegevens"/>
                    </w:pPr>
                    <w:r>
                      <w:fldChar w:fldCharType="begin"/>
                    </w:r>
                    <w:r>
                      <w:instrText xml:space="preserve"> DOCPROPERTY  "iCC"  \* MERGEFORMAT </w:instrText>
                    </w:r>
                    <w:r>
                      <w:fldChar w:fldCharType="end"/>
                    </w:r>
                  </w:p>
                  <w:p w14:paraId="382A9E14" w14:textId="77777777" w:rsidR="002D4294" w:rsidRDefault="002D4294">
                    <w:pPr>
                      <w:pStyle w:val="WitregelW1"/>
                    </w:pPr>
                  </w:p>
                  <w:p w14:paraId="43104214" w14:textId="77777777" w:rsidR="00090974" w:rsidRPr="00090974" w:rsidRDefault="00090974">
                    <w:pPr>
                      <w:pStyle w:val="Referentiegegevens"/>
                      <w:rPr>
                        <w:b/>
                        <w:bCs/>
                      </w:rPr>
                    </w:pPr>
                    <w:r w:rsidRPr="00090974">
                      <w:rPr>
                        <w:b/>
                        <w:bCs/>
                      </w:rPr>
                      <w:t xml:space="preserve">Bijlage </w:t>
                    </w:r>
                  </w:p>
                  <w:p w14:paraId="1FDD883E" w14:textId="310AE545" w:rsidR="001D6380" w:rsidRDefault="00E60103">
                    <w:pPr>
                      <w:pStyle w:val="Referentiegegevens"/>
                    </w:pPr>
                    <w:r>
                      <w:t>1</w:t>
                    </w: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82A9E01" wp14:editId="382A9E02">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82A9E16" w14:textId="77777777" w:rsidR="002D4294" w:rsidRDefault="00576AD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82A9E01"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82A9E16" w14:textId="77777777" w:rsidR="002D4294" w:rsidRDefault="00576AD5">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82A9E03" wp14:editId="382A9E04">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82A9E17" w14:textId="77777777" w:rsidR="002D4294" w:rsidRDefault="00576AD5">
                          <w:r>
                            <w:t>De voorzitter van de Tweede Kamer der Staten-Generaal</w:t>
                          </w:r>
                        </w:p>
                        <w:p w14:paraId="382A9E18" w14:textId="77777777" w:rsidR="002D4294" w:rsidRDefault="00576AD5">
                          <w:r>
                            <w:t xml:space="preserve">Postbus 20018 </w:t>
                          </w:r>
                        </w:p>
                        <w:p w14:paraId="382A9E19" w14:textId="77777777" w:rsidR="002D4294" w:rsidRDefault="00576AD5">
                          <w:r>
                            <w:t>2500 EA  Den Haag</w:t>
                          </w:r>
                        </w:p>
                        <w:p w14:paraId="382A9E1A" w14:textId="77777777" w:rsidR="002D4294" w:rsidRDefault="00576AD5">
                          <w:pPr>
                            <w:pStyle w:val="KixCode"/>
                          </w:pPr>
                          <w:r>
                            <w:t>2500 EA</w:t>
                          </w:r>
                        </w:p>
                      </w:txbxContent>
                    </wps:txbx>
                    <wps:bodyPr vert="horz" wrap="square" lIns="0" tIns="0" rIns="0" bIns="0" anchor="t" anchorCtr="0"/>
                  </wps:wsp>
                </a:graphicData>
              </a:graphic>
            </wp:anchor>
          </w:drawing>
        </mc:Choice>
        <mc:Fallback>
          <w:pict>
            <v:shape w14:anchorId="382A9E03"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82A9E17" w14:textId="77777777" w:rsidR="002D4294" w:rsidRDefault="00576AD5">
                    <w:r>
                      <w:t>De voorzitter van de Tweede Kamer der Staten-Generaal</w:t>
                    </w:r>
                  </w:p>
                  <w:p w14:paraId="382A9E18" w14:textId="77777777" w:rsidR="002D4294" w:rsidRDefault="00576AD5">
                    <w:r>
                      <w:t xml:space="preserve">Postbus 20018 </w:t>
                    </w:r>
                  </w:p>
                  <w:p w14:paraId="382A9E19" w14:textId="77777777" w:rsidR="002D4294" w:rsidRDefault="00576AD5">
                    <w:r>
                      <w:t>2500 EA  Den Haag</w:t>
                    </w:r>
                  </w:p>
                  <w:p w14:paraId="382A9E1A" w14:textId="77777777" w:rsidR="002D4294" w:rsidRDefault="00576AD5">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82A9E05" wp14:editId="382A9E06">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D4294" w14:paraId="382A9E1D" w14:textId="77777777">
                            <w:trPr>
                              <w:trHeight w:val="200"/>
                            </w:trPr>
                            <w:tc>
                              <w:tcPr>
                                <w:tcW w:w="1134" w:type="dxa"/>
                              </w:tcPr>
                              <w:p w14:paraId="382A9E1B" w14:textId="77777777" w:rsidR="002D4294" w:rsidRDefault="002D4294"/>
                            </w:tc>
                            <w:tc>
                              <w:tcPr>
                                <w:tcW w:w="5244" w:type="dxa"/>
                              </w:tcPr>
                              <w:p w14:paraId="382A9E1C" w14:textId="77777777" w:rsidR="002D4294" w:rsidRDefault="002D4294"/>
                            </w:tc>
                          </w:tr>
                          <w:tr w:rsidR="002D4294" w14:paraId="382A9E20" w14:textId="77777777">
                            <w:trPr>
                              <w:trHeight w:val="240"/>
                            </w:trPr>
                            <w:tc>
                              <w:tcPr>
                                <w:tcW w:w="1134" w:type="dxa"/>
                              </w:tcPr>
                              <w:p w14:paraId="382A9E1E" w14:textId="77777777" w:rsidR="002D4294" w:rsidRDefault="00576AD5">
                                <w:r>
                                  <w:t>Datum</w:t>
                                </w:r>
                              </w:p>
                            </w:tc>
                            <w:tc>
                              <w:tcPr>
                                <w:tcW w:w="5244" w:type="dxa"/>
                              </w:tcPr>
                              <w:p w14:paraId="513710C8" w14:textId="4A21810D" w:rsidR="001D6380" w:rsidRDefault="00F82757">
                                <w:r>
                                  <w:t>9 juli 2026</w:t>
                                </w:r>
                                <w:r w:rsidR="00E60103">
                                  <w:fldChar w:fldCharType="begin"/>
                                </w:r>
                                <w:r w:rsidR="00E60103">
                                  <w:instrText xml:space="preserve"> DOCPROPERTY  "iDatum"  \* MERGEFORMAT </w:instrText>
                                </w:r>
                                <w:r w:rsidR="00E60103">
                                  <w:fldChar w:fldCharType="end"/>
                                </w:r>
                              </w:p>
                            </w:tc>
                          </w:tr>
                          <w:tr w:rsidR="002D4294" w14:paraId="382A9E23" w14:textId="77777777">
                            <w:trPr>
                              <w:trHeight w:val="240"/>
                            </w:trPr>
                            <w:tc>
                              <w:tcPr>
                                <w:tcW w:w="1134" w:type="dxa"/>
                              </w:tcPr>
                              <w:p w14:paraId="382A9E21" w14:textId="77777777" w:rsidR="002D4294" w:rsidRDefault="00576AD5">
                                <w:r>
                                  <w:t>Betreft</w:t>
                                </w:r>
                              </w:p>
                            </w:tc>
                            <w:tc>
                              <w:tcPr>
                                <w:tcW w:w="5244" w:type="dxa"/>
                              </w:tcPr>
                              <w:p w14:paraId="488B9A41" w14:textId="4F983F07" w:rsidR="001D6380" w:rsidRDefault="00E60103">
                                <w:r>
                                  <w:fldChar w:fldCharType="begin"/>
                                </w:r>
                                <w:r>
                                  <w:instrText xml:space="preserve"> DOCPROPERTY  "iOnderwerp"  \* MERGEFORMAT </w:instrText>
                                </w:r>
                                <w:r>
                                  <w:fldChar w:fldCharType="separate"/>
                                </w:r>
                                <w:r w:rsidR="001C5A82">
                                  <w:t>Verkenning vereenvoudiging Toeslagenwet</w:t>
                                </w:r>
                                <w:r>
                                  <w:fldChar w:fldCharType="end"/>
                                </w:r>
                              </w:p>
                            </w:tc>
                          </w:tr>
                          <w:tr w:rsidR="002D4294" w14:paraId="382A9E26" w14:textId="77777777">
                            <w:trPr>
                              <w:trHeight w:val="200"/>
                            </w:trPr>
                            <w:tc>
                              <w:tcPr>
                                <w:tcW w:w="1134" w:type="dxa"/>
                              </w:tcPr>
                              <w:p w14:paraId="382A9E24" w14:textId="77777777" w:rsidR="002D4294" w:rsidRDefault="002D4294"/>
                            </w:tc>
                            <w:tc>
                              <w:tcPr>
                                <w:tcW w:w="5244" w:type="dxa"/>
                              </w:tcPr>
                              <w:p w14:paraId="382A9E25" w14:textId="77777777" w:rsidR="002D4294" w:rsidRDefault="002D4294"/>
                            </w:tc>
                          </w:tr>
                        </w:tbl>
                        <w:p w14:paraId="382A9E34" w14:textId="77777777" w:rsidR="00576AD5" w:rsidRDefault="00576AD5"/>
                      </w:txbxContent>
                    </wps:txbx>
                    <wps:bodyPr vert="horz" wrap="square" lIns="0" tIns="0" rIns="0" bIns="0" anchor="t" anchorCtr="0"/>
                  </wps:wsp>
                </a:graphicData>
              </a:graphic>
            </wp:anchor>
          </w:drawing>
        </mc:Choice>
        <mc:Fallback>
          <w:pict>
            <v:shape w14:anchorId="382A9E0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D4294" w14:paraId="382A9E1D" w14:textId="77777777">
                      <w:trPr>
                        <w:trHeight w:val="200"/>
                      </w:trPr>
                      <w:tc>
                        <w:tcPr>
                          <w:tcW w:w="1134" w:type="dxa"/>
                        </w:tcPr>
                        <w:p w14:paraId="382A9E1B" w14:textId="77777777" w:rsidR="002D4294" w:rsidRDefault="002D4294"/>
                      </w:tc>
                      <w:tc>
                        <w:tcPr>
                          <w:tcW w:w="5244" w:type="dxa"/>
                        </w:tcPr>
                        <w:p w14:paraId="382A9E1C" w14:textId="77777777" w:rsidR="002D4294" w:rsidRDefault="002D4294"/>
                      </w:tc>
                    </w:tr>
                    <w:tr w:rsidR="002D4294" w14:paraId="382A9E20" w14:textId="77777777">
                      <w:trPr>
                        <w:trHeight w:val="240"/>
                      </w:trPr>
                      <w:tc>
                        <w:tcPr>
                          <w:tcW w:w="1134" w:type="dxa"/>
                        </w:tcPr>
                        <w:p w14:paraId="382A9E1E" w14:textId="77777777" w:rsidR="002D4294" w:rsidRDefault="00576AD5">
                          <w:r>
                            <w:t>Datum</w:t>
                          </w:r>
                        </w:p>
                      </w:tc>
                      <w:tc>
                        <w:tcPr>
                          <w:tcW w:w="5244" w:type="dxa"/>
                        </w:tcPr>
                        <w:p w14:paraId="513710C8" w14:textId="4A21810D" w:rsidR="001D6380" w:rsidRDefault="00F82757">
                          <w:r>
                            <w:t>9 juli 2026</w:t>
                          </w:r>
                          <w:r w:rsidR="00E60103">
                            <w:fldChar w:fldCharType="begin"/>
                          </w:r>
                          <w:r w:rsidR="00E60103">
                            <w:instrText xml:space="preserve"> DOCPROPERTY  "iDatum"  \* MERGEFORMAT </w:instrText>
                          </w:r>
                          <w:r w:rsidR="00E60103">
                            <w:fldChar w:fldCharType="end"/>
                          </w:r>
                        </w:p>
                      </w:tc>
                    </w:tr>
                    <w:tr w:rsidR="002D4294" w14:paraId="382A9E23" w14:textId="77777777">
                      <w:trPr>
                        <w:trHeight w:val="240"/>
                      </w:trPr>
                      <w:tc>
                        <w:tcPr>
                          <w:tcW w:w="1134" w:type="dxa"/>
                        </w:tcPr>
                        <w:p w14:paraId="382A9E21" w14:textId="77777777" w:rsidR="002D4294" w:rsidRDefault="00576AD5">
                          <w:r>
                            <w:t>Betreft</w:t>
                          </w:r>
                        </w:p>
                      </w:tc>
                      <w:tc>
                        <w:tcPr>
                          <w:tcW w:w="5244" w:type="dxa"/>
                        </w:tcPr>
                        <w:p w14:paraId="488B9A41" w14:textId="4F983F07" w:rsidR="001D6380" w:rsidRDefault="00E60103">
                          <w:r>
                            <w:fldChar w:fldCharType="begin"/>
                          </w:r>
                          <w:r>
                            <w:instrText xml:space="preserve"> DOCPROPERTY  "iOnderwerp"  \* MERGEFORMAT </w:instrText>
                          </w:r>
                          <w:r>
                            <w:fldChar w:fldCharType="separate"/>
                          </w:r>
                          <w:r w:rsidR="001C5A82">
                            <w:t>Verkenning vereenvoudiging Toeslagenwet</w:t>
                          </w:r>
                          <w:r>
                            <w:fldChar w:fldCharType="end"/>
                          </w:r>
                        </w:p>
                      </w:tc>
                    </w:tr>
                    <w:tr w:rsidR="002D4294" w14:paraId="382A9E26" w14:textId="77777777">
                      <w:trPr>
                        <w:trHeight w:val="200"/>
                      </w:trPr>
                      <w:tc>
                        <w:tcPr>
                          <w:tcW w:w="1134" w:type="dxa"/>
                        </w:tcPr>
                        <w:p w14:paraId="382A9E24" w14:textId="77777777" w:rsidR="002D4294" w:rsidRDefault="002D4294"/>
                      </w:tc>
                      <w:tc>
                        <w:tcPr>
                          <w:tcW w:w="5244" w:type="dxa"/>
                        </w:tcPr>
                        <w:p w14:paraId="382A9E25" w14:textId="77777777" w:rsidR="002D4294" w:rsidRDefault="002D4294"/>
                      </w:tc>
                    </w:tr>
                  </w:tbl>
                  <w:p w14:paraId="382A9E34" w14:textId="77777777" w:rsidR="00576AD5" w:rsidRDefault="00576AD5"/>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82A9E07" wp14:editId="382A9E08">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BD29C7" w14:textId="77777777" w:rsidR="001D6380" w:rsidRDefault="00E6010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82A9E07"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FBD29C7" w14:textId="77777777" w:rsidR="001D6380" w:rsidRDefault="00E6010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512BCE"/>
    <w:multiLevelType w:val="multilevel"/>
    <w:tmpl w:val="7BD1C2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8316DEF"/>
    <w:multiLevelType w:val="multilevel"/>
    <w:tmpl w:val="7EFA53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B74FB3B"/>
    <w:multiLevelType w:val="multilevel"/>
    <w:tmpl w:val="6E271CF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4758F8D"/>
    <w:multiLevelType w:val="multilevel"/>
    <w:tmpl w:val="78CD23A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E530E5"/>
    <w:multiLevelType w:val="multilevel"/>
    <w:tmpl w:val="E6BEA8F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B6661D"/>
    <w:multiLevelType w:val="hybridMultilevel"/>
    <w:tmpl w:val="6F4AC7C8"/>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6" w15:restartNumberingAfterBreak="0">
    <w:nsid w:val="39684588"/>
    <w:multiLevelType w:val="multilevel"/>
    <w:tmpl w:val="7B3E664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5535E9"/>
    <w:multiLevelType w:val="multilevel"/>
    <w:tmpl w:val="411D529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4F0E36"/>
    <w:multiLevelType w:val="multilevel"/>
    <w:tmpl w:val="F5EF955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5358556">
    <w:abstractNumId w:val="3"/>
  </w:num>
  <w:num w:numId="2" w16cid:durableId="1410226361">
    <w:abstractNumId w:val="6"/>
  </w:num>
  <w:num w:numId="3" w16cid:durableId="1971400126">
    <w:abstractNumId w:val="1"/>
  </w:num>
  <w:num w:numId="4" w16cid:durableId="2138185717">
    <w:abstractNumId w:val="0"/>
  </w:num>
  <w:num w:numId="5" w16cid:durableId="1719431701">
    <w:abstractNumId w:val="2"/>
  </w:num>
  <w:num w:numId="6" w16cid:durableId="889270583">
    <w:abstractNumId w:val="4"/>
  </w:num>
  <w:num w:numId="7" w16cid:durableId="1160850291">
    <w:abstractNumId w:val="7"/>
  </w:num>
  <w:num w:numId="8" w16cid:durableId="186214065">
    <w:abstractNumId w:val="8"/>
  </w:num>
  <w:num w:numId="9" w16cid:durableId="405498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294"/>
    <w:rsid w:val="00012AC7"/>
    <w:rsid w:val="000161D1"/>
    <w:rsid w:val="00043426"/>
    <w:rsid w:val="00074DB6"/>
    <w:rsid w:val="00081E6E"/>
    <w:rsid w:val="00090974"/>
    <w:rsid w:val="000A2CAB"/>
    <w:rsid w:val="000A5AA2"/>
    <w:rsid w:val="000D0FD0"/>
    <w:rsid w:val="000D791C"/>
    <w:rsid w:val="00120CE6"/>
    <w:rsid w:val="00131489"/>
    <w:rsid w:val="00151899"/>
    <w:rsid w:val="001A6B08"/>
    <w:rsid w:val="001C2D80"/>
    <w:rsid w:val="001C4FC4"/>
    <w:rsid w:val="001C599F"/>
    <w:rsid w:val="001C5A82"/>
    <w:rsid w:val="001D6380"/>
    <w:rsid w:val="0020163C"/>
    <w:rsid w:val="002031EC"/>
    <w:rsid w:val="002109C0"/>
    <w:rsid w:val="00235311"/>
    <w:rsid w:val="0023677E"/>
    <w:rsid w:val="00242F89"/>
    <w:rsid w:val="00261B13"/>
    <w:rsid w:val="00275D9C"/>
    <w:rsid w:val="00277A16"/>
    <w:rsid w:val="00293289"/>
    <w:rsid w:val="002C33EB"/>
    <w:rsid w:val="002D4294"/>
    <w:rsid w:val="002F1DA4"/>
    <w:rsid w:val="0030469A"/>
    <w:rsid w:val="0031646C"/>
    <w:rsid w:val="003605D9"/>
    <w:rsid w:val="00362A84"/>
    <w:rsid w:val="00385A2A"/>
    <w:rsid w:val="003A5E7E"/>
    <w:rsid w:val="003C16D8"/>
    <w:rsid w:val="003C2A7F"/>
    <w:rsid w:val="003D6A1F"/>
    <w:rsid w:val="003E5424"/>
    <w:rsid w:val="003E6E63"/>
    <w:rsid w:val="003F48BB"/>
    <w:rsid w:val="00412BD0"/>
    <w:rsid w:val="004329F9"/>
    <w:rsid w:val="00486ED2"/>
    <w:rsid w:val="004920CE"/>
    <w:rsid w:val="00496B3C"/>
    <w:rsid w:val="00497193"/>
    <w:rsid w:val="004A2BD1"/>
    <w:rsid w:val="004B5D88"/>
    <w:rsid w:val="004B66EA"/>
    <w:rsid w:val="005266F1"/>
    <w:rsid w:val="0053036A"/>
    <w:rsid w:val="00533723"/>
    <w:rsid w:val="00543FE5"/>
    <w:rsid w:val="0054625F"/>
    <w:rsid w:val="0054688F"/>
    <w:rsid w:val="00571BDD"/>
    <w:rsid w:val="0057630A"/>
    <w:rsid w:val="00576AD5"/>
    <w:rsid w:val="00587B42"/>
    <w:rsid w:val="005A532B"/>
    <w:rsid w:val="005B6D57"/>
    <w:rsid w:val="005B6DFC"/>
    <w:rsid w:val="005D6CF7"/>
    <w:rsid w:val="006008DD"/>
    <w:rsid w:val="00620148"/>
    <w:rsid w:val="00631A0D"/>
    <w:rsid w:val="00645630"/>
    <w:rsid w:val="00645819"/>
    <w:rsid w:val="006631A7"/>
    <w:rsid w:val="00665AA1"/>
    <w:rsid w:val="0068154B"/>
    <w:rsid w:val="006A391A"/>
    <w:rsid w:val="006C180A"/>
    <w:rsid w:val="006D2CC5"/>
    <w:rsid w:val="006D60E1"/>
    <w:rsid w:val="00704AB9"/>
    <w:rsid w:val="0070553E"/>
    <w:rsid w:val="00757F7A"/>
    <w:rsid w:val="007614D0"/>
    <w:rsid w:val="00763588"/>
    <w:rsid w:val="00770CE7"/>
    <w:rsid w:val="007904BE"/>
    <w:rsid w:val="007924A1"/>
    <w:rsid w:val="007D058F"/>
    <w:rsid w:val="007D4310"/>
    <w:rsid w:val="007E214E"/>
    <w:rsid w:val="00831C26"/>
    <w:rsid w:val="00831E95"/>
    <w:rsid w:val="00840365"/>
    <w:rsid w:val="0086458A"/>
    <w:rsid w:val="00877E27"/>
    <w:rsid w:val="0089051E"/>
    <w:rsid w:val="008A7938"/>
    <w:rsid w:val="008B553B"/>
    <w:rsid w:val="008D248A"/>
    <w:rsid w:val="008D67A1"/>
    <w:rsid w:val="008E0BE7"/>
    <w:rsid w:val="008E76DE"/>
    <w:rsid w:val="009039E5"/>
    <w:rsid w:val="00903AD1"/>
    <w:rsid w:val="00910F87"/>
    <w:rsid w:val="00935E38"/>
    <w:rsid w:val="00937367"/>
    <w:rsid w:val="00943F3C"/>
    <w:rsid w:val="00951D01"/>
    <w:rsid w:val="00957F8F"/>
    <w:rsid w:val="009619B1"/>
    <w:rsid w:val="009849FE"/>
    <w:rsid w:val="009A0081"/>
    <w:rsid w:val="009A5F54"/>
    <w:rsid w:val="009B4E80"/>
    <w:rsid w:val="00A0350F"/>
    <w:rsid w:val="00A10035"/>
    <w:rsid w:val="00A10F8A"/>
    <w:rsid w:val="00A27ED3"/>
    <w:rsid w:val="00A4265C"/>
    <w:rsid w:val="00A42C74"/>
    <w:rsid w:val="00A64EF2"/>
    <w:rsid w:val="00A73086"/>
    <w:rsid w:val="00A75C7B"/>
    <w:rsid w:val="00A81F76"/>
    <w:rsid w:val="00A87EBD"/>
    <w:rsid w:val="00A95E2F"/>
    <w:rsid w:val="00AA1519"/>
    <w:rsid w:val="00B017AF"/>
    <w:rsid w:val="00B12C2B"/>
    <w:rsid w:val="00B26E66"/>
    <w:rsid w:val="00B43608"/>
    <w:rsid w:val="00B57705"/>
    <w:rsid w:val="00B73E6E"/>
    <w:rsid w:val="00B84137"/>
    <w:rsid w:val="00B95339"/>
    <w:rsid w:val="00BA7206"/>
    <w:rsid w:val="00BB7405"/>
    <w:rsid w:val="00BC619E"/>
    <w:rsid w:val="00BD1E9B"/>
    <w:rsid w:val="00BE2664"/>
    <w:rsid w:val="00BF2A92"/>
    <w:rsid w:val="00BF579D"/>
    <w:rsid w:val="00C31DDC"/>
    <w:rsid w:val="00C471F1"/>
    <w:rsid w:val="00C762D4"/>
    <w:rsid w:val="00C95EB3"/>
    <w:rsid w:val="00CC3D50"/>
    <w:rsid w:val="00D27206"/>
    <w:rsid w:val="00D3029B"/>
    <w:rsid w:val="00D30DDE"/>
    <w:rsid w:val="00D51783"/>
    <w:rsid w:val="00D57487"/>
    <w:rsid w:val="00D67E0D"/>
    <w:rsid w:val="00D70DF7"/>
    <w:rsid w:val="00D8442D"/>
    <w:rsid w:val="00DC1AFD"/>
    <w:rsid w:val="00DC1E57"/>
    <w:rsid w:val="00DD5DB8"/>
    <w:rsid w:val="00E00C24"/>
    <w:rsid w:val="00E24689"/>
    <w:rsid w:val="00E323EF"/>
    <w:rsid w:val="00E40136"/>
    <w:rsid w:val="00E45E18"/>
    <w:rsid w:val="00E563BE"/>
    <w:rsid w:val="00E7024A"/>
    <w:rsid w:val="00E74C7B"/>
    <w:rsid w:val="00E75676"/>
    <w:rsid w:val="00E75A8D"/>
    <w:rsid w:val="00E86073"/>
    <w:rsid w:val="00EA02A6"/>
    <w:rsid w:val="00ED4179"/>
    <w:rsid w:val="00EE47CB"/>
    <w:rsid w:val="00F05BC2"/>
    <w:rsid w:val="00F42624"/>
    <w:rsid w:val="00F64180"/>
    <w:rsid w:val="00F82757"/>
    <w:rsid w:val="00F92DA2"/>
    <w:rsid w:val="00FA4728"/>
    <w:rsid w:val="00FA7C86"/>
    <w:rsid w:val="00FB2D10"/>
    <w:rsid w:val="00FE6245"/>
    <w:rsid w:val="00FE674E"/>
    <w:rsid w:val="00FE7732"/>
    <w:rsid w:val="00FF3194"/>
    <w:rsid w:val="00FF56A7"/>
    <w:rsid w:val="00FF7B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382A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B57705"/>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57705"/>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B57705"/>
    <w:rPr>
      <w:vertAlign w:val="superscript"/>
    </w:rPr>
  </w:style>
  <w:style w:type="paragraph" w:styleId="Revisie">
    <w:name w:val="Revision"/>
    <w:hidden/>
    <w:uiPriority w:val="99"/>
    <w:semiHidden/>
    <w:rsid w:val="00F4262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84137"/>
    <w:rPr>
      <w:sz w:val="16"/>
      <w:szCs w:val="16"/>
    </w:rPr>
  </w:style>
  <w:style w:type="paragraph" w:styleId="Tekstopmerking">
    <w:name w:val="annotation text"/>
    <w:basedOn w:val="Standaard"/>
    <w:link w:val="TekstopmerkingChar"/>
    <w:uiPriority w:val="99"/>
    <w:unhideWhenUsed/>
    <w:rsid w:val="00B84137"/>
    <w:pPr>
      <w:spacing w:line="240" w:lineRule="auto"/>
    </w:pPr>
    <w:rPr>
      <w:sz w:val="20"/>
      <w:szCs w:val="20"/>
    </w:rPr>
  </w:style>
  <w:style w:type="character" w:customStyle="1" w:styleId="TekstopmerkingChar">
    <w:name w:val="Tekst opmerking Char"/>
    <w:basedOn w:val="Standaardalinea-lettertype"/>
    <w:link w:val="Tekstopmerking"/>
    <w:uiPriority w:val="99"/>
    <w:rsid w:val="00B8413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84137"/>
    <w:rPr>
      <w:b/>
      <w:bCs/>
    </w:rPr>
  </w:style>
  <w:style w:type="character" w:customStyle="1" w:styleId="OnderwerpvanopmerkingChar">
    <w:name w:val="Onderwerp van opmerking Char"/>
    <w:basedOn w:val="TekstopmerkingChar"/>
    <w:link w:val="Onderwerpvanopmerking"/>
    <w:uiPriority w:val="99"/>
    <w:semiHidden/>
    <w:rsid w:val="00B8413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024">
      <w:bodyDiv w:val="1"/>
      <w:marLeft w:val="0"/>
      <w:marRight w:val="0"/>
      <w:marTop w:val="0"/>
      <w:marBottom w:val="0"/>
      <w:divBdr>
        <w:top w:val="none" w:sz="0" w:space="0" w:color="auto"/>
        <w:left w:val="none" w:sz="0" w:space="0" w:color="auto"/>
        <w:bottom w:val="none" w:sz="0" w:space="0" w:color="auto"/>
        <w:right w:val="none" w:sz="0" w:space="0" w:color="auto"/>
      </w:divBdr>
    </w:div>
    <w:div w:id="1892884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2295</ap:Words>
  <ap:Characters>12625</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Brief Kamer - Verkenning vereenvoudiging Toeslagenwet</vt:lpstr>
    </vt:vector>
  </ap:TitlesOfParts>
  <ap:LinksUpToDate>false</ap:LinksUpToDate>
  <ap:CharactersWithSpaces>14891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2026-07-09T12:20:00.0000000Z</dcterms:created>
  <dcterms:modified xsi:type="dcterms:W3CDTF">2026-07-09T12:20:00.0000000Z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Verkenning vereenvoudiging Toeslagenwet</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L.S. Berhane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Verkenning vereenvoudiging Toeslagenwet</vt:lpwstr>
  </property>
  <property fmtid="{D5CDD505-2E9C-101B-9397-08002B2CF9AE}" pid="36" name="iOnsKenmerk">
    <vt:lpwstr>2026-0000187275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