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2026Z16006</w:t>
        <w:br/>
      </w:r>
      <w:proofErr w:type="spellEnd"/>
    </w:p>
    <w:p>
      <w:pPr>
        <w:pStyle w:val="Normal"/>
        <w:rPr>
          <w:b w:val="1"/>
          <w:bCs w:val="1"/>
        </w:rPr>
      </w:pPr>
      <w:r w:rsidR="250AE766">
        <w:rPr>
          <w:b w:val="0"/>
          <w:bCs w:val="0"/>
        </w:rPr>
        <w:t>(ingezonden 9 juli 2026)</w:t>
        <w:br/>
      </w:r>
    </w:p>
    <w:p>
      <w:r>
        <w:t xml:space="preserve">Vragen van het lid Dassen (Volt) aan de minister van Klimaat en Groene Groei over het bericht  OM vervolgt Tata Steel strafrechtelijk voor opzettelijk vervuilen.</w:t>
      </w:r>
      <w:r>
        <w:br/>
      </w:r>
    </w:p>
    <w:p>
      <w:pPr>
        <w:pStyle w:val="ListParagraph"/>
        <w:numPr>
          <w:ilvl w:val="0"/>
          <w:numId w:val="100513530"/>
        </w:numPr>
        <w:ind w:left="360"/>
      </w:pPr>
      <w:r>
        <w:t xml:space="preserve">Was u voorafgaand aan de publicatie van het bericht "OM vervolgt Tata Steel strafrechtelijk voor opzettelijk vervuilen" op de hoogte van het besluit van het Openbaar Ministerie (OM) om Tata Steel strafrechtelijk te vervolgen voor het opzettelijk uitstoten van stoffen die gevaarlijk zijn voor de volksgezondheid? 1) Zo ja, sinds wanneer, en heeft Tata Steel Nederland u hierover geïnformeerd, vergelijkbaar met de wijze waarop het bedrijf u informeerde over het CCI-onderzoek in India, zoals beschreven in uw antwoord van 2 februari 2026 op vraag 6?</w:t>
      </w:r>
      <w:r>
        <w:br/>
      </w:r>
    </w:p>
    <w:p>
      <w:pPr>
        <w:pStyle w:val="ListParagraph"/>
        <w:numPr>
          <w:ilvl w:val="0"/>
          <w:numId w:val="100513530"/>
        </w:numPr>
        <w:ind w:left="360"/>
      </w:pPr>
      <w:r>
        <w:t xml:space="preserve">Wat is uw reactie op de constatering van het OM dat Tata Steel de fabrieken slecht onderhoudt, soms zonder de juiste vergunning werkt en incidenten onder de pet houdt? Verandert dit uw eerdere oordeel, zoals verwoord in uw antwoord van 2 februari 2026 op vraag 9, dat het niet aan het kabinet is om een oordeel te vormen over de betrouwbaarheid van Tata Steel als partner?</w:t>
      </w:r>
      <w:r>
        <w:br/>
      </w:r>
    </w:p>
    <w:p>
      <w:pPr>
        <w:pStyle w:val="ListParagraph"/>
        <w:numPr>
          <w:ilvl w:val="0"/>
          <w:numId w:val="100513530"/>
        </w:numPr>
        <w:ind w:left="360"/>
      </w:pPr>
      <w:r>
        <w:t xml:space="preserve"> Zijn er voor het besluit van het OM al eerder signalen ontvangen bij ministeries waaruit een vermoeden bleek dat Tata opzettelijk stoffen in de bodem, de lucht of het oppervlaktewater heeft gebracht of laten brengen met een mogelijk gevaar voor de gezondheid van mensen?</w:t>
      </w:r>
      <w:r>
        <w:br/>
      </w:r>
    </w:p>
    <w:p>
      <w:pPr>
        <w:pStyle w:val="ListParagraph"/>
        <w:numPr>
          <w:ilvl w:val="0"/>
          <w:numId w:val="100513530"/>
        </w:numPr>
        <w:ind w:left="360"/>
      </w:pPr>
      <w:r>
        <w:t xml:space="preserve">Is dit besluit van het OM reden voor het kabinet om meetgegevens inzake Tata Steel toegankelijk te maken voor onafhankelijke analyses waar dat nog niet gebeurt om zo het vertrouwen in de gegevens en conclusies te versterken?</w:t>
      </w:r>
      <w:r>
        <w:br/>
      </w:r>
    </w:p>
    <w:p>
      <w:pPr>
        <w:pStyle w:val="ListParagraph"/>
        <w:numPr>
          <w:ilvl w:val="0"/>
          <w:numId w:val="100513530"/>
        </w:numPr>
        <w:ind w:left="360"/>
      </w:pPr>
      <w:r>
        <w:t xml:space="preserve">In hoeverre is deze strafrechtelijke vervolging voor u aanleiding om de onderhandelingen over de definitieve maatwerkafspraak, die volgens planning uiterlijk eind september 2026 moeten zijn afgerond, op te schorten totdat er meer duidelijkheid is over de uitkomst van de strafzaak?</w:t>
      </w:r>
      <w:r>
        <w:br/>
      </w:r>
    </w:p>
    <w:p>
      <w:pPr>
        <w:pStyle w:val="ListParagraph"/>
        <w:numPr>
          <w:ilvl w:val="0"/>
          <w:numId w:val="100513530"/>
        </w:numPr>
        <w:ind w:left="360"/>
      </w:pPr>
      <w:r>
        <w:t xml:space="preserve">Bent u van mening dat er maatwerkafspraken gemaakt kunnen worden als er zulke zware beschuldigingen na meerjarig onderzoek door het OM boven Tata Steel hangen? Zo ja, kunt u dat uitleggen?</w:t>
      </w:r>
      <w:r>
        <w:br/>
      </w:r>
    </w:p>
    <w:p>
      <w:pPr>
        <w:pStyle w:val="ListParagraph"/>
        <w:numPr>
          <w:ilvl w:val="0"/>
          <w:numId w:val="100513530"/>
        </w:numPr>
        <w:ind w:left="360"/>
      </w:pPr>
      <w:r>
        <w:t xml:space="preserve">Deelt u de mening dat een strafrechtelijke vervolging wegens opzettelijke vervuiling een zwaardere aanwijzing is voor structureel niet-naleven van wet- en regelgeving dan de bestuursrechtelijke boetes die Tata Steel dit jaar al kreeg opgelegd, waarbij voor één kooksfabriek de maximale dwangsom van ruim 17 miljoen euro al is bereikt? Zo nee, waarom niet?</w:t>
      </w:r>
      <w:r>
        <w:br/>
      </w:r>
    </w:p>
    <w:p>
      <w:pPr>
        <w:pStyle w:val="ListParagraph"/>
        <w:numPr>
          <w:ilvl w:val="0"/>
          <w:numId w:val="100513530"/>
        </w:numPr>
        <w:ind w:left="360"/>
      </w:pPr>
      <w:r>
        <w:t xml:space="preserve">Welke consequenties heeft deze strafzaak, en de inhoud daarvan, voor de beoordeling of Tata Steel Nederland in aanmerking komt voor circa 2 miljard euro aan overheidssteun, gelet op de eis die u noemde in uw antwoord van 26 maart 2026 op vraag 6, dat er voldoende waarborgen moeten zijn dat subsidie daadwerkelijk bijdraagt aan het behalen van de gezondheids- en klimaatdoelen?</w:t>
      </w:r>
      <w:r>
        <w:br/>
      </w:r>
    </w:p>
    <w:p>
      <w:pPr>
        <w:pStyle w:val="ListParagraph"/>
        <w:numPr>
          <w:ilvl w:val="0"/>
          <w:numId w:val="100513530"/>
        </w:numPr>
        <w:ind w:left="360"/>
      </w:pPr>
      <w:r>
        <w:t xml:space="preserve">Kunt u garanderen dat er geen maatwerkafspraak met Tata Steel wordt afgesloten voordat er een vonnis is? Zo nee, waarom niet?</w:t>
      </w:r>
      <w:r>
        <w:br/>
      </w:r>
    </w:p>
    <w:p>
      <w:pPr>
        <w:pStyle w:val="ListParagraph"/>
        <w:numPr>
          <w:ilvl w:val="0"/>
          <w:numId w:val="100513530"/>
        </w:numPr>
        <w:ind w:left="360"/>
      </w:pPr>
      <w:r>
        <w:t xml:space="preserve">Kunt u garanderen dat er geen maatwerkafspraak met Tata Steel wordt gemaakt indien de (voormalige) bestuurders van Tata Steel ook in persoon zullen worden gedagvaard door het OM?</w:t>
      </w:r>
      <w:r>
        <w:br/>
      </w:r>
    </w:p>
    <w:p>
      <w:pPr>
        <w:pStyle w:val="ListParagraph"/>
        <w:numPr>
          <w:ilvl w:val="0"/>
          <w:numId w:val="100513530"/>
        </w:numPr>
        <w:ind w:left="360"/>
      </w:pPr>
      <w:r>
        <w:t xml:space="preserve">Bent u, gezien deze ontwikkeling van vervolging van Tata Steel door het OM, alsnog bereid de Joint Letter of Intent (JLoI) op te schorten of te heroverwegen, in aanvulling op uw antwoord van 2 februari 2026 op vraag 10, waarin u aangaf op dat moment geen aanleiding te zien de JLoI te beëindigen?</w:t>
      </w:r>
      <w:r>
        <w:br/>
      </w:r>
    </w:p>
    <w:p>
      <w:pPr>
        <w:pStyle w:val="ListParagraph"/>
        <w:numPr>
          <w:ilvl w:val="0"/>
          <w:numId w:val="100513530"/>
        </w:numPr>
        <w:ind w:left="360"/>
      </w:pPr>
      <w:r>
        <w:t xml:space="preserve">Bent u bekend met het feit dat het OM tevens onderzoekt of leidinggevenden van Tata Steel persoonlijk vervolgd zullen worden? Bent u bereid de Kamer hierover te informeren zodra hier meer duidelijkheid over is? Welke betekenis heeft een eventuele persoonlijke vervolging van leidinggevenden volgens u voor de bestuurlijke relatie en de lopende onderhandelingen met het bedrijf?</w:t>
      </w:r>
      <w:r>
        <w:br/>
      </w:r>
    </w:p>
    <w:p>
      <w:pPr>
        <w:pStyle w:val="ListParagraph"/>
        <w:numPr>
          <w:ilvl w:val="0"/>
          <w:numId w:val="100513530"/>
        </w:numPr>
        <w:ind w:left="360"/>
      </w:pPr>
      <w:r>
        <w:t xml:space="preserve">Waarom schrijft u in de brief van 8 juli 2026 dat het kabinet na het publiek bekend worden van het dagvaarden van Tata Steel door het OM "geen onomkeerbare stappen zal zetten in het maatwerktraject", terwijl u op basis van de intentieovereenkomst van september 2025 met Tata Steel zich nu ook direct had kunnen terugtrekken bij een strafrechtelijk onderzoek "dat ernstige zorgen doet ontstaan bij de Staat over het aangaan van de maatwerkafspraak"?</w:t>
      </w:r>
      <w:r>
        <w:br/>
      </w:r>
    </w:p>
    <w:p>
      <w:pPr>
        <w:pStyle w:val="ListParagraph"/>
        <w:numPr>
          <w:ilvl w:val="0"/>
          <w:numId w:val="100513530"/>
        </w:numPr>
        <w:ind w:left="360"/>
      </w:pPr>
      <w:r>
        <w:t xml:space="preserve">Wat is de stand van zaken in de onderhandelingen tussen de overheid en Tata Steel met betrekking tot het eerder sluiten van kooksfabriek 1 en 2?</w:t>
      </w:r>
      <w:r>
        <w:br/>
      </w:r>
    </w:p>
    <w:p>
      <w:pPr>
        <w:pStyle w:val="ListParagraph"/>
        <w:numPr>
          <w:ilvl w:val="0"/>
          <w:numId w:val="100513530"/>
        </w:numPr>
        <w:ind w:left="360"/>
      </w:pPr>
      <w:r>
        <w:t xml:space="preserve">Wat is uw visie op het sluiten van kooksfabrieken 1 en 2 om gezondheidsredenen, en stuurt u aan op sluiting van beide kooksfabrieken in 2027?</w:t>
      </w:r>
      <w:r>
        <w:br/>
      </w:r>
    </w:p>
    <w:p>
      <w:pPr>
        <w:pStyle w:val="ListParagraph"/>
        <w:numPr>
          <w:ilvl w:val="0"/>
          <w:numId w:val="100513530"/>
        </w:numPr>
        <w:ind w:left="360"/>
      </w:pPr>
      <w:r>
        <w:t xml:space="preserve">Bent u van oordeel dat er geen definitieve en onvoorwaardelijke maatwerkafspraken gemaakt kunnen worden zolang de Milieueffectrapportage (MER) en de Gezondheidseffectrapportage (GER) niet beschikbaar zijn?</w:t>
      </w:r>
      <w:r>
        <w:br/>
      </w:r>
    </w:p>
    <w:p>
      <w:pPr>
        <w:pStyle w:val="ListParagraph"/>
        <w:numPr>
          <w:ilvl w:val="0"/>
          <w:numId w:val="100513530"/>
        </w:numPr>
        <w:ind w:left="360"/>
      </w:pPr>
      <w:r>
        <w:t xml:space="preserve">Bent u bereid om, in afwachting van de resultaten van de GER, tenminste aanvullende afspraken op te nemen in de maatwerkafspraken om te zorgen dat gezondheidswinst daadwerkelijk geborgd wordt? Zo nee, waarom niet?</w:t>
      </w:r>
      <w:r>
        <w:br/>
      </w:r>
    </w:p>
    <w:p>
      <w:pPr>
        <w:pStyle w:val="ListParagraph"/>
        <w:numPr>
          <w:ilvl w:val="0"/>
          <w:numId w:val="100513530"/>
        </w:numPr>
        <w:ind w:left="360"/>
      </w:pPr>
      <w:r>
        <w:t xml:space="preserve">Neemt u het advies van de Expertgroep inzake betere monitoring van de gezondheidseffecten en een betere koppeling daarvan aan de GER over in de maatwerkafspraken? Zo nee, waarom niet?</w:t>
      </w:r>
      <w:r>
        <w:br/>
      </w:r>
    </w:p>
    <w:p>
      <w:pPr>
        <w:pStyle w:val="ListParagraph"/>
        <w:numPr>
          <w:ilvl w:val="0"/>
          <w:numId w:val="100513530"/>
        </w:numPr>
        <w:ind w:left="360"/>
      </w:pPr>
      <w:r>
        <w:t xml:space="preserve">Kunt u deze vragen afzonderlijk en binnen de geldende termijn van drie weken beantwoorden?</w:t>
      </w:r>
      <w:r>
        <w:br/>
      </w:r>
    </w:p>
    <w:p>
      <w:r>
        <w:t xml:space="preserve"> </w:t>
      </w:r>
      <w:r>
        <w:br/>
      </w:r>
    </w:p>
    <w:p>
      <w:r>
        <w:t xml:space="preserve">1)  NOS nieuws, 8 juli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