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6E68" w:rsidP="007426AA" w:rsidRDefault="00176E68" w14:paraId="58D259C3" w14:textId="77777777">
      <w:pPr>
        <w:rPr>
          <w:szCs w:val="18"/>
        </w:rPr>
      </w:pPr>
    </w:p>
    <w:p w:rsidR="00340ECA" w:rsidP="007426AA" w:rsidRDefault="001705D1" w14:paraId="58992770" w14:textId="77A38FD8">
      <w:pPr>
        <w:rPr>
          <w:szCs w:val="18"/>
        </w:rPr>
      </w:pPr>
      <w:r>
        <w:rPr>
          <w:szCs w:val="18"/>
        </w:rPr>
        <w:t xml:space="preserve">Geachte </w:t>
      </w:r>
      <w:r w:rsidR="00070785">
        <w:rPr>
          <w:szCs w:val="18"/>
        </w:rPr>
        <w:t>V</w:t>
      </w:r>
      <w:r>
        <w:rPr>
          <w:szCs w:val="18"/>
        </w:rPr>
        <w:t xml:space="preserve">oorzitter, </w:t>
      </w:r>
    </w:p>
    <w:p w:rsidR="001705D1" w:rsidP="007426AA" w:rsidRDefault="001705D1" w14:paraId="5D6D7DB2" w14:textId="77777777">
      <w:pPr>
        <w:rPr>
          <w:szCs w:val="18"/>
        </w:rPr>
      </w:pPr>
    </w:p>
    <w:p w:rsidR="00D24A8E" w:rsidP="007426AA" w:rsidRDefault="001705D1" w14:paraId="11E45434" w14:textId="57603001">
      <w:pPr>
        <w:rPr>
          <w:szCs w:val="18"/>
        </w:rPr>
      </w:pPr>
      <w:r>
        <w:rPr>
          <w:szCs w:val="18"/>
        </w:rPr>
        <w:t xml:space="preserve">In het Kamerdebat over de samenhangende aanpak landbouw, natuur en stikstof van woensdag </w:t>
      </w:r>
      <w:r w:rsidR="00E8460E">
        <w:rPr>
          <w:szCs w:val="18"/>
        </w:rPr>
        <w:t>1</w:t>
      </w:r>
      <w:r>
        <w:rPr>
          <w:szCs w:val="18"/>
        </w:rPr>
        <w:t xml:space="preserve"> juli j</w:t>
      </w:r>
      <w:r w:rsidR="00BF715D">
        <w:rPr>
          <w:szCs w:val="18"/>
        </w:rPr>
        <w:t>l.</w:t>
      </w:r>
      <w:r>
        <w:rPr>
          <w:szCs w:val="18"/>
        </w:rPr>
        <w:t xml:space="preserve"> heb ik aan het lid Dassen toegezegd aan te geven </w:t>
      </w:r>
      <w:r w:rsidR="00D24A8E">
        <w:rPr>
          <w:szCs w:val="18"/>
        </w:rPr>
        <w:t xml:space="preserve">hoe ik </w:t>
      </w:r>
      <w:r w:rsidRPr="00D24A8E" w:rsidR="00D24A8E">
        <w:rPr>
          <w:szCs w:val="18"/>
        </w:rPr>
        <w:t xml:space="preserve">verschillende mogelijkheden </w:t>
      </w:r>
      <w:r w:rsidR="00D24A8E">
        <w:rPr>
          <w:szCs w:val="18"/>
        </w:rPr>
        <w:t>voor</w:t>
      </w:r>
      <w:r w:rsidRPr="00D24A8E" w:rsidR="00D24A8E">
        <w:rPr>
          <w:szCs w:val="18"/>
        </w:rPr>
        <w:t xml:space="preserve"> ketenafspraken </w:t>
      </w:r>
      <w:r w:rsidR="00D24A8E">
        <w:rPr>
          <w:szCs w:val="18"/>
        </w:rPr>
        <w:t xml:space="preserve">bezie en mijn standpunt ten aanzien van </w:t>
      </w:r>
      <w:r w:rsidRPr="00D24A8E" w:rsidR="00D24A8E">
        <w:rPr>
          <w:szCs w:val="18"/>
        </w:rPr>
        <w:t>prijsafspraken</w:t>
      </w:r>
      <w:r w:rsidR="00D24A8E">
        <w:rPr>
          <w:szCs w:val="18"/>
        </w:rPr>
        <w:t xml:space="preserve"> nader toe te lichten. Met deze brief doe ik die toezegging gestand.</w:t>
      </w:r>
    </w:p>
    <w:p w:rsidR="001705D1" w:rsidP="007426AA" w:rsidRDefault="001705D1" w14:paraId="30DC0FAF" w14:textId="77777777">
      <w:pPr>
        <w:rPr>
          <w:szCs w:val="18"/>
        </w:rPr>
      </w:pPr>
    </w:p>
    <w:p w:rsidR="00663CC9" w:rsidP="000D7699" w:rsidRDefault="001705D1" w14:paraId="64251A26" w14:textId="129D5062">
      <w:r>
        <w:rPr>
          <w:szCs w:val="18"/>
        </w:rPr>
        <w:t>In algemene zin komen prijzen voor landbouwgoederen en voedselproducten</w:t>
      </w:r>
      <w:r w:rsidR="00D137A9">
        <w:rPr>
          <w:szCs w:val="18"/>
        </w:rPr>
        <w:t xml:space="preserve"> tussen ketenpartijen</w:t>
      </w:r>
      <w:r>
        <w:rPr>
          <w:szCs w:val="18"/>
        </w:rPr>
        <w:t xml:space="preserve"> tot stand via het economisch verkeer van vraag en aanbod. Nederlandse agrarische bedrijven</w:t>
      </w:r>
      <w:r w:rsidR="001279B7">
        <w:rPr>
          <w:szCs w:val="18"/>
        </w:rPr>
        <w:t>, hun toeleveranciers en afnemers</w:t>
      </w:r>
      <w:r>
        <w:rPr>
          <w:szCs w:val="18"/>
        </w:rPr>
        <w:t xml:space="preserve"> opereren in een internationa</w:t>
      </w:r>
      <w:r w:rsidR="00D17592">
        <w:rPr>
          <w:szCs w:val="18"/>
        </w:rPr>
        <w:t>al</w:t>
      </w:r>
      <w:r>
        <w:rPr>
          <w:szCs w:val="18"/>
        </w:rPr>
        <w:t xml:space="preserve"> </w:t>
      </w:r>
      <w:r w:rsidR="001279B7">
        <w:rPr>
          <w:szCs w:val="18"/>
        </w:rPr>
        <w:t>speelveld</w:t>
      </w:r>
      <w:r>
        <w:rPr>
          <w:szCs w:val="18"/>
        </w:rPr>
        <w:t xml:space="preserve"> en op de interne markt van de Europese Unie. Marktpartijen moeten zich daarbij houden </w:t>
      </w:r>
      <w:r w:rsidR="000D7699">
        <w:rPr>
          <w:szCs w:val="18"/>
        </w:rPr>
        <w:t>aan</w:t>
      </w:r>
      <w:r>
        <w:rPr>
          <w:szCs w:val="18"/>
        </w:rPr>
        <w:t xml:space="preserve"> geldende mededingingsregels waarop toezicht wordt gehouden door de Autoriteit Consument &amp; Markt (ACM). </w:t>
      </w:r>
      <w:r>
        <w:t xml:space="preserve">De ACM is een onafhankelijke toezichthouder die zich sterk maakt voor goed werkende markten voor mensen en bedrijven. </w:t>
      </w:r>
    </w:p>
    <w:p w:rsidR="00663CC9" w:rsidP="000D7699" w:rsidRDefault="00663CC9" w14:paraId="1F2A9383" w14:textId="77777777"/>
    <w:p w:rsidR="00D9215A" w:rsidP="00663CC9" w:rsidRDefault="00663CC9" w14:paraId="21DBE5E1" w14:textId="19A213D2">
      <w:r>
        <w:t>De achtergrond van uw vraag ziet op de mogelijkheid om prijsafspraken in de keten te maken over meerkosten voor duurzamer geproduceerde landbouwproducten.</w:t>
      </w:r>
      <w:r w:rsidR="00623185">
        <w:t xml:space="preserve"> Samenwerking tussen ketenpartijen biedt de mogelijkheid om een meerprijs te krijgen.</w:t>
      </w:r>
      <w:r>
        <w:t xml:space="preserve"> In</w:t>
      </w:r>
      <w:r w:rsidR="00D9215A">
        <w:t xml:space="preserve"> </w:t>
      </w:r>
      <w:r w:rsidR="00D17592">
        <w:t>de Agro-</w:t>
      </w:r>
      <w:proofErr w:type="spellStart"/>
      <w:r w:rsidR="00D17592">
        <w:t>Nutri</w:t>
      </w:r>
      <w:proofErr w:type="spellEnd"/>
      <w:r w:rsidR="00D17592">
        <w:t xml:space="preserve"> Monitor </w:t>
      </w:r>
      <w:r w:rsidR="00D9215A">
        <w:t>geeft de ACM aan dat ag</w:t>
      </w:r>
      <w:r w:rsidRPr="00D9215A" w:rsidR="00D9215A">
        <w:t>rariërs die onder een duurzaamheidskeurmerk produceren</w:t>
      </w:r>
      <w:r w:rsidR="00D9215A">
        <w:t xml:space="preserve"> </w:t>
      </w:r>
      <w:r w:rsidR="00E92117">
        <w:t>voor deze meer</w:t>
      </w:r>
      <w:r w:rsidR="00E72857">
        <w:t>kosten</w:t>
      </w:r>
      <w:r w:rsidR="00E92117">
        <w:t xml:space="preserve"> </w:t>
      </w:r>
      <w:r w:rsidR="00D9215A">
        <w:t xml:space="preserve">veelal </w:t>
      </w:r>
      <w:r w:rsidRPr="00D9215A" w:rsidR="00D9215A">
        <w:t>een vergoeding</w:t>
      </w:r>
      <w:r w:rsidR="00D9215A">
        <w:t xml:space="preserve"> ontvangen</w:t>
      </w:r>
      <w:r w:rsidRPr="00D9215A" w:rsidR="00D9215A">
        <w:t>.</w:t>
      </w:r>
      <w:r w:rsidR="00D9215A">
        <w:t xml:space="preserve"> Echter geeft </w:t>
      </w:r>
      <w:r w:rsidR="00E22C81">
        <w:t>zes</w:t>
      </w:r>
      <w:r w:rsidRPr="00D9215A" w:rsidR="00D9215A">
        <w:t xml:space="preserve"> op de </w:t>
      </w:r>
      <w:r w:rsidR="00E22C81">
        <w:t>tien</w:t>
      </w:r>
      <w:r w:rsidRPr="00D9215A" w:rsidR="00D9215A">
        <w:t xml:space="preserve"> </w:t>
      </w:r>
      <w:r w:rsidR="00D9215A">
        <w:t>agrariërs</w:t>
      </w:r>
      <w:r w:rsidRPr="00D9215A" w:rsidR="00D9215A">
        <w:t xml:space="preserve"> aan dat deze aanvullende vergoeding </w:t>
      </w:r>
      <w:r w:rsidR="00E92117">
        <w:t>niet volledig dekkend is</w:t>
      </w:r>
      <w:r w:rsidR="00D9215A">
        <w:t xml:space="preserve">. Daarnaast </w:t>
      </w:r>
      <w:r w:rsidR="00D24A8E">
        <w:t xml:space="preserve">blijkt uit </w:t>
      </w:r>
      <w:r w:rsidR="00623185">
        <w:t>de monitor dat afgelopen periode voor</w:t>
      </w:r>
      <w:r w:rsidR="00D9215A">
        <w:t xml:space="preserve"> biologische boere</w:t>
      </w:r>
      <w:r w:rsidR="00623185">
        <w:t>n</w:t>
      </w:r>
      <w:r w:rsidR="00D9215A">
        <w:t xml:space="preserve"> de meerkosten niet altijd</w:t>
      </w:r>
      <w:r w:rsidR="00623185">
        <w:t xml:space="preserve"> meer</w:t>
      </w:r>
      <w:r w:rsidR="00D9215A">
        <w:t xml:space="preserve"> worden vergoed</w:t>
      </w:r>
      <w:r w:rsidR="00D137A9">
        <w:t xml:space="preserve"> uit de verkoopprijs</w:t>
      </w:r>
      <w:r w:rsidR="00D9215A">
        <w:t xml:space="preserve"> en de gestegen </w:t>
      </w:r>
      <w:r w:rsidR="00CB6557">
        <w:t>productie</w:t>
      </w:r>
      <w:r w:rsidR="00D9215A">
        <w:t>kosten hierin een rol spelen.</w:t>
      </w:r>
      <w:r w:rsidR="00623185">
        <w:rPr>
          <w:rStyle w:val="Voetnootmarkering"/>
        </w:rPr>
        <w:footnoteReference w:id="1"/>
      </w:r>
      <w:r w:rsidR="00D9215A">
        <w:t xml:space="preserve"> </w:t>
      </w:r>
    </w:p>
    <w:p w:rsidR="00623185" w:rsidP="00663CC9" w:rsidRDefault="00623185" w14:paraId="042E69D1" w14:textId="77777777"/>
    <w:p w:rsidR="00D9215A" w:rsidP="00D9215A" w:rsidRDefault="00D9215A" w14:paraId="1E40D8EF" w14:textId="5B39A4FB">
      <w:r>
        <w:t xml:space="preserve">Er zijn </w:t>
      </w:r>
      <w:r w:rsidR="00602C20">
        <w:t xml:space="preserve">niettemin </w:t>
      </w:r>
      <w:r>
        <w:t>diverse mogelijkheden om in de markt een meerprijs voor duurzame productie te realiseren. Zo biedt samenwerking tussen</w:t>
      </w:r>
      <w:r w:rsidR="00FF30FC">
        <w:t xml:space="preserve"> primaire</w:t>
      </w:r>
      <w:r>
        <w:t xml:space="preserve"> producenten voordelen, door verlaging van kosten en versterking van de </w:t>
      </w:r>
      <w:r>
        <w:lastRenderedPageBreak/>
        <w:t xml:space="preserve">onderhandelingspositie ten opzichte van afnemers. Ook de ACM constateert dat samenwerking verder versterkt kan worden, niet alleen binnen een </w:t>
      </w:r>
      <w:r w:rsidRPr="00D9215A">
        <w:t>producentenorganisatie</w:t>
      </w:r>
      <w:r>
        <w:t>, maar ook tussen producentenorga</w:t>
      </w:r>
      <w:r w:rsidR="00623185">
        <w:t>n</w:t>
      </w:r>
      <w:r>
        <w:t xml:space="preserve">isaties </w:t>
      </w:r>
      <w:r w:rsidRPr="00D9215A">
        <w:t>in Unies van Producentenorganisaties</w:t>
      </w:r>
      <w:r w:rsidR="00CB6557">
        <w:t xml:space="preserve"> of andere verbanden van samenwerking</w:t>
      </w:r>
      <w:r w:rsidR="00E92117">
        <w:t xml:space="preserve"> tussen agrariërs z</w:t>
      </w:r>
      <w:r w:rsidR="00CB6557">
        <w:t>oals in coöperatieverband</w:t>
      </w:r>
      <w:r w:rsidR="00623185">
        <w:t>.</w:t>
      </w:r>
      <w:r w:rsidR="00623185">
        <w:rPr>
          <w:rStyle w:val="Voetnootmarkering"/>
        </w:rPr>
        <w:footnoteReference w:id="2"/>
      </w:r>
      <w:r w:rsidR="00623185">
        <w:t xml:space="preserve"> </w:t>
      </w:r>
    </w:p>
    <w:p w:rsidR="00623185" w:rsidP="00D9215A" w:rsidRDefault="00623185" w14:paraId="4EAFF80C" w14:textId="77777777"/>
    <w:p w:rsidR="001158AF" w:rsidP="00663CC9" w:rsidRDefault="001279B7" w14:paraId="0863FF96" w14:textId="0DB402B9">
      <w:r>
        <w:t xml:space="preserve">Tegelijkertijd zijn andere instrumenten beschikbaar die het </w:t>
      </w:r>
      <w:r w:rsidR="00602C20">
        <w:t xml:space="preserve">onder bepaalde voorwaarden </w:t>
      </w:r>
      <w:r>
        <w:t xml:space="preserve">mogelijk maken op bovenwettelijke basis </w:t>
      </w:r>
      <w:r w:rsidR="000D7699">
        <w:t xml:space="preserve">vrijwillige </w:t>
      </w:r>
      <w:r>
        <w:t xml:space="preserve">prijsafspraken tussen een primaire producent en haar afnemers te maken. </w:t>
      </w:r>
      <w:r w:rsidR="001158AF">
        <w:t>In dat kader is uw Kamer geïnformeerd</w:t>
      </w:r>
      <w:r w:rsidR="008F41DF">
        <w:t xml:space="preserve"> </w:t>
      </w:r>
      <w:r w:rsidR="001158AF">
        <w:t>dat a</w:t>
      </w:r>
      <w:r w:rsidRPr="000F401B" w:rsidR="000F401B">
        <w:t xml:space="preserve">rtikel 210 bis van de GMO-verordening (Verordening (EU) nr. 1308/2013) een belangrijke uitzondering </w:t>
      </w:r>
      <w:r w:rsidR="001158AF">
        <w:t xml:space="preserve">vormt </w:t>
      </w:r>
      <w:r w:rsidRPr="000F401B" w:rsidR="000F401B">
        <w:t>op het Europese mededingingsrecht.</w:t>
      </w:r>
      <w:r w:rsidR="008F41DF">
        <w:rPr>
          <w:rStyle w:val="Voetnootmarkering"/>
        </w:rPr>
        <w:footnoteReference w:id="3"/>
      </w:r>
    </w:p>
    <w:p w:rsidR="00E72857" w:rsidP="00E72857" w:rsidRDefault="001158AF" w14:paraId="451C5CCC" w14:textId="3160C703">
      <w:r w:rsidRPr="001158AF">
        <w:t>De uitzondering geldt voor</w:t>
      </w:r>
      <w:r w:rsidR="00E72857">
        <w:t xml:space="preserve"> afspraken</w:t>
      </w:r>
      <w:r w:rsidR="00FF30FC">
        <w:t xml:space="preserve"> </w:t>
      </w:r>
      <w:r w:rsidRPr="001158AF">
        <w:t xml:space="preserve">tussen of met landbouwproducenten, die gericht zijn op het bereiken van duurzaamheidsnormen die verder gaan dan de wettelijke normen van de EU en/of lidstaten, </w:t>
      </w:r>
      <w:r w:rsidR="00E72857">
        <w:t xml:space="preserve">mits deze afspraken </w:t>
      </w:r>
      <w:r w:rsidRPr="001158AF">
        <w:t>on</w:t>
      </w:r>
      <w:r w:rsidR="00E72857">
        <w:t>misbaar</w:t>
      </w:r>
      <w:r w:rsidRPr="001158AF">
        <w:t xml:space="preserve"> zijn voor het behalen van die hogere norm. In dat geval zijn de afspraken toegestaan zonder </w:t>
      </w:r>
      <w:r w:rsidR="00E72857">
        <w:t xml:space="preserve">dat </w:t>
      </w:r>
      <w:r w:rsidRPr="001158AF" w:rsidR="00E72857">
        <w:t>voorafgaande</w:t>
      </w:r>
      <w:r w:rsidRPr="001158AF">
        <w:t xml:space="preserve"> goedkeuring</w:t>
      </w:r>
      <w:r w:rsidR="00E72857">
        <w:t xml:space="preserve"> noodzakelijk is</w:t>
      </w:r>
      <w:r w:rsidRPr="001158AF">
        <w:t xml:space="preserve">. De </w:t>
      </w:r>
      <w:r w:rsidR="00D24A8E">
        <w:t xml:space="preserve">Europese </w:t>
      </w:r>
      <w:r w:rsidRPr="001158AF">
        <w:t xml:space="preserve">Commissie publiceerde op 7 december 2023 in zogenoemde richtsnoeren meer informatie over de </w:t>
      </w:r>
      <w:r w:rsidRPr="001158AF" w:rsidR="00E72857">
        <w:t>toepassingsmogelijkheden</w:t>
      </w:r>
      <w:r w:rsidRPr="001158AF">
        <w:t xml:space="preserve"> van dit nieuwe artikel</w:t>
      </w:r>
      <w:r w:rsidR="00D24A8E">
        <w:t>.</w:t>
      </w:r>
      <w:r w:rsidRPr="001158AF">
        <w:t xml:space="preserve"> </w:t>
      </w:r>
      <w:r w:rsidR="000F401B">
        <w:t>De ACM biedt hierin actief zowel gevraagd als ongevraagd advies</w:t>
      </w:r>
      <w:r w:rsidR="00BF715D">
        <w:t xml:space="preserve"> </w:t>
      </w:r>
      <w:r w:rsidR="000F401B">
        <w:t>en ondersteunt marktpartijen met kennis over de mogelijkheden</w:t>
      </w:r>
      <w:r w:rsidR="007824AC">
        <w:t>, bijvoorbeeld in de Leidraad Samenwerking Landbouwers</w:t>
      </w:r>
      <w:r w:rsidR="000F401B">
        <w:t>.</w:t>
      </w:r>
      <w:r w:rsidR="007824AC">
        <w:rPr>
          <w:rStyle w:val="Voetnootmarkering"/>
        </w:rPr>
        <w:footnoteReference w:id="4"/>
      </w:r>
      <w:r w:rsidR="000F401B">
        <w:t xml:space="preserve"> Het </w:t>
      </w:r>
      <w:r w:rsidR="007824AC">
        <w:t xml:space="preserve">is aan ketenpartijen zelf om de afweging te maken </w:t>
      </w:r>
      <w:r w:rsidR="008F41DF">
        <w:t xml:space="preserve">om </w:t>
      </w:r>
      <w:r w:rsidR="007824AC">
        <w:t>dergelijke afspraken te maken</w:t>
      </w:r>
      <w:r w:rsidR="00E72857">
        <w:t xml:space="preserve"> of andere oplossingen te vinden voor het maken van afspraken met leveranciers. Doelstellingen kunnen bijvoorbeeld ook worden bereikt via private labels of keurmerken.  </w:t>
      </w:r>
    </w:p>
    <w:p w:rsidR="00026849" w:rsidP="00663CC9" w:rsidRDefault="00026849" w14:paraId="13F4BBF0" w14:textId="77777777"/>
    <w:p w:rsidR="00674413" w:rsidP="00371F35" w:rsidRDefault="00E92117" w14:paraId="309D5905" w14:textId="17EB48F1">
      <w:r>
        <w:t xml:space="preserve">Naast deze verruimde mogelijkheden tot prijsafspraken </w:t>
      </w:r>
      <w:r w:rsidR="007824AC">
        <w:t xml:space="preserve">blijft </w:t>
      </w:r>
      <w:r>
        <w:t xml:space="preserve">het </w:t>
      </w:r>
      <w:r w:rsidR="00371F35">
        <w:t>van belang om te werken aan een grotere vraag naar duurzame product</w:t>
      </w:r>
      <w:r w:rsidR="00FD76B0">
        <w:t>en</w:t>
      </w:r>
      <w:r w:rsidR="00371F35">
        <w:t xml:space="preserve">. Specifiek voor de biologische landbouw verwacht ik dat ketenpartijen uiterlijk 1 april 2027 afspraken maken voor </w:t>
      </w:r>
      <w:r w:rsidR="00D24A8E">
        <w:t>de</w:t>
      </w:r>
      <w:r w:rsidR="00371F35">
        <w:t xml:space="preserve"> groei van de vraag naar biologische producten.</w:t>
      </w:r>
      <w:r w:rsidR="00031E5D">
        <w:rPr>
          <w:rStyle w:val="Voetnootmarkering"/>
        </w:rPr>
        <w:footnoteReference w:id="5"/>
      </w:r>
      <w:r w:rsidR="00371F35">
        <w:t xml:space="preserve"> </w:t>
      </w:r>
    </w:p>
    <w:p w:rsidR="000D7699" w:rsidP="000D7699" w:rsidRDefault="000D7699" w14:paraId="4CB1C942" w14:textId="77777777"/>
    <w:p w:rsidR="00A1578E" w:rsidP="000D7699" w:rsidRDefault="00E34498" w14:paraId="52773D34" w14:textId="4FEA832C">
      <w:r>
        <w:t>E</w:t>
      </w:r>
      <w:r w:rsidR="000D7699">
        <w:t xml:space="preserve">en goed verdienvermogen voor agrarisch ondernemers is een belangrijk punt voor het kabinet. </w:t>
      </w:r>
      <w:r w:rsidR="00D24A8E">
        <w:t xml:space="preserve">Het kabinet heeft daarom expliciet </w:t>
      </w:r>
      <w:r w:rsidR="000D7699">
        <w:t>aandacht voor de rol van ketenpartijen.</w:t>
      </w:r>
      <w:r w:rsidR="00674413">
        <w:t xml:space="preserve"> </w:t>
      </w:r>
      <w:r w:rsidR="00CE2B34">
        <w:t>Ik vertrouw erop dat ketenpartijen hun verantwoordelijkheid nemen om de markt voor duurzaam geproduceerd voedsel te vergroten. Tegelijkertijd</w:t>
      </w:r>
      <w:r w:rsidR="00674413">
        <w:t xml:space="preserve"> werk ik</w:t>
      </w:r>
      <w:r w:rsidR="00031E5D">
        <w:t>,</w:t>
      </w:r>
      <w:r w:rsidR="00674413">
        <w:t xml:space="preserve"> zoals aangekondigd </w:t>
      </w:r>
      <w:r w:rsidR="00031E5D">
        <w:t xml:space="preserve">in de brief ‘Weer ruimte voor boer, natuur en bouw’, </w:t>
      </w:r>
      <w:r w:rsidR="00674413">
        <w:t xml:space="preserve">aan een aanpak rondom </w:t>
      </w:r>
      <w:r w:rsidR="00CE2B34">
        <w:t>U</w:t>
      </w:r>
      <w:r w:rsidR="00674413">
        <w:t xml:space="preserve">itgebreide </w:t>
      </w:r>
      <w:r w:rsidR="00CE2B34">
        <w:t>K</w:t>
      </w:r>
      <w:r w:rsidR="00674413">
        <w:t>eten</w:t>
      </w:r>
      <w:r w:rsidR="00CE2B34">
        <w:t xml:space="preserve"> V</w:t>
      </w:r>
      <w:r w:rsidR="00674413">
        <w:t xml:space="preserve">erantwoordelijkheid, waar ik </w:t>
      </w:r>
      <w:r w:rsidR="00D24A8E">
        <w:t>uw</w:t>
      </w:r>
      <w:r w:rsidR="00674413">
        <w:t xml:space="preserve"> Kamer </w:t>
      </w:r>
      <w:r w:rsidR="00D24A8E">
        <w:t xml:space="preserve">in het najaar </w:t>
      </w:r>
      <w:r w:rsidR="00674413">
        <w:t>verder over zal informeren.</w:t>
      </w:r>
      <w:r w:rsidR="00602C20">
        <w:t xml:space="preserve"> Ik zal in mijn </w:t>
      </w:r>
      <w:r w:rsidR="009666F6">
        <w:t xml:space="preserve">nadere </w:t>
      </w:r>
      <w:r w:rsidR="00602C20">
        <w:t>uitwerking ook de mogelijkheden van afspraken onder artikel 201bis betrekken.</w:t>
      </w:r>
      <w:r w:rsidR="00674413">
        <w:t xml:space="preserve"> </w:t>
      </w:r>
    </w:p>
    <w:p w:rsidR="00A1578E" w:rsidP="000D7699" w:rsidRDefault="00A1578E" w14:paraId="7FF8CB4B" w14:textId="77777777"/>
    <w:p w:rsidR="00176E68" w:rsidP="000D7699" w:rsidRDefault="00E34498" w14:paraId="72CFAE24" w14:textId="77777777">
      <w:r>
        <w:t xml:space="preserve">Tot slot, via deze weg </w:t>
      </w:r>
      <w:r w:rsidRPr="00E34498">
        <w:t xml:space="preserve">informeer ik u </w:t>
      </w:r>
      <w:r w:rsidR="009666F6">
        <w:t xml:space="preserve">namens de staatssecretaris van LVVN </w:t>
      </w:r>
      <w:r w:rsidRPr="00E34498">
        <w:t xml:space="preserve">over de motie </w:t>
      </w:r>
      <w:r>
        <w:t xml:space="preserve">van de leden Ouwehand en </w:t>
      </w:r>
      <w:proofErr w:type="spellStart"/>
      <w:r>
        <w:t>Grinwis</w:t>
      </w:r>
      <w:proofErr w:type="spellEnd"/>
      <w:r>
        <w:t xml:space="preserve"> (Kamerstuk 36800-XIV-61)</w:t>
      </w:r>
      <w:r w:rsidRPr="00E34498">
        <w:t xml:space="preserve"> waarbij </w:t>
      </w:r>
      <w:r w:rsidR="009666F6">
        <w:t xml:space="preserve">toegezegd is </w:t>
      </w:r>
      <w:r w:rsidRPr="00E34498">
        <w:t xml:space="preserve">u voor de zomer te informeren over de vervolgstappen. </w:t>
      </w:r>
    </w:p>
    <w:p w:rsidR="00176E68" w:rsidRDefault="00176E68" w14:paraId="7732C05A" w14:textId="5E8BA812">
      <w:pPr>
        <w:spacing w:line="240" w:lineRule="auto"/>
      </w:pPr>
    </w:p>
    <w:p w:rsidR="00E34498" w:rsidP="000D7699" w:rsidRDefault="009666F6" w14:paraId="083A4662" w14:textId="2458A15A">
      <w:r>
        <w:lastRenderedPageBreak/>
        <w:t>Er is</w:t>
      </w:r>
      <w:r w:rsidRPr="00E34498" w:rsidR="00E34498">
        <w:t xml:space="preserve"> meer tijd nodig voor een zorgvuldig gesprek met de betrokken partijen en </w:t>
      </w:r>
      <w:r>
        <w:t xml:space="preserve">het kabinet </w:t>
      </w:r>
      <w:r w:rsidRPr="00E34498" w:rsidR="00E34498">
        <w:t>zal</w:t>
      </w:r>
      <w:r>
        <w:t xml:space="preserve"> </w:t>
      </w:r>
      <w:r w:rsidRPr="00E34498" w:rsidR="00E34498">
        <w:t xml:space="preserve">na de zomer </w:t>
      </w:r>
      <w:r w:rsidR="00BF715D">
        <w:t>u hier nader over informeren</w:t>
      </w:r>
      <w:r w:rsidRPr="00E34498" w:rsidR="00E34498">
        <w:t xml:space="preserve"> terugkomen</w:t>
      </w:r>
      <w:r>
        <w:t>.</w:t>
      </w:r>
    </w:p>
    <w:p w:rsidR="001536B3" w:rsidP="00810C93" w:rsidRDefault="001536B3" w14:paraId="0CB4AEEC" w14:textId="77777777"/>
    <w:p w:rsidR="00584BAC" w:rsidP="00810C93" w:rsidRDefault="00584BAC" w14:paraId="0AA74D5C" w14:textId="77777777"/>
    <w:p w:rsidR="000752D6" w:rsidP="000752D6" w:rsidRDefault="000752D6" w14:paraId="4F4F69AF" w14:textId="77777777"/>
    <w:p w:rsidRPr="000752D6" w:rsidR="000752D6" w:rsidP="000752D6" w:rsidRDefault="000752D6" w14:paraId="03078049" w14:textId="77777777"/>
    <w:p w:rsidRPr="000752D6" w:rsidR="000752D6" w:rsidP="000752D6" w:rsidRDefault="00A95185" w14:paraId="51D1280A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144B73" w:rsidR="00144B73" w:rsidP="00810C93" w:rsidRDefault="00A95185" w14:paraId="1D4CB53E" w14:textId="0B8EF990">
      <w:pPr>
        <w:rPr>
          <w:i/>
          <w:iCs/>
        </w:rPr>
      </w:pPr>
      <w:r w:rsidRPr="000752D6">
        <w:t>Minister van Landbouw, Visserij, Voedselzekerheid en Natuur</w:t>
      </w: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DF1F" w14:textId="77777777" w:rsidR="00940B3F" w:rsidRDefault="00940B3F">
      <w:r>
        <w:separator/>
      </w:r>
    </w:p>
    <w:p w14:paraId="56F19582" w14:textId="77777777" w:rsidR="00940B3F" w:rsidRDefault="00940B3F"/>
  </w:endnote>
  <w:endnote w:type="continuationSeparator" w:id="0">
    <w:p w14:paraId="0B2406F9" w14:textId="77777777" w:rsidR="00940B3F" w:rsidRDefault="00940B3F">
      <w:r>
        <w:continuationSeparator/>
      </w:r>
    </w:p>
    <w:p w14:paraId="002C3AA1" w14:textId="77777777" w:rsidR="00940B3F" w:rsidRDefault="00940B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82E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8068A" w14:paraId="0B8BD092" w14:textId="77777777" w:rsidTr="00CA6A25">
      <w:trPr>
        <w:trHeight w:hRule="exact" w:val="240"/>
      </w:trPr>
      <w:tc>
        <w:tcPr>
          <w:tcW w:w="7601" w:type="dxa"/>
        </w:tcPr>
        <w:p w14:paraId="01ABA73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3139A56B" w14:textId="1B60BBE1" w:rsidR="00527BD4" w:rsidRPr="00645414" w:rsidRDefault="00A9518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E61B9F">
            <w:t>3</w:t>
          </w:r>
          <w:r w:rsidR="00144B73">
            <w:fldChar w:fldCharType="end"/>
          </w:r>
        </w:p>
      </w:tc>
    </w:tr>
  </w:tbl>
  <w:p w14:paraId="0DCD1B3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8068A" w14:paraId="188DABDF" w14:textId="77777777" w:rsidTr="00CA6A25">
      <w:trPr>
        <w:trHeight w:hRule="exact" w:val="240"/>
      </w:trPr>
      <w:tc>
        <w:tcPr>
          <w:tcW w:w="7601" w:type="dxa"/>
        </w:tcPr>
        <w:p w14:paraId="23A340B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8F5CB86" w14:textId="22C392E8" w:rsidR="00527BD4" w:rsidRPr="00ED539E" w:rsidRDefault="00A9518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E8788E">
            <w:fldChar w:fldCharType="begin"/>
          </w:r>
          <w:r>
            <w:instrText xml:space="preserve"> SECTIONPAGES   \* MERGEFORMAT </w:instrText>
          </w:r>
          <w:r w:rsidR="00E8788E">
            <w:fldChar w:fldCharType="separate"/>
          </w:r>
          <w:r w:rsidR="00E61B9F">
            <w:t>3</w:t>
          </w:r>
          <w:r w:rsidR="00E8788E">
            <w:fldChar w:fldCharType="end"/>
          </w:r>
        </w:p>
      </w:tc>
    </w:tr>
  </w:tbl>
  <w:p w14:paraId="0E075BD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B5AE1B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B837" w14:textId="77777777" w:rsidR="00940B3F" w:rsidRDefault="00940B3F">
      <w:r>
        <w:separator/>
      </w:r>
    </w:p>
    <w:p w14:paraId="1B45D1A0" w14:textId="77777777" w:rsidR="00940B3F" w:rsidRDefault="00940B3F"/>
  </w:footnote>
  <w:footnote w:type="continuationSeparator" w:id="0">
    <w:p w14:paraId="50A130D2" w14:textId="77777777" w:rsidR="00940B3F" w:rsidRDefault="00940B3F">
      <w:r>
        <w:continuationSeparator/>
      </w:r>
    </w:p>
    <w:p w14:paraId="52DAB8FC" w14:textId="77777777" w:rsidR="00940B3F" w:rsidRDefault="00940B3F"/>
  </w:footnote>
  <w:footnote w:id="1">
    <w:p w14:paraId="33483142" w14:textId="6E099C5B" w:rsidR="00623185" w:rsidRDefault="0062318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623185">
          <w:rPr>
            <w:rStyle w:val="Hyperlink"/>
          </w:rPr>
          <w:t>Agro-</w:t>
        </w:r>
        <w:proofErr w:type="spellStart"/>
        <w:r w:rsidRPr="00623185">
          <w:rPr>
            <w:rStyle w:val="Hyperlink"/>
          </w:rPr>
          <w:t>Nutri</w:t>
        </w:r>
        <w:proofErr w:type="spellEnd"/>
        <w:r w:rsidRPr="00623185">
          <w:rPr>
            <w:rStyle w:val="Hyperlink"/>
          </w:rPr>
          <w:t xml:space="preserve"> Monitor: prijsvorming en obstakels voor verduurzaming | ACM</w:t>
        </w:r>
      </w:hyperlink>
    </w:p>
  </w:footnote>
  <w:footnote w:id="2">
    <w:p w14:paraId="5C78F482" w14:textId="3D3903F9" w:rsidR="00623185" w:rsidRDefault="0062318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2" w:history="1">
        <w:r w:rsidRPr="00623185">
          <w:rPr>
            <w:rStyle w:val="Hyperlink"/>
          </w:rPr>
          <w:t>Winstgevendheid biologische boeren onder druk, ACM adviseert pakket maatregelen | ACM</w:t>
        </w:r>
      </w:hyperlink>
    </w:p>
  </w:footnote>
  <w:footnote w:id="3">
    <w:p w14:paraId="62A0F261" w14:textId="77777777" w:rsidR="008F41DF" w:rsidRDefault="008F41DF" w:rsidP="008F41DF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1158AF">
        <w:t>35 247 </w:t>
      </w:r>
      <w:r>
        <w:t>nr. 12</w:t>
      </w:r>
    </w:p>
  </w:footnote>
  <w:footnote w:id="4">
    <w:p w14:paraId="1047B8A2" w14:textId="079A3DC7" w:rsidR="007824AC" w:rsidRDefault="007824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3" w:history="1">
        <w:r w:rsidRPr="007824AC">
          <w:rPr>
            <w:rStyle w:val="Hyperlink"/>
          </w:rPr>
          <w:t>Leidraad samenwerking landbouwers vernieuwd voor duurzaamheidsinitiatieven | ACM</w:t>
        </w:r>
      </w:hyperlink>
    </w:p>
  </w:footnote>
  <w:footnote w:id="5">
    <w:p w14:paraId="4A3F1445" w14:textId="496E7108" w:rsidR="00031E5D" w:rsidRDefault="00031E5D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Pr="001A7348">
        <w:t>36800-XIV-87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8068A" w14:paraId="20931EC4" w14:textId="77777777" w:rsidTr="00A50CF6">
      <w:tc>
        <w:tcPr>
          <w:tcW w:w="2156" w:type="dxa"/>
        </w:tcPr>
        <w:p w14:paraId="7C95F98A" w14:textId="77777777" w:rsidR="00527BD4" w:rsidRPr="005819CE" w:rsidRDefault="00A95185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</w:tc>
    </w:tr>
    <w:tr w:rsidR="00E8068A" w14:paraId="4EDA4DCF" w14:textId="77777777" w:rsidTr="00A50CF6">
      <w:trPr>
        <w:trHeight w:hRule="exact" w:val="200"/>
      </w:trPr>
      <w:tc>
        <w:tcPr>
          <w:tcW w:w="2156" w:type="dxa"/>
        </w:tcPr>
        <w:p w14:paraId="471013F4" w14:textId="77777777" w:rsidR="00527BD4" w:rsidRPr="005819CE" w:rsidRDefault="00527BD4" w:rsidP="00A50CF6"/>
      </w:tc>
    </w:tr>
    <w:tr w:rsidR="00E8068A" w14:paraId="3ADE9111" w14:textId="77777777" w:rsidTr="00502512">
      <w:trPr>
        <w:trHeight w:hRule="exact" w:val="774"/>
      </w:trPr>
      <w:tc>
        <w:tcPr>
          <w:tcW w:w="2156" w:type="dxa"/>
        </w:tcPr>
        <w:p w14:paraId="27E7D3B2" w14:textId="77777777" w:rsidR="00527BD4" w:rsidRDefault="00A95185" w:rsidP="003A5290">
          <w:pPr>
            <w:pStyle w:val="Huisstijl-Kopje"/>
          </w:pPr>
          <w:r>
            <w:t>Ons kenmerk</w:t>
          </w:r>
        </w:p>
        <w:p w14:paraId="03B110CF" w14:textId="7376E8DB" w:rsidR="00527BD4" w:rsidRPr="005819CE" w:rsidRDefault="00A1578E" w:rsidP="00070785">
          <w:pPr>
            <w:pStyle w:val="Huisstijl-Kopje"/>
          </w:pPr>
          <w:r>
            <w:rPr>
              <w:b w:val="0"/>
            </w:rPr>
            <w:t>DGA</w:t>
          </w:r>
          <w:r w:rsidR="00A95185" w:rsidRPr="00502512">
            <w:rPr>
              <w:b w:val="0"/>
            </w:rPr>
            <w:t xml:space="preserve"> / </w:t>
          </w:r>
          <w:r w:rsidR="00070785" w:rsidRPr="00070785">
            <w:rPr>
              <w:b w:val="0"/>
            </w:rPr>
            <w:t>107361697</w:t>
          </w:r>
        </w:p>
      </w:tc>
    </w:tr>
  </w:tbl>
  <w:p w14:paraId="0770180A" w14:textId="77777777" w:rsidR="00527BD4" w:rsidRDefault="00527BD4" w:rsidP="008C356D"/>
  <w:p w14:paraId="7256E975" w14:textId="77777777" w:rsidR="00527BD4" w:rsidRPr="00740712" w:rsidRDefault="00527BD4" w:rsidP="008C356D"/>
  <w:p w14:paraId="0B4725B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37DB84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912CEB0" w14:textId="77777777" w:rsidR="00527BD4" w:rsidRDefault="00527BD4" w:rsidP="004F44C2"/>
  <w:p w14:paraId="71900270" w14:textId="77777777" w:rsidR="00527BD4" w:rsidRPr="00740712" w:rsidRDefault="00527BD4" w:rsidP="004F44C2"/>
  <w:p w14:paraId="3CBA6DF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8068A" w14:paraId="6B17E8B5" w14:textId="77777777" w:rsidTr="00751A6A">
      <w:trPr>
        <w:trHeight w:val="2636"/>
      </w:trPr>
      <w:tc>
        <w:tcPr>
          <w:tcW w:w="737" w:type="dxa"/>
        </w:tcPr>
        <w:p w14:paraId="083C621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F8B390A" w14:textId="77777777" w:rsidR="00527BD4" w:rsidRDefault="00A9518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08F8545" wp14:editId="3CF866B5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474AD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D0DC62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8068A" w14:paraId="39BB85D6" w14:textId="77777777" w:rsidTr="00A50CF6">
      <w:tc>
        <w:tcPr>
          <w:tcW w:w="2160" w:type="dxa"/>
        </w:tcPr>
        <w:p w14:paraId="5476E582" w14:textId="77777777" w:rsidR="00527BD4" w:rsidRPr="005819CE" w:rsidRDefault="00A95185" w:rsidP="00A50CF6">
          <w:pPr>
            <w:pStyle w:val="Huisstijl-Adres"/>
            <w:rPr>
              <w:b/>
            </w:rPr>
          </w:pPr>
          <w:r>
            <w:rPr>
              <w:b/>
            </w:rPr>
            <w:t>Directie Europese en Internationale Zaken</w:t>
          </w:r>
          <w:r w:rsidRPr="005819CE">
            <w:rPr>
              <w:b/>
            </w:rPr>
            <w:br/>
          </w:r>
        </w:p>
        <w:p w14:paraId="704FA04A" w14:textId="77777777" w:rsidR="00527BD4" w:rsidRPr="00BE5ED9" w:rsidRDefault="00A9518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9C51E96" w14:textId="77777777" w:rsidR="00EF495B" w:rsidRDefault="00A9518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A3322F4" w14:textId="77777777" w:rsidR="00556BEE" w:rsidRPr="005B3814" w:rsidRDefault="00A9518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9CD0813" w14:textId="31AFA57F" w:rsidR="00527BD4" w:rsidRPr="00070785" w:rsidRDefault="00A9518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E8068A" w14:paraId="2663EA8F" w14:textId="77777777" w:rsidTr="00A50CF6">
      <w:trPr>
        <w:trHeight w:hRule="exact" w:val="200"/>
      </w:trPr>
      <w:tc>
        <w:tcPr>
          <w:tcW w:w="2160" w:type="dxa"/>
        </w:tcPr>
        <w:p w14:paraId="6A0A40C6" w14:textId="77777777" w:rsidR="00527BD4" w:rsidRPr="005819CE" w:rsidRDefault="00527BD4" w:rsidP="00A50CF6"/>
      </w:tc>
    </w:tr>
    <w:tr w:rsidR="00E8068A" w14:paraId="30B7DAD0" w14:textId="77777777" w:rsidTr="00A50CF6">
      <w:tc>
        <w:tcPr>
          <w:tcW w:w="2160" w:type="dxa"/>
        </w:tcPr>
        <w:p w14:paraId="622A48BD" w14:textId="77777777" w:rsidR="000C0163" w:rsidRPr="005819CE" w:rsidRDefault="00A9518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9FF0B71" w14:textId="37533CA9" w:rsidR="00527BD4" w:rsidRPr="005819CE" w:rsidRDefault="001705D1" w:rsidP="00070785">
          <w:pPr>
            <w:pStyle w:val="Huisstijl-Gegeven"/>
          </w:pPr>
          <w:r>
            <w:t>DGA</w:t>
          </w:r>
          <w:r w:rsidR="00A95185">
            <w:t xml:space="preserve"> /</w:t>
          </w:r>
          <w:r w:rsidR="00486354">
            <w:t xml:space="preserve"> </w:t>
          </w:r>
          <w:r w:rsidR="00070785">
            <w:t>107361697</w:t>
          </w:r>
        </w:p>
        <w:p w14:paraId="4866F452" w14:textId="77777777" w:rsidR="00527BD4" w:rsidRPr="005819CE" w:rsidRDefault="00527BD4" w:rsidP="00A50CF6">
          <w:pPr>
            <w:pStyle w:val="Huisstijl-Gegeven"/>
          </w:pPr>
        </w:p>
      </w:tc>
    </w:tr>
  </w:tbl>
  <w:p w14:paraId="18521C0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8068A" w14:paraId="3FBD1DA7" w14:textId="77777777" w:rsidTr="009E2051">
      <w:trPr>
        <w:trHeight w:val="400"/>
      </w:trPr>
      <w:tc>
        <w:tcPr>
          <w:tcW w:w="7520" w:type="dxa"/>
          <w:gridSpan w:val="2"/>
        </w:tcPr>
        <w:p w14:paraId="210B0B4C" w14:textId="77777777" w:rsidR="00527BD4" w:rsidRPr="00BC3B53" w:rsidRDefault="00A9518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8068A" w14:paraId="64CAE91A" w14:textId="77777777" w:rsidTr="009E2051">
      <w:tc>
        <w:tcPr>
          <w:tcW w:w="7520" w:type="dxa"/>
          <w:gridSpan w:val="2"/>
        </w:tcPr>
        <w:p w14:paraId="55276E9A" w14:textId="77777777" w:rsidR="00527BD4" w:rsidRPr="00983E8F" w:rsidRDefault="00527BD4" w:rsidP="00A50CF6">
          <w:pPr>
            <w:pStyle w:val="Huisstijl-Rubricering"/>
          </w:pPr>
        </w:p>
      </w:tc>
    </w:tr>
    <w:tr w:rsidR="00E8068A" w14:paraId="21B8D970" w14:textId="77777777" w:rsidTr="009E2051">
      <w:trPr>
        <w:trHeight w:hRule="exact" w:val="2440"/>
      </w:trPr>
      <w:tc>
        <w:tcPr>
          <w:tcW w:w="7520" w:type="dxa"/>
          <w:gridSpan w:val="2"/>
        </w:tcPr>
        <w:p w14:paraId="575D7E82" w14:textId="77777777" w:rsidR="00527BD4" w:rsidRDefault="00A95185" w:rsidP="00A50CF6">
          <w:pPr>
            <w:pStyle w:val="Huisstijl-NAW"/>
          </w:pPr>
          <w:r>
            <w:t xml:space="preserve">De Voorzitter van de Tweede Kamer </w:t>
          </w:r>
        </w:p>
        <w:p w14:paraId="38CB28EE" w14:textId="77777777" w:rsidR="00E8068A" w:rsidRDefault="00A95185">
          <w:pPr>
            <w:pStyle w:val="Huisstijl-NAW"/>
          </w:pPr>
          <w:r>
            <w:t>der Staten-Generaal</w:t>
          </w:r>
        </w:p>
        <w:p w14:paraId="64EDF4EC" w14:textId="77777777" w:rsidR="00E8068A" w:rsidRDefault="00A95185">
          <w:pPr>
            <w:pStyle w:val="Huisstijl-NAW"/>
          </w:pPr>
          <w:r>
            <w:t>Prinses Irenestraat 6</w:t>
          </w:r>
        </w:p>
        <w:p w14:paraId="17D9DFFF" w14:textId="77777777" w:rsidR="00E8068A" w:rsidRDefault="00A95185">
          <w:pPr>
            <w:pStyle w:val="Huisstijl-NAW"/>
          </w:pPr>
          <w:r>
            <w:t>2595 BD  DEN HAAG</w:t>
          </w:r>
        </w:p>
        <w:p w14:paraId="1C730072" w14:textId="77777777" w:rsidR="00E8068A" w:rsidRDefault="00A95185">
          <w:pPr>
            <w:pStyle w:val="Huisstijl-NAW"/>
          </w:pPr>
          <w:r>
            <w:t xml:space="preserve"> </w:t>
          </w:r>
        </w:p>
        <w:p w14:paraId="02E4E1D8" w14:textId="77777777" w:rsidR="00E8068A" w:rsidRDefault="00486354">
          <w:pPr>
            <w:pStyle w:val="Huisstijl-NAW"/>
          </w:pPr>
          <w:r>
            <w:t xml:space="preserve"> </w:t>
          </w:r>
        </w:p>
      </w:tc>
    </w:tr>
    <w:tr w:rsidR="00E8068A" w14:paraId="2FC7B294" w14:textId="77777777" w:rsidTr="009E2051">
      <w:trPr>
        <w:trHeight w:hRule="exact" w:val="400"/>
      </w:trPr>
      <w:tc>
        <w:tcPr>
          <w:tcW w:w="7520" w:type="dxa"/>
          <w:gridSpan w:val="2"/>
        </w:tcPr>
        <w:p w14:paraId="4B7A597B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8068A" w14:paraId="745A0831" w14:textId="77777777" w:rsidTr="009E2051">
      <w:trPr>
        <w:trHeight w:val="240"/>
      </w:trPr>
      <w:tc>
        <w:tcPr>
          <w:tcW w:w="900" w:type="dxa"/>
        </w:tcPr>
        <w:p w14:paraId="1B1AAB03" w14:textId="77777777" w:rsidR="00527BD4" w:rsidRPr="007709EF" w:rsidRDefault="00A9518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91F645C" w14:textId="20C61C31" w:rsidR="00527BD4" w:rsidRPr="007709EF" w:rsidRDefault="00176E68" w:rsidP="00A50CF6">
          <w:r>
            <w:t>9 juli 2026</w:t>
          </w:r>
        </w:p>
      </w:tc>
    </w:tr>
    <w:tr w:rsidR="00E8068A" w14:paraId="3EB335BC" w14:textId="77777777" w:rsidTr="009E2051">
      <w:trPr>
        <w:trHeight w:val="240"/>
      </w:trPr>
      <w:tc>
        <w:tcPr>
          <w:tcW w:w="900" w:type="dxa"/>
        </w:tcPr>
        <w:p w14:paraId="3CF939C9" w14:textId="77777777" w:rsidR="00527BD4" w:rsidRPr="007709EF" w:rsidRDefault="00A9518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02AA2C5" w14:textId="45748266" w:rsidR="00527BD4" w:rsidRPr="007709EF" w:rsidRDefault="00D17592" w:rsidP="00A50CF6">
          <w:r>
            <w:t>Reactie op u</w:t>
          </w:r>
          <w:r w:rsidR="00A95185">
            <w:t>itvoering van de toezegging aan het lid Dassen over prijsafspraken</w:t>
          </w:r>
        </w:p>
      </w:tc>
    </w:tr>
  </w:tbl>
  <w:p w14:paraId="7C2142C9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55B0D91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22E5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E9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60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A2B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CEA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A0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AE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24D2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AC62DC7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DDE8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54EC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496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2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427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0C1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BC0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50B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168881">
    <w:abstractNumId w:val="10"/>
  </w:num>
  <w:num w:numId="2" w16cid:durableId="1875851568">
    <w:abstractNumId w:val="7"/>
  </w:num>
  <w:num w:numId="3" w16cid:durableId="1804423364">
    <w:abstractNumId w:val="6"/>
  </w:num>
  <w:num w:numId="4" w16cid:durableId="690374796">
    <w:abstractNumId w:val="5"/>
  </w:num>
  <w:num w:numId="5" w16cid:durableId="90512590">
    <w:abstractNumId w:val="4"/>
  </w:num>
  <w:num w:numId="6" w16cid:durableId="313220226">
    <w:abstractNumId w:val="8"/>
  </w:num>
  <w:num w:numId="7" w16cid:durableId="1219515997">
    <w:abstractNumId w:val="3"/>
  </w:num>
  <w:num w:numId="8" w16cid:durableId="1532304120">
    <w:abstractNumId w:val="2"/>
  </w:num>
  <w:num w:numId="9" w16cid:durableId="999577311">
    <w:abstractNumId w:val="1"/>
  </w:num>
  <w:num w:numId="10" w16cid:durableId="1342928031">
    <w:abstractNumId w:val="0"/>
  </w:num>
  <w:num w:numId="11" w16cid:durableId="882837387">
    <w:abstractNumId w:val="9"/>
  </w:num>
  <w:num w:numId="12" w16cid:durableId="1295790705">
    <w:abstractNumId w:val="11"/>
  </w:num>
  <w:num w:numId="13" w16cid:durableId="808985405">
    <w:abstractNumId w:val="13"/>
  </w:num>
  <w:num w:numId="14" w16cid:durableId="2101178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26849"/>
    <w:rsid w:val="000301C7"/>
    <w:rsid w:val="00031E5D"/>
    <w:rsid w:val="00033CDD"/>
    <w:rsid w:val="00034A84"/>
    <w:rsid w:val="00035E67"/>
    <w:rsid w:val="000366F3"/>
    <w:rsid w:val="0006024D"/>
    <w:rsid w:val="00064021"/>
    <w:rsid w:val="00070785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D7699"/>
    <w:rsid w:val="000E7895"/>
    <w:rsid w:val="000F1558"/>
    <w:rsid w:val="000F161D"/>
    <w:rsid w:val="000F401B"/>
    <w:rsid w:val="001158AF"/>
    <w:rsid w:val="00121BF0"/>
    <w:rsid w:val="00123704"/>
    <w:rsid w:val="00126F23"/>
    <w:rsid w:val="001270C7"/>
    <w:rsid w:val="001279B7"/>
    <w:rsid w:val="00132540"/>
    <w:rsid w:val="001428A6"/>
    <w:rsid w:val="00144B73"/>
    <w:rsid w:val="0014786A"/>
    <w:rsid w:val="001516A4"/>
    <w:rsid w:val="00151E5F"/>
    <w:rsid w:val="001536B3"/>
    <w:rsid w:val="00154D23"/>
    <w:rsid w:val="001569AB"/>
    <w:rsid w:val="00164D63"/>
    <w:rsid w:val="0016725C"/>
    <w:rsid w:val="001705D1"/>
    <w:rsid w:val="001726F3"/>
    <w:rsid w:val="00173C51"/>
    <w:rsid w:val="00174CC2"/>
    <w:rsid w:val="00176CC6"/>
    <w:rsid w:val="00176E68"/>
    <w:rsid w:val="00181BE4"/>
    <w:rsid w:val="00184272"/>
    <w:rsid w:val="00185576"/>
    <w:rsid w:val="00185951"/>
    <w:rsid w:val="00196B8B"/>
    <w:rsid w:val="001A2BEA"/>
    <w:rsid w:val="001A6D93"/>
    <w:rsid w:val="001A7348"/>
    <w:rsid w:val="001B36C9"/>
    <w:rsid w:val="001C32EC"/>
    <w:rsid w:val="001C38BD"/>
    <w:rsid w:val="001C4D5A"/>
    <w:rsid w:val="001C6E94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370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D8A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CC4"/>
    <w:rsid w:val="00353932"/>
    <w:rsid w:val="0035464B"/>
    <w:rsid w:val="0035550C"/>
    <w:rsid w:val="00361A56"/>
    <w:rsid w:val="0036252A"/>
    <w:rsid w:val="00364D9D"/>
    <w:rsid w:val="00371048"/>
    <w:rsid w:val="00371F35"/>
    <w:rsid w:val="0037396C"/>
    <w:rsid w:val="0037421D"/>
    <w:rsid w:val="00375971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C326A"/>
    <w:rsid w:val="003D39EC"/>
    <w:rsid w:val="003E3DD5"/>
    <w:rsid w:val="003F07C6"/>
    <w:rsid w:val="003F1F6B"/>
    <w:rsid w:val="003F2647"/>
    <w:rsid w:val="003F3757"/>
    <w:rsid w:val="003F38BD"/>
    <w:rsid w:val="003F44B7"/>
    <w:rsid w:val="004008E9"/>
    <w:rsid w:val="004044C3"/>
    <w:rsid w:val="00413D48"/>
    <w:rsid w:val="00441AC2"/>
    <w:rsid w:val="0044249B"/>
    <w:rsid w:val="0045023C"/>
    <w:rsid w:val="00450F78"/>
    <w:rsid w:val="00451A5B"/>
    <w:rsid w:val="0045235C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05A1"/>
    <w:rsid w:val="00521CEE"/>
    <w:rsid w:val="00524FB4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559"/>
    <w:rsid w:val="005819CE"/>
    <w:rsid w:val="0058298D"/>
    <w:rsid w:val="00584B4E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08A6"/>
    <w:rsid w:val="005F62D3"/>
    <w:rsid w:val="005F6D11"/>
    <w:rsid w:val="00600CF0"/>
    <w:rsid w:val="00602C20"/>
    <w:rsid w:val="006048F4"/>
    <w:rsid w:val="0060660A"/>
    <w:rsid w:val="00613B1D"/>
    <w:rsid w:val="00617A44"/>
    <w:rsid w:val="006202B6"/>
    <w:rsid w:val="00623185"/>
    <w:rsid w:val="006247BE"/>
    <w:rsid w:val="00625CD0"/>
    <w:rsid w:val="0062627D"/>
    <w:rsid w:val="00627432"/>
    <w:rsid w:val="00627A3F"/>
    <w:rsid w:val="00640234"/>
    <w:rsid w:val="006448E4"/>
    <w:rsid w:val="00645414"/>
    <w:rsid w:val="00653606"/>
    <w:rsid w:val="00655787"/>
    <w:rsid w:val="006610E9"/>
    <w:rsid w:val="00661591"/>
    <w:rsid w:val="00663CC9"/>
    <w:rsid w:val="00664F69"/>
    <w:rsid w:val="0066632F"/>
    <w:rsid w:val="0067134B"/>
    <w:rsid w:val="00674413"/>
    <w:rsid w:val="00674A89"/>
    <w:rsid w:val="00674F3D"/>
    <w:rsid w:val="00685545"/>
    <w:rsid w:val="006864B3"/>
    <w:rsid w:val="00692D64"/>
    <w:rsid w:val="00695EF3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578C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159F4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24AC"/>
    <w:rsid w:val="007834F7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0947"/>
    <w:rsid w:val="008F2584"/>
    <w:rsid w:val="008F3246"/>
    <w:rsid w:val="008F3C1B"/>
    <w:rsid w:val="008F41DF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40B3F"/>
    <w:rsid w:val="009666F6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1578E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5185"/>
    <w:rsid w:val="00A957CA"/>
    <w:rsid w:val="00AA7FC9"/>
    <w:rsid w:val="00AB237D"/>
    <w:rsid w:val="00AB5933"/>
    <w:rsid w:val="00AB59FF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34AF2"/>
    <w:rsid w:val="00B425F0"/>
    <w:rsid w:val="00B42DFA"/>
    <w:rsid w:val="00B531DD"/>
    <w:rsid w:val="00B55014"/>
    <w:rsid w:val="00B62232"/>
    <w:rsid w:val="00B6640B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BF715D"/>
    <w:rsid w:val="00C15A91"/>
    <w:rsid w:val="00C206F1"/>
    <w:rsid w:val="00C217E1"/>
    <w:rsid w:val="00C219B1"/>
    <w:rsid w:val="00C32766"/>
    <w:rsid w:val="00C4015B"/>
    <w:rsid w:val="00C40C60"/>
    <w:rsid w:val="00C47B73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B6557"/>
    <w:rsid w:val="00CC6290"/>
    <w:rsid w:val="00CC7BA8"/>
    <w:rsid w:val="00CD233D"/>
    <w:rsid w:val="00CD2F35"/>
    <w:rsid w:val="00CD362D"/>
    <w:rsid w:val="00CE101D"/>
    <w:rsid w:val="00CE1814"/>
    <w:rsid w:val="00CE1C84"/>
    <w:rsid w:val="00CE2B34"/>
    <w:rsid w:val="00CE5055"/>
    <w:rsid w:val="00CF053F"/>
    <w:rsid w:val="00CF1A17"/>
    <w:rsid w:val="00D0375A"/>
    <w:rsid w:val="00D0609E"/>
    <w:rsid w:val="00D078E1"/>
    <w:rsid w:val="00D100E9"/>
    <w:rsid w:val="00D137A9"/>
    <w:rsid w:val="00D17592"/>
    <w:rsid w:val="00D17AF8"/>
    <w:rsid w:val="00D21E4B"/>
    <w:rsid w:val="00D23522"/>
    <w:rsid w:val="00D24A8E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215A"/>
    <w:rsid w:val="00D95C88"/>
    <w:rsid w:val="00D97B2E"/>
    <w:rsid w:val="00DA1FAE"/>
    <w:rsid w:val="00DA241E"/>
    <w:rsid w:val="00DB36FE"/>
    <w:rsid w:val="00DB533A"/>
    <w:rsid w:val="00DB6307"/>
    <w:rsid w:val="00DD0968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7298"/>
    <w:rsid w:val="00E10DC6"/>
    <w:rsid w:val="00E11F8E"/>
    <w:rsid w:val="00E15881"/>
    <w:rsid w:val="00E16A8F"/>
    <w:rsid w:val="00E21DE3"/>
    <w:rsid w:val="00E22C81"/>
    <w:rsid w:val="00E307D1"/>
    <w:rsid w:val="00E34498"/>
    <w:rsid w:val="00E3731D"/>
    <w:rsid w:val="00E51469"/>
    <w:rsid w:val="00E61B9F"/>
    <w:rsid w:val="00E634A8"/>
    <w:rsid w:val="00E634E3"/>
    <w:rsid w:val="00E717C4"/>
    <w:rsid w:val="00E72857"/>
    <w:rsid w:val="00E74E4E"/>
    <w:rsid w:val="00E77E18"/>
    <w:rsid w:val="00E77F89"/>
    <w:rsid w:val="00E80330"/>
    <w:rsid w:val="00E8068A"/>
    <w:rsid w:val="00E806C5"/>
    <w:rsid w:val="00E80E71"/>
    <w:rsid w:val="00E8460E"/>
    <w:rsid w:val="00E850D3"/>
    <w:rsid w:val="00E853D6"/>
    <w:rsid w:val="00E876B9"/>
    <w:rsid w:val="00E8788E"/>
    <w:rsid w:val="00E92117"/>
    <w:rsid w:val="00EB5AAA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0BD"/>
    <w:rsid w:val="00F13A4E"/>
    <w:rsid w:val="00F172BB"/>
    <w:rsid w:val="00F17B10"/>
    <w:rsid w:val="00F21BEF"/>
    <w:rsid w:val="00F2315B"/>
    <w:rsid w:val="00F30B3E"/>
    <w:rsid w:val="00F37CB4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D76B0"/>
    <w:rsid w:val="00FE1CB6"/>
    <w:rsid w:val="00FE486B"/>
    <w:rsid w:val="00FE4F08"/>
    <w:rsid w:val="00FF192E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AA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663CC9"/>
    <w:rPr>
      <w:rFonts w:ascii="Verdana" w:hAnsi="Verdana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623185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3185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semiHidden/>
    <w:unhideWhenUsed/>
    <w:rsid w:val="00D137A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D137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137A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D137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D137A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cm.nl/nl/publicaties/leidraad-samenwerking-landbouwers-vernieuwd-voor-duurzaamheidsinitiatieven" TargetMode="External"/><Relationship Id="rId2" Type="http://schemas.openxmlformats.org/officeDocument/2006/relationships/hyperlink" Target="https://www.acm.nl/nl/publicaties/winstgevendheid-biologische-boeren-onder-druk-acm-adviseert-pakket-maatregelen" TargetMode="External"/><Relationship Id="rId1" Type="http://schemas.openxmlformats.org/officeDocument/2006/relationships/hyperlink" Target="https://www.acm.nl/nl/concurrentie-en-marktwerking/toezicht-op-concurrentie-en-marktwerking/agro-nutri-monitor-prijsvorming-en-obstakels-voor-verduurzam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751</ap:Words>
  <ap:Characters>4134</ap:Characters>
  <ap:DocSecurity>0</ap:DocSecurity>
  <ap:Lines>34</ap:Lines>
  <ap:Paragraphs>9</ap:Paragraphs>
  <ap:ScaleCrop>false</ap:ScaleCrop>
  <ap:LinksUpToDate>false</ap:LinksUpToDate>
  <ap:CharactersWithSpaces>4876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2026-07-09T07:50:00.0000000Z</dcterms:created>
  <dcterms:modified xsi:type="dcterms:W3CDTF">2026-07-09T07:50:00.0000000Z</dcterms:modified>
  <dc:description>------------------------</dc:description>
  <dc:subject/>
  <keywords/>
  <version/>
  <category/>
</coreProperties>
</file>