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940FB" w:rsidP="003640F0" w:rsidRDefault="00D940FB" w14:paraId="204645AB" w14:textId="191CF15C">
      <w:pPr>
        <w:rPr>
          <w:szCs w:val="18"/>
        </w:rPr>
      </w:pPr>
      <w:r w:rsidRPr="006F4CF0">
        <w:rPr>
          <w:szCs w:val="18"/>
        </w:rPr>
        <w:t xml:space="preserve">Geachte </w:t>
      </w:r>
      <w:r w:rsidR="003640F0">
        <w:rPr>
          <w:szCs w:val="18"/>
        </w:rPr>
        <w:t>V</w:t>
      </w:r>
      <w:r w:rsidRPr="006F4CF0">
        <w:rPr>
          <w:szCs w:val="18"/>
        </w:rPr>
        <w:t>oorzitter, </w:t>
      </w:r>
      <w:r>
        <w:rPr>
          <w:szCs w:val="18"/>
        </w:rPr>
        <w:br/>
      </w:r>
      <w:r>
        <w:rPr>
          <w:szCs w:val="18"/>
        </w:rPr>
        <w:br/>
      </w:r>
      <w:r w:rsidRPr="006F4CF0">
        <w:rPr>
          <w:szCs w:val="18"/>
        </w:rPr>
        <w:t>In uw brief van 8 april 2026 (kenmerk 2026Z06722/2026D16462) verzocht u mij om een reactie op de brief van Stichting Stikstof</w:t>
      </w:r>
      <w:r>
        <w:rPr>
          <w:szCs w:val="18"/>
        </w:rPr>
        <w:t xml:space="preserve"> C</w:t>
      </w:r>
      <w:r w:rsidRPr="006F4CF0">
        <w:rPr>
          <w:szCs w:val="18"/>
        </w:rPr>
        <w:t xml:space="preserve">laim (SSC), namens meerdere boerenorganisaties. In deze brief worden bezwaren geuit tegen de invoering van bedrijfsgerichte doelsturing </w:t>
      </w:r>
      <w:r>
        <w:rPr>
          <w:szCs w:val="18"/>
        </w:rPr>
        <w:t xml:space="preserve">met behulp van </w:t>
      </w:r>
      <w:r w:rsidRPr="006F4CF0">
        <w:rPr>
          <w:szCs w:val="18"/>
        </w:rPr>
        <w:t>kritische prestatie</w:t>
      </w:r>
      <w:r>
        <w:rPr>
          <w:szCs w:val="18"/>
        </w:rPr>
        <w:t>-</w:t>
      </w:r>
      <w:r w:rsidRPr="006F4CF0">
        <w:rPr>
          <w:szCs w:val="18"/>
        </w:rPr>
        <w:t>indicatoren (</w:t>
      </w:r>
      <w:proofErr w:type="spellStart"/>
      <w:r w:rsidRPr="006F4CF0">
        <w:rPr>
          <w:szCs w:val="18"/>
        </w:rPr>
        <w:t>KPI’s</w:t>
      </w:r>
      <w:proofErr w:type="spellEnd"/>
      <w:r w:rsidRPr="006F4CF0">
        <w:rPr>
          <w:szCs w:val="18"/>
        </w:rPr>
        <w:t xml:space="preserve">). </w:t>
      </w:r>
      <w:r>
        <w:rPr>
          <w:szCs w:val="18"/>
        </w:rPr>
        <w:t>Met deze brief</w:t>
      </w:r>
      <w:r w:rsidRPr="006F4CF0">
        <w:rPr>
          <w:szCs w:val="18"/>
        </w:rPr>
        <w:t xml:space="preserve"> kom ik aan uw verzoek tegemoet</w:t>
      </w:r>
      <w:r>
        <w:rPr>
          <w:szCs w:val="18"/>
        </w:rPr>
        <w:t>.</w:t>
      </w:r>
    </w:p>
    <w:p w:rsidR="005F3AE6" w:rsidP="003640F0" w:rsidRDefault="005F3AE6" w14:paraId="44D0C306" w14:textId="77777777">
      <w:pPr>
        <w:rPr>
          <w:szCs w:val="18"/>
        </w:rPr>
      </w:pPr>
    </w:p>
    <w:p w:rsidR="00D940FB" w:rsidP="003640F0" w:rsidRDefault="00D940FB" w14:paraId="42EB68CB" w14:textId="1860635E">
      <w:pPr>
        <w:rPr>
          <w:szCs w:val="18"/>
        </w:rPr>
      </w:pPr>
      <w:r>
        <w:rPr>
          <w:szCs w:val="18"/>
        </w:rPr>
        <w:t xml:space="preserve">Allereerst wil ik Stichting Stikstofclaim bedanken voor hun inbreng en het kenbaar maken van hun zorgen over bedrijfsgerichte doelsturing. </w:t>
      </w:r>
      <w:r w:rsidRPr="006F4CF0">
        <w:rPr>
          <w:szCs w:val="18"/>
        </w:rPr>
        <w:t xml:space="preserve">Doelsturing is het integraal en bedrijfsgericht sturen op doelen vanuit de overheid en/of de </w:t>
      </w:r>
      <w:r w:rsidRPr="003A7D7C">
        <w:rPr>
          <w:szCs w:val="18"/>
        </w:rPr>
        <w:t>markt, waarbij het voor de agrarisch ondernemer duidelijk is welke prestaties hij of zij moet leveren op het eigen bedrijf en er ruimte bestaat voor vakmanschap en ondernemerskeuzes</w:t>
      </w:r>
      <w:r>
        <w:rPr>
          <w:szCs w:val="18"/>
        </w:rPr>
        <w:t xml:space="preserve"> om de gestelde doelen te halen</w:t>
      </w:r>
      <w:r w:rsidRPr="003A7D7C">
        <w:rPr>
          <w:szCs w:val="18"/>
        </w:rPr>
        <w:t xml:space="preserve">. </w:t>
      </w:r>
      <w:r>
        <w:rPr>
          <w:szCs w:val="18"/>
        </w:rPr>
        <w:t xml:space="preserve">Hierbij </w:t>
      </w:r>
      <w:r w:rsidRPr="003A7D7C">
        <w:rPr>
          <w:szCs w:val="18"/>
        </w:rPr>
        <w:t xml:space="preserve">wordt een </w:t>
      </w:r>
      <w:proofErr w:type="spellStart"/>
      <w:r w:rsidRPr="003A7D7C">
        <w:rPr>
          <w:szCs w:val="18"/>
        </w:rPr>
        <w:t>ingroeipad</w:t>
      </w:r>
      <w:proofErr w:type="spellEnd"/>
      <w:r w:rsidRPr="003A7D7C">
        <w:rPr>
          <w:szCs w:val="18"/>
        </w:rPr>
        <w:t xml:space="preserve"> gehanteerd om het systeem zorgvuldig en stapsgewijs</w:t>
      </w:r>
      <w:r w:rsidRPr="26C5C592">
        <w:rPr>
          <w:szCs w:val="18"/>
        </w:rPr>
        <w:t xml:space="preserve"> uit te bouwen en de ondernemer hierin mee te nemen en te faciliteren. </w:t>
      </w:r>
      <w:r>
        <w:rPr>
          <w:szCs w:val="18"/>
        </w:rPr>
        <w:t xml:space="preserve">Ik heb begrip voor de zorgen die in de brief zijn aangestipt. Hieronder ga ik in op de punten die in de brief aan de orde zijn gesteld. </w:t>
      </w:r>
    </w:p>
    <w:p w:rsidR="00D940FB" w:rsidP="003640F0" w:rsidRDefault="00D940FB" w14:paraId="5C200C03" w14:textId="77777777">
      <w:pPr>
        <w:rPr>
          <w:szCs w:val="18"/>
        </w:rPr>
      </w:pPr>
    </w:p>
    <w:p w:rsidR="00D940FB" w:rsidP="003640F0" w:rsidRDefault="00D940FB" w14:paraId="5479A7E1" w14:textId="77777777">
      <w:pPr>
        <w:rPr>
          <w:szCs w:val="18"/>
        </w:rPr>
      </w:pPr>
      <w:r w:rsidRPr="0F0F5544">
        <w:rPr>
          <w:rFonts w:eastAsia="Verdana" w:cs="Verdana"/>
          <w:szCs w:val="18"/>
        </w:rPr>
        <w:t>Het kabinet zet in op afrekenbare bedrijfsspecifieke emissienormen voor stikstof en klimaat in 2035.</w:t>
      </w:r>
      <w:r>
        <w:rPr>
          <w:rFonts w:eastAsia="Verdana" w:cs="Verdana"/>
          <w:szCs w:val="18"/>
        </w:rPr>
        <w:t xml:space="preserve"> Voor waterkwaliteit wordt gericht op het bereiken van de Europese normen, zoals vastgelegd in de Nitraatrichtlijn. </w:t>
      </w:r>
      <w:r w:rsidRPr="002F55FB">
        <w:rPr>
          <w:szCs w:val="18"/>
        </w:rPr>
        <w:t xml:space="preserve">Doelsturing </w:t>
      </w:r>
      <w:r>
        <w:rPr>
          <w:szCs w:val="18"/>
        </w:rPr>
        <w:t xml:space="preserve">op </w:t>
      </w:r>
      <w:r w:rsidRPr="002F55FB">
        <w:rPr>
          <w:szCs w:val="18"/>
        </w:rPr>
        <w:t>kwaliteit</w:t>
      </w:r>
      <w:r>
        <w:rPr>
          <w:szCs w:val="18"/>
        </w:rPr>
        <w:t xml:space="preserve"> van water</w:t>
      </w:r>
      <w:r w:rsidRPr="002F55FB">
        <w:rPr>
          <w:szCs w:val="18"/>
        </w:rPr>
        <w:t xml:space="preserve"> wordt uitgewerkt als onderdeel van het 8</w:t>
      </w:r>
      <w:r w:rsidRPr="00ED4C42">
        <w:rPr>
          <w:szCs w:val="18"/>
          <w:vertAlign w:val="superscript"/>
        </w:rPr>
        <w:t>e</w:t>
      </w:r>
      <w:r w:rsidRPr="002F55FB">
        <w:rPr>
          <w:szCs w:val="18"/>
        </w:rPr>
        <w:t xml:space="preserve"> actieprogramma Nitraatrichtlijn en volgt</w:t>
      </w:r>
      <w:r>
        <w:rPr>
          <w:szCs w:val="18"/>
        </w:rPr>
        <w:t xml:space="preserve"> daarmee</w:t>
      </w:r>
      <w:r w:rsidRPr="002F55FB">
        <w:rPr>
          <w:szCs w:val="18"/>
        </w:rPr>
        <w:t xml:space="preserve"> een ander tijdpad.</w:t>
      </w:r>
      <w:r>
        <w:rPr>
          <w:szCs w:val="18"/>
        </w:rPr>
        <w:t xml:space="preserve"> </w:t>
      </w:r>
      <w:r w:rsidRPr="00DD358B">
        <w:rPr>
          <w:szCs w:val="18"/>
        </w:rPr>
        <w:t xml:space="preserve">Keuzes over de inrichting van doelsturing op </w:t>
      </w:r>
      <w:r>
        <w:rPr>
          <w:szCs w:val="18"/>
        </w:rPr>
        <w:t xml:space="preserve">de </w:t>
      </w:r>
      <w:r w:rsidRPr="00DD358B">
        <w:rPr>
          <w:szCs w:val="18"/>
        </w:rPr>
        <w:t xml:space="preserve">kwaliteit </w:t>
      </w:r>
      <w:r>
        <w:rPr>
          <w:szCs w:val="18"/>
        </w:rPr>
        <w:t xml:space="preserve">van water </w:t>
      </w:r>
      <w:r w:rsidRPr="00DD358B">
        <w:rPr>
          <w:szCs w:val="18"/>
        </w:rPr>
        <w:t>bezie ik in samenhang met de maatregelen in het nog op te stellen 8</w:t>
      </w:r>
      <w:r w:rsidRPr="00DD358B">
        <w:rPr>
          <w:szCs w:val="18"/>
          <w:vertAlign w:val="superscript"/>
        </w:rPr>
        <w:t>e</w:t>
      </w:r>
      <w:r w:rsidRPr="00DD358B">
        <w:rPr>
          <w:szCs w:val="18"/>
        </w:rPr>
        <w:t xml:space="preserve"> actieprogramma Nitraatrichtlijn.</w:t>
      </w:r>
    </w:p>
    <w:p w:rsidRPr="004C2C6C" w:rsidR="00D940FB" w:rsidP="003640F0" w:rsidRDefault="00D940FB" w14:paraId="5A2A45F1" w14:textId="77777777">
      <w:pPr>
        <w:rPr>
          <w:rFonts w:eastAsia="Verdana" w:cs="Verdana"/>
          <w:szCs w:val="18"/>
        </w:rPr>
      </w:pPr>
      <w:r>
        <w:rPr>
          <w:rFonts w:eastAsia="Verdana" w:cs="Verdana"/>
          <w:i/>
          <w:iCs/>
          <w:szCs w:val="18"/>
        </w:rPr>
        <w:br/>
      </w:r>
      <w:r w:rsidRPr="004C2C6C">
        <w:rPr>
          <w:rFonts w:eastAsia="Verdana" w:cs="Verdana"/>
          <w:i/>
          <w:iCs/>
          <w:szCs w:val="18"/>
        </w:rPr>
        <w:t>Stikstof en klimaat</w:t>
      </w:r>
      <w:r>
        <w:rPr>
          <w:rFonts w:eastAsia="Verdana" w:cs="Verdana"/>
          <w:szCs w:val="18"/>
        </w:rPr>
        <w:br/>
      </w:r>
      <w:r w:rsidRPr="0F0F5544">
        <w:rPr>
          <w:rFonts w:eastAsia="Verdana" w:cs="Verdana"/>
          <w:szCs w:val="18"/>
        </w:rPr>
        <w:t xml:space="preserve">Door nu duidelijke kaders te stellen waar bedrijven uiteindelijk aan moeten voldoen kunnen bedrijven overwogen een </w:t>
      </w:r>
      <w:r>
        <w:rPr>
          <w:rFonts w:eastAsia="Verdana" w:cs="Verdana"/>
          <w:szCs w:val="18"/>
        </w:rPr>
        <w:t>keuze</w:t>
      </w:r>
      <w:r w:rsidRPr="0F0F5544">
        <w:rPr>
          <w:rFonts w:eastAsia="Verdana" w:cs="Verdana"/>
          <w:szCs w:val="18"/>
        </w:rPr>
        <w:t xml:space="preserve"> maken over de ontwikkeling van hun bedrijf. In aanloop daarnaartoe zet het kabinet ook al in o</w:t>
      </w:r>
      <w:r>
        <w:rPr>
          <w:rFonts w:eastAsia="Verdana" w:cs="Verdana"/>
          <w:szCs w:val="18"/>
        </w:rPr>
        <w:t>p</w:t>
      </w:r>
      <w:r w:rsidRPr="0F0F5544">
        <w:rPr>
          <w:rFonts w:eastAsia="Verdana" w:cs="Verdana"/>
          <w:szCs w:val="18"/>
        </w:rPr>
        <w:t xml:space="preserve"> informerende en stimulerende maatregelen om ondernemers te ondersteunen in het toewerken naar de emissienormen</w:t>
      </w:r>
      <w:r>
        <w:rPr>
          <w:rFonts w:eastAsia="Verdana" w:cs="Verdana"/>
          <w:szCs w:val="18"/>
        </w:rPr>
        <w:t xml:space="preserve"> voor stikstof en klimaat. H</w:t>
      </w:r>
      <w:r w:rsidRPr="26C5C592">
        <w:rPr>
          <w:szCs w:val="18"/>
        </w:rPr>
        <w:t>et belonen van goede prestaties en het afrekenen bij het niet halen van de normen is nodig voor het tijdig halen en borgen van de beoogde emissiereductie</w:t>
      </w:r>
      <w:r>
        <w:rPr>
          <w:szCs w:val="18"/>
        </w:rPr>
        <w:t xml:space="preserve"> voor stikstof en klimaat</w:t>
      </w:r>
      <w:r w:rsidRPr="26C5C592">
        <w:rPr>
          <w:szCs w:val="18"/>
        </w:rPr>
        <w:t xml:space="preserve">. </w:t>
      </w:r>
      <w:r w:rsidRPr="00DD358B">
        <w:rPr>
          <w:szCs w:val="18"/>
        </w:rPr>
        <w:t>Het zal</w:t>
      </w:r>
      <w:r>
        <w:rPr>
          <w:szCs w:val="18"/>
        </w:rPr>
        <w:t xml:space="preserve"> </w:t>
      </w:r>
      <w:r w:rsidRPr="00DD358B">
        <w:rPr>
          <w:szCs w:val="18"/>
        </w:rPr>
        <w:t>per opgave en per sector verschillen wat mogelijk en nodig is.</w:t>
      </w:r>
      <w:r>
        <w:rPr>
          <w:szCs w:val="18"/>
        </w:rPr>
        <w:t xml:space="preserve"> </w:t>
      </w:r>
    </w:p>
    <w:p w:rsidR="00D940FB" w:rsidP="003640F0" w:rsidRDefault="00D940FB" w14:paraId="22CA1B46" w14:textId="77777777">
      <w:pPr>
        <w:rPr>
          <w:rFonts w:eastAsia="Verdana" w:cs="Verdana"/>
          <w:szCs w:val="18"/>
        </w:rPr>
      </w:pPr>
      <w:r w:rsidRPr="00DD358B">
        <w:rPr>
          <w:rFonts w:eastAsia="Verdana" w:cs="Verdana"/>
          <w:szCs w:val="18"/>
        </w:rPr>
        <w:lastRenderedPageBreak/>
        <w:t xml:space="preserve">Het kabinet wil voorkomen dat het systeem van doelsturing overvraagd wordt. Daarom zijn de bedrijfsspecifieke emissienormen </w:t>
      </w:r>
      <w:r>
        <w:rPr>
          <w:rFonts w:eastAsia="Verdana" w:cs="Verdana"/>
          <w:szCs w:val="18"/>
        </w:rPr>
        <w:t xml:space="preserve">voor stikstof en klimaat </w:t>
      </w:r>
      <w:r w:rsidRPr="00DD358B">
        <w:rPr>
          <w:rFonts w:eastAsia="Verdana" w:cs="Verdana"/>
          <w:szCs w:val="18"/>
        </w:rPr>
        <w:t>onderdeel van de bredere samenhangende aanpak waaraan wordt gewerkt via de Ministeriële Taskforce Landbouw, Natuur en Stikstof</w:t>
      </w:r>
      <w:r>
        <w:rPr>
          <w:rFonts w:eastAsia="Verdana" w:cs="Verdana"/>
          <w:szCs w:val="18"/>
        </w:rPr>
        <w:t xml:space="preserve"> waar ik uw Kamer over heb geïnformeerd op 27 maart 2026</w:t>
      </w:r>
      <w:r w:rsidRPr="00DD358B">
        <w:rPr>
          <w:rFonts w:eastAsia="Verdana" w:cs="Verdana"/>
          <w:szCs w:val="18"/>
        </w:rPr>
        <w:t xml:space="preserve">. </w:t>
      </w:r>
    </w:p>
    <w:p w:rsidRPr="00FE20AA" w:rsidR="003640F0" w:rsidP="003640F0" w:rsidRDefault="003640F0" w14:paraId="581F5A8E" w14:textId="77777777">
      <w:pPr>
        <w:rPr>
          <w:szCs w:val="18"/>
        </w:rPr>
      </w:pPr>
    </w:p>
    <w:p w:rsidR="00D940FB" w:rsidP="003640F0" w:rsidRDefault="00D940FB" w14:paraId="3E851569" w14:textId="77777777">
      <w:r w:rsidRPr="076C4D1E">
        <w:rPr>
          <w:rFonts w:eastAsia="Verdana" w:cs="Verdana"/>
        </w:rPr>
        <w:t xml:space="preserve">Zoals gecommuniceerd in de Kamerbrief van 27 maart 2026 over de samenhangende aanpak, kiest dit kabinet voor een geborgde aanpak. Dat betekent dat aanvullende maatregelen worden getroffen als de emissiedoelen voor stikstof en klimaat voor de landbouw, industrie en mobiliteit voor 2035, of het tussenliggende streefdoel voor de landbouw voor 2030, niet worden bereikt (‘bijsturing’). </w:t>
      </w:r>
      <w:r>
        <w:t xml:space="preserve">Het kabinet streeft ernaar voor de zomer de Kamer te informeren over de verdere beleidsmatige invulling van de emissienormen voor stikstof en klimaat voor de veehouderij. </w:t>
      </w:r>
    </w:p>
    <w:p w:rsidRPr="00F91466" w:rsidR="00D940FB" w:rsidP="003640F0" w:rsidRDefault="00D940FB" w14:paraId="129333D7" w14:textId="77777777">
      <w:pPr>
        <w:rPr>
          <w:rFonts w:eastAsia="Verdana" w:cs="Verdana"/>
          <w:szCs w:val="18"/>
        </w:rPr>
      </w:pPr>
    </w:p>
    <w:p w:rsidRPr="006F4CF0" w:rsidR="00D940FB" w:rsidP="003640F0" w:rsidRDefault="00D940FB" w14:paraId="343878A7" w14:textId="77777777">
      <w:pPr>
        <w:rPr>
          <w:szCs w:val="18"/>
        </w:rPr>
      </w:pPr>
      <w:r w:rsidRPr="26C5C592">
        <w:rPr>
          <w:szCs w:val="18"/>
        </w:rPr>
        <w:t xml:space="preserve">Na bekendmaking van de emissienormen </w:t>
      </w:r>
      <w:r>
        <w:rPr>
          <w:szCs w:val="18"/>
        </w:rPr>
        <w:t xml:space="preserve">voor stikstof en klimaat </w:t>
      </w:r>
      <w:r w:rsidRPr="26C5C592">
        <w:rPr>
          <w:szCs w:val="18"/>
        </w:rPr>
        <w:t>kan het debat hierover worden gevoerd in het parlement</w:t>
      </w:r>
      <w:r>
        <w:rPr>
          <w:szCs w:val="18"/>
        </w:rPr>
        <w:t xml:space="preserve">, </w:t>
      </w:r>
      <w:r w:rsidRPr="26C5C592">
        <w:rPr>
          <w:szCs w:val="18"/>
        </w:rPr>
        <w:t xml:space="preserve">moet worden uitgewerkt hoe de vastlegging in de regelgeving eruit komt te zien en hoe de uitvoering, toezicht en handhaving zal gaan werken. </w:t>
      </w:r>
      <w:r w:rsidRPr="006F4CF0">
        <w:rPr>
          <w:szCs w:val="18"/>
        </w:rPr>
        <w:t xml:space="preserve">Uiteraard wordt </w:t>
      </w:r>
      <w:r>
        <w:rPr>
          <w:szCs w:val="18"/>
        </w:rPr>
        <w:t xml:space="preserve">bij het vastleggen van normen </w:t>
      </w:r>
      <w:r w:rsidRPr="006F4CF0">
        <w:rPr>
          <w:szCs w:val="18"/>
        </w:rPr>
        <w:t>rekening gehouden met de Europese kaders en zal daarbinnen worden geopereerd en daar waar nodig zal er ook bij de Europese Commissie consultatie plaatsvinden.</w:t>
      </w:r>
      <w:r>
        <w:rPr>
          <w:szCs w:val="18"/>
        </w:rPr>
        <w:t xml:space="preserve"> Vanzelfsprekend zullen de verschillende toetsen die onderdeel zijn van een regelgevingstraject uitgevoerd worden. </w:t>
      </w:r>
    </w:p>
    <w:p w:rsidR="003640F0" w:rsidP="003640F0" w:rsidRDefault="003640F0" w14:paraId="38772688" w14:textId="77777777">
      <w:pPr>
        <w:rPr>
          <w:i/>
          <w:iCs/>
          <w:szCs w:val="18"/>
        </w:rPr>
      </w:pPr>
    </w:p>
    <w:p w:rsidR="00D940FB" w:rsidP="003640F0" w:rsidRDefault="00D940FB" w14:paraId="75796553" w14:textId="0E178C89">
      <w:pPr>
        <w:rPr>
          <w:szCs w:val="18"/>
        </w:rPr>
      </w:pPr>
      <w:r w:rsidRPr="004C2C6C">
        <w:rPr>
          <w:i/>
          <w:iCs/>
          <w:szCs w:val="18"/>
        </w:rPr>
        <w:t>Implementatie</w:t>
      </w:r>
      <w:r>
        <w:rPr>
          <w:szCs w:val="18"/>
        </w:rPr>
        <w:t xml:space="preserve"> </w:t>
      </w:r>
      <w:r>
        <w:rPr>
          <w:szCs w:val="18"/>
        </w:rPr>
        <w:br/>
        <w:t>I</w:t>
      </w:r>
      <w:r w:rsidRPr="006F4CF0">
        <w:rPr>
          <w:szCs w:val="18"/>
        </w:rPr>
        <w:t xml:space="preserve">k ben het met SSC eens dat </w:t>
      </w:r>
      <w:r>
        <w:rPr>
          <w:szCs w:val="18"/>
        </w:rPr>
        <w:t xml:space="preserve">bedrijfsgerichte </w:t>
      </w:r>
      <w:r w:rsidRPr="006F4CF0">
        <w:rPr>
          <w:szCs w:val="18"/>
        </w:rPr>
        <w:t>doelsturing niet eenvoudig is en zorgvuldigheid vergt bij</w:t>
      </w:r>
      <w:r>
        <w:rPr>
          <w:szCs w:val="18"/>
        </w:rPr>
        <w:t xml:space="preserve"> de</w:t>
      </w:r>
      <w:r w:rsidRPr="006F4CF0">
        <w:rPr>
          <w:szCs w:val="18"/>
        </w:rPr>
        <w:t xml:space="preserve"> implementatie. Doelsturing vraagt inderdaad dat de overheid </w:t>
      </w:r>
      <w:r>
        <w:rPr>
          <w:szCs w:val="18"/>
        </w:rPr>
        <w:t xml:space="preserve">en de agrarisch ondernemers </w:t>
      </w:r>
      <w:r w:rsidRPr="006F4CF0">
        <w:rPr>
          <w:szCs w:val="18"/>
        </w:rPr>
        <w:t xml:space="preserve">op </w:t>
      </w:r>
      <w:r>
        <w:rPr>
          <w:szCs w:val="18"/>
        </w:rPr>
        <w:t xml:space="preserve">onderdelen op </w:t>
      </w:r>
      <w:r w:rsidRPr="006F4CF0">
        <w:rPr>
          <w:szCs w:val="18"/>
        </w:rPr>
        <w:t>een andere manier werk</w:t>
      </w:r>
      <w:r>
        <w:rPr>
          <w:szCs w:val="18"/>
        </w:rPr>
        <w:t>en</w:t>
      </w:r>
      <w:r w:rsidRPr="006F4CF0">
        <w:rPr>
          <w:szCs w:val="18"/>
        </w:rPr>
        <w:t xml:space="preserve"> dan voorheen. Dat brengt vraagstukken met zich mee en dat is ook waarom de invoering van (afrekenbare) doelsturing een </w:t>
      </w:r>
      <w:r>
        <w:rPr>
          <w:szCs w:val="18"/>
        </w:rPr>
        <w:t xml:space="preserve">stapsgewijs en </w:t>
      </w:r>
      <w:r w:rsidRPr="006F4CF0">
        <w:rPr>
          <w:szCs w:val="18"/>
        </w:rPr>
        <w:t>zorgvuldig traject vergt</w:t>
      </w:r>
      <w:r>
        <w:rPr>
          <w:szCs w:val="18"/>
        </w:rPr>
        <w:t xml:space="preserve"> evenals specifieke aanpakken </w:t>
      </w:r>
      <w:r w:rsidRPr="26C5C592">
        <w:rPr>
          <w:szCs w:val="18"/>
        </w:rPr>
        <w:t>voor de verschillende opgaven en verschillende sectoren</w:t>
      </w:r>
      <w:r>
        <w:rPr>
          <w:szCs w:val="18"/>
        </w:rPr>
        <w:t xml:space="preserve"> d</w:t>
      </w:r>
      <w:r w:rsidRPr="26C5C592">
        <w:rPr>
          <w:szCs w:val="18"/>
        </w:rPr>
        <w:t xml:space="preserve">ie niet van vandaag op morgen gerealiseerd </w:t>
      </w:r>
      <w:r>
        <w:rPr>
          <w:szCs w:val="18"/>
        </w:rPr>
        <w:t>zijn</w:t>
      </w:r>
      <w:r w:rsidRPr="26C5C592">
        <w:rPr>
          <w:szCs w:val="18"/>
        </w:rPr>
        <w:t xml:space="preserve">. Het kabinet spant zich in om de </w:t>
      </w:r>
      <w:r>
        <w:rPr>
          <w:szCs w:val="18"/>
        </w:rPr>
        <w:t xml:space="preserve">kaders en </w:t>
      </w:r>
      <w:r w:rsidRPr="26C5C592">
        <w:rPr>
          <w:szCs w:val="18"/>
        </w:rPr>
        <w:t xml:space="preserve">voorwaarden de komende periode </w:t>
      </w:r>
      <w:r>
        <w:rPr>
          <w:szCs w:val="18"/>
        </w:rPr>
        <w:t xml:space="preserve">aan </w:t>
      </w:r>
      <w:r w:rsidRPr="26C5C592">
        <w:rPr>
          <w:szCs w:val="18"/>
        </w:rPr>
        <w:t xml:space="preserve">te brengen. </w:t>
      </w:r>
    </w:p>
    <w:p w:rsidR="00D940FB" w:rsidP="003640F0" w:rsidRDefault="00D940FB" w14:paraId="4D310601" w14:textId="77777777">
      <w:pPr>
        <w:rPr>
          <w:szCs w:val="18"/>
        </w:rPr>
      </w:pPr>
    </w:p>
    <w:p w:rsidR="00D940FB" w:rsidP="003640F0" w:rsidRDefault="00D940FB" w14:paraId="6CC04115" w14:textId="77777777">
      <w:pPr>
        <w:rPr>
          <w:rFonts w:cs="Arial"/>
          <w:szCs w:val="18"/>
        </w:rPr>
      </w:pPr>
      <w:r w:rsidRPr="00DD358B">
        <w:rPr>
          <w:rFonts w:eastAsia="Verdana" w:cs="Verdana"/>
          <w:szCs w:val="18"/>
        </w:rPr>
        <w:t xml:space="preserve">Voor de operationalisering van doelsturing zullen </w:t>
      </w:r>
      <w:r>
        <w:rPr>
          <w:rFonts w:eastAsia="Verdana" w:cs="Verdana"/>
          <w:szCs w:val="18"/>
        </w:rPr>
        <w:t xml:space="preserve">in </w:t>
      </w:r>
      <w:r w:rsidRPr="00DD358B">
        <w:rPr>
          <w:rFonts w:eastAsia="Verdana" w:cs="Verdana"/>
          <w:szCs w:val="18"/>
        </w:rPr>
        <w:t xml:space="preserve">de komende jaren </w:t>
      </w:r>
      <w:r>
        <w:rPr>
          <w:rFonts w:eastAsia="Verdana" w:cs="Verdana"/>
          <w:szCs w:val="18"/>
        </w:rPr>
        <w:t xml:space="preserve">dan ook </w:t>
      </w:r>
      <w:r w:rsidRPr="00DD358B">
        <w:rPr>
          <w:rFonts w:eastAsia="Verdana" w:cs="Verdana"/>
          <w:szCs w:val="18"/>
        </w:rPr>
        <w:t>nog verschillende keuzes gemaakt moeten worden, variërend van juridische borging tot de ontwikkeling van het systeem zoals monitoring en beschikbaarheid van data van de juiste kwaliteit. Ook vindt het kabinet het belangrijk dat ondernemers inzicht kunnen krijgen in waar zij staan ten opzichte van de norm, hoe dit bepaald wordt en dat zij betrouwbaar kunnen aantonen dat zij aan de normen voldoen. Voor het vaststellen van emissies op bedrijfsniveau zijn verschillende methodes mogelijk, variërend van eenvoudigere rekenmethodes tot een gedetailleerde rekenmethode of (continu) meten. Deze mogelijkheden worden nader uitgewerkt in de bredere ontwikkeling van het doelsturingssysteem.</w:t>
      </w:r>
      <w:r>
        <w:rPr>
          <w:rFonts w:eastAsia="Verdana" w:cs="Verdana"/>
          <w:szCs w:val="18"/>
        </w:rPr>
        <w:t xml:space="preserve"> </w:t>
      </w:r>
      <w:r w:rsidRPr="76D90571">
        <w:rPr>
          <w:rFonts w:cs="Arial"/>
          <w:szCs w:val="18"/>
        </w:rPr>
        <w:t>Hierbij wordt rekening gehouden met wat beleidsbeslissingen betekenen voor ondernemers</w:t>
      </w:r>
      <w:r>
        <w:rPr>
          <w:rFonts w:cs="Arial"/>
          <w:szCs w:val="18"/>
        </w:rPr>
        <w:t xml:space="preserve"> en wat technisch haalbaar is.</w:t>
      </w:r>
      <w:r w:rsidRPr="76D90571">
        <w:rPr>
          <w:rFonts w:cs="Arial"/>
          <w:szCs w:val="18"/>
        </w:rPr>
        <w:t xml:space="preserve"> Het uitgangspunt bij doelsturing is dat indicatoren om de prestaties van de boer te beoordelen zo worden gekozen dat deze de inspanningen van de boer weergeven.</w:t>
      </w:r>
    </w:p>
    <w:p w:rsidR="00D940FB" w:rsidP="003640F0" w:rsidRDefault="00D940FB" w14:paraId="268DB1F9" w14:textId="77777777">
      <w:pPr>
        <w:rPr>
          <w:rFonts w:cs="Arial"/>
          <w:szCs w:val="18"/>
        </w:rPr>
      </w:pPr>
    </w:p>
    <w:p w:rsidR="00D940FB" w:rsidP="003640F0" w:rsidRDefault="00D940FB" w14:paraId="24F1744D" w14:textId="77777777">
      <w:pPr>
        <w:rPr>
          <w:rFonts w:cs="Arial"/>
          <w:szCs w:val="18"/>
        </w:rPr>
      </w:pPr>
    </w:p>
    <w:p w:rsidRPr="004C2C6C" w:rsidR="00D940FB" w:rsidP="003640F0" w:rsidRDefault="00D940FB" w14:paraId="5E077574" w14:textId="77777777">
      <w:pPr>
        <w:rPr>
          <w:i/>
          <w:iCs/>
          <w:szCs w:val="18"/>
        </w:rPr>
      </w:pPr>
      <w:r>
        <w:rPr>
          <w:i/>
          <w:iCs/>
          <w:szCs w:val="18"/>
        </w:rPr>
        <w:t>Openbaarheid van data voor doelsturing</w:t>
      </w:r>
    </w:p>
    <w:p w:rsidR="00D940FB" w:rsidP="003640F0" w:rsidRDefault="00D940FB" w14:paraId="5F31C7EB" w14:textId="77777777">
      <w:pPr>
        <w:rPr>
          <w:szCs w:val="18"/>
        </w:rPr>
      </w:pPr>
      <w:r w:rsidRPr="00DD358B">
        <w:rPr>
          <w:szCs w:val="18"/>
        </w:rPr>
        <w:t xml:space="preserve">Ik realiseer mij dat er zich dilemma’s kunnen voordoen bij de openbaarmaking van informatie, bijvoorbeeld wanneer openbaarmaking van informatie mede raakt aan de persoonlijke levenssfeer van agrarische ondernemers. Ik vind het daarom van belang om de verschillende belangen die hier kunnen spelen af te wegen, binnen de kaders die onder meer de </w:t>
      </w:r>
      <w:proofErr w:type="spellStart"/>
      <w:r w:rsidRPr="00DD358B">
        <w:rPr>
          <w:szCs w:val="18"/>
        </w:rPr>
        <w:t>Woo</w:t>
      </w:r>
      <w:proofErr w:type="spellEnd"/>
      <w:r w:rsidRPr="00DD358B">
        <w:rPr>
          <w:szCs w:val="18"/>
        </w:rPr>
        <w:t xml:space="preserve"> biedt. </w:t>
      </w:r>
    </w:p>
    <w:p w:rsidR="00EB7B97" w:rsidP="003640F0" w:rsidRDefault="00D940FB" w14:paraId="77D16264" w14:textId="77777777">
      <w:pPr>
        <w:rPr>
          <w:szCs w:val="18"/>
        </w:rPr>
      </w:pPr>
      <w:r w:rsidRPr="00DD358B">
        <w:rPr>
          <w:szCs w:val="18"/>
        </w:rPr>
        <w:t xml:space="preserve">Dit zal ook worden meegenomen bij de vormgeving van doelsturing. </w:t>
      </w:r>
      <w:r w:rsidRPr="00666AE9">
        <w:rPr>
          <w:szCs w:val="18"/>
        </w:rPr>
        <w:t xml:space="preserve">Hiernaast staat dit jaar een wetsevaluatie van de </w:t>
      </w:r>
      <w:proofErr w:type="spellStart"/>
      <w:r w:rsidRPr="00666AE9">
        <w:rPr>
          <w:szCs w:val="18"/>
        </w:rPr>
        <w:t>Woo</w:t>
      </w:r>
      <w:proofErr w:type="spellEnd"/>
      <w:r w:rsidRPr="00666AE9">
        <w:rPr>
          <w:szCs w:val="18"/>
        </w:rPr>
        <w:t xml:space="preserve"> op de planning. Het</w:t>
      </w:r>
      <w:r>
        <w:rPr>
          <w:szCs w:val="18"/>
        </w:rPr>
        <w:t xml:space="preserve"> </w:t>
      </w:r>
      <w:r w:rsidRPr="00666AE9">
        <w:rPr>
          <w:szCs w:val="18"/>
        </w:rPr>
        <w:t xml:space="preserve">streven is om de </w:t>
      </w:r>
      <w:proofErr w:type="spellStart"/>
      <w:r w:rsidRPr="00666AE9">
        <w:rPr>
          <w:szCs w:val="18"/>
        </w:rPr>
        <w:t>Woo</w:t>
      </w:r>
      <w:proofErr w:type="spellEnd"/>
      <w:r w:rsidRPr="00666AE9">
        <w:rPr>
          <w:szCs w:val="18"/>
        </w:rPr>
        <w:t xml:space="preserve"> beter toepasbaar te maken. In deze wetsevaluatie</w:t>
      </w:r>
      <w:r>
        <w:rPr>
          <w:szCs w:val="18"/>
        </w:rPr>
        <w:t xml:space="preserve"> </w:t>
      </w:r>
      <w:r w:rsidRPr="00666AE9">
        <w:rPr>
          <w:szCs w:val="18"/>
        </w:rPr>
        <w:t>wordt ook expliciet gekeken naar de openbaarmaking van emissiegegevens</w:t>
      </w:r>
      <w:r>
        <w:rPr>
          <w:rStyle w:val="Voetnootmarkering"/>
          <w:szCs w:val="18"/>
        </w:rPr>
        <w:footnoteReference w:id="1"/>
      </w:r>
      <w:r>
        <w:rPr>
          <w:szCs w:val="18"/>
        </w:rPr>
        <w:t xml:space="preserve">. </w:t>
      </w:r>
    </w:p>
    <w:p w:rsidR="00EB7B97" w:rsidP="003640F0" w:rsidRDefault="00EB7B97" w14:paraId="6D1AEDA9" w14:textId="77777777">
      <w:pPr>
        <w:rPr>
          <w:szCs w:val="18"/>
        </w:rPr>
      </w:pPr>
    </w:p>
    <w:p w:rsidRPr="00944257" w:rsidR="00D940FB" w:rsidP="003640F0" w:rsidRDefault="00D940FB" w14:paraId="13CF67FA" w14:textId="12694F7B">
      <w:pPr>
        <w:rPr>
          <w:szCs w:val="18"/>
        </w:rPr>
      </w:pPr>
      <w:r>
        <w:rPr>
          <w:szCs w:val="18"/>
        </w:rPr>
        <w:t>Zoals ook eerder gemeld blijft h</w:t>
      </w:r>
      <w:r w:rsidRPr="003E358B">
        <w:rPr>
          <w:szCs w:val="18"/>
        </w:rPr>
        <w:t>et</w:t>
      </w:r>
      <w:r>
        <w:rPr>
          <w:szCs w:val="18"/>
        </w:rPr>
        <w:t xml:space="preserve"> </w:t>
      </w:r>
      <w:r w:rsidRPr="003E358B">
        <w:rPr>
          <w:szCs w:val="18"/>
        </w:rPr>
        <w:t>kabinet</w:t>
      </w:r>
      <w:r>
        <w:rPr>
          <w:szCs w:val="18"/>
        </w:rPr>
        <w:t xml:space="preserve"> </w:t>
      </w:r>
      <w:r w:rsidRPr="003E358B">
        <w:rPr>
          <w:szCs w:val="18"/>
        </w:rPr>
        <w:t>zich</w:t>
      </w:r>
      <w:r>
        <w:rPr>
          <w:szCs w:val="18"/>
        </w:rPr>
        <w:t xml:space="preserve"> daarnaast inzetten </w:t>
      </w:r>
      <w:r w:rsidRPr="003E358B">
        <w:rPr>
          <w:szCs w:val="18"/>
        </w:rPr>
        <w:t>in</w:t>
      </w:r>
      <w:r>
        <w:rPr>
          <w:szCs w:val="18"/>
        </w:rPr>
        <w:t xml:space="preserve"> </w:t>
      </w:r>
      <w:r w:rsidRPr="003E358B">
        <w:rPr>
          <w:szCs w:val="18"/>
        </w:rPr>
        <w:t>Brussel</w:t>
      </w:r>
      <w:r>
        <w:rPr>
          <w:szCs w:val="18"/>
        </w:rPr>
        <w:t xml:space="preserve"> </w:t>
      </w:r>
      <w:r w:rsidRPr="003E358B">
        <w:rPr>
          <w:szCs w:val="18"/>
        </w:rPr>
        <w:t>om</w:t>
      </w:r>
      <w:r>
        <w:rPr>
          <w:szCs w:val="18"/>
        </w:rPr>
        <w:t xml:space="preserve"> </w:t>
      </w:r>
      <w:r w:rsidRPr="003E358B">
        <w:rPr>
          <w:szCs w:val="18"/>
        </w:rPr>
        <w:t>het</w:t>
      </w:r>
      <w:r>
        <w:rPr>
          <w:szCs w:val="18"/>
        </w:rPr>
        <w:t xml:space="preserve"> </w:t>
      </w:r>
      <w:r w:rsidRPr="003E358B">
        <w:rPr>
          <w:szCs w:val="18"/>
        </w:rPr>
        <w:t>vraagstuk rond</w:t>
      </w:r>
      <w:r>
        <w:rPr>
          <w:szCs w:val="18"/>
        </w:rPr>
        <w:t xml:space="preserve"> </w:t>
      </w:r>
      <w:r w:rsidRPr="003E358B">
        <w:rPr>
          <w:szCs w:val="18"/>
        </w:rPr>
        <w:t>de</w:t>
      </w:r>
      <w:r>
        <w:rPr>
          <w:szCs w:val="18"/>
        </w:rPr>
        <w:t xml:space="preserve"> </w:t>
      </w:r>
      <w:r w:rsidRPr="003E358B">
        <w:rPr>
          <w:szCs w:val="18"/>
        </w:rPr>
        <w:t>openbaarmaking</w:t>
      </w:r>
      <w:r>
        <w:rPr>
          <w:szCs w:val="18"/>
        </w:rPr>
        <w:t xml:space="preserve"> </w:t>
      </w:r>
      <w:r w:rsidRPr="003E358B">
        <w:rPr>
          <w:szCs w:val="18"/>
        </w:rPr>
        <w:t>van</w:t>
      </w:r>
      <w:r>
        <w:rPr>
          <w:szCs w:val="18"/>
        </w:rPr>
        <w:t xml:space="preserve"> </w:t>
      </w:r>
      <w:r w:rsidRPr="003E358B">
        <w:rPr>
          <w:szCs w:val="18"/>
        </w:rPr>
        <w:t>emissiegegevens-die</w:t>
      </w:r>
      <w:r>
        <w:rPr>
          <w:szCs w:val="18"/>
        </w:rPr>
        <w:t xml:space="preserve"> </w:t>
      </w:r>
      <w:r w:rsidRPr="003E358B">
        <w:rPr>
          <w:szCs w:val="18"/>
        </w:rPr>
        <w:t>ook</w:t>
      </w:r>
      <w:r>
        <w:rPr>
          <w:szCs w:val="18"/>
        </w:rPr>
        <w:t xml:space="preserve"> </w:t>
      </w:r>
      <w:r w:rsidRPr="003E358B">
        <w:rPr>
          <w:szCs w:val="18"/>
        </w:rPr>
        <w:t>woonadressen</w:t>
      </w:r>
      <w:r>
        <w:rPr>
          <w:szCs w:val="18"/>
        </w:rPr>
        <w:t xml:space="preserve"> </w:t>
      </w:r>
      <w:r w:rsidRPr="003E358B">
        <w:rPr>
          <w:szCs w:val="18"/>
        </w:rPr>
        <w:t>zijn-te agenderen</w:t>
      </w:r>
      <w:r>
        <w:rPr>
          <w:szCs w:val="18"/>
        </w:rPr>
        <w:t xml:space="preserve"> </w:t>
      </w:r>
      <w:r w:rsidRPr="003E358B">
        <w:rPr>
          <w:szCs w:val="18"/>
        </w:rPr>
        <w:t>en</w:t>
      </w:r>
      <w:r>
        <w:rPr>
          <w:szCs w:val="18"/>
        </w:rPr>
        <w:t xml:space="preserve"> </w:t>
      </w:r>
      <w:r w:rsidRPr="003E358B">
        <w:rPr>
          <w:szCs w:val="18"/>
        </w:rPr>
        <w:t>verder</w:t>
      </w:r>
      <w:r>
        <w:rPr>
          <w:szCs w:val="18"/>
        </w:rPr>
        <w:t xml:space="preserve"> </w:t>
      </w:r>
      <w:r w:rsidRPr="003E358B">
        <w:rPr>
          <w:szCs w:val="18"/>
        </w:rPr>
        <w:t>te</w:t>
      </w:r>
      <w:r>
        <w:rPr>
          <w:szCs w:val="18"/>
        </w:rPr>
        <w:t xml:space="preserve"> </w:t>
      </w:r>
      <w:r w:rsidRPr="003E358B">
        <w:rPr>
          <w:szCs w:val="18"/>
        </w:rPr>
        <w:t>brengen</w:t>
      </w:r>
      <w:r>
        <w:rPr>
          <w:rStyle w:val="Voetnootmarkering"/>
          <w:szCs w:val="18"/>
        </w:rPr>
        <w:footnoteReference w:id="2"/>
      </w:r>
      <w:r w:rsidRPr="003E358B">
        <w:rPr>
          <w:szCs w:val="18"/>
        </w:rPr>
        <w:t>.</w:t>
      </w:r>
      <w:r>
        <w:rPr>
          <w:szCs w:val="18"/>
        </w:rPr>
        <w:t>Ook</w:t>
      </w:r>
      <w:r w:rsidRPr="00DD358B">
        <w:rPr>
          <w:szCs w:val="18"/>
        </w:rPr>
        <w:t xml:space="preserve"> werk ik met de Minister van Justitie en Veiligheid aan een onderzoek naar de sociale veiligheid van agrarisch ondernemers</w:t>
      </w:r>
      <w:r w:rsidRPr="00DD358B">
        <w:rPr>
          <w:rStyle w:val="Voetnootmarkering"/>
        </w:rPr>
        <w:footnoteReference w:id="3"/>
      </w:r>
      <w:r w:rsidRPr="00DD358B">
        <w:rPr>
          <w:szCs w:val="18"/>
        </w:rPr>
        <w:t>.</w:t>
      </w:r>
      <w:r>
        <w:rPr>
          <w:szCs w:val="18"/>
        </w:rPr>
        <w:t xml:space="preserve"> </w:t>
      </w:r>
      <w:r w:rsidRPr="00DD358B">
        <w:rPr>
          <w:szCs w:val="18"/>
        </w:rPr>
        <w:t>Ik verwijs u tevens naar de antwoorden op Kamervragen over openbaarmaking bedrijfsgegevens naar aanleiding van de technische briefing over doelsturing</w:t>
      </w:r>
      <w:r w:rsidRPr="00DD358B">
        <w:rPr>
          <w:szCs w:val="18"/>
          <w:vertAlign w:val="superscript"/>
        </w:rPr>
        <w:footnoteReference w:id="4"/>
      </w:r>
      <w:r w:rsidRPr="00DD358B">
        <w:rPr>
          <w:szCs w:val="18"/>
        </w:rPr>
        <w:t xml:space="preserve">.   </w:t>
      </w:r>
    </w:p>
    <w:p w:rsidR="00D940FB" w:rsidP="003640F0" w:rsidRDefault="00D940FB" w14:paraId="16D4A0FD" w14:textId="77777777">
      <w:pPr>
        <w:rPr>
          <w:szCs w:val="18"/>
        </w:rPr>
      </w:pPr>
      <w:r>
        <w:rPr>
          <w:szCs w:val="18"/>
        </w:rPr>
        <w:br/>
      </w:r>
      <w:r w:rsidRPr="006F4CF0">
        <w:rPr>
          <w:szCs w:val="18"/>
        </w:rPr>
        <w:t xml:space="preserve">Doelsturing is alleen mogelijk als data die nodig zijn om doelbereik vast te stellen </w:t>
      </w:r>
      <w:r>
        <w:rPr>
          <w:szCs w:val="18"/>
        </w:rPr>
        <w:t xml:space="preserve">beschikbaar zijn en </w:t>
      </w:r>
      <w:r w:rsidRPr="006F4CF0">
        <w:rPr>
          <w:szCs w:val="18"/>
        </w:rPr>
        <w:t>worden gedeeld. SSC geeft aan zorgen te hebben over het openbaar worden van data van boeren. Openbaarheid van overheidsinformatie is een belangrijk onderdeel van onze democratische rechtsstaat. Openbaarheid van gegevens maakt het mogelijk voor belangenorganisaties, onderzoekers en burgers informatie te vergaren over onder andere hun leefomgeving. Daarom zijn er internationaal afspraken gemaakt over openbaarheid van informatie. Deze afspraken zijn vastgelegd in het Verdrag van Aarhus (hierna: het verdrag) en de Europese milieu-informatierichtlijn (Richtlijn 2003/4/EG, hierna: de richtlijn). De richtlijn en het verdrag zijn geïmplementeerd in de Wet open overheid (</w:t>
      </w:r>
      <w:proofErr w:type="spellStart"/>
      <w:r w:rsidRPr="006F4CF0">
        <w:rPr>
          <w:szCs w:val="18"/>
        </w:rPr>
        <w:t>Woo</w:t>
      </w:r>
      <w:proofErr w:type="spellEnd"/>
      <w:r w:rsidRPr="006F4CF0">
        <w:rPr>
          <w:szCs w:val="18"/>
        </w:rPr>
        <w:t xml:space="preserve">). </w:t>
      </w:r>
    </w:p>
    <w:p w:rsidR="003640F0" w:rsidP="003640F0" w:rsidRDefault="003640F0" w14:paraId="49881D61" w14:textId="77777777">
      <w:pPr>
        <w:rPr>
          <w:szCs w:val="18"/>
        </w:rPr>
      </w:pPr>
    </w:p>
    <w:p w:rsidRPr="00DD358B" w:rsidR="00D940FB" w:rsidP="003640F0" w:rsidRDefault="00D940FB" w14:paraId="7630C21A" w14:textId="77777777">
      <w:pPr>
        <w:rPr>
          <w:szCs w:val="18"/>
        </w:rPr>
      </w:pPr>
      <w:r>
        <w:rPr>
          <w:szCs w:val="18"/>
        </w:rPr>
        <w:t>Dit laat onverlet dat</w:t>
      </w:r>
      <w:r w:rsidRPr="00DD358B">
        <w:rPr>
          <w:szCs w:val="18"/>
        </w:rPr>
        <w:t xml:space="preserve"> het van belang </w:t>
      </w:r>
      <w:r>
        <w:rPr>
          <w:szCs w:val="18"/>
        </w:rPr>
        <w:t xml:space="preserve">is </w:t>
      </w:r>
      <w:r w:rsidRPr="00DD358B">
        <w:rPr>
          <w:szCs w:val="18"/>
        </w:rPr>
        <w:t>dat besluiten in het kader van doelsturing zorgvuldig worden voorbereid en dragend worden gemotiveerd. Er moet nog bepaald worden welke gegevens daarvoor nodig zijn. Bij het maken van deze keuzes zal ik de belangen van openbaarheid en de bescherming van bedrijfs- en persoonsgegevens afwegen binnen de geldende kaders.</w:t>
      </w:r>
      <w:r>
        <w:rPr>
          <w:szCs w:val="18"/>
        </w:rPr>
        <w:t xml:space="preserve"> </w:t>
      </w:r>
    </w:p>
    <w:p w:rsidR="00D940FB" w:rsidP="003640F0" w:rsidRDefault="00D940FB" w14:paraId="4793687D" w14:textId="77777777">
      <w:pPr>
        <w:rPr>
          <w:rFonts w:eastAsia="Verdana" w:cs="Verdana"/>
          <w:szCs w:val="18"/>
        </w:rPr>
      </w:pPr>
    </w:p>
    <w:p w:rsidRPr="004C2C6C" w:rsidR="00D940FB" w:rsidP="003640F0" w:rsidRDefault="00D940FB" w14:paraId="7D1C65CA" w14:textId="77777777">
      <w:pPr>
        <w:rPr>
          <w:i/>
          <w:iCs/>
          <w:szCs w:val="18"/>
        </w:rPr>
      </w:pPr>
      <w:r w:rsidRPr="004C2C6C">
        <w:rPr>
          <w:i/>
          <w:iCs/>
          <w:szCs w:val="18"/>
        </w:rPr>
        <w:t>Administratieve lasten</w:t>
      </w:r>
    </w:p>
    <w:p w:rsidR="00D940FB" w:rsidP="003640F0" w:rsidRDefault="00D940FB" w14:paraId="4579E32E" w14:textId="74C95869">
      <w:pPr>
        <w:rPr>
          <w:szCs w:val="18"/>
        </w:rPr>
      </w:pPr>
      <w:r w:rsidRPr="006F4CF0">
        <w:rPr>
          <w:szCs w:val="18"/>
        </w:rPr>
        <w:t xml:space="preserve">Het </w:t>
      </w:r>
      <w:r>
        <w:rPr>
          <w:szCs w:val="18"/>
        </w:rPr>
        <w:t xml:space="preserve">zo veel als mogelijk </w:t>
      </w:r>
      <w:r w:rsidRPr="006F4CF0">
        <w:rPr>
          <w:szCs w:val="18"/>
        </w:rPr>
        <w:t>beperk</w:t>
      </w:r>
      <w:r>
        <w:rPr>
          <w:szCs w:val="18"/>
        </w:rPr>
        <w:t xml:space="preserve">en </w:t>
      </w:r>
      <w:r w:rsidRPr="006F4CF0">
        <w:rPr>
          <w:szCs w:val="18"/>
        </w:rPr>
        <w:t xml:space="preserve">van administratieve lasten </w:t>
      </w:r>
      <w:r>
        <w:rPr>
          <w:szCs w:val="18"/>
        </w:rPr>
        <w:t xml:space="preserve">van bedrijfsgerichte doelsturing </w:t>
      </w:r>
      <w:r w:rsidRPr="006F4CF0">
        <w:rPr>
          <w:szCs w:val="18"/>
        </w:rPr>
        <w:t xml:space="preserve">is een belangrijk </w:t>
      </w:r>
      <w:r>
        <w:rPr>
          <w:szCs w:val="18"/>
        </w:rPr>
        <w:t xml:space="preserve">streven </w:t>
      </w:r>
      <w:r w:rsidRPr="006F4CF0">
        <w:rPr>
          <w:szCs w:val="18"/>
        </w:rPr>
        <w:t>dat in de besluitvorming wordt meegewogen.</w:t>
      </w:r>
      <w:r w:rsidR="003640F0">
        <w:rPr>
          <w:szCs w:val="18"/>
        </w:rPr>
        <w:t xml:space="preserve"> </w:t>
      </w:r>
      <w:r w:rsidRPr="26C5C592">
        <w:rPr>
          <w:szCs w:val="18"/>
        </w:rPr>
        <w:t xml:space="preserve">Administratieve lasten voor ondernemers worden weergegeven in het onderdeel lastendruk wat een paragraaf is van de toelichting bij wet- en regelgeving. In dat onderdeel wordt </w:t>
      </w:r>
      <w:r>
        <w:rPr>
          <w:szCs w:val="18"/>
        </w:rPr>
        <w:t xml:space="preserve">ook </w:t>
      </w:r>
      <w:r w:rsidRPr="26C5C592">
        <w:rPr>
          <w:szCs w:val="18"/>
        </w:rPr>
        <w:t>aangegeven wat de gevolgen zijn voor de ondernemers na invoering van nieuwe regelgeving.</w:t>
      </w:r>
      <w:r>
        <w:rPr>
          <w:szCs w:val="18"/>
        </w:rPr>
        <w:t xml:space="preserve"> We begrijpen dat u hier zorgen over heeft. Bij </w:t>
      </w:r>
      <w:r>
        <w:rPr>
          <w:szCs w:val="18"/>
        </w:rPr>
        <w:lastRenderedPageBreak/>
        <w:t xml:space="preserve">de uitwerking en invoering van doelsturing wordt nadrukkelijk aandacht besteed aan de administratieve gevolgen voor ondernemers. </w:t>
      </w:r>
      <w:r w:rsidRPr="26C5C592">
        <w:rPr>
          <w:szCs w:val="18"/>
        </w:rPr>
        <w:t xml:space="preserve"> </w:t>
      </w:r>
    </w:p>
    <w:p w:rsidR="00EB7B97" w:rsidP="003640F0" w:rsidRDefault="00EB7B97" w14:paraId="2D10E741" w14:textId="77777777">
      <w:pPr>
        <w:rPr>
          <w:szCs w:val="18"/>
        </w:rPr>
      </w:pPr>
    </w:p>
    <w:p w:rsidRPr="004C2C6C" w:rsidR="00D940FB" w:rsidP="003640F0" w:rsidRDefault="00D940FB" w14:paraId="700D2BA8" w14:textId="1863A675">
      <w:pPr>
        <w:rPr>
          <w:i/>
          <w:iCs/>
          <w:szCs w:val="18"/>
        </w:rPr>
      </w:pPr>
      <w:r w:rsidRPr="004C2C6C">
        <w:rPr>
          <w:i/>
          <w:iCs/>
          <w:szCs w:val="18"/>
        </w:rPr>
        <w:t>Ten</w:t>
      </w:r>
      <w:r w:rsidR="003640F0">
        <w:rPr>
          <w:i/>
          <w:iCs/>
          <w:szCs w:val="18"/>
        </w:rPr>
        <w:t xml:space="preserve"> </w:t>
      </w:r>
      <w:r w:rsidRPr="004C2C6C">
        <w:rPr>
          <w:i/>
          <w:iCs/>
          <w:szCs w:val="18"/>
        </w:rPr>
        <w:t xml:space="preserve">slotte </w:t>
      </w:r>
    </w:p>
    <w:p w:rsidRPr="000D1B8C" w:rsidR="00D940FB" w:rsidP="003640F0" w:rsidRDefault="00D940FB" w14:paraId="4450C4F7" w14:textId="77777777">
      <w:pPr>
        <w:rPr>
          <w:rFonts w:eastAsia="Verdana" w:cs="Verdana"/>
          <w:i/>
          <w:iCs/>
          <w:color w:val="000000" w:themeColor="text1"/>
          <w:szCs w:val="18"/>
        </w:rPr>
      </w:pPr>
      <w:r>
        <w:rPr>
          <w:szCs w:val="18"/>
        </w:rPr>
        <w:t xml:space="preserve">Afrondend vind ik het belangrijk te benoemen dat </w:t>
      </w:r>
      <w:r>
        <w:rPr>
          <w:rFonts w:eastAsia="Verdana" w:cs="Verdana"/>
          <w:szCs w:val="18"/>
        </w:rPr>
        <w:t>voor de</w:t>
      </w:r>
      <w:r w:rsidRPr="0F0F5544">
        <w:rPr>
          <w:rFonts w:eastAsia="Verdana" w:cs="Verdana"/>
          <w:szCs w:val="18"/>
        </w:rPr>
        <w:t xml:space="preserve"> basis van bedrijfsspecifieke emissienormen </w:t>
      </w:r>
      <w:r>
        <w:rPr>
          <w:rFonts w:eastAsia="Verdana" w:cs="Verdana"/>
          <w:szCs w:val="18"/>
        </w:rPr>
        <w:t>voor stikstof en klimaat</w:t>
      </w:r>
      <w:r w:rsidRPr="29C3A650">
        <w:rPr>
          <w:rFonts w:eastAsia="Verdana" w:cs="Verdana"/>
          <w:szCs w:val="18"/>
        </w:rPr>
        <w:t xml:space="preserve"> </w:t>
      </w:r>
      <w:r>
        <w:rPr>
          <w:rFonts w:eastAsia="Verdana" w:cs="Verdana"/>
          <w:szCs w:val="18"/>
        </w:rPr>
        <w:t>de</w:t>
      </w:r>
      <w:r w:rsidRPr="0F0F5544">
        <w:rPr>
          <w:rFonts w:eastAsia="Verdana" w:cs="Verdana"/>
          <w:szCs w:val="18"/>
        </w:rPr>
        <w:t xml:space="preserve"> individuele ondernemers duidelijkheid krijgen over de opgave op hun bedrijf en ook verantwoordelijk zijn o</w:t>
      </w:r>
      <w:r>
        <w:rPr>
          <w:rFonts w:eastAsia="Verdana" w:cs="Verdana"/>
          <w:szCs w:val="18"/>
        </w:rPr>
        <w:t>m</w:t>
      </w:r>
      <w:r w:rsidRPr="0F0F5544">
        <w:rPr>
          <w:rFonts w:eastAsia="Verdana" w:cs="Verdana"/>
          <w:szCs w:val="18"/>
        </w:rPr>
        <w:t xml:space="preserve"> de afrekenbare doelen in 2035 te halen. Dat neemt niet weg dat er al veel goede voorbeelden zijn van </w:t>
      </w:r>
      <w:r>
        <w:rPr>
          <w:rFonts w:eastAsia="Verdana" w:cs="Verdana"/>
          <w:szCs w:val="18"/>
        </w:rPr>
        <w:t xml:space="preserve">(lokale) initiatieven die in gebieden </w:t>
      </w:r>
      <w:r w:rsidRPr="0F0F5544">
        <w:rPr>
          <w:rFonts w:eastAsia="Verdana" w:cs="Verdana"/>
          <w:szCs w:val="18"/>
        </w:rPr>
        <w:t xml:space="preserve">werken aan emissiereductie. Ik vind het belangrijk om die energie te benutten en zal in de uitwerking </w:t>
      </w:r>
      <w:r>
        <w:rPr>
          <w:rFonts w:eastAsia="Verdana" w:cs="Verdana"/>
          <w:szCs w:val="18"/>
        </w:rPr>
        <w:t xml:space="preserve">van het doelsturingssysteem </w:t>
      </w:r>
      <w:r w:rsidRPr="0F0F5544">
        <w:rPr>
          <w:rFonts w:eastAsia="Verdana" w:cs="Verdana"/>
          <w:szCs w:val="18"/>
        </w:rPr>
        <w:t xml:space="preserve">bezien hoe dergelijke </w:t>
      </w:r>
      <w:r>
        <w:rPr>
          <w:rFonts w:eastAsia="Verdana" w:cs="Verdana"/>
          <w:szCs w:val="18"/>
        </w:rPr>
        <w:t xml:space="preserve">initiatieven </w:t>
      </w:r>
      <w:r w:rsidRPr="0F0F5544">
        <w:rPr>
          <w:rFonts w:eastAsia="Verdana" w:cs="Verdana"/>
          <w:szCs w:val="18"/>
        </w:rPr>
        <w:t>een rol kunnen spelen in het reduceren van emissies via bijvoorbeeld faciliterend beleid.</w:t>
      </w:r>
    </w:p>
    <w:p w:rsidR="00D940FB" w:rsidP="003640F0" w:rsidRDefault="00D940FB" w14:paraId="69A11829" w14:textId="77777777">
      <w:pPr>
        <w:rPr>
          <w:szCs w:val="18"/>
        </w:rPr>
      </w:pPr>
      <w:r w:rsidRPr="006F4CF0">
        <w:rPr>
          <w:szCs w:val="18"/>
        </w:rPr>
        <w:br/>
        <w:t xml:space="preserve">Doelsturing is een belangrijk instrument om de verduurzaming van de landbouwsector te versnellen. De zorgen die SSC en de boerenorganisaties hebben aangedragen, worden serieus genomen en meegenomen in de verdere </w:t>
      </w:r>
      <w:r>
        <w:rPr>
          <w:szCs w:val="18"/>
        </w:rPr>
        <w:t xml:space="preserve">ontwikkeling van </w:t>
      </w:r>
      <w:r w:rsidRPr="006F4CF0">
        <w:rPr>
          <w:szCs w:val="18"/>
        </w:rPr>
        <w:t xml:space="preserve">doelsturing </w:t>
      </w:r>
      <w:r>
        <w:rPr>
          <w:szCs w:val="18"/>
        </w:rPr>
        <w:t xml:space="preserve">in de verschillende sectoren en </w:t>
      </w:r>
      <w:r w:rsidRPr="006F4CF0">
        <w:rPr>
          <w:szCs w:val="18"/>
        </w:rPr>
        <w:t>op verschillende thema’s.  </w:t>
      </w:r>
    </w:p>
    <w:p w:rsidR="00D940FB" w:rsidP="003640F0" w:rsidRDefault="00D940FB" w14:paraId="6428D454" w14:textId="77777777">
      <w:pPr>
        <w:rPr>
          <w:szCs w:val="18"/>
        </w:rPr>
      </w:pPr>
    </w:p>
    <w:p w:rsidR="00D940FB" w:rsidP="003640F0" w:rsidRDefault="00D940FB" w14:paraId="0D6688E3" w14:textId="77777777">
      <w:pPr>
        <w:rPr>
          <w:szCs w:val="18"/>
        </w:rPr>
      </w:pPr>
    </w:p>
    <w:p w:rsidR="00D940FB" w:rsidP="003640F0" w:rsidRDefault="00D940FB" w14:paraId="319E354C" w14:textId="77777777">
      <w:pPr>
        <w:rPr>
          <w:szCs w:val="18"/>
        </w:rPr>
      </w:pPr>
    </w:p>
    <w:p w:rsidR="00D940FB" w:rsidP="003640F0" w:rsidRDefault="00D940FB" w14:paraId="1D6F6D5E" w14:textId="77777777">
      <w:pPr>
        <w:rPr>
          <w:szCs w:val="18"/>
        </w:rPr>
      </w:pPr>
    </w:p>
    <w:p w:rsidRPr="00144B73" w:rsidR="00144B73" w:rsidP="003640F0" w:rsidRDefault="00D940FB" w14:paraId="58253660" w14:textId="3F312194">
      <w:pPr>
        <w:rPr>
          <w:i/>
          <w:iCs/>
        </w:rPr>
      </w:pPr>
      <w:proofErr w:type="spellStart"/>
      <w:r>
        <w:rPr>
          <w:szCs w:val="18"/>
        </w:rPr>
        <w:t>Jaimi</w:t>
      </w:r>
      <w:proofErr w:type="spellEnd"/>
      <w:r>
        <w:rPr>
          <w:szCs w:val="18"/>
        </w:rPr>
        <w:t xml:space="preserve"> van Essen</w:t>
      </w:r>
      <w:r>
        <w:rPr>
          <w:szCs w:val="18"/>
        </w:rPr>
        <w:br/>
        <w:t xml:space="preserve">Minister van Landbouw, Visserij, Voedselzekerheid en Natuur </w:t>
      </w:r>
    </w:p>
    <w:sectPr w:rsidRPr="00144B73" w:rsidR="00144B73" w:rsidSect="00D604B3">
      <w:headerReference w:type="default"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280127" w14:textId="77777777" w:rsidR="002271FC" w:rsidRDefault="002271FC">
      <w:r>
        <w:separator/>
      </w:r>
    </w:p>
    <w:p w14:paraId="58C11107" w14:textId="77777777" w:rsidR="002271FC" w:rsidRDefault="002271FC"/>
  </w:endnote>
  <w:endnote w:type="continuationSeparator" w:id="0">
    <w:p w14:paraId="6B68FA7D" w14:textId="77777777" w:rsidR="002271FC" w:rsidRDefault="002271FC">
      <w:r>
        <w:continuationSeparator/>
      </w:r>
    </w:p>
    <w:p w14:paraId="355E8C1E" w14:textId="77777777" w:rsidR="002271FC" w:rsidRDefault="002271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grofont">
    <w:panose1 w:val="020B0503040100020103"/>
    <w:charset w:val="00"/>
    <w:family w:val="swiss"/>
    <w:pitch w:val="variable"/>
    <w:sig w:usb0="800000A7" w:usb1="00000040" w:usb2="00000000" w:usb3="00000000" w:csb0="00000001"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44BC85"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3968B5" w14:paraId="50FEA726" w14:textId="77777777" w:rsidTr="00CA6A25">
      <w:trPr>
        <w:trHeight w:hRule="exact" w:val="240"/>
      </w:trPr>
      <w:tc>
        <w:tcPr>
          <w:tcW w:w="7601" w:type="dxa"/>
        </w:tcPr>
        <w:p w14:paraId="620109F7" w14:textId="77777777" w:rsidR="00527BD4" w:rsidRDefault="00527BD4" w:rsidP="003F1F6B">
          <w:pPr>
            <w:pStyle w:val="Huisstijl-Rubricering"/>
          </w:pPr>
        </w:p>
      </w:tc>
      <w:tc>
        <w:tcPr>
          <w:tcW w:w="2156" w:type="dxa"/>
        </w:tcPr>
        <w:p w14:paraId="5CE825CA" w14:textId="29D1FC9F" w:rsidR="00527BD4" w:rsidRPr="00645414" w:rsidRDefault="008A5B1C"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6247BE">
            <w:t>2</w:t>
          </w:r>
          <w:r w:rsidRPr="00645414">
            <w:fldChar w:fldCharType="end"/>
          </w:r>
          <w:r w:rsidRPr="00645414">
            <w:t xml:space="preserve"> </w:t>
          </w:r>
          <w:r>
            <w:t>van</w:t>
          </w:r>
          <w:r w:rsidRPr="00645414">
            <w:t xml:space="preserve"> </w:t>
          </w:r>
          <w:r w:rsidR="00144B73">
            <w:fldChar w:fldCharType="begin"/>
          </w:r>
          <w:r>
            <w:instrText xml:space="preserve"> SECTIONPAGES   \* MERGEFORMAT </w:instrText>
          </w:r>
          <w:r w:rsidR="00144B73">
            <w:fldChar w:fldCharType="separate"/>
          </w:r>
          <w:r w:rsidR="005F3AE6">
            <w:t>4</w:t>
          </w:r>
          <w:r w:rsidR="00144B73">
            <w:fldChar w:fldCharType="end"/>
          </w:r>
        </w:p>
      </w:tc>
    </w:tr>
  </w:tbl>
  <w:p w14:paraId="545F44CE" w14:textId="77777777" w:rsidR="00527BD4" w:rsidRPr="00BC3B53" w:rsidRDefault="00527BD4" w:rsidP="00BC3B53">
    <w:pPr>
      <w:pStyle w:val="Voettekst"/>
      <w:spacing w:line="240" w:lineRule="auto"/>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3968B5" w14:paraId="596AAE97" w14:textId="77777777" w:rsidTr="00CA6A25">
      <w:trPr>
        <w:trHeight w:hRule="exact" w:val="240"/>
      </w:trPr>
      <w:tc>
        <w:tcPr>
          <w:tcW w:w="7601" w:type="dxa"/>
        </w:tcPr>
        <w:p w14:paraId="3CD89FE7" w14:textId="77777777" w:rsidR="00527BD4" w:rsidRDefault="00527BD4" w:rsidP="008C356D">
          <w:pPr>
            <w:pStyle w:val="Huisstijl-Rubricering"/>
          </w:pPr>
        </w:p>
      </w:tc>
      <w:tc>
        <w:tcPr>
          <w:tcW w:w="2170" w:type="dxa"/>
        </w:tcPr>
        <w:p w14:paraId="5D7B2C98" w14:textId="7672BCAE" w:rsidR="00527BD4" w:rsidRPr="00ED539E" w:rsidRDefault="008A5B1C"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39201D">
            <w:t>1</w:t>
          </w:r>
          <w:r w:rsidRPr="00645414">
            <w:fldChar w:fldCharType="end"/>
          </w:r>
          <w:r w:rsidRPr="00ED539E">
            <w:rPr>
              <w:rStyle w:val="Huisstijl-GegevenCharChar"/>
            </w:rPr>
            <w:t xml:space="preserve"> </w:t>
          </w:r>
          <w:r>
            <w:t>van</w:t>
          </w:r>
          <w:r w:rsidRPr="00ED539E">
            <w:t xml:space="preserve"> </w:t>
          </w:r>
          <w:r w:rsidR="003F2647">
            <w:fldChar w:fldCharType="begin"/>
          </w:r>
          <w:r>
            <w:instrText xml:space="preserve"> SECTIONPAGES   \* MERGEFORMAT </w:instrText>
          </w:r>
          <w:r w:rsidR="003F2647">
            <w:fldChar w:fldCharType="separate"/>
          </w:r>
          <w:r w:rsidR="005F3AE6">
            <w:t>4</w:t>
          </w:r>
          <w:r w:rsidR="003F2647">
            <w:fldChar w:fldCharType="end"/>
          </w:r>
        </w:p>
      </w:tc>
    </w:tr>
  </w:tbl>
  <w:p w14:paraId="6CB8BBDB" w14:textId="77777777" w:rsidR="00527BD4" w:rsidRPr="00BC3B53" w:rsidRDefault="00527BD4" w:rsidP="008C356D">
    <w:pPr>
      <w:pStyle w:val="Voettekst"/>
      <w:spacing w:line="240" w:lineRule="auto"/>
      <w:rPr>
        <w:sz w:val="2"/>
        <w:szCs w:val="2"/>
      </w:rPr>
    </w:pPr>
  </w:p>
  <w:p w14:paraId="060BBB1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2EDB1A" w14:textId="77777777" w:rsidR="002271FC" w:rsidRDefault="002271FC">
      <w:r>
        <w:separator/>
      </w:r>
    </w:p>
    <w:p w14:paraId="339830EA" w14:textId="77777777" w:rsidR="002271FC" w:rsidRDefault="002271FC"/>
  </w:footnote>
  <w:footnote w:type="continuationSeparator" w:id="0">
    <w:p w14:paraId="43DAC40D" w14:textId="77777777" w:rsidR="002271FC" w:rsidRDefault="002271FC">
      <w:r>
        <w:continuationSeparator/>
      </w:r>
    </w:p>
    <w:p w14:paraId="3A9FFB9E" w14:textId="77777777" w:rsidR="002271FC" w:rsidRDefault="002271FC"/>
  </w:footnote>
  <w:footnote w:id="1">
    <w:p w14:paraId="2886E2CE" w14:textId="77777777" w:rsidR="00D940FB" w:rsidRDefault="00D940FB" w:rsidP="00D940FB">
      <w:pPr>
        <w:pStyle w:val="Voetnoottekst"/>
      </w:pPr>
      <w:r>
        <w:rPr>
          <w:rStyle w:val="Voetnootmarkering"/>
        </w:rPr>
        <w:footnoteRef/>
      </w:r>
      <w:r>
        <w:t xml:space="preserve"> </w:t>
      </w:r>
      <w:r w:rsidRPr="005B7DF9">
        <w:t>Kamerstukken II 2025/26, 32802, nr. 140</w:t>
      </w:r>
    </w:p>
  </w:footnote>
  <w:footnote w:id="2">
    <w:p w14:paraId="59B7AE69" w14:textId="77777777" w:rsidR="00D940FB" w:rsidRDefault="00D940FB" w:rsidP="00D940FB">
      <w:pPr>
        <w:pStyle w:val="Voetnoottekst"/>
      </w:pPr>
      <w:r>
        <w:rPr>
          <w:rStyle w:val="Voetnootmarkering"/>
        </w:rPr>
        <w:footnoteRef/>
      </w:r>
      <w:r>
        <w:t xml:space="preserve"> </w:t>
      </w:r>
      <w:r w:rsidRPr="00F54036">
        <w:t>Kamerstukken II 2025/26, 32802, nr. 14</w:t>
      </w:r>
      <w:r>
        <w:t>5</w:t>
      </w:r>
    </w:p>
  </w:footnote>
  <w:footnote w:id="3">
    <w:p w14:paraId="76AAC71C" w14:textId="77777777" w:rsidR="00D940FB" w:rsidRDefault="00D940FB" w:rsidP="00D940FB">
      <w:pPr>
        <w:pStyle w:val="Voetnoottekst"/>
      </w:pPr>
      <w:r>
        <w:rPr>
          <w:rStyle w:val="Voetnootmarkering"/>
        </w:rPr>
        <w:footnoteRef/>
      </w:r>
      <w:r>
        <w:t xml:space="preserve"> </w:t>
      </w:r>
      <w:r w:rsidRPr="00483000">
        <w:t>Kamerstukken II 2025/26, 32802, nr. 140</w:t>
      </w:r>
    </w:p>
  </w:footnote>
  <w:footnote w:id="4">
    <w:p w14:paraId="10A57CA1" w14:textId="77777777" w:rsidR="00D940FB" w:rsidRDefault="00D940FB" w:rsidP="00D940FB">
      <w:pPr>
        <w:pStyle w:val="Voetnoottekst"/>
      </w:pPr>
      <w:r w:rsidRPr="000F41B3">
        <w:rPr>
          <w:rStyle w:val="Voetnootmarkering"/>
          <w:sz w:val="16"/>
          <w:szCs w:val="16"/>
        </w:rPr>
        <w:footnoteRef/>
      </w:r>
      <w:r w:rsidRPr="000F41B3">
        <w:rPr>
          <w:sz w:val="16"/>
          <w:szCs w:val="16"/>
        </w:rPr>
        <w:t xml:space="preserve"> </w:t>
      </w:r>
      <w:r w:rsidRPr="00483000">
        <w:t>Aanhangsel Handelingen II 2025/26, nr. 1724</w:t>
      </w:r>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3968B5" w14:paraId="344E12FD" w14:textId="77777777" w:rsidTr="00A50CF6">
      <w:tc>
        <w:tcPr>
          <w:tcW w:w="2156" w:type="dxa"/>
        </w:tcPr>
        <w:p w14:paraId="1A0B0867" w14:textId="77777777" w:rsidR="00527BD4" w:rsidRPr="005819CE" w:rsidRDefault="008A5B1C" w:rsidP="00A50CF6">
          <w:pPr>
            <w:pStyle w:val="Huisstijl-Adres"/>
            <w:rPr>
              <w:b/>
            </w:rPr>
          </w:pPr>
          <w:r>
            <w:rPr>
              <w:b/>
            </w:rPr>
            <w:t>Directoraat-generaal Agro</w:t>
          </w:r>
          <w:r w:rsidRPr="005819CE">
            <w:rPr>
              <w:b/>
            </w:rPr>
            <w:br/>
          </w:r>
        </w:p>
      </w:tc>
    </w:tr>
    <w:tr w:rsidR="003968B5" w14:paraId="24B5D7DE" w14:textId="77777777" w:rsidTr="00A50CF6">
      <w:trPr>
        <w:trHeight w:hRule="exact" w:val="200"/>
      </w:trPr>
      <w:tc>
        <w:tcPr>
          <w:tcW w:w="2156" w:type="dxa"/>
        </w:tcPr>
        <w:p w14:paraId="323B36E6" w14:textId="77777777" w:rsidR="00527BD4" w:rsidRPr="005819CE" w:rsidRDefault="00527BD4" w:rsidP="00A50CF6"/>
      </w:tc>
    </w:tr>
    <w:tr w:rsidR="003968B5" w14:paraId="316670FB" w14:textId="77777777" w:rsidTr="00502512">
      <w:trPr>
        <w:trHeight w:hRule="exact" w:val="774"/>
      </w:trPr>
      <w:tc>
        <w:tcPr>
          <w:tcW w:w="2156" w:type="dxa"/>
        </w:tcPr>
        <w:p w14:paraId="6F272FF8" w14:textId="77777777" w:rsidR="00527BD4" w:rsidRDefault="008A5B1C" w:rsidP="003A5290">
          <w:pPr>
            <w:pStyle w:val="Huisstijl-Kopje"/>
          </w:pPr>
          <w:r>
            <w:t>Ons kenmerk</w:t>
          </w:r>
        </w:p>
        <w:p w14:paraId="4D683282" w14:textId="204CBC84" w:rsidR="00527BD4" w:rsidRPr="005819CE" w:rsidRDefault="008A5B1C" w:rsidP="001E6117">
          <w:pPr>
            <w:pStyle w:val="Huisstijl-Kopje"/>
          </w:pPr>
          <w:r>
            <w:rPr>
              <w:b w:val="0"/>
            </w:rPr>
            <w:t>DGA</w:t>
          </w:r>
          <w:r w:rsidRPr="00502512">
            <w:rPr>
              <w:b w:val="0"/>
            </w:rPr>
            <w:t xml:space="preserve"> / </w:t>
          </w:r>
          <w:r w:rsidR="003640F0" w:rsidRPr="003640F0">
            <w:rPr>
              <w:b w:val="0"/>
            </w:rPr>
            <w:t>106369879</w:t>
          </w:r>
        </w:p>
      </w:tc>
    </w:tr>
  </w:tbl>
  <w:p w14:paraId="42091929" w14:textId="77777777" w:rsidR="00527BD4" w:rsidRDefault="00527BD4" w:rsidP="008C356D"/>
  <w:p w14:paraId="72171AC6" w14:textId="77777777" w:rsidR="00527BD4" w:rsidRPr="00740712" w:rsidRDefault="00527BD4" w:rsidP="008C356D"/>
  <w:p w14:paraId="7B6B18CF" w14:textId="77777777" w:rsidR="00527BD4" w:rsidRPr="00217880" w:rsidRDefault="00527BD4" w:rsidP="008C356D">
    <w:pPr>
      <w:spacing w:line="0" w:lineRule="atLeast"/>
      <w:rPr>
        <w:sz w:val="2"/>
        <w:szCs w:val="2"/>
      </w:rPr>
    </w:pPr>
  </w:p>
  <w:p w14:paraId="56A3B934" w14:textId="77777777" w:rsidR="00527BD4" w:rsidRDefault="00527BD4" w:rsidP="004F44C2">
    <w:pPr>
      <w:pStyle w:val="Koptekst"/>
      <w:rPr>
        <w:rFonts w:cs="Verdana-Bold"/>
        <w:b/>
        <w:bCs/>
        <w:smallCaps/>
        <w:szCs w:val="18"/>
      </w:rPr>
    </w:pPr>
  </w:p>
  <w:p w14:paraId="6204F168" w14:textId="77777777" w:rsidR="00527BD4" w:rsidRDefault="00527BD4" w:rsidP="004F44C2"/>
  <w:p w14:paraId="72AE03BC" w14:textId="77777777" w:rsidR="00527BD4" w:rsidRPr="00740712" w:rsidRDefault="00527BD4" w:rsidP="004F44C2"/>
  <w:p w14:paraId="18D24526" w14:textId="77777777" w:rsidR="00527BD4" w:rsidRPr="00217880" w:rsidRDefault="00527BD4" w:rsidP="004F44C2">
    <w:pPr>
      <w:spacing w:line="0" w:lineRule="atLeast"/>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3968B5" w14:paraId="54EB4F25" w14:textId="77777777" w:rsidTr="00751A6A">
      <w:trPr>
        <w:trHeight w:val="2636"/>
      </w:trPr>
      <w:tc>
        <w:tcPr>
          <w:tcW w:w="737" w:type="dxa"/>
        </w:tcPr>
        <w:p w14:paraId="480572C3" w14:textId="77777777" w:rsidR="00527BD4" w:rsidRDefault="00527BD4" w:rsidP="00D0609E">
          <w:pPr>
            <w:framePr w:w="6340" w:h="2750" w:hRule="exact" w:hSpace="180" w:wrap="around" w:vAnchor="page" w:hAnchor="text" w:x="3873" w:y="-140"/>
            <w:spacing w:line="240" w:lineRule="auto"/>
          </w:pPr>
        </w:p>
      </w:tc>
      <w:tc>
        <w:tcPr>
          <w:tcW w:w="5156" w:type="dxa"/>
        </w:tcPr>
        <w:p w14:paraId="14106B26" w14:textId="77777777" w:rsidR="00527BD4" w:rsidRDefault="008A5B1C" w:rsidP="00D0609E">
          <w:pPr>
            <w:framePr w:w="6340" w:h="2750" w:hRule="exact" w:hSpace="180" w:wrap="around" w:vAnchor="page" w:hAnchor="text" w:x="3873" w:y="-140"/>
            <w:spacing w:line="240" w:lineRule="auto"/>
          </w:pPr>
          <w:r>
            <w:t xml:space="preserve">   </w:t>
          </w:r>
          <w:r w:rsidRPr="00DE35B7">
            <w:rPr>
              <w:sz w:val="2"/>
              <w:szCs w:val="2"/>
            </w:rPr>
            <w:t xml:space="preserve"> </w:t>
          </w:r>
          <w:r>
            <w:rPr>
              <w:noProof/>
              <w:szCs w:val="18"/>
            </w:rPr>
            <w:drawing>
              <wp:inline distT="0" distB="0" distL="0" distR="0" wp14:anchorId="1B57F1E4" wp14:editId="17E7830F">
                <wp:extent cx="2340000" cy="1584000"/>
                <wp:effectExtent l="0" t="0" r="3175" b="0"/>
                <wp:docPr id="1" name="Afbeelding 5"/>
                <wp:cNvGraphicFramePr/>
                <a:graphic xmlns:a="http://schemas.openxmlformats.org/drawingml/2006/main">
                  <a:graphicData uri="http://schemas.openxmlformats.org/drawingml/2006/picture">
                    <pic:pic xmlns:pic="http://schemas.openxmlformats.org/drawingml/2006/picture">
                      <pic:nvPicPr>
                        <pic:cNvPr id="1" name="Picture 4"/>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tc>
    </w:tr>
  </w:tbl>
  <w:p w14:paraId="62481D13" w14:textId="77777777" w:rsidR="00527BD4" w:rsidRDefault="00527BD4" w:rsidP="00D0609E">
    <w:pPr>
      <w:framePr w:w="6340" w:h="2750" w:hRule="exact" w:hSpace="180" w:wrap="around" w:vAnchor="page" w:hAnchor="text" w:x="3873" w:y="-140"/>
    </w:pPr>
  </w:p>
  <w:p w14:paraId="03904B8E"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3968B5" w:rsidRPr="003640F0" w14:paraId="4060AEAA" w14:textId="77777777" w:rsidTr="00A50CF6">
      <w:tc>
        <w:tcPr>
          <w:tcW w:w="2160" w:type="dxa"/>
        </w:tcPr>
        <w:p w14:paraId="51AF3E68" w14:textId="77777777" w:rsidR="00527BD4" w:rsidRPr="005819CE" w:rsidRDefault="008A5B1C" w:rsidP="00A50CF6">
          <w:pPr>
            <w:pStyle w:val="Huisstijl-Adres"/>
            <w:rPr>
              <w:b/>
            </w:rPr>
          </w:pPr>
          <w:r>
            <w:rPr>
              <w:b/>
            </w:rPr>
            <w:t>Directoraat-generaal Agro</w:t>
          </w:r>
          <w:r w:rsidRPr="005819CE">
            <w:rPr>
              <w:b/>
            </w:rPr>
            <w:br/>
          </w:r>
        </w:p>
        <w:p w14:paraId="4AFA01FC" w14:textId="77777777" w:rsidR="00527BD4" w:rsidRPr="00BE5ED9" w:rsidRDefault="008A5B1C" w:rsidP="00A50CF6">
          <w:pPr>
            <w:pStyle w:val="Huisstijl-Adres"/>
          </w:pPr>
          <w:r>
            <w:rPr>
              <w:b/>
            </w:rPr>
            <w:t>Bezoekadres</w:t>
          </w:r>
          <w:r>
            <w:rPr>
              <w:b/>
            </w:rPr>
            <w:br/>
          </w:r>
          <w:r>
            <w:t>Bezuidenhoutseweg 73</w:t>
          </w:r>
          <w:r w:rsidRPr="005819CE">
            <w:br/>
          </w:r>
          <w:r>
            <w:t>2594 AC Den Haag</w:t>
          </w:r>
        </w:p>
        <w:p w14:paraId="742AF118" w14:textId="77777777" w:rsidR="00EF495B" w:rsidRDefault="008A5B1C" w:rsidP="0098788A">
          <w:pPr>
            <w:pStyle w:val="Huisstijl-Adres"/>
          </w:pPr>
          <w:r>
            <w:rPr>
              <w:b/>
            </w:rPr>
            <w:t>Postadres</w:t>
          </w:r>
          <w:r>
            <w:rPr>
              <w:b/>
            </w:rPr>
            <w:br/>
          </w:r>
          <w:r>
            <w:t>Postbus 20401</w:t>
          </w:r>
          <w:r w:rsidRPr="005819CE">
            <w:br/>
            <w:t>2500 E</w:t>
          </w:r>
          <w:r>
            <w:t>K</w:t>
          </w:r>
          <w:r w:rsidRPr="005819CE">
            <w:t xml:space="preserve"> Den Haag</w:t>
          </w:r>
        </w:p>
        <w:p w14:paraId="2E7009AD" w14:textId="77777777" w:rsidR="00556BEE" w:rsidRPr="005B3814" w:rsidRDefault="008A5B1C" w:rsidP="0098788A">
          <w:pPr>
            <w:pStyle w:val="Huisstijl-Adres"/>
          </w:pPr>
          <w:r>
            <w:rPr>
              <w:b/>
            </w:rPr>
            <w:t>Overheidsidentificatienr</w:t>
          </w:r>
          <w:r>
            <w:rPr>
              <w:b/>
            </w:rPr>
            <w:br/>
          </w:r>
          <w:r w:rsidR="00BA129E">
            <w:rPr>
              <w:rFonts w:cs="Agrofont"/>
              <w:iCs/>
            </w:rPr>
            <w:t>00000001858272854000</w:t>
          </w:r>
        </w:p>
        <w:p w14:paraId="2EAD108D" w14:textId="025DC95F" w:rsidR="00527BD4" w:rsidRPr="003640F0" w:rsidRDefault="008A5B1C"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www.rijksoverheid.nl/lvvn</w:t>
          </w:r>
        </w:p>
      </w:tc>
    </w:tr>
    <w:tr w:rsidR="003968B5" w:rsidRPr="003640F0" w14:paraId="667007DF" w14:textId="77777777" w:rsidTr="00A50CF6">
      <w:trPr>
        <w:trHeight w:hRule="exact" w:val="200"/>
      </w:trPr>
      <w:tc>
        <w:tcPr>
          <w:tcW w:w="2160" w:type="dxa"/>
        </w:tcPr>
        <w:p w14:paraId="5819877F" w14:textId="77777777" w:rsidR="00527BD4" w:rsidRPr="00F60FF9" w:rsidRDefault="00527BD4" w:rsidP="00A50CF6"/>
      </w:tc>
    </w:tr>
    <w:tr w:rsidR="003968B5" w14:paraId="71C8173C" w14:textId="77777777" w:rsidTr="00A50CF6">
      <w:tc>
        <w:tcPr>
          <w:tcW w:w="2160" w:type="dxa"/>
        </w:tcPr>
        <w:p w14:paraId="72EAF610" w14:textId="77777777" w:rsidR="000C0163" w:rsidRPr="005819CE" w:rsidRDefault="008A5B1C" w:rsidP="000C0163">
          <w:pPr>
            <w:pStyle w:val="Huisstijl-Kopje"/>
          </w:pPr>
          <w:r>
            <w:t>Ons kenmerk</w:t>
          </w:r>
          <w:r w:rsidRPr="005819CE">
            <w:t xml:space="preserve"> </w:t>
          </w:r>
        </w:p>
        <w:p w14:paraId="3AEEADE9" w14:textId="67B4F7B0" w:rsidR="000C0163" w:rsidRPr="005819CE" w:rsidRDefault="008A5B1C" w:rsidP="003640F0">
          <w:pPr>
            <w:pStyle w:val="Huisstijl-Gegeven"/>
          </w:pPr>
          <w:r>
            <w:t>DGA /</w:t>
          </w:r>
          <w:r w:rsidR="00486354">
            <w:t xml:space="preserve"> </w:t>
          </w:r>
          <w:r w:rsidR="003640F0">
            <w:t>106369879</w:t>
          </w:r>
        </w:p>
        <w:p w14:paraId="7192A546" w14:textId="77777777" w:rsidR="00527BD4" w:rsidRPr="005819CE" w:rsidRDefault="008A5B1C" w:rsidP="00A50CF6">
          <w:pPr>
            <w:pStyle w:val="Huisstijl-Kopje"/>
          </w:pPr>
          <w:r>
            <w:t>Uw kenmerk</w:t>
          </w:r>
        </w:p>
        <w:p w14:paraId="0D4D83DB" w14:textId="4A13F54B" w:rsidR="00527BD4" w:rsidRPr="005819CE" w:rsidRDefault="008A5B1C" w:rsidP="00A50CF6">
          <w:pPr>
            <w:pStyle w:val="Huisstijl-Gegeven"/>
          </w:pPr>
          <w:r>
            <w:t>2026Z06722/2026D16462</w:t>
          </w:r>
        </w:p>
      </w:tc>
    </w:tr>
  </w:tbl>
  <w:p w14:paraId="24305F38"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3968B5" w14:paraId="1959828B" w14:textId="77777777" w:rsidTr="009E2051">
      <w:trPr>
        <w:trHeight w:val="400"/>
      </w:trPr>
      <w:tc>
        <w:tcPr>
          <w:tcW w:w="7520" w:type="dxa"/>
          <w:gridSpan w:val="2"/>
        </w:tcPr>
        <w:p w14:paraId="6EC1BC16" w14:textId="77777777" w:rsidR="00527BD4" w:rsidRPr="00BC3B53" w:rsidRDefault="008A5B1C" w:rsidP="00A50CF6">
          <w:pPr>
            <w:pStyle w:val="Huisstijl-Retouradres"/>
          </w:pPr>
          <w:r>
            <w:t>&gt; Retouradres Postbus 20401 2500 EK Den Haag</w:t>
          </w:r>
        </w:p>
      </w:tc>
    </w:tr>
    <w:tr w:rsidR="003968B5" w14:paraId="6C602B78" w14:textId="77777777" w:rsidTr="009E2051">
      <w:tc>
        <w:tcPr>
          <w:tcW w:w="7520" w:type="dxa"/>
          <w:gridSpan w:val="2"/>
        </w:tcPr>
        <w:p w14:paraId="19F1CD5D" w14:textId="77777777" w:rsidR="00527BD4" w:rsidRPr="00983E8F" w:rsidRDefault="00527BD4" w:rsidP="00A50CF6">
          <w:pPr>
            <w:pStyle w:val="Huisstijl-Rubricering"/>
          </w:pPr>
        </w:p>
      </w:tc>
    </w:tr>
    <w:tr w:rsidR="003968B5" w14:paraId="6C04B13D" w14:textId="77777777" w:rsidTr="009E2051">
      <w:trPr>
        <w:trHeight w:hRule="exact" w:val="2440"/>
      </w:trPr>
      <w:tc>
        <w:tcPr>
          <w:tcW w:w="7520" w:type="dxa"/>
          <w:gridSpan w:val="2"/>
        </w:tcPr>
        <w:p w14:paraId="40708DC2" w14:textId="77777777" w:rsidR="00527BD4" w:rsidRDefault="008A5B1C" w:rsidP="00A50CF6">
          <w:pPr>
            <w:pStyle w:val="Huisstijl-NAW"/>
          </w:pPr>
          <w:r>
            <w:t xml:space="preserve">De Voorzitter van de Tweede Kamer  </w:t>
          </w:r>
        </w:p>
        <w:p w14:paraId="38FB2C5C" w14:textId="77777777" w:rsidR="003968B5" w:rsidRDefault="008A5B1C">
          <w:pPr>
            <w:pStyle w:val="Huisstijl-NAW"/>
          </w:pPr>
          <w:r>
            <w:t xml:space="preserve">der Staten-Generaal </w:t>
          </w:r>
        </w:p>
        <w:p w14:paraId="16E199F2" w14:textId="77777777" w:rsidR="003968B5" w:rsidRDefault="008A5B1C">
          <w:pPr>
            <w:pStyle w:val="Huisstijl-NAW"/>
          </w:pPr>
          <w:r>
            <w:t xml:space="preserve">Prinses Irenestraat 6 </w:t>
          </w:r>
        </w:p>
        <w:p w14:paraId="67DB8831" w14:textId="49105874" w:rsidR="003968B5" w:rsidRDefault="008A5B1C">
          <w:pPr>
            <w:pStyle w:val="Huisstijl-NAW"/>
          </w:pPr>
          <w:r>
            <w:t xml:space="preserve">2595 BD  </w:t>
          </w:r>
          <w:r w:rsidR="003640F0">
            <w:t>DEN HAAG</w:t>
          </w:r>
          <w:r>
            <w:t xml:space="preserve"> </w:t>
          </w:r>
          <w:r w:rsidR="00486354">
            <w:t xml:space="preserve"> </w:t>
          </w:r>
        </w:p>
      </w:tc>
    </w:tr>
    <w:tr w:rsidR="003968B5" w14:paraId="10DF8E47" w14:textId="77777777" w:rsidTr="009E2051">
      <w:trPr>
        <w:trHeight w:hRule="exact" w:val="400"/>
      </w:trPr>
      <w:tc>
        <w:tcPr>
          <w:tcW w:w="7520" w:type="dxa"/>
          <w:gridSpan w:val="2"/>
        </w:tcPr>
        <w:p w14:paraId="0B107184"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3968B5" w14:paraId="690B45A3" w14:textId="77777777" w:rsidTr="009E2051">
      <w:trPr>
        <w:trHeight w:val="240"/>
      </w:trPr>
      <w:tc>
        <w:tcPr>
          <w:tcW w:w="900" w:type="dxa"/>
        </w:tcPr>
        <w:p w14:paraId="6B61EB8B" w14:textId="77777777" w:rsidR="00527BD4" w:rsidRPr="007709EF" w:rsidRDefault="008A5B1C" w:rsidP="00A50CF6">
          <w:pPr>
            <w:rPr>
              <w:szCs w:val="18"/>
            </w:rPr>
          </w:pPr>
          <w:r>
            <w:rPr>
              <w:szCs w:val="18"/>
            </w:rPr>
            <w:t>Datum</w:t>
          </w:r>
        </w:p>
      </w:tc>
      <w:tc>
        <w:tcPr>
          <w:tcW w:w="6620" w:type="dxa"/>
        </w:tcPr>
        <w:p w14:paraId="269624B7" w14:textId="798A7306" w:rsidR="00527BD4" w:rsidRPr="007709EF" w:rsidRDefault="00F60FF9" w:rsidP="00A50CF6">
          <w:r>
            <w:t>9 juli 2026</w:t>
          </w:r>
        </w:p>
      </w:tc>
    </w:tr>
    <w:tr w:rsidR="003968B5" w14:paraId="7D45974F" w14:textId="77777777" w:rsidTr="009E2051">
      <w:trPr>
        <w:trHeight w:val="240"/>
      </w:trPr>
      <w:tc>
        <w:tcPr>
          <w:tcW w:w="900" w:type="dxa"/>
        </w:tcPr>
        <w:p w14:paraId="707B7127" w14:textId="77777777" w:rsidR="00527BD4" w:rsidRPr="007709EF" w:rsidRDefault="008A5B1C" w:rsidP="00A50CF6">
          <w:pPr>
            <w:rPr>
              <w:szCs w:val="18"/>
            </w:rPr>
          </w:pPr>
          <w:r>
            <w:rPr>
              <w:szCs w:val="18"/>
            </w:rPr>
            <w:t>Betreft</w:t>
          </w:r>
        </w:p>
      </w:tc>
      <w:tc>
        <w:tcPr>
          <w:tcW w:w="6620" w:type="dxa"/>
        </w:tcPr>
        <w:p w14:paraId="4AB0D76F" w14:textId="77777777" w:rsidR="00527BD4" w:rsidRPr="007709EF" w:rsidRDefault="008A5B1C" w:rsidP="00A50CF6">
          <w:r>
            <w:t>Reactie op brief Stichting Stikstofclaim (SSC)</w:t>
          </w:r>
        </w:p>
      </w:tc>
    </w:tr>
  </w:tbl>
  <w:p w14:paraId="71CAB7AB"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E3C3C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C68D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C74114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45ED74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BACCDB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3F4DA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BC604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2980711E"/>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1E68DE1A">
      <w:start w:val="1"/>
      <w:numFmt w:val="bullet"/>
      <w:pStyle w:val="Lijstopsomteken"/>
      <w:lvlText w:val="•"/>
      <w:lvlJc w:val="left"/>
      <w:pPr>
        <w:tabs>
          <w:tab w:val="num" w:pos="227"/>
        </w:tabs>
        <w:ind w:left="227" w:hanging="227"/>
      </w:pPr>
      <w:rPr>
        <w:rFonts w:ascii="Verdana" w:hAnsi="Verdana" w:hint="default"/>
        <w:sz w:val="18"/>
        <w:szCs w:val="18"/>
      </w:rPr>
    </w:lvl>
    <w:lvl w:ilvl="1" w:tplc="46D02E22" w:tentative="1">
      <w:start w:val="1"/>
      <w:numFmt w:val="bullet"/>
      <w:lvlText w:val="o"/>
      <w:lvlJc w:val="left"/>
      <w:pPr>
        <w:tabs>
          <w:tab w:val="num" w:pos="1440"/>
        </w:tabs>
        <w:ind w:left="1440" w:hanging="360"/>
      </w:pPr>
      <w:rPr>
        <w:rFonts w:ascii="Courier New" w:hAnsi="Courier New" w:cs="Courier New" w:hint="default"/>
      </w:rPr>
    </w:lvl>
    <w:lvl w:ilvl="2" w:tplc="447A7A52" w:tentative="1">
      <w:start w:val="1"/>
      <w:numFmt w:val="bullet"/>
      <w:lvlText w:val=""/>
      <w:lvlJc w:val="left"/>
      <w:pPr>
        <w:tabs>
          <w:tab w:val="num" w:pos="2160"/>
        </w:tabs>
        <w:ind w:left="2160" w:hanging="360"/>
      </w:pPr>
      <w:rPr>
        <w:rFonts w:ascii="Wingdings" w:hAnsi="Wingdings" w:hint="default"/>
      </w:rPr>
    </w:lvl>
    <w:lvl w:ilvl="3" w:tplc="FF0E662C" w:tentative="1">
      <w:start w:val="1"/>
      <w:numFmt w:val="bullet"/>
      <w:lvlText w:val=""/>
      <w:lvlJc w:val="left"/>
      <w:pPr>
        <w:tabs>
          <w:tab w:val="num" w:pos="2880"/>
        </w:tabs>
        <w:ind w:left="2880" w:hanging="360"/>
      </w:pPr>
      <w:rPr>
        <w:rFonts w:ascii="Symbol" w:hAnsi="Symbol" w:hint="default"/>
      </w:rPr>
    </w:lvl>
    <w:lvl w:ilvl="4" w:tplc="211CACEA" w:tentative="1">
      <w:start w:val="1"/>
      <w:numFmt w:val="bullet"/>
      <w:lvlText w:val="o"/>
      <w:lvlJc w:val="left"/>
      <w:pPr>
        <w:tabs>
          <w:tab w:val="num" w:pos="3600"/>
        </w:tabs>
        <w:ind w:left="3600" w:hanging="360"/>
      </w:pPr>
      <w:rPr>
        <w:rFonts w:ascii="Courier New" w:hAnsi="Courier New" w:cs="Courier New" w:hint="default"/>
      </w:rPr>
    </w:lvl>
    <w:lvl w:ilvl="5" w:tplc="29564FC0" w:tentative="1">
      <w:start w:val="1"/>
      <w:numFmt w:val="bullet"/>
      <w:lvlText w:val=""/>
      <w:lvlJc w:val="left"/>
      <w:pPr>
        <w:tabs>
          <w:tab w:val="num" w:pos="4320"/>
        </w:tabs>
        <w:ind w:left="4320" w:hanging="360"/>
      </w:pPr>
      <w:rPr>
        <w:rFonts w:ascii="Wingdings" w:hAnsi="Wingdings" w:hint="default"/>
      </w:rPr>
    </w:lvl>
    <w:lvl w:ilvl="6" w:tplc="CC38FFC6" w:tentative="1">
      <w:start w:val="1"/>
      <w:numFmt w:val="bullet"/>
      <w:lvlText w:val=""/>
      <w:lvlJc w:val="left"/>
      <w:pPr>
        <w:tabs>
          <w:tab w:val="num" w:pos="5040"/>
        </w:tabs>
        <w:ind w:left="5040" w:hanging="360"/>
      </w:pPr>
      <w:rPr>
        <w:rFonts w:ascii="Symbol" w:hAnsi="Symbol" w:hint="default"/>
      </w:rPr>
    </w:lvl>
    <w:lvl w:ilvl="7" w:tplc="1A628C54" w:tentative="1">
      <w:start w:val="1"/>
      <w:numFmt w:val="bullet"/>
      <w:lvlText w:val="o"/>
      <w:lvlJc w:val="left"/>
      <w:pPr>
        <w:tabs>
          <w:tab w:val="num" w:pos="5760"/>
        </w:tabs>
        <w:ind w:left="5760" w:hanging="360"/>
      </w:pPr>
      <w:rPr>
        <w:rFonts w:ascii="Courier New" w:hAnsi="Courier New" w:cs="Courier New" w:hint="default"/>
      </w:rPr>
    </w:lvl>
    <w:lvl w:ilvl="8" w:tplc="0E68F67C"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3D72C67A">
      <w:start w:val="1"/>
      <w:numFmt w:val="bullet"/>
      <w:pStyle w:val="Lijstopsomteken2"/>
      <w:lvlText w:val="–"/>
      <w:lvlJc w:val="left"/>
      <w:pPr>
        <w:tabs>
          <w:tab w:val="num" w:pos="227"/>
        </w:tabs>
        <w:ind w:left="227" w:firstLine="0"/>
      </w:pPr>
      <w:rPr>
        <w:rFonts w:ascii="Verdana" w:hAnsi="Verdana" w:hint="default"/>
      </w:rPr>
    </w:lvl>
    <w:lvl w:ilvl="1" w:tplc="D2D48990" w:tentative="1">
      <w:start w:val="1"/>
      <w:numFmt w:val="bullet"/>
      <w:lvlText w:val="o"/>
      <w:lvlJc w:val="left"/>
      <w:pPr>
        <w:tabs>
          <w:tab w:val="num" w:pos="1440"/>
        </w:tabs>
        <w:ind w:left="1440" w:hanging="360"/>
      </w:pPr>
      <w:rPr>
        <w:rFonts w:ascii="Courier New" w:hAnsi="Courier New" w:cs="Courier New" w:hint="default"/>
      </w:rPr>
    </w:lvl>
    <w:lvl w:ilvl="2" w:tplc="F716B6BC" w:tentative="1">
      <w:start w:val="1"/>
      <w:numFmt w:val="bullet"/>
      <w:lvlText w:val=""/>
      <w:lvlJc w:val="left"/>
      <w:pPr>
        <w:tabs>
          <w:tab w:val="num" w:pos="2160"/>
        </w:tabs>
        <w:ind w:left="2160" w:hanging="360"/>
      </w:pPr>
      <w:rPr>
        <w:rFonts w:ascii="Wingdings" w:hAnsi="Wingdings" w:hint="default"/>
      </w:rPr>
    </w:lvl>
    <w:lvl w:ilvl="3" w:tplc="E3A24AEC" w:tentative="1">
      <w:start w:val="1"/>
      <w:numFmt w:val="bullet"/>
      <w:lvlText w:val=""/>
      <w:lvlJc w:val="left"/>
      <w:pPr>
        <w:tabs>
          <w:tab w:val="num" w:pos="2880"/>
        </w:tabs>
        <w:ind w:left="2880" w:hanging="360"/>
      </w:pPr>
      <w:rPr>
        <w:rFonts w:ascii="Symbol" w:hAnsi="Symbol" w:hint="default"/>
      </w:rPr>
    </w:lvl>
    <w:lvl w:ilvl="4" w:tplc="C7721300" w:tentative="1">
      <w:start w:val="1"/>
      <w:numFmt w:val="bullet"/>
      <w:lvlText w:val="o"/>
      <w:lvlJc w:val="left"/>
      <w:pPr>
        <w:tabs>
          <w:tab w:val="num" w:pos="3600"/>
        </w:tabs>
        <w:ind w:left="3600" w:hanging="360"/>
      </w:pPr>
      <w:rPr>
        <w:rFonts w:ascii="Courier New" w:hAnsi="Courier New" w:cs="Courier New" w:hint="default"/>
      </w:rPr>
    </w:lvl>
    <w:lvl w:ilvl="5" w:tplc="487AE028" w:tentative="1">
      <w:start w:val="1"/>
      <w:numFmt w:val="bullet"/>
      <w:lvlText w:val=""/>
      <w:lvlJc w:val="left"/>
      <w:pPr>
        <w:tabs>
          <w:tab w:val="num" w:pos="4320"/>
        </w:tabs>
        <w:ind w:left="4320" w:hanging="360"/>
      </w:pPr>
      <w:rPr>
        <w:rFonts w:ascii="Wingdings" w:hAnsi="Wingdings" w:hint="default"/>
      </w:rPr>
    </w:lvl>
    <w:lvl w:ilvl="6" w:tplc="21A4D6D0" w:tentative="1">
      <w:start w:val="1"/>
      <w:numFmt w:val="bullet"/>
      <w:lvlText w:val=""/>
      <w:lvlJc w:val="left"/>
      <w:pPr>
        <w:tabs>
          <w:tab w:val="num" w:pos="5040"/>
        </w:tabs>
        <w:ind w:left="5040" w:hanging="360"/>
      </w:pPr>
      <w:rPr>
        <w:rFonts w:ascii="Symbol" w:hAnsi="Symbol" w:hint="default"/>
      </w:rPr>
    </w:lvl>
    <w:lvl w:ilvl="7" w:tplc="A6BCF4FA" w:tentative="1">
      <w:start w:val="1"/>
      <w:numFmt w:val="bullet"/>
      <w:lvlText w:val="o"/>
      <w:lvlJc w:val="left"/>
      <w:pPr>
        <w:tabs>
          <w:tab w:val="num" w:pos="5760"/>
        </w:tabs>
        <w:ind w:left="5760" w:hanging="360"/>
      </w:pPr>
      <w:rPr>
        <w:rFonts w:ascii="Courier New" w:hAnsi="Courier New" w:cs="Courier New" w:hint="default"/>
      </w:rPr>
    </w:lvl>
    <w:lvl w:ilvl="8" w:tplc="C1208298"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87E4FC9"/>
    <w:multiLevelType w:val="hybridMultilevel"/>
    <w:tmpl w:val="F5F09A8A"/>
    <w:lvl w:ilvl="0" w:tplc="8D56BB38">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478153899">
    <w:abstractNumId w:val="10"/>
  </w:num>
  <w:num w:numId="2" w16cid:durableId="1188443902">
    <w:abstractNumId w:val="7"/>
  </w:num>
  <w:num w:numId="3" w16cid:durableId="321854905">
    <w:abstractNumId w:val="6"/>
  </w:num>
  <w:num w:numId="4" w16cid:durableId="1536582816">
    <w:abstractNumId w:val="5"/>
  </w:num>
  <w:num w:numId="5" w16cid:durableId="250702999">
    <w:abstractNumId w:val="4"/>
  </w:num>
  <w:num w:numId="6" w16cid:durableId="943195107">
    <w:abstractNumId w:val="8"/>
  </w:num>
  <w:num w:numId="7" w16cid:durableId="1270040289">
    <w:abstractNumId w:val="3"/>
  </w:num>
  <w:num w:numId="8" w16cid:durableId="681932693">
    <w:abstractNumId w:val="2"/>
  </w:num>
  <w:num w:numId="9" w16cid:durableId="307826103">
    <w:abstractNumId w:val="1"/>
  </w:num>
  <w:num w:numId="10" w16cid:durableId="347023509">
    <w:abstractNumId w:val="0"/>
  </w:num>
  <w:num w:numId="11" w16cid:durableId="442654933">
    <w:abstractNumId w:val="9"/>
  </w:num>
  <w:num w:numId="12" w16cid:durableId="1835877247">
    <w:abstractNumId w:val="11"/>
  </w:num>
  <w:num w:numId="13" w16cid:durableId="419568073">
    <w:abstractNumId w:val="14"/>
  </w:num>
  <w:num w:numId="14" w16cid:durableId="17976698">
    <w:abstractNumId w:val="12"/>
  </w:num>
  <w:num w:numId="15" w16cid:durableId="841511251">
    <w:abstractNumId w:val="1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021"/>
    <w:rsid w:val="000049FB"/>
    <w:rsid w:val="00013862"/>
    <w:rsid w:val="00016012"/>
    <w:rsid w:val="00020189"/>
    <w:rsid w:val="00020EE4"/>
    <w:rsid w:val="00023E8D"/>
    <w:rsid w:val="00023E9A"/>
    <w:rsid w:val="000301C7"/>
    <w:rsid w:val="00033CDD"/>
    <w:rsid w:val="00034A84"/>
    <w:rsid w:val="00035E67"/>
    <w:rsid w:val="000366F3"/>
    <w:rsid w:val="0006024D"/>
    <w:rsid w:val="00064021"/>
    <w:rsid w:val="00071F28"/>
    <w:rsid w:val="00074079"/>
    <w:rsid w:val="00092799"/>
    <w:rsid w:val="00092C5F"/>
    <w:rsid w:val="00096680"/>
    <w:rsid w:val="000A0F36"/>
    <w:rsid w:val="000A174A"/>
    <w:rsid w:val="000A3E0A"/>
    <w:rsid w:val="000A65AC"/>
    <w:rsid w:val="000B0F84"/>
    <w:rsid w:val="000B7281"/>
    <w:rsid w:val="000B7FAB"/>
    <w:rsid w:val="000C0163"/>
    <w:rsid w:val="000C1BA1"/>
    <w:rsid w:val="000C3EA9"/>
    <w:rsid w:val="000D0225"/>
    <w:rsid w:val="000D73D7"/>
    <w:rsid w:val="000E7895"/>
    <w:rsid w:val="000F1558"/>
    <w:rsid w:val="000F161D"/>
    <w:rsid w:val="00103A69"/>
    <w:rsid w:val="00121BF0"/>
    <w:rsid w:val="00123704"/>
    <w:rsid w:val="001270C7"/>
    <w:rsid w:val="00132540"/>
    <w:rsid w:val="00144B73"/>
    <w:rsid w:val="0014786A"/>
    <w:rsid w:val="001516A4"/>
    <w:rsid w:val="00151E5F"/>
    <w:rsid w:val="001536B3"/>
    <w:rsid w:val="001569AB"/>
    <w:rsid w:val="00164D63"/>
    <w:rsid w:val="0016725C"/>
    <w:rsid w:val="001726F3"/>
    <w:rsid w:val="00173C51"/>
    <w:rsid w:val="00174CC2"/>
    <w:rsid w:val="00176CC6"/>
    <w:rsid w:val="00181BE4"/>
    <w:rsid w:val="00185576"/>
    <w:rsid w:val="00185951"/>
    <w:rsid w:val="00196B8B"/>
    <w:rsid w:val="001A2BEA"/>
    <w:rsid w:val="001A6D93"/>
    <w:rsid w:val="001B36C9"/>
    <w:rsid w:val="001C32EC"/>
    <w:rsid w:val="001C38BD"/>
    <w:rsid w:val="001C4D5A"/>
    <w:rsid w:val="001E34C6"/>
    <w:rsid w:val="001E5581"/>
    <w:rsid w:val="001E6117"/>
    <w:rsid w:val="001F3C70"/>
    <w:rsid w:val="00200D88"/>
    <w:rsid w:val="00201F68"/>
    <w:rsid w:val="00212F2A"/>
    <w:rsid w:val="00214F2B"/>
    <w:rsid w:val="00217880"/>
    <w:rsid w:val="00222D66"/>
    <w:rsid w:val="00224A8A"/>
    <w:rsid w:val="00225022"/>
    <w:rsid w:val="002271FC"/>
    <w:rsid w:val="002309A8"/>
    <w:rsid w:val="00236CFE"/>
    <w:rsid w:val="002428E3"/>
    <w:rsid w:val="00243031"/>
    <w:rsid w:val="00260BAF"/>
    <w:rsid w:val="002650F7"/>
    <w:rsid w:val="002720A9"/>
    <w:rsid w:val="00273F3B"/>
    <w:rsid w:val="00274DB7"/>
    <w:rsid w:val="00275984"/>
    <w:rsid w:val="00280F74"/>
    <w:rsid w:val="00286998"/>
    <w:rsid w:val="00291AB7"/>
    <w:rsid w:val="0029422B"/>
    <w:rsid w:val="002B153C"/>
    <w:rsid w:val="002B52FC"/>
    <w:rsid w:val="002C2830"/>
    <w:rsid w:val="002D001A"/>
    <w:rsid w:val="002D28E2"/>
    <w:rsid w:val="002D317B"/>
    <w:rsid w:val="002D3587"/>
    <w:rsid w:val="002D502D"/>
    <w:rsid w:val="002E0F69"/>
    <w:rsid w:val="002F452E"/>
    <w:rsid w:val="002F5147"/>
    <w:rsid w:val="002F60DA"/>
    <w:rsid w:val="002F7ABD"/>
    <w:rsid w:val="00312597"/>
    <w:rsid w:val="00327BA5"/>
    <w:rsid w:val="00334154"/>
    <w:rsid w:val="003372C4"/>
    <w:rsid w:val="00340ECA"/>
    <w:rsid w:val="00341FA0"/>
    <w:rsid w:val="00344F3D"/>
    <w:rsid w:val="00345299"/>
    <w:rsid w:val="00351A8D"/>
    <w:rsid w:val="003526BB"/>
    <w:rsid w:val="00352BCF"/>
    <w:rsid w:val="00353932"/>
    <w:rsid w:val="0035464B"/>
    <w:rsid w:val="0035550C"/>
    <w:rsid w:val="00361A56"/>
    <w:rsid w:val="0036252A"/>
    <w:rsid w:val="003640F0"/>
    <w:rsid w:val="00364D9D"/>
    <w:rsid w:val="00371048"/>
    <w:rsid w:val="0037396C"/>
    <w:rsid w:val="0037421D"/>
    <w:rsid w:val="00376093"/>
    <w:rsid w:val="00377C58"/>
    <w:rsid w:val="0038181A"/>
    <w:rsid w:val="00383DA1"/>
    <w:rsid w:val="00385F30"/>
    <w:rsid w:val="0039201D"/>
    <w:rsid w:val="00393696"/>
    <w:rsid w:val="00393963"/>
    <w:rsid w:val="00395575"/>
    <w:rsid w:val="00395672"/>
    <w:rsid w:val="003968B5"/>
    <w:rsid w:val="003A06C8"/>
    <w:rsid w:val="003A0D7C"/>
    <w:rsid w:val="003A1B16"/>
    <w:rsid w:val="003A5290"/>
    <w:rsid w:val="003B0155"/>
    <w:rsid w:val="003B7EE7"/>
    <w:rsid w:val="003C2CCB"/>
    <w:rsid w:val="003D39EC"/>
    <w:rsid w:val="003E3DD5"/>
    <w:rsid w:val="003F07C6"/>
    <w:rsid w:val="003F1F6B"/>
    <w:rsid w:val="003F2647"/>
    <w:rsid w:val="003F3757"/>
    <w:rsid w:val="003F38BD"/>
    <w:rsid w:val="003F44B7"/>
    <w:rsid w:val="004008E9"/>
    <w:rsid w:val="00413D48"/>
    <w:rsid w:val="00441AC2"/>
    <w:rsid w:val="0044249B"/>
    <w:rsid w:val="0045023C"/>
    <w:rsid w:val="00451A5B"/>
    <w:rsid w:val="00452BCD"/>
    <w:rsid w:val="00452CEA"/>
    <w:rsid w:val="00465B52"/>
    <w:rsid w:val="0046708E"/>
    <w:rsid w:val="00472A65"/>
    <w:rsid w:val="00474463"/>
    <w:rsid w:val="00474B75"/>
    <w:rsid w:val="00483984"/>
    <w:rsid w:val="00483F0B"/>
    <w:rsid w:val="00486354"/>
    <w:rsid w:val="00494237"/>
    <w:rsid w:val="00496319"/>
    <w:rsid w:val="00497279"/>
    <w:rsid w:val="004A13FB"/>
    <w:rsid w:val="004A670A"/>
    <w:rsid w:val="004B5465"/>
    <w:rsid w:val="004B70F0"/>
    <w:rsid w:val="004D505E"/>
    <w:rsid w:val="004D72CA"/>
    <w:rsid w:val="004E2242"/>
    <w:rsid w:val="004F42FF"/>
    <w:rsid w:val="004F44C2"/>
    <w:rsid w:val="00502512"/>
    <w:rsid w:val="00505262"/>
    <w:rsid w:val="0051132F"/>
    <w:rsid w:val="00513081"/>
    <w:rsid w:val="00516022"/>
    <w:rsid w:val="00521CEE"/>
    <w:rsid w:val="00527BD4"/>
    <w:rsid w:val="005403C8"/>
    <w:rsid w:val="005429DC"/>
    <w:rsid w:val="005565F9"/>
    <w:rsid w:val="00556BEE"/>
    <w:rsid w:val="005619AB"/>
    <w:rsid w:val="005654C3"/>
    <w:rsid w:val="00573041"/>
    <w:rsid w:val="00575B80"/>
    <w:rsid w:val="0057620F"/>
    <w:rsid w:val="005819CE"/>
    <w:rsid w:val="0058298D"/>
    <w:rsid w:val="00584BAC"/>
    <w:rsid w:val="00591AEE"/>
    <w:rsid w:val="00593C2B"/>
    <w:rsid w:val="00595231"/>
    <w:rsid w:val="00596166"/>
    <w:rsid w:val="00597F64"/>
    <w:rsid w:val="005A207F"/>
    <w:rsid w:val="005A2F35"/>
    <w:rsid w:val="005B3814"/>
    <w:rsid w:val="005B463E"/>
    <w:rsid w:val="005C34E1"/>
    <w:rsid w:val="005C3FE0"/>
    <w:rsid w:val="005C740C"/>
    <w:rsid w:val="005D625B"/>
    <w:rsid w:val="005F3AE6"/>
    <w:rsid w:val="005F62D3"/>
    <w:rsid w:val="005F6D11"/>
    <w:rsid w:val="00600CF0"/>
    <w:rsid w:val="006048F4"/>
    <w:rsid w:val="0060660A"/>
    <w:rsid w:val="00613B1D"/>
    <w:rsid w:val="00617A44"/>
    <w:rsid w:val="006202B6"/>
    <w:rsid w:val="006247BE"/>
    <w:rsid w:val="00625CD0"/>
    <w:rsid w:val="0062627D"/>
    <w:rsid w:val="00627432"/>
    <w:rsid w:val="006448E4"/>
    <w:rsid w:val="00645414"/>
    <w:rsid w:val="00653606"/>
    <w:rsid w:val="006610E9"/>
    <w:rsid w:val="00661591"/>
    <w:rsid w:val="0066632F"/>
    <w:rsid w:val="00674A89"/>
    <w:rsid w:val="00674F3D"/>
    <w:rsid w:val="00685545"/>
    <w:rsid w:val="006864B3"/>
    <w:rsid w:val="00692D64"/>
    <w:rsid w:val="006A10F8"/>
    <w:rsid w:val="006A2100"/>
    <w:rsid w:val="006A5C3B"/>
    <w:rsid w:val="006A72E0"/>
    <w:rsid w:val="006B0BF3"/>
    <w:rsid w:val="006B775E"/>
    <w:rsid w:val="006B7BC7"/>
    <w:rsid w:val="006C2535"/>
    <w:rsid w:val="006C441E"/>
    <w:rsid w:val="006C4B90"/>
    <w:rsid w:val="006D1016"/>
    <w:rsid w:val="006D17F2"/>
    <w:rsid w:val="006E3546"/>
    <w:rsid w:val="006E3FA9"/>
    <w:rsid w:val="006E4BA0"/>
    <w:rsid w:val="006E7D82"/>
    <w:rsid w:val="006F038F"/>
    <w:rsid w:val="006F0F93"/>
    <w:rsid w:val="006F31F2"/>
    <w:rsid w:val="006F7494"/>
    <w:rsid w:val="006F751F"/>
    <w:rsid w:val="00714DC5"/>
    <w:rsid w:val="00715237"/>
    <w:rsid w:val="007254A5"/>
    <w:rsid w:val="00725748"/>
    <w:rsid w:val="00735D88"/>
    <w:rsid w:val="0073720D"/>
    <w:rsid w:val="00737507"/>
    <w:rsid w:val="00740712"/>
    <w:rsid w:val="007426AA"/>
    <w:rsid w:val="00742AB9"/>
    <w:rsid w:val="00751A6A"/>
    <w:rsid w:val="00754FBF"/>
    <w:rsid w:val="007709EF"/>
    <w:rsid w:val="00783559"/>
    <w:rsid w:val="0079551B"/>
    <w:rsid w:val="00797AA5"/>
    <w:rsid w:val="007A26BD"/>
    <w:rsid w:val="007A4105"/>
    <w:rsid w:val="007B4503"/>
    <w:rsid w:val="007C23B5"/>
    <w:rsid w:val="007C406E"/>
    <w:rsid w:val="007C5183"/>
    <w:rsid w:val="007C7573"/>
    <w:rsid w:val="007E2B20"/>
    <w:rsid w:val="007E2B88"/>
    <w:rsid w:val="007F5331"/>
    <w:rsid w:val="00800CCA"/>
    <w:rsid w:val="0080603B"/>
    <w:rsid w:val="00806120"/>
    <w:rsid w:val="00810C93"/>
    <w:rsid w:val="00812028"/>
    <w:rsid w:val="00812DD8"/>
    <w:rsid w:val="00813082"/>
    <w:rsid w:val="008131C3"/>
    <w:rsid w:val="00814D03"/>
    <w:rsid w:val="00821FC1"/>
    <w:rsid w:val="00823AE2"/>
    <w:rsid w:val="008261E7"/>
    <w:rsid w:val="0083178B"/>
    <w:rsid w:val="00833695"/>
    <w:rsid w:val="008336B7"/>
    <w:rsid w:val="00833A8E"/>
    <w:rsid w:val="00836EBF"/>
    <w:rsid w:val="00842CD8"/>
    <w:rsid w:val="008431FA"/>
    <w:rsid w:val="00846BAA"/>
    <w:rsid w:val="00847444"/>
    <w:rsid w:val="008547BA"/>
    <w:rsid w:val="008553C7"/>
    <w:rsid w:val="00857FEB"/>
    <w:rsid w:val="008601AF"/>
    <w:rsid w:val="00872271"/>
    <w:rsid w:val="00883137"/>
    <w:rsid w:val="008A1F5D"/>
    <w:rsid w:val="008A28F5"/>
    <w:rsid w:val="008A5B1C"/>
    <w:rsid w:val="008B1198"/>
    <w:rsid w:val="008B3471"/>
    <w:rsid w:val="008B3929"/>
    <w:rsid w:val="008B4125"/>
    <w:rsid w:val="008B4CB3"/>
    <w:rsid w:val="008B567B"/>
    <w:rsid w:val="008B7B24"/>
    <w:rsid w:val="008C29E3"/>
    <w:rsid w:val="008C356D"/>
    <w:rsid w:val="008E0B3F"/>
    <w:rsid w:val="008E49AD"/>
    <w:rsid w:val="008E698E"/>
    <w:rsid w:val="008F2584"/>
    <w:rsid w:val="008F3246"/>
    <w:rsid w:val="008F3C1B"/>
    <w:rsid w:val="008F508C"/>
    <w:rsid w:val="0090271B"/>
    <w:rsid w:val="00910642"/>
    <w:rsid w:val="00910DDF"/>
    <w:rsid w:val="009143D7"/>
    <w:rsid w:val="00930B13"/>
    <w:rsid w:val="009311C8"/>
    <w:rsid w:val="00933376"/>
    <w:rsid w:val="00933A2F"/>
    <w:rsid w:val="00947F1F"/>
    <w:rsid w:val="00962D25"/>
    <w:rsid w:val="009716D8"/>
    <w:rsid w:val="009718F9"/>
    <w:rsid w:val="00972FB9"/>
    <w:rsid w:val="00975112"/>
    <w:rsid w:val="00981768"/>
    <w:rsid w:val="00983E8F"/>
    <w:rsid w:val="0098788A"/>
    <w:rsid w:val="00994FDA"/>
    <w:rsid w:val="009A31BF"/>
    <w:rsid w:val="009A3B71"/>
    <w:rsid w:val="009A61BC"/>
    <w:rsid w:val="009A7E90"/>
    <w:rsid w:val="009B0138"/>
    <w:rsid w:val="009B0EC1"/>
    <w:rsid w:val="009B0FE9"/>
    <w:rsid w:val="009B173A"/>
    <w:rsid w:val="009B4566"/>
    <w:rsid w:val="009C3F20"/>
    <w:rsid w:val="009C7CA1"/>
    <w:rsid w:val="009D043D"/>
    <w:rsid w:val="009E2051"/>
    <w:rsid w:val="009F3259"/>
    <w:rsid w:val="00A056DE"/>
    <w:rsid w:val="00A06370"/>
    <w:rsid w:val="00A128AD"/>
    <w:rsid w:val="00A21E76"/>
    <w:rsid w:val="00A23BC8"/>
    <w:rsid w:val="00A2487A"/>
    <w:rsid w:val="00A30E68"/>
    <w:rsid w:val="00A31933"/>
    <w:rsid w:val="00A329D2"/>
    <w:rsid w:val="00A34AA0"/>
    <w:rsid w:val="00A3715C"/>
    <w:rsid w:val="00A41FE2"/>
    <w:rsid w:val="00A452B0"/>
    <w:rsid w:val="00A46FEF"/>
    <w:rsid w:val="00A47948"/>
    <w:rsid w:val="00A50CF6"/>
    <w:rsid w:val="00A56946"/>
    <w:rsid w:val="00A6170E"/>
    <w:rsid w:val="00A63B8C"/>
    <w:rsid w:val="00A715F8"/>
    <w:rsid w:val="00A75525"/>
    <w:rsid w:val="00A77F6F"/>
    <w:rsid w:val="00A831FD"/>
    <w:rsid w:val="00A83352"/>
    <w:rsid w:val="00A850A2"/>
    <w:rsid w:val="00A91FA3"/>
    <w:rsid w:val="00A927D3"/>
    <w:rsid w:val="00A957CA"/>
    <w:rsid w:val="00AA7FC9"/>
    <w:rsid w:val="00AB237D"/>
    <w:rsid w:val="00AB5933"/>
    <w:rsid w:val="00AD2AE9"/>
    <w:rsid w:val="00AE013D"/>
    <w:rsid w:val="00AE11B7"/>
    <w:rsid w:val="00AE7EE3"/>
    <w:rsid w:val="00AE7F68"/>
    <w:rsid w:val="00AF2321"/>
    <w:rsid w:val="00AF323C"/>
    <w:rsid w:val="00AF52F6"/>
    <w:rsid w:val="00AF52FD"/>
    <w:rsid w:val="00AF54A8"/>
    <w:rsid w:val="00AF7237"/>
    <w:rsid w:val="00B0043A"/>
    <w:rsid w:val="00B00D75"/>
    <w:rsid w:val="00B070CB"/>
    <w:rsid w:val="00B11257"/>
    <w:rsid w:val="00B12456"/>
    <w:rsid w:val="00B145F0"/>
    <w:rsid w:val="00B259C8"/>
    <w:rsid w:val="00B26CCF"/>
    <w:rsid w:val="00B30FC2"/>
    <w:rsid w:val="00B331A2"/>
    <w:rsid w:val="00B425F0"/>
    <w:rsid w:val="00B42DFA"/>
    <w:rsid w:val="00B531DD"/>
    <w:rsid w:val="00B55014"/>
    <w:rsid w:val="00B62232"/>
    <w:rsid w:val="00B70BF3"/>
    <w:rsid w:val="00B71DC2"/>
    <w:rsid w:val="00B91CFC"/>
    <w:rsid w:val="00B9300F"/>
    <w:rsid w:val="00B93893"/>
    <w:rsid w:val="00BA11F9"/>
    <w:rsid w:val="00BA129E"/>
    <w:rsid w:val="00BA1D4E"/>
    <w:rsid w:val="00BA6EB2"/>
    <w:rsid w:val="00BA7E0A"/>
    <w:rsid w:val="00BB6F7C"/>
    <w:rsid w:val="00BC3B53"/>
    <w:rsid w:val="00BC3B96"/>
    <w:rsid w:val="00BC4AE3"/>
    <w:rsid w:val="00BC5B28"/>
    <w:rsid w:val="00BE3F88"/>
    <w:rsid w:val="00BE4756"/>
    <w:rsid w:val="00BE5ED9"/>
    <w:rsid w:val="00BE7B41"/>
    <w:rsid w:val="00C1334F"/>
    <w:rsid w:val="00C15A91"/>
    <w:rsid w:val="00C206F1"/>
    <w:rsid w:val="00C217E1"/>
    <w:rsid w:val="00C219B1"/>
    <w:rsid w:val="00C4015B"/>
    <w:rsid w:val="00C40C60"/>
    <w:rsid w:val="00C5258E"/>
    <w:rsid w:val="00C52E1C"/>
    <w:rsid w:val="00C530C9"/>
    <w:rsid w:val="00C619A7"/>
    <w:rsid w:val="00C73D5F"/>
    <w:rsid w:val="00C8584E"/>
    <w:rsid w:val="00C97C80"/>
    <w:rsid w:val="00CA47D3"/>
    <w:rsid w:val="00CA6533"/>
    <w:rsid w:val="00CA6A25"/>
    <w:rsid w:val="00CA6A3F"/>
    <w:rsid w:val="00CA7C99"/>
    <w:rsid w:val="00CC38B8"/>
    <w:rsid w:val="00CC6290"/>
    <w:rsid w:val="00CC66C2"/>
    <w:rsid w:val="00CC7BA8"/>
    <w:rsid w:val="00CD233D"/>
    <w:rsid w:val="00CD362D"/>
    <w:rsid w:val="00CE101D"/>
    <w:rsid w:val="00CE1814"/>
    <w:rsid w:val="00CE1C84"/>
    <w:rsid w:val="00CE5055"/>
    <w:rsid w:val="00CF053F"/>
    <w:rsid w:val="00CF1A17"/>
    <w:rsid w:val="00D0375A"/>
    <w:rsid w:val="00D0609E"/>
    <w:rsid w:val="00D078E1"/>
    <w:rsid w:val="00D100E9"/>
    <w:rsid w:val="00D17AF8"/>
    <w:rsid w:val="00D21E4B"/>
    <w:rsid w:val="00D23522"/>
    <w:rsid w:val="00D264D6"/>
    <w:rsid w:val="00D33BF0"/>
    <w:rsid w:val="00D33DE0"/>
    <w:rsid w:val="00D36447"/>
    <w:rsid w:val="00D516BE"/>
    <w:rsid w:val="00D5423B"/>
    <w:rsid w:val="00D54F4E"/>
    <w:rsid w:val="00D604B3"/>
    <w:rsid w:val="00D60BA4"/>
    <w:rsid w:val="00D62419"/>
    <w:rsid w:val="00D75078"/>
    <w:rsid w:val="00D77870"/>
    <w:rsid w:val="00D80977"/>
    <w:rsid w:val="00D80CCE"/>
    <w:rsid w:val="00D86EEA"/>
    <w:rsid w:val="00D87D03"/>
    <w:rsid w:val="00D940FB"/>
    <w:rsid w:val="00D95C88"/>
    <w:rsid w:val="00D97B2E"/>
    <w:rsid w:val="00DA1FAE"/>
    <w:rsid w:val="00DA241E"/>
    <w:rsid w:val="00DB36FE"/>
    <w:rsid w:val="00DB533A"/>
    <w:rsid w:val="00DB6307"/>
    <w:rsid w:val="00DD1DCD"/>
    <w:rsid w:val="00DD338F"/>
    <w:rsid w:val="00DD66F2"/>
    <w:rsid w:val="00DE35B7"/>
    <w:rsid w:val="00DE3FE0"/>
    <w:rsid w:val="00DE578A"/>
    <w:rsid w:val="00DF2583"/>
    <w:rsid w:val="00DF54D9"/>
    <w:rsid w:val="00DF7283"/>
    <w:rsid w:val="00E01A59"/>
    <w:rsid w:val="00E10DC6"/>
    <w:rsid w:val="00E11F8E"/>
    <w:rsid w:val="00E15881"/>
    <w:rsid w:val="00E16A8F"/>
    <w:rsid w:val="00E21DE3"/>
    <w:rsid w:val="00E2370A"/>
    <w:rsid w:val="00E307D1"/>
    <w:rsid w:val="00E3731D"/>
    <w:rsid w:val="00E51469"/>
    <w:rsid w:val="00E634E3"/>
    <w:rsid w:val="00E710AB"/>
    <w:rsid w:val="00E717C4"/>
    <w:rsid w:val="00E77E18"/>
    <w:rsid w:val="00E77F89"/>
    <w:rsid w:val="00E80330"/>
    <w:rsid w:val="00E806C5"/>
    <w:rsid w:val="00E80E71"/>
    <w:rsid w:val="00E850D3"/>
    <w:rsid w:val="00E853D6"/>
    <w:rsid w:val="00E876B9"/>
    <w:rsid w:val="00EB7B97"/>
    <w:rsid w:val="00EC0DFF"/>
    <w:rsid w:val="00EC237D"/>
    <w:rsid w:val="00EC4D0E"/>
    <w:rsid w:val="00EC4E2B"/>
    <w:rsid w:val="00ED072A"/>
    <w:rsid w:val="00ED406F"/>
    <w:rsid w:val="00ED539E"/>
    <w:rsid w:val="00ED62CF"/>
    <w:rsid w:val="00EE4A1F"/>
    <w:rsid w:val="00EE4C2D"/>
    <w:rsid w:val="00EF1B5A"/>
    <w:rsid w:val="00EF24FB"/>
    <w:rsid w:val="00EF2CCA"/>
    <w:rsid w:val="00EF495B"/>
    <w:rsid w:val="00EF60DC"/>
    <w:rsid w:val="00F00F54"/>
    <w:rsid w:val="00F03963"/>
    <w:rsid w:val="00F11068"/>
    <w:rsid w:val="00F1256D"/>
    <w:rsid w:val="00F13A4E"/>
    <w:rsid w:val="00F172BB"/>
    <w:rsid w:val="00F17B10"/>
    <w:rsid w:val="00F21BEF"/>
    <w:rsid w:val="00F2315B"/>
    <w:rsid w:val="00F41A6F"/>
    <w:rsid w:val="00F45A25"/>
    <w:rsid w:val="00F50F86"/>
    <w:rsid w:val="00F53F91"/>
    <w:rsid w:val="00F60FF9"/>
    <w:rsid w:val="00F61569"/>
    <w:rsid w:val="00F61A72"/>
    <w:rsid w:val="00F62B67"/>
    <w:rsid w:val="00F66F13"/>
    <w:rsid w:val="00F74073"/>
    <w:rsid w:val="00F75603"/>
    <w:rsid w:val="00F845B4"/>
    <w:rsid w:val="00F8713B"/>
    <w:rsid w:val="00F90A14"/>
    <w:rsid w:val="00F93F9E"/>
    <w:rsid w:val="00FA2CD7"/>
    <w:rsid w:val="00FB06ED"/>
    <w:rsid w:val="00FC02F0"/>
    <w:rsid w:val="00FC0C4E"/>
    <w:rsid w:val="00FC3165"/>
    <w:rsid w:val="00FC36AB"/>
    <w:rsid w:val="00FC4300"/>
    <w:rsid w:val="00FC7F66"/>
    <w:rsid w:val="00FD5776"/>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2382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0301C7"/>
    <w:pPr>
      <w:spacing w:line="240" w:lineRule="atLeast"/>
    </w:pPr>
    <w:rPr>
      <w:rFonts w:ascii="Verdana" w:hAnsi="Verdana"/>
      <w:sz w:val="18"/>
      <w:szCs w:val="24"/>
      <w:lang w:val="nl-NL" w:eastAsia="nl-NL"/>
    </w:rPr>
  </w:style>
  <w:style w:type="paragraph" w:styleId="Kop1">
    <w:name w:val="heading 1"/>
    <w:basedOn w:val="Standaard"/>
    <w:next w:val="Standaard"/>
    <w:link w:val="Kop1Char1"/>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1"/>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1"/>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1"/>
    <w:rsid w:val="00023E9A"/>
    <w:pPr>
      <w:tabs>
        <w:tab w:val="center" w:pos="4536"/>
        <w:tab w:val="right" w:pos="9072"/>
      </w:tabs>
    </w:pPr>
  </w:style>
  <w:style w:type="paragraph" w:styleId="Voettekst">
    <w:name w:val="footer"/>
    <w:basedOn w:val="Standaard"/>
    <w:link w:val="VoettekstChar1"/>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6EB2"/>
    <w:rPr>
      <w:color w:val="808080"/>
    </w:rPr>
  </w:style>
  <w:style w:type="paragraph" w:styleId="Voetnoottekst">
    <w:name w:val="footnote text"/>
    <w:basedOn w:val="Standaard"/>
    <w:link w:val="VoetnoottekstChar"/>
    <w:uiPriority w:val="99"/>
    <w:unhideWhenUsed/>
    <w:rsid w:val="000301C7"/>
    <w:pPr>
      <w:spacing w:line="180" w:lineRule="atLeast"/>
    </w:pPr>
    <w:rPr>
      <w:sz w:val="13"/>
      <w:szCs w:val="20"/>
    </w:rPr>
  </w:style>
  <w:style w:type="character" w:customStyle="1" w:styleId="VoetnoottekstChar">
    <w:name w:val="Voetnoottekst Char"/>
    <w:basedOn w:val="Standaardalinea-lettertype"/>
    <w:link w:val="Voetnoottekst"/>
    <w:uiPriority w:val="99"/>
    <w:rsid w:val="000301C7"/>
    <w:rPr>
      <w:rFonts w:ascii="Verdana" w:hAnsi="Verdana"/>
      <w:sz w:val="13"/>
      <w:lang w:val="nl-NL" w:eastAsia="nl-NL"/>
    </w:rPr>
  </w:style>
  <w:style w:type="paragraph" w:styleId="Ballontekst">
    <w:name w:val="Balloon Text"/>
    <w:basedOn w:val="Standaard"/>
    <w:link w:val="BallontekstChar"/>
    <w:rsid w:val="008C29E3"/>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8C29E3"/>
    <w:rPr>
      <w:rFonts w:ascii="Segoe UI" w:hAnsi="Segoe UI" w:cs="Segoe UI"/>
      <w:sz w:val="18"/>
      <w:szCs w:val="18"/>
      <w:lang w:val="nl-NL" w:eastAsia="nl-NL"/>
    </w:rPr>
  </w:style>
  <w:style w:type="character" w:customStyle="1" w:styleId="KoptekstChar">
    <w:name w:val="Koptekst Char"/>
    <w:basedOn w:val="Standaardalinea-lettertype"/>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rsid w:val="00DE555F"/>
    <w:rPr>
      <w:rFonts w:ascii="Verdana" w:eastAsia="Times New Roman" w:hAnsi="Verdana" w:cs="Times New Roman"/>
      <w:sz w:val="18"/>
      <w:szCs w:val="24"/>
      <w:lang w:val="nl-NL" w:eastAsia="nl-NL"/>
    </w:rPr>
  </w:style>
  <w:style w:type="character" w:customStyle="1" w:styleId="KoptekstChar1">
    <w:name w:val="Koptekst Char1"/>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1">
    <w:name w:val="Kop 1 Char1"/>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1">
    <w:name w:val="Kop 2 Char1"/>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1">
    <w:name w:val="Kop 3 Char1"/>
    <w:basedOn w:val="Standaardalinea-lettertype"/>
    <w:link w:val="Kop3"/>
    <w:rsid w:val="00841CD9"/>
    <w:rPr>
      <w:rFonts w:ascii="Verdana" w:eastAsia="Times New Roman" w:hAnsi="Verdana" w:cs="Arial"/>
      <w:b/>
      <w:bCs/>
      <w:sz w:val="26"/>
      <w:szCs w:val="26"/>
      <w:lang w:val="nl-NL" w:eastAsia="nl-NL"/>
    </w:rPr>
  </w:style>
  <w:style w:type="character" w:customStyle="1" w:styleId="VoettekstChar1">
    <w:name w:val="Voettekst Char1"/>
    <w:basedOn w:val="Standaardalinea-lettertype"/>
    <w:link w:val="Voettekst"/>
    <w:rsid w:val="00DE555F"/>
    <w:rPr>
      <w:rFonts w:ascii="Verdana" w:eastAsia="Times New Roman" w:hAnsi="Verdana" w:cs="Times New Roman"/>
      <w:sz w:val="18"/>
      <w:szCs w:val="24"/>
      <w:lang w:val="nl-NL" w:eastAsia="nl-NL"/>
    </w:rPr>
  </w:style>
  <w:style w:type="character" w:styleId="Voetnootmarkering">
    <w:name w:val="footnote reference"/>
    <w:basedOn w:val="Standaardalinea-lettertype"/>
    <w:uiPriority w:val="99"/>
    <w:semiHidden/>
    <w:unhideWhenUsed/>
    <w:rsid w:val="0080603B"/>
    <w:rPr>
      <w:vertAlign w:val="superscript"/>
    </w:rPr>
  </w:style>
  <w:style w:type="paragraph" w:styleId="Revisie">
    <w:name w:val="Revision"/>
    <w:hidden/>
    <w:uiPriority w:val="99"/>
    <w:semiHidden/>
    <w:rsid w:val="002F60DA"/>
    <w:rPr>
      <w:rFonts w:ascii="Verdana" w:hAnsi="Verdana"/>
      <w:sz w:val="18"/>
      <w:szCs w:val="24"/>
      <w:lang w:val="nl-NL" w:eastAsia="nl-NL"/>
    </w:rPr>
  </w:style>
  <w:style w:type="paragraph" w:styleId="Lijstalinea">
    <w:name w:val="List Paragraph"/>
    <w:basedOn w:val="Standaard"/>
    <w:uiPriority w:val="34"/>
    <w:qFormat/>
    <w:rsid w:val="00E710AB"/>
    <w:pPr>
      <w:ind w:left="720"/>
      <w:contextualSpacing/>
    </w:pPr>
  </w:style>
  <w:style w:type="character" w:styleId="Verwijzingopmerking">
    <w:name w:val="annotation reference"/>
    <w:basedOn w:val="Standaardalinea-lettertype"/>
    <w:semiHidden/>
    <w:unhideWhenUsed/>
    <w:rsid w:val="00E710AB"/>
    <w:rPr>
      <w:sz w:val="16"/>
      <w:szCs w:val="16"/>
    </w:rPr>
  </w:style>
  <w:style w:type="paragraph" w:styleId="Tekstopmerking">
    <w:name w:val="annotation text"/>
    <w:basedOn w:val="Standaard"/>
    <w:link w:val="TekstopmerkingChar"/>
    <w:unhideWhenUsed/>
    <w:rsid w:val="00E710AB"/>
    <w:pPr>
      <w:spacing w:line="240" w:lineRule="auto"/>
    </w:pPr>
    <w:rPr>
      <w:sz w:val="20"/>
      <w:szCs w:val="20"/>
    </w:rPr>
  </w:style>
  <w:style w:type="character" w:customStyle="1" w:styleId="TekstopmerkingChar">
    <w:name w:val="Tekst opmerking Char"/>
    <w:basedOn w:val="Standaardalinea-lettertype"/>
    <w:link w:val="Tekstopmerking"/>
    <w:rsid w:val="00E710AB"/>
    <w:rPr>
      <w:rFonts w:ascii="Verdana" w:hAnsi="Verdana"/>
      <w:lang w:val="nl-NL" w:eastAsia="nl-NL"/>
    </w:rPr>
  </w:style>
  <w:style w:type="paragraph" w:styleId="Onderwerpvanopmerking">
    <w:name w:val="annotation subject"/>
    <w:basedOn w:val="Tekstopmerking"/>
    <w:next w:val="Tekstopmerking"/>
    <w:link w:val="OnderwerpvanopmerkingChar"/>
    <w:semiHidden/>
    <w:unhideWhenUsed/>
    <w:rsid w:val="00E710AB"/>
    <w:rPr>
      <w:b/>
      <w:bCs/>
    </w:rPr>
  </w:style>
  <w:style w:type="character" w:customStyle="1" w:styleId="OnderwerpvanopmerkingChar">
    <w:name w:val="Onderwerp van opmerking Char"/>
    <w:basedOn w:val="TekstopmerkingChar"/>
    <w:link w:val="Onderwerpvanopmerking"/>
    <w:semiHidden/>
    <w:rsid w:val="00E710AB"/>
    <w:rPr>
      <w:rFonts w:ascii="Verdana" w:hAnsi="Verdana"/>
      <w:b/>
      <w:bCs/>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1446</ap:Words>
  <ap:Characters>7955</ap:Characters>
  <ap:DocSecurity>0</ap:DocSecurity>
  <ap:Lines>66</ap:Lines>
  <ap:Paragraphs>18</ap:Paragraphs>
  <ap:ScaleCrop>false</ap:ScaleCrop>
  <ap:LinksUpToDate>false</ap:LinksUpToDate>
  <ap:CharactersWithSpaces>9383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2026-07-09T09:18:00.0000000Z</dcterms:created>
  <dcterms:modified xsi:type="dcterms:W3CDTF">2026-07-09T09:47:00.0000000Z</dcterms:modified>
  <dc:description>------------------------</dc:description>
  <dc:subject/>
  <keywords/>
  <version/>
  <category/>
</coreProperties>
</file>