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DDD" w:rsidRDefault="00B81DDD" w14:paraId="69439177" w14:textId="77777777"/>
    <w:p w:rsidR="003047D0" w:rsidRDefault="0066544D" w14:paraId="2D92353B" w14:textId="77777777">
      <w:r>
        <w:t xml:space="preserve">In antwoord op uw brief van </w:t>
      </w:r>
      <w:r w:rsidR="003047D0">
        <w:t>17 juni</w:t>
      </w:r>
      <w:r>
        <w:t xml:space="preserve"> 2026, deel ik u mee, </w:t>
      </w:r>
      <w:r w:rsidRPr="0095210E">
        <w:t>mede namens</w:t>
      </w:r>
      <w:r w:rsidRPr="0095210E" w:rsidR="003047D0">
        <w:t xml:space="preserve"> de staatssecretaris van Financiën,</w:t>
      </w:r>
      <w:r>
        <w:t xml:space="preserve"> dat de vragen van </w:t>
      </w:r>
      <w:r w:rsidRPr="003047D0" w:rsidR="003047D0">
        <w:t>de leden Schilder en Markuszower (beiden Groep Markuszower)</w:t>
      </w:r>
      <w:r w:rsidR="003047D0">
        <w:t xml:space="preserve"> </w:t>
      </w:r>
      <w:r>
        <w:t xml:space="preserve">over </w:t>
      </w:r>
      <w:r w:rsidRPr="003047D0" w:rsidR="003047D0">
        <w:t>de cursusdag "Pleiten voor Palestina" voor advocaten</w:t>
      </w:r>
      <w:r>
        <w:t xml:space="preserve">, worden beantwoord zoals aangegeven in de bijlage </w:t>
      </w:r>
    </w:p>
    <w:p w:rsidR="00B81DDD" w:rsidRDefault="0066544D" w14:paraId="60306BBA" w14:textId="12FDCC45">
      <w:r>
        <w:t>bij deze brief.</w:t>
      </w:r>
    </w:p>
    <w:p w:rsidR="00B81DDD" w:rsidRDefault="0066544D" w14:paraId="22B09428" w14:textId="41FAC824">
      <w:r>
        <w:t> </w:t>
      </w:r>
    </w:p>
    <w:p w:rsidR="00B81DDD" w:rsidRDefault="00B81DDD" w14:paraId="6B309254" w14:textId="77777777"/>
    <w:p w:rsidR="00B81DDD" w:rsidRDefault="0066544D" w14:paraId="416A8B83" w14:textId="77777777">
      <w:r>
        <w:t>De Staatssecretaris van Justitie en Veiligheid,</w:t>
      </w:r>
    </w:p>
    <w:p w:rsidR="00B81DDD" w:rsidRDefault="0066544D" w14:paraId="2F77091E" w14:textId="77777777">
      <w:r>
        <w:t> </w:t>
      </w:r>
    </w:p>
    <w:p w:rsidR="00B81DDD" w:rsidRDefault="0066544D" w14:paraId="04A5864A" w14:textId="77777777">
      <w:r>
        <w:t> </w:t>
      </w:r>
    </w:p>
    <w:p w:rsidR="00B81DDD" w:rsidRDefault="0066544D" w14:paraId="5D1D75CF" w14:textId="77777777">
      <w:r>
        <w:t> </w:t>
      </w:r>
    </w:p>
    <w:p w:rsidR="00B81DDD" w:rsidRDefault="0066544D" w14:paraId="4E3D777E" w14:textId="77777777">
      <w:r>
        <w:t> </w:t>
      </w:r>
    </w:p>
    <w:p w:rsidR="00B81DDD" w:rsidRDefault="0066544D" w14:paraId="271DE8D4" w14:textId="77777777">
      <w:r>
        <w:t>Claudia van Bruggen</w:t>
      </w:r>
    </w:p>
    <w:p w:rsidR="00B81DDD" w:rsidRDefault="00B81DDD" w14:paraId="4179CE81" w14:textId="77777777"/>
    <w:p w:rsidR="00B81DDD" w:rsidRDefault="00B81DDD" w14:paraId="78F3FB42" w14:textId="77777777"/>
    <w:p w:rsidR="00B81DDD" w:rsidRDefault="00B81DDD" w14:paraId="42FB0F5C" w14:textId="77777777"/>
    <w:p w:rsidR="00B81DDD" w:rsidRDefault="00B81DDD" w14:paraId="348903FB" w14:textId="77777777"/>
    <w:p w:rsidR="00B81DDD" w:rsidRDefault="00B81DDD" w14:paraId="076A7992" w14:textId="77777777"/>
    <w:p w:rsidR="00B81DDD" w:rsidRDefault="00B81DDD" w14:paraId="1AC69129" w14:textId="77777777"/>
    <w:p w:rsidR="00B81DDD" w:rsidRDefault="00B81DDD" w14:paraId="4EBB916F" w14:textId="77777777"/>
    <w:p w:rsidR="00B81DDD" w:rsidRDefault="00B81DDD" w14:paraId="0CC72A5E" w14:textId="77777777"/>
    <w:p w:rsidR="00B81DDD" w:rsidRDefault="00B81DDD" w14:paraId="4FB0FFDC" w14:textId="77777777"/>
    <w:p w:rsidR="00B81DDD" w:rsidRDefault="00B81DDD" w14:paraId="54547F1A" w14:textId="77777777"/>
    <w:p w:rsidR="00B81DDD" w:rsidRDefault="00B81DDD" w14:paraId="489CDCAA" w14:textId="77777777"/>
    <w:p w:rsidR="00B81DDD" w:rsidRDefault="00B81DDD" w14:paraId="44CA45E4" w14:textId="77777777"/>
    <w:p w:rsidR="00B81DDD" w:rsidRDefault="00B81DDD" w14:paraId="1EE81765" w14:textId="77777777"/>
    <w:p w:rsidR="00B81DDD" w:rsidRDefault="00B81DDD" w14:paraId="48D62FD1" w14:textId="77777777"/>
    <w:p w:rsidR="00B81DDD" w:rsidRDefault="00B81DDD" w14:paraId="5BF5529F" w14:textId="77777777"/>
    <w:p w:rsidR="00B81DDD" w:rsidRDefault="00B81DDD" w14:paraId="6D6F749A" w14:textId="77777777"/>
    <w:p w:rsidR="00B81DDD" w:rsidRDefault="00B81DDD" w14:paraId="67D925CA" w14:textId="77777777"/>
    <w:p w:rsidR="00B81DDD" w:rsidRDefault="00B81DDD" w14:paraId="108B9B50" w14:textId="77777777"/>
    <w:p w:rsidR="00B81DDD" w:rsidRDefault="00B81DDD" w14:paraId="56D2193D" w14:textId="77777777"/>
    <w:p w:rsidR="00B81DDD" w:rsidRDefault="00B81DDD" w14:paraId="551F1672" w14:textId="77777777"/>
    <w:p w:rsidR="00B81DDD" w:rsidRDefault="00B81DDD" w14:paraId="24ACF2BA" w14:textId="77777777"/>
    <w:p w:rsidR="001C2F63" w:rsidP="001C2F63" w:rsidRDefault="001C2F63" w14:paraId="54992F94" w14:textId="77777777"/>
    <w:p w:rsidR="001C2F63" w:rsidP="001C2F63" w:rsidRDefault="001C2F63" w14:paraId="41A67E0A" w14:textId="77777777"/>
    <w:p w:rsidR="001C2F63" w:rsidP="001C2F63" w:rsidRDefault="001C2F63" w14:paraId="06283AB7" w14:textId="77777777"/>
    <w:p w:rsidRPr="001C2F63" w:rsidR="001C2F63" w:rsidP="001C2F63" w:rsidRDefault="001C2F63" w14:paraId="274736A6" w14:textId="55114974">
      <w:pPr>
        <w:pBdr>
          <w:bottom w:val="single" w:color="auto" w:sz="4" w:space="1"/>
        </w:pBdr>
        <w:rPr>
          <w:b/>
          <w:bCs/>
        </w:rPr>
      </w:pPr>
      <w:r w:rsidRPr="001C2F63">
        <w:rPr>
          <w:b/>
          <w:bCs/>
        </w:rPr>
        <w:t xml:space="preserve">Vragen van de leden Schilder en </w:t>
      </w:r>
      <w:proofErr w:type="spellStart"/>
      <w:r w:rsidRPr="001C2F63">
        <w:rPr>
          <w:b/>
          <w:bCs/>
        </w:rPr>
        <w:t>Markuszower</w:t>
      </w:r>
      <w:proofErr w:type="spellEnd"/>
      <w:r w:rsidRPr="001C2F63">
        <w:rPr>
          <w:b/>
          <w:bCs/>
        </w:rPr>
        <w:t xml:space="preserve"> (beiden Groep </w:t>
      </w:r>
      <w:proofErr w:type="spellStart"/>
      <w:r w:rsidRPr="001C2F63">
        <w:rPr>
          <w:b/>
          <w:bCs/>
        </w:rPr>
        <w:t>Markuszower</w:t>
      </w:r>
      <w:proofErr w:type="spellEnd"/>
      <w:r w:rsidRPr="001C2F63">
        <w:rPr>
          <w:b/>
          <w:bCs/>
        </w:rPr>
        <w:t>) aan de staatssecretarissen van Justitie en Veiligheid en van Financiën over de cursusdag "Pleiten voor Palestina" voor advocaten</w:t>
      </w:r>
    </w:p>
    <w:p w:rsidRPr="001C2F63" w:rsidR="001C2F63" w:rsidP="001C2F63" w:rsidRDefault="001C2F63" w14:paraId="010F8426" w14:textId="72084ABB">
      <w:pPr>
        <w:pBdr>
          <w:bottom w:val="single" w:color="auto" w:sz="4" w:space="1"/>
        </w:pBdr>
        <w:rPr>
          <w:b/>
          <w:bCs/>
        </w:rPr>
      </w:pPr>
      <w:r w:rsidRPr="001C2F63">
        <w:rPr>
          <w:b/>
          <w:bCs/>
        </w:rPr>
        <w:t>(Ingezonden op 17 juni 2026, 2026Z13387)</w:t>
      </w:r>
    </w:p>
    <w:p w:rsidR="001C2F63" w:rsidP="001C2F63" w:rsidRDefault="001C2F63" w14:paraId="68D40892" w14:textId="77777777"/>
    <w:p w:rsidR="001C2F63" w:rsidP="001C2F63" w:rsidRDefault="001C2F63" w14:paraId="6F8AFABE" w14:textId="77777777"/>
    <w:p w:rsidRPr="001C2F63" w:rsidR="001C2F63" w:rsidP="001C2F63" w:rsidRDefault="001C2F63" w14:paraId="3B89F864" w14:textId="18815CE3">
      <w:pPr>
        <w:rPr>
          <w:b/>
          <w:bCs/>
        </w:rPr>
      </w:pPr>
      <w:r>
        <w:rPr>
          <w:b/>
          <w:bCs/>
        </w:rPr>
        <w:t>Vraag 1</w:t>
      </w:r>
    </w:p>
    <w:p w:rsidRPr="001C2F63" w:rsidR="0066544D" w:rsidP="001C2F63" w:rsidRDefault="0066544D" w14:paraId="61E53D25" w14:textId="50613062">
      <w:pPr>
        <w:rPr>
          <w:b/>
          <w:bCs/>
        </w:rPr>
      </w:pPr>
      <w:r w:rsidRPr="001C2F63">
        <w:rPr>
          <w:b/>
          <w:bCs/>
        </w:rPr>
        <w:t>Heeft u kennisgenomen van de cursusdag voor advocaten onder de titel "Pleiten voor Palestina"?[1]</w:t>
      </w:r>
    </w:p>
    <w:p w:rsidR="001C2F63" w:rsidP="001C2F63" w:rsidRDefault="001C2F63" w14:paraId="5062BD19" w14:textId="77777777"/>
    <w:p w:rsidRPr="001C2F63" w:rsidR="001C2F63" w:rsidP="001C2F63" w:rsidRDefault="001C2F63" w14:paraId="6BD9D7C9" w14:textId="6DFEBF00">
      <w:pPr>
        <w:rPr>
          <w:b/>
          <w:bCs/>
        </w:rPr>
      </w:pPr>
      <w:r w:rsidRPr="001C2F63">
        <w:rPr>
          <w:b/>
          <w:bCs/>
        </w:rPr>
        <w:t>Antwoord op vraag 1</w:t>
      </w:r>
    </w:p>
    <w:p w:rsidRPr="003D7475" w:rsidR="0066544D" w:rsidP="001C2F63" w:rsidRDefault="0066544D" w14:paraId="4E1FBFE8" w14:textId="76FD3B53">
      <w:r w:rsidRPr="003D7475">
        <w:t>Ja, daarvan heb ik kennisgenomen.</w:t>
      </w:r>
    </w:p>
    <w:p w:rsidR="001C2F63" w:rsidP="001C2F63" w:rsidRDefault="001C2F63" w14:paraId="09461609" w14:textId="77777777">
      <w:pPr>
        <w:rPr>
          <w:b/>
          <w:bCs/>
        </w:rPr>
      </w:pPr>
    </w:p>
    <w:p w:rsidR="001C2F63" w:rsidP="001C2F63" w:rsidRDefault="001C2F63" w14:paraId="75681205" w14:textId="2F025133">
      <w:pPr>
        <w:rPr>
          <w:b/>
          <w:bCs/>
        </w:rPr>
      </w:pPr>
      <w:r>
        <w:rPr>
          <w:b/>
          <w:bCs/>
        </w:rPr>
        <w:t xml:space="preserve">Vraag 2 </w:t>
      </w:r>
    </w:p>
    <w:p w:rsidRPr="001C2F63" w:rsidR="0066544D" w:rsidP="001C2F63" w:rsidRDefault="0066544D" w14:paraId="57C43146" w14:textId="60C80B58">
      <w:pPr>
        <w:rPr>
          <w:b/>
          <w:bCs/>
        </w:rPr>
      </w:pPr>
      <w:r w:rsidRPr="001C2F63">
        <w:rPr>
          <w:b/>
          <w:bCs/>
        </w:rPr>
        <w:t>Deelt u de mening dat advocaten in de eerste plaats juristen horen te zijn en geen politieke activisten? Zo nee, waarom niet?</w:t>
      </w:r>
    </w:p>
    <w:p w:rsidR="0066544D" w:rsidP="0066544D" w:rsidRDefault="0066544D" w14:paraId="1CA32BEA" w14:textId="77777777">
      <w:pPr>
        <w:pStyle w:val="Lijstalinea"/>
        <w:ind w:left="360"/>
      </w:pPr>
    </w:p>
    <w:p w:rsidRPr="001C2F63" w:rsidR="001C2F63" w:rsidP="001C2F63" w:rsidRDefault="001C2F63" w14:paraId="29F7CA95" w14:textId="753EC7EE">
      <w:pPr>
        <w:rPr>
          <w:b/>
          <w:bCs/>
        </w:rPr>
      </w:pPr>
      <w:r w:rsidRPr="001C2F63">
        <w:rPr>
          <w:b/>
          <w:bCs/>
        </w:rPr>
        <w:t>Antwoord op vraag 2</w:t>
      </w:r>
    </w:p>
    <w:p w:rsidRPr="003D7475" w:rsidR="0066544D" w:rsidP="001C2F63" w:rsidRDefault="0066544D" w14:paraId="3AD86F8C" w14:textId="7142C7CC">
      <w:r w:rsidRPr="003D7475">
        <w:t xml:space="preserve">Advocaten hebben dezelfde vrijheden als eenieder in Nederland. Daarbij hebben zij zich te houden aan de wet die geldt voor alle Nederlanders en, vanwege hun functie als advocaat, de beroepsspecifieke wet- en regelgeving voor de advocatuur. </w:t>
      </w:r>
      <w:r w:rsidR="00ED5D9C">
        <w:t>Het staat advocaten vrij om cursussen en trainingen te volgen die hun interesse wekken of die</w:t>
      </w:r>
      <w:r w:rsidR="00244E71">
        <w:t xml:space="preserve"> zij</w:t>
      </w:r>
      <w:r w:rsidR="00ED5D9C">
        <w:t xml:space="preserve"> relevant </w:t>
      </w:r>
      <w:r w:rsidR="00244E71">
        <w:t>achten</w:t>
      </w:r>
      <w:r w:rsidR="00ED5D9C">
        <w:t xml:space="preserve"> voor hun beroepsuitoefening</w:t>
      </w:r>
      <w:r w:rsidR="00204F81">
        <w:t>. D</w:t>
      </w:r>
      <w:r w:rsidR="008A107F">
        <w:t>at geldt ook voor deze cursus</w:t>
      </w:r>
      <w:r w:rsidR="00DB3E0C">
        <w:t>dag</w:t>
      </w:r>
      <w:r w:rsidR="00ED5D9C">
        <w:t>.</w:t>
      </w:r>
    </w:p>
    <w:p w:rsidRPr="008C2150" w:rsidR="0066544D" w:rsidP="0066544D" w:rsidRDefault="0066544D" w14:paraId="1C3C28E6" w14:textId="77777777">
      <w:pPr>
        <w:rPr>
          <w:b/>
          <w:bCs/>
        </w:rPr>
      </w:pPr>
    </w:p>
    <w:p w:rsidR="001C2F63" w:rsidP="001C2F63" w:rsidRDefault="001C2F63" w14:paraId="3801F353" w14:textId="59033567">
      <w:pPr>
        <w:rPr>
          <w:b/>
          <w:bCs/>
        </w:rPr>
      </w:pPr>
      <w:r>
        <w:rPr>
          <w:b/>
          <w:bCs/>
        </w:rPr>
        <w:t>Vraag 3</w:t>
      </w:r>
    </w:p>
    <w:p w:rsidRPr="001C2F63" w:rsidR="0066544D" w:rsidP="001C2F63" w:rsidRDefault="0066544D" w14:paraId="4AF9CDA1" w14:textId="4A158E53">
      <w:pPr>
        <w:rPr>
          <w:b/>
          <w:bCs/>
        </w:rPr>
      </w:pPr>
      <w:r w:rsidRPr="001C2F63">
        <w:rPr>
          <w:b/>
          <w:bCs/>
        </w:rPr>
        <w:t>Welke waarborgen zijn er om te voorkomen dat permanente educatie voor advocaten wordt gebruikt voor politieke campagnes of ideologische beïnvloeding in plaats van juridische scholing?</w:t>
      </w:r>
    </w:p>
    <w:p w:rsidR="0066544D" w:rsidP="0066544D" w:rsidRDefault="0066544D" w14:paraId="635732BD" w14:textId="77777777">
      <w:pPr>
        <w:rPr>
          <w:b/>
          <w:bCs/>
        </w:rPr>
      </w:pPr>
    </w:p>
    <w:p w:rsidRPr="008C2150" w:rsidR="001C2F63" w:rsidP="0066544D" w:rsidRDefault="001C2F63" w14:paraId="44E4B69C" w14:textId="5EBAC027">
      <w:pPr>
        <w:rPr>
          <w:b/>
          <w:bCs/>
        </w:rPr>
      </w:pPr>
      <w:r>
        <w:rPr>
          <w:b/>
          <w:bCs/>
        </w:rPr>
        <w:t>Vraag 4</w:t>
      </w:r>
    </w:p>
    <w:p w:rsidRPr="001C2F63" w:rsidR="0066544D" w:rsidP="001C2F63" w:rsidRDefault="0066544D" w14:paraId="23425839" w14:textId="77777777">
      <w:pPr>
        <w:rPr>
          <w:b/>
          <w:bCs/>
        </w:rPr>
      </w:pPr>
      <w:r w:rsidRPr="001C2F63">
        <w:rPr>
          <w:b/>
          <w:bCs/>
        </w:rPr>
        <w:t>Deelt u de opvatting dat een cursusdag onder de titel "Pleiten voor Palestina" geen recht zou mogen geven op PO-punten voor advocaten en bent u bereid zich ervoor in te spannen dat de voor deze cursusdag toegekende vier PO-punten alsnog worden geschrapt? Zo nee, waarom niet?</w:t>
      </w:r>
    </w:p>
    <w:p w:rsidR="0066544D" w:rsidP="0066544D" w:rsidRDefault="0066544D" w14:paraId="433F5B33" w14:textId="77777777">
      <w:pPr>
        <w:pStyle w:val="Lijstalinea"/>
        <w:ind w:left="360"/>
      </w:pPr>
    </w:p>
    <w:p w:rsidR="001C2F63" w:rsidP="001C2F63" w:rsidRDefault="001C2F63" w14:paraId="4860B32A" w14:textId="77777777">
      <w:pPr>
        <w:rPr>
          <w:b/>
          <w:bCs/>
        </w:rPr>
      </w:pPr>
    </w:p>
    <w:p w:rsidR="001C2F63" w:rsidP="001C2F63" w:rsidRDefault="001C2F63" w14:paraId="0BC201D6" w14:textId="77777777">
      <w:pPr>
        <w:rPr>
          <w:b/>
          <w:bCs/>
        </w:rPr>
      </w:pPr>
    </w:p>
    <w:p w:rsidR="001C2F63" w:rsidP="001C2F63" w:rsidRDefault="001C2F63" w14:paraId="57838F09" w14:textId="77777777">
      <w:pPr>
        <w:rPr>
          <w:b/>
          <w:bCs/>
        </w:rPr>
      </w:pPr>
    </w:p>
    <w:p w:rsidR="001C2F63" w:rsidP="001C2F63" w:rsidRDefault="001C2F63" w14:paraId="16168A67" w14:textId="77777777">
      <w:pPr>
        <w:rPr>
          <w:b/>
          <w:bCs/>
        </w:rPr>
      </w:pPr>
    </w:p>
    <w:p w:rsidR="001C2F63" w:rsidP="001C2F63" w:rsidRDefault="001C2F63" w14:paraId="145547DD" w14:textId="77777777">
      <w:pPr>
        <w:rPr>
          <w:b/>
          <w:bCs/>
        </w:rPr>
      </w:pPr>
    </w:p>
    <w:p w:rsidR="001C2F63" w:rsidP="001C2F63" w:rsidRDefault="001C2F63" w14:paraId="30429356" w14:textId="77777777">
      <w:pPr>
        <w:rPr>
          <w:b/>
          <w:bCs/>
        </w:rPr>
      </w:pPr>
    </w:p>
    <w:p w:rsidR="001C2F63" w:rsidP="001C2F63" w:rsidRDefault="001C2F63" w14:paraId="7BF0DA8F" w14:textId="77777777">
      <w:pPr>
        <w:rPr>
          <w:b/>
          <w:bCs/>
        </w:rPr>
      </w:pPr>
    </w:p>
    <w:p w:rsidR="001C2F63" w:rsidP="001C2F63" w:rsidRDefault="001C2F63" w14:paraId="58076028" w14:textId="77777777">
      <w:pPr>
        <w:rPr>
          <w:b/>
          <w:bCs/>
        </w:rPr>
      </w:pPr>
    </w:p>
    <w:p w:rsidR="001C2F63" w:rsidP="001C2F63" w:rsidRDefault="001C2F63" w14:paraId="70655B60" w14:textId="77777777">
      <w:pPr>
        <w:rPr>
          <w:b/>
          <w:bCs/>
        </w:rPr>
      </w:pPr>
    </w:p>
    <w:p w:rsidR="001C2F63" w:rsidP="001C2F63" w:rsidRDefault="001C2F63" w14:paraId="7A33C091" w14:textId="77777777">
      <w:pPr>
        <w:rPr>
          <w:b/>
          <w:bCs/>
        </w:rPr>
      </w:pPr>
    </w:p>
    <w:p w:rsidR="001C2F63" w:rsidP="001C2F63" w:rsidRDefault="001C2F63" w14:paraId="0739CAEF" w14:textId="77777777">
      <w:pPr>
        <w:rPr>
          <w:b/>
          <w:bCs/>
        </w:rPr>
      </w:pPr>
    </w:p>
    <w:p w:rsidR="001C2F63" w:rsidP="001C2F63" w:rsidRDefault="001C2F63" w14:paraId="3E3BEDD7" w14:textId="77777777">
      <w:pPr>
        <w:rPr>
          <w:b/>
          <w:bCs/>
        </w:rPr>
      </w:pPr>
    </w:p>
    <w:p w:rsidRPr="001C2F63" w:rsidR="00EC150C" w:rsidP="001C2F63" w:rsidRDefault="00EC150C" w14:paraId="77CC6BAA" w14:textId="5775E411">
      <w:pPr>
        <w:rPr>
          <w:b/>
          <w:bCs/>
        </w:rPr>
      </w:pPr>
      <w:r w:rsidRPr="001C2F63">
        <w:rPr>
          <w:b/>
          <w:bCs/>
        </w:rPr>
        <w:t>Antwoord</w:t>
      </w:r>
      <w:r w:rsidR="001C2F63">
        <w:rPr>
          <w:b/>
          <w:bCs/>
        </w:rPr>
        <w:t xml:space="preserve"> op</w:t>
      </w:r>
      <w:r w:rsidRPr="001C2F63">
        <w:rPr>
          <w:b/>
          <w:bCs/>
        </w:rPr>
        <w:t xml:space="preserve"> vragen 3 en 4</w:t>
      </w:r>
    </w:p>
    <w:p w:rsidRPr="003D7475" w:rsidR="00EC150C" w:rsidP="001C2F63" w:rsidRDefault="0066544D" w14:paraId="43EEF5BE" w14:textId="77777777">
      <w:r w:rsidRPr="003D7475">
        <w:t>Zie het antwoord op vraag 2. Het college van afgevaardigden van de Nederlandse orde van advocaten stelt bij verordening regels vast die betrekking hebben op de eisen ter bevordering van de vakbekwaamheid van advocaten en de kwaliteit van de beroepsuitoefening.</w:t>
      </w:r>
      <w:r w:rsidRPr="003D7475">
        <w:rPr>
          <w:rStyle w:val="Voetnootmarkering"/>
        </w:rPr>
        <w:footnoteReference w:id="1"/>
      </w:r>
      <w:r w:rsidRPr="003D7475">
        <w:t xml:space="preserve"> De wijze waarop dat gebeurt is vastgelegd in door het college van afgevaardigden vastgestelde Verordening op de advocatuur.</w:t>
      </w:r>
      <w:r w:rsidRPr="003D7475">
        <w:rPr>
          <w:rStyle w:val="Voetnootmarkering"/>
        </w:rPr>
        <w:footnoteReference w:id="2"/>
      </w:r>
      <w:r w:rsidRPr="003D7475">
        <w:t xml:space="preserve"> </w:t>
      </w:r>
      <w:r w:rsidRPr="003D7475" w:rsidR="00EC150C">
        <w:t xml:space="preserve">Het is </w:t>
      </w:r>
      <w:r w:rsidR="00EC150C">
        <w:t xml:space="preserve">daarmee dus </w:t>
      </w:r>
      <w:r w:rsidRPr="003D7475" w:rsidR="00EC150C">
        <w:t>aan de Nederlandse orde van advocaten om als regelgevende bevoegdheid voor de advocatuur de educatie voor advocaten in te richten. Als bewindspersoon heb ik daar geen bemoeienis mee.</w:t>
      </w:r>
    </w:p>
    <w:p w:rsidRPr="003D7475" w:rsidR="0066544D" w:rsidP="001C2F63" w:rsidRDefault="0066544D" w14:paraId="709A7ADB" w14:textId="1C2026D3">
      <w:r w:rsidRPr="003D7475">
        <w:t xml:space="preserve">De </w:t>
      </w:r>
      <w:r w:rsidR="00EC150C">
        <w:t xml:space="preserve">Nederlandse orde van advocaten heeft mij laten weten dat de </w:t>
      </w:r>
      <w:r w:rsidRPr="003D7475">
        <w:t>organisatie die de betreffende cursus organiseert een niet door de Nederlandse orde van advocaten erkende opleidingsinstelling</w:t>
      </w:r>
      <w:r w:rsidR="00EC150C">
        <w:t xml:space="preserve"> is</w:t>
      </w:r>
      <w:r w:rsidRPr="003D7475">
        <w:t xml:space="preserve"> en bijgevolg niet bevoegd </w:t>
      </w:r>
      <w:r w:rsidR="00EC150C">
        <w:t xml:space="preserve">is </w:t>
      </w:r>
      <w:r w:rsidRPr="003D7475">
        <w:t>tot het zelfstandig toekennen van erkende PO-punten. Na deelname aan de cursus kan een advocaat aan de lokale deken verzoeken om toekenning van PO-punten. Het is aan de lokale deken om deze punten wel of niet toe te kennen.</w:t>
      </w:r>
    </w:p>
    <w:p w:rsidR="0066544D" w:rsidP="0066544D" w:rsidRDefault="0066544D" w14:paraId="716820C3" w14:textId="77777777"/>
    <w:p w:rsidRPr="001C2F63" w:rsidR="001C2F63" w:rsidP="0066544D" w:rsidRDefault="001C2F63" w14:paraId="1BB9081B" w14:textId="7AAB6542">
      <w:pPr>
        <w:rPr>
          <w:b/>
          <w:bCs/>
        </w:rPr>
      </w:pPr>
      <w:r w:rsidRPr="001C2F63">
        <w:rPr>
          <w:b/>
          <w:bCs/>
        </w:rPr>
        <w:t>Vraag 5</w:t>
      </w:r>
    </w:p>
    <w:p w:rsidRPr="001C2F63" w:rsidR="0066544D" w:rsidP="001C2F63" w:rsidRDefault="0066544D" w14:paraId="42BDC6C3" w14:textId="77777777">
      <w:pPr>
        <w:rPr>
          <w:b/>
          <w:bCs/>
        </w:rPr>
      </w:pPr>
      <w:r w:rsidRPr="001C2F63">
        <w:rPr>
          <w:b/>
          <w:bCs/>
        </w:rPr>
        <w:t xml:space="preserve">Klopt het dat de organiserende stichting </w:t>
      </w:r>
      <w:proofErr w:type="spellStart"/>
      <w:r w:rsidRPr="001C2F63">
        <w:rPr>
          <w:b/>
          <w:bCs/>
        </w:rPr>
        <w:t>Muslim</w:t>
      </w:r>
      <w:proofErr w:type="spellEnd"/>
      <w:r w:rsidRPr="001C2F63">
        <w:rPr>
          <w:b/>
          <w:bCs/>
        </w:rPr>
        <w:t xml:space="preserve"> </w:t>
      </w:r>
      <w:proofErr w:type="spellStart"/>
      <w:r w:rsidRPr="001C2F63">
        <w:rPr>
          <w:b/>
          <w:bCs/>
        </w:rPr>
        <w:t>Rights</w:t>
      </w:r>
      <w:proofErr w:type="spellEnd"/>
      <w:r w:rsidRPr="001C2F63">
        <w:rPr>
          <w:b/>
          <w:bCs/>
        </w:rPr>
        <w:t xml:space="preserve"> Watch Nederland beschikt over een ANBI-status? Zo ja, op basis van welke activiteiten is deze status verleend?</w:t>
      </w:r>
    </w:p>
    <w:p w:rsidR="001C2F63" w:rsidP="001C2F63" w:rsidRDefault="001C2F63" w14:paraId="0C0A4B8C" w14:textId="77777777"/>
    <w:p w:rsidRPr="001C2F63" w:rsidR="001C2F63" w:rsidP="001C2F63" w:rsidRDefault="001C2F63" w14:paraId="788C8EB0" w14:textId="190C47C9">
      <w:pPr>
        <w:rPr>
          <w:b/>
          <w:bCs/>
        </w:rPr>
      </w:pPr>
      <w:r w:rsidRPr="001C2F63">
        <w:rPr>
          <w:b/>
          <w:bCs/>
        </w:rPr>
        <w:t>Antwoord op vraag 5</w:t>
      </w:r>
    </w:p>
    <w:p w:rsidRPr="003D7475" w:rsidR="0066544D" w:rsidP="001C2F63" w:rsidRDefault="0066544D" w14:paraId="713C080F" w14:textId="5ECA256A">
      <w:r w:rsidRPr="003D7475">
        <w:t xml:space="preserve">In het ANBI-register op de website van de Belastingdienst staat vermeld dat Stichting </w:t>
      </w:r>
      <w:proofErr w:type="spellStart"/>
      <w:r w:rsidRPr="003D7475">
        <w:t>Muslim</w:t>
      </w:r>
      <w:proofErr w:type="spellEnd"/>
      <w:r w:rsidRPr="003D7475">
        <w:t xml:space="preserve"> </w:t>
      </w:r>
      <w:proofErr w:type="spellStart"/>
      <w:r w:rsidRPr="003D7475">
        <w:t>Rights</w:t>
      </w:r>
      <w:proofErr w:type="spellEnd"/>
      <w:r w:rsidRPr="003D7475">
        <w:t xml:space="preserve"> Watch Nederland de ANBI-status heeft vanaf 7 juli 2020. Omdat de Belastingdienst is gehouden aan de geheimhoudingsplicht van artikel 67 van de Algemene wet inzake rijksbelastingen (AWR), kan geen nadere informatie worden verstrekt over deze individuele instelling.</w:t>
      </w:r>
    </w:p>
    <w:p w:rsidR="0066544D" w:rsidP="0066544D" w:rsidRDefault="0066544D" w14:paraId="270E093C" w14:textId="77777777">
      <w:pPr>
        <w:pStyle w:val="Lijstalinea"/>
        <w:ind w:left="360"/>
        <w:rPr>
          <w:b/>
          <w:bCs/>
        </w:rPr>
      </w:pPr>
    </w:p>
    <w:p w:rsidR="001C2F63" w:rsidP="001C2F63" w:rsidRDefault="001C2F63" w14:paraId="1F1F68BB" w14:textId="452E7A93">
      <w:pPr>
        <w:rPr>
          <w:b/>
          <w:bCs/>
        </w:rPr>
      </w:pPr>
      <w:r>
        <w:rPr>
          <w:b/>
          <w:bCs/>
        </w:rPr>
        <w:t>Vraag 6</w:t>
      </w:r>
    </w:p>
    <w:p w:rsidRPr="001C2F63" w:rsidR="0066544D" w:rsidP="001C2F63" w:rsidRDefault="0066544D" w14:paraId="6084F7EB" w14:textId="3F7FA666">
      <w:pPr>
        <w:rPr>
          <w:b/>
          <w:bCs/>
        </w:rPr>
      </w:pPr>
      <w:r w:rsidRPr="001C2F63">
        <w:rPr>
          <w:b/>
          <w:bCs/>
        </w:rPr>
        <w:t>Deelt u de opvatting dat een ANBI-status bedoeld is voor organisaties die zich inzetten voor het algemeen belang en niet voor politieke campagnes of activistische belangenbehartiging? Zo nee, waarom niet?</w:t>
      </w:r>
    </w:p>
    <w:p w:rsidR="001C2F63" w:rsidP="001C2F63" w:rsidRDefault="001C2F63" w14:paraId="0E3B3D2D" w14:textId="77777777">
      <w:pPr>
        <w:rPr>
          <w:b/>
          <w:bCs/>
        </w:rPr>
      </w:pPr>
    </w:p>
    <w:p w:rsidRPr="001C2F63" w:rsidR="001C2F63" w:rsidP="001C2F63" w:rsidRDefault="001C2F63" w14:paraId="5216A534" w14:textId="7C809EEB">
      <w:pPr>
        <w:rPr>
          <w:b/>
          <w:bCs/>
        </w:rPr>
      </w:pPr>
      <w:r>
        <w:rPr>
          <w:b/>
          <w:bCs/>
        </w:rPr>
        <w:t>Vraag 7</w:t>
      </w:r>
    </w:p>
    <w:p w:rsidRPr="001C2F63" w:rsidR="0066544D" w:rsidP="001C2F63" w:rsidRDefault="0066544D" w14:paraId="5E52B16E" w14:textId="77777777">
      <w:pPr>
        <w:rPr>
          <w:b/>
          <w:bCs/>
        </w:rPr>
      </w:pPr>
      <w:r w:rsidRPr="001C2F63">
        <w:rPr>
          <w:b/>
          <w:bCs/>
        </w:rPr>
        <w:t>Vindt u dat het organiseren van een cursusdag als "Pleiten voor Palestina" past bij de voorwaarden die gelden voor organisaties met een ANBI-status? Kunt u uw antwoord toelichten?</w:t>
      </w:r>
    </w:p>
    <w:p w:rsidRPr="001C2F63" w:rsidR="001C2F63" w:rsidP="001C2F63" w:rsidRDefault="001C2F63" w14:paraId="35DCD3FE" w14:textId="77777777">
      <w:pPr>
        <w:rPr>
          <w:b/>
          <w:bCs/>
        </w:rPr>
      </w:pPr>
    </w:p>
    <w:p w:rsidR="001C2F63" w:rsidP="001C2F63" w:rsidRDefault="001C2F63" w14:paraId="1546332E" w14:textId="77777777">
      <w:pPr>
        <w:rPr>
          <w:b/>
          <w:bCs/>
        </w:rPr>
      </w:pPr>
    </w:p>
    <w:p w:rsidR="001C2F63" w:rsidP="001C2F63" w:rsidRDefault="001C2F63" w14:paraId="72139D3D" w14:textId="77777777">
      <w:pPr>
        <w:rPr>
          <w:b/>
          <w:bCs/>
        </w:rPr>
      </w:pPr>
    </w:p>
    <w:p w:rsidR="001C2F63" w:rsidP="001C2F63" w:rsidRDefault="001C2F63" w14:paraId="6B0C57AF" w14:textId="77777777">
      <w:pPr>
        <w:rPr>
          <w:b/>
          <w:bCs/>
        </w:rPr>
      </w:pPr>
    </w:p>
    <w:p w:rsidR="001C2F63" w:rsidP="001C2F63" w:rsidRDefault="001C2F63" w14:paraId="5BB1F4B6" w14:textId="77777777">
      <w:pPr>
        <w:rPr>
          <w:b/>
          <w:bCs/>
        </w:rPr>
      </w:pPr>
    </w:p>
    <w:p w:rsidR="001C2F63" w:rsidP="001C2F63" w:rsidRDefault="001C2F63" w14:paraId="5D3D9181" w14:textId="77777777">
      <w:pPr>
        <w:rPr>
          <w:b/>
          <w:bCs/>
        </w:rPr>
      </w:pPr>
    </w:p>
    <w:p w:rsidR="001C2F63" w:rsidP="001C2F63" w:rsidRDefault="001C2F63" w14:paraId="18BC4FC7" w14:textId="77777777">
      <w:pPr>
        <w:rPr>
          <w:b/>
          <w:bCs/>
        </w:rPr>
      </w:pPr>
    </w:p>
    <w:p w:rsidR="001C2F63" w:rsidP="001C2F63" w:rsidRDefault="001C2F63" w14:paraId="2BBB986C" w14:textId="77777777">
      <w:pPr>
        <w:rPr>
          <w:b/>
          <w:bCs/>
        </w:rPr>
      </w:pPr>
    </w:p>
    <w:p w:rsidR="001C2F63" w:rsidP="001C2F63" w:rsidRDefault="001C2F63" w14:paraId="7F3E010C" w14:textId="77777777">
      <w:pPr>
        <w:rPr>
          <w:b/>
          <w:bCs/>
        </w:rPr>
      </w:pPr>
    </w:p>
    <w:p w:rsidR="001C2F63" w:rsidP="001C2F63" w:rsidRDefault="001C2F63" w14:paraId="1013A108" w14:textId="77777777">
      <w:pPr>
        <w:rPr>
          <w:b/>
          <w:bCs/>
        </w:rPr>
      </w:pPr>
    </w:p>
    <w:p w:rsidRPr="001C2F63" w:rsidR="0066544D" w:rsidP="001C2F63" w:rsidRDefault="0066544D" w14:paraId="798A09F6" w14:textId="7CC8FC81">
      <w:pPr>
        <w:rPr>
          <w:b/>
          <w:bCs/>
        </w:rPr>
      </w:pPr>
      <w:r w:rsidRPr="001C2F63">
        <w:rPr>
          <w:b/>
          <w:bCs/>
        </w:rPr>
        <w:t>Antwoord</w:t>
      </w:r>
      <w:r w:rsidR="001C2F63">
        <w:rPr>
          <w:b/>
          <w:bCs/>
        </w:rPr>
        <w:t xml:space="preserve"> op</w:t>
      </w:r>
      <w:r w:rsidRPr="001C2F63">
        <w:rPr>
          <w:b/>
          <w:bCs/>
        </w:rPr>
        <w:t xml:space="preserve"> vragen 6 en 7</w:t>
      </w:r>
    </w:p>
    <w:p w:rsidRPr="001C2F63" w:rsidR="0066544D" w:rsidP="001C2F63" w:rsidRDefault="0066544D" w14:paraId="3FAD1BC0" w14:textId="49C57F18">
      <w:pPr>
        <w:rPr>
          <w:u w:val="single"/>
        </w:rPr>
      </w:pPr>
      <w:r w:rsidRPr="003D7475">
        <w:t>In zijn algemeenheid kan worden opgemerkt dat een instelling (onder meer) uitsluitend of nagenoeg uitsluitend (ten minste 90%) het algemeen nut moet beogen om als ANBI aangemerkt te worden. Het begrip algemeen nut is in de wet neutraal vormgegeven en wordt, zoals ook uit de jurisprudentie blijkt, neutraal getoetst. Dat betekent dat een ANBI de vrijheid heeft om – binnen de in de wet genoemde categorieën</w:t>
      </w:r>
      <w:r w:rsidRPr="003D7475">
        <w:rPr>
          <w:vertAlign w:val="superscript"/>
        </w:rPr>
        <w:footnoteReference w:id="3"/>
      </w:r>
      <w:r w:rsidRPr="003D7475">
        <w:t xml:space="preserve"> – een door haar als algemeen nuttig beschouwde doelstelling na te streven. Dit neutrale karakter is een belangrijke eigenschap van de ANBI-regelgeving, omdat </w:t>
      </w:r>
      <w:proofErr w:type="spellStart"/>
      <w:r w:rsidRPr="003D7475">
        <w:t>ANBI’s</w:t>
      </w:r>
      <w:proofErr w:type="spellEnd"/>
      <w:r w:rsidRPr="003D7475">
        <w:t xml:space="preserve"> daarmee een afspiegeling zijn van een diverse samenleving waarbinnen verschillende doelen als algemeen nuttig worden gezien. Hiermee wordt gewaarborgd dat niet alleen doelen in lijn met bijvoorbeeld het overheidsbeleid gezien kunnen worden als algemeen nuttig.</w:t>
      </w:r>
    </w:p>
    <w:p w:rsidR="0066544D" w:rsidP="0066544D" w:rsidRDefault="0066544D" w14:paraId="6F0E787A" w14:textId="77777777">
      <w:pPr>
        <w:rPr>
          <w:b/>
          <w:bCs/>
        </w:rPr>
      </w:pPr>
    </w:p>
    <w:p w:rsidRPr="008C2150" w:rsidR="001C2F63" w:rsidP="0066544D" w:rsidRDefault="001C2F63" w14:paraId="39573989" w14:textId="68F03284">
      <w:pPr>
        <w:rPr>
          <w:b/>
          <w:bCs/>
        </w:rPr>
      </w:pPr>
      <w:r>
        <w:rPr>
          <w:b/>
          <w:bCs/>
        </w:rPr>
        <w:t>Vraag 8</w:t>
      </w:r>
    </w:p>
    <w:p w:rsidRPr="001C2F63" w:rsidR="0066544D" w:rsidP="001C2F63" w:rsidRDefault="0066544D" w14:paraId="1930D776" w14:textId="77777777">
      <w:pPr>
        <w:rPr>
          <w:b/>
          <w:bCs/>
        </w:rPr>
      </w:pPr>
      <w:r w:rsidRPr="001C2F63">
        <w:rPr>
          <w:b/>
          <w:bCs/>
        </w:rPr>
        <w:t>Bent u bereid kritisch te kijken naar de ANBI-status van organisaties die zich in de praktijk steeds meer bezighouden met politieke actievoering en activisme? Zo nee, waarom niet?</w:t>
      </w:r>
    </w:p>
    <w:p w:rsidRPr="003D7475" w:rsidR="0066544D" w:rsidP="0066544D" w:rsidRDefault="0066544D" w14:paraId="01C67627" w14:textId="77777777">
      <w:pPr>
        <w:pStyle w:val="Lijstalinea"/>
        <w:ind w:left="360"/>
        <w:rPr>
          <w:b/>
          <w:bCs/>
        </w:rPr>
      </w:pPr>
    </w:p>
    <w:p w:rsidR="001C2F63" w:rsidP="001C2F63" w:rsidRDefault="001C2F63" w14:paraId="1A523DF7" w14:textId="207ABF41">
      <w:pPr>
        <w:rPr>
          <w:b/>
          <w:bCs/>
        </w:rPr>
      </w:pPr>
      <w:r>
        <w:rPr>
          <w:b/>
          <w:bCs/>
        </w:rPr>
        <w:t>Vraag 9</w:t>
      </w:r>
    </w:p>
    <w:p w:rsidRPr="001C2F63" w:rsidR="0066544D" w:rsidP="001C2F63" w:rsidRDefault="0066544D" w14:paraId="35AF770F" w14:textId="04570B1E">
      <w:pPr>
        <w:rPr>
          <w:b/>
          <w:bCs/>
        </w:rPr>
      </w:pPr>
      <w:r w:rsidRPr="001C2F63">
        <w:rPr>
          <w:b/>
          <w:bCs/>
        </w:rPr>
        <w:t xml:space="preserve">Bent u bereid de ANBI-status van </w:t>
      </w:r>
      <w:proofErr w:type="spellStart"/>
      <w:r w:rsidRPr="001C2F63">
        <w:rPr>
          <w:b/>
          <w:bCs/>
        </w:rPr>
        <w:t>Muslim</w:t>
      </w:r>
      <w:proofErr w:type="spellEnd"/>
      <w:r w:rsidRPr="001C2F63">
        <w:rPr>
          <w:b/>
          <w:bCs/>
        </w:rPr>
        <w:t xml:space="preserve"> </w:t>
      </w:r>
      <w:proofErr w:type="spellStart"/>
      <w:r w:rsidRPr="001C2F63">
        <w:rPr>
          <w:b/>
          <w:bCs/>
        </w:rPr>
        <w:t>Rights</w:t>
      </w:r>
      <w:proofErr w:type="spellEnd"/>
      <w:r w:rsidRPr="001C2F63">
        <w:rPr>
          <w:b/>
          <w:bCs/>
        </w:rPr>
        <w:t xml:space="preserve"> Watch Nederland in te trekken? Zo nee, waarom niet?</w:t>
      </w:r>
    </w:p>
    <w:p w:rsidRPr="008C2150" w:rsidR="0066544D" w:rsidP="0066544D" w:rsidRDefault="0066544D" w14:paraId="27773978" w14:textId="77777777">
      <w:pPr>
        <w:pStyle w:val="Lijstalinea"/>
        <w:rPr>
          <w:b/>
          <w:bCs/>
        </w:rPr>
      </w:pPr>
    </w:p>
    <w:p w:rsidRPr="001C2F63" w:rsidR="0066544D" w:rsidP="001C2F63" w:rsidRDefault="0066544D" w14:paraId="23E471DC" w14:textId="771462F3">
      <w:pPr>
        <w:rPr>
          <w:b/>
          <w:bCs/>
        </w:rPr>
      </w:pPr>
      <w:r w:rsidRPr="001C2F63">
        <w:rPr>
          <w:b/>
          <w:bCs/>
        </w:rPr>
        <w:t xml:space="preserve">Antwoord </w:t>
      </w:r>
      <w:r w:rsidR="001C2F63">
        <w:rPr>
          <w:b/>
          <w:bCs/>
        </w:rPr>
        <w:t xml:space="preserve">op </w:t>
      </w:r>
      <w:r w:rsidRPr="001C2F63">
        <w:rPr>
          <w:b/>
          <w:bCs/>
        </w:rPr>
        <w:t>vra</w:t>
      </w:r>
      <w:r w:rsidR="001C2F63">
        <w:rPr>
          <w:b/>
          <w:bCs/>
        </w:rPr>
        <w:t>gen</w:t>
      </w:r>
      <w:r w:rsidRPr="001C2F63">
        <w:rPr>
          <w:b/>
          <w:bCs/>
        </w:rPr>
        <w:t xml:space="preserve"> 8 en 9</w:t>
      </w:r>
    </w:p>
    <w:p w:rsidRPr="003D7475" w:rsidR="0066544D" w:rsidP="001C2F63" w:rsidRDefault="0066544D" w14:paraId="0DF0C06B" w14:textId="4F3E0506">
      <w:r w:rsidRPr="003D7475">
        <w:t>Uit artikel 5b AWR volgt dat de beoordeling inzake de ANBI-status</w:t>
      </w:r>
      <w:r w:rsidRPr="003D7475" w:rsidR="003D7475">
        <w:t xml:space="preserve"> </w:t>
      </w:r>
      <w:r w:rsidRPr="003D7475">
        <w:t>uitsluitend aan de inspecteur van de Belastingdienst is en dat de inspecteur voor de beslissing om een ANBI-status in te trekken is gebonden aan een limitatief aantal gronden.</w:t>
      </w:r>
      <w:r w:rsidRPr="003D7475">
        <w:rPr>
          <w:vertAlign w:val="superscript"/>
        </w:rPr>
        <w:footnoteReference w:id="4"/>
      </w:r>
      <w:r w:rsidRPr="003D7475">
        <w:t xml:space="preserve"> Vanwege het eerder genoemde neutrale karakter van de ANBI-regeling zijn gedragingen die niet aansluiten bij eenieders overtuiging van wat behoort tot het algemeen nut geen reden om de ANBI-status in te trekken. </w:t>
      </w:r>
    </w:p>
    <w:p w:rsidR="0066544D" w:rsidP="0066544D" w:rsidRDefault="0066544D" w14:paraId="681284E3" w14:textId="77777777">
      <w:pPr>
        <w:pStyle w:val="Lijstalinea"/>
        <w:ind w:left="360"/>
        <w:rPr>
          <w:b/>
          <w:bCs/>
        </w:rPr>
      </w:pPr>
    </w:p>
    <w:p w:rsidRPr="008C2150" w:rsidR="0066544D" w:rsidP="0066544D" w:rsidRDefault="0066544D" w14:paraId="2980E543" w14:textId="77777777">
      <w:pPr>
        <w:pStyle w:val="Lijstalinea"/>
        <w:ind w:left="360"/>
        <w:rPr>
          <w:b/>
          <w:bCs/>
          <w:u w:val="single"/>
        </w:rPr>
      </w:pPr>
    </w:p>
    <w:p w:rsidR="00F47CED" w:rsidP="0066544D" w:rsidRDefault="0066544D" w14:paraId="2C6C222D" w14:textId="4AA246AC">
      <w:r>
        <w:t>[</w:t>
      </w:r>
      <w:r w:rsidRPr="008C2150">
        <w:t>1] MRWN, 'Cursusdag: pleiten voor Palestina' (https://mrwn.nl/cursusdag)</w:t>
      </w:r>
    </w:p>
    <w:sectPr w:rsidR="00F47CE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1C01" w14:textId="77777777" w:rsidR="003B2015" w:rsidRDefault="003B2015">
      <w:pPr>
        <w:spacing w:line="240" w:lineRule="auto"/>
      </w:pPr>
      <w:r>
        <w:separator/>
      </w:r>
    </w:p>
  </w:endnote>
  <w:endnote w:type="continuationSeparator" w:id="0">
    <w:p w14:paraId="52AC8603" w14:textId="77777777" w:rsidR="003B2015" w:rsidRDefault="003B2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7EA4" w14:textId="77777777" w:rsidR="003319BF" w:rsidRDefault="003319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2768" w14:textId="77777777" w:rsidR="00B81DDD" w:rsidRDefault="00B81DD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6082" w14:textId="77777777" w:rsidR="003319BF" w:rsidRDefault="003319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9B9B" w14:textId="77777777" w:rsidR="003B2015" w:rsidRDefault="003B2015">
      <w:pPr>
        <w:pStyle w:val="Voetnoottekst"/>
      </w:pPr>
    </w:p>
  </w:footnote>
  <w:footnote w:type="continuationSeparator" w:id="0">
    <w:p w14:paraId="15784BB2" w14:textId="77777777" w:rsidR="003B2015" w:rsidRDefault="003B2015">
      <w:pPr>
        <w:pStyle w:val="Voetnoottekst"/>
      </w:pPr>
    </w:p>
  </w:footnote>
  <w:footnote w:id="1">
    <w:p w14:paraId="0AB38A6D" w14:textId="77777777" w:rsidR="0066544D" w:rsidRDefault="0066544D" w:rsidP="0066544D">
      <w:pPr>
        <w:pStyle w:val="Voetnoottekst"/>
      </w:pPr>
      <w:r>
        <w:rPr>
          <w:rStyle w:val="Voetnootmarkering"/>
        </w:rPr>
        <w:footnoteRef/>
      </w:r>
      <w:r>
        <w:t xml:space="preserve"> Artikel 28 lid 2 sub a Advocatenwet.</w:t>
      </w:r>
    </w:p>
  </w:footnote>
  <w:footnote w:id="2">
    <w:p w14:paraId="24D23ACF" w14:textId="77777777" w:rsidR="0066544D" w:rsidRDefault="0066544D" w:rsidP="0066544D">
      <w:pPr>
        <w:pStyle w:val="Voetnoottekst"/>
      </w:pPr>
      <w:r>
        <w:rPr>
          <w:rStyle w:val="Voetnootmarkering"/>
        </w:rPr>
        <w:footnoteRef/>
      </w:r>
      <w:r>
        <w:t xml:space="preserve"> Artikel 4.4 Verordening op de advocatuur.</w:t>
      </w:r>
    </w:p>
  </w:footnote>
  <w:footnote w:id="3">
    <w:p w14:paraId="3026EE6B" w14:textId="77777777" w:rsidR="0066544D" w:rsidRDefault="0066544D" w:rsidP="0066544D">
      <w:pPr>
        <w:pStyle w:val="Voetnoottekst"/>
      </w:pPr>
      <w:r>
        <w:rPr>
          <w:rStyle w:val="Voetnootmarkering"/>
        </w:rPr>
        <w:footnoteRef/>
      </w:r>
      <w:r>
        <w:t xml:space="preserve"> In artikel 5b, derde lid, AWR staat een limitatieve opsomming van categorieën die worden beschouwd als algemeen nuttig.</w:t>
      </w:r>
    </w:p>
  </w:footnote>
  <w:footnote w:id="4">
    <w:p w14:paraId="609542D4" w14:textId="77777777" w:rsidR="0066544D" w:rsidRDefault="0066544D" w:rsidP="0066544D">
      <w:pPr>
        <w:pStyle w:val="Voetnoottekst"/>
        <w:rPr>
          <w:rFonts w:asciiTheme="minorHAnsi" w:hAnsiTheme="minorHAnsi" w:cstheme="minorBidi"/>
          <w:sz w:val="20"/>
          <w:szCs w:val="20"/>
          <w:lang w:eastAsia="en-US"/>
        </w:rPr>
      </w:pPr>
      <w:r>
        <w:rPr>
          <w:rStyle w:val="Voetnootmarkering"/>
        </w:rPr>
        <w:footnoteRef/>
      </w:r>
      <w:r>
        <w:t xml:space="preserve"> Zie ook Kamerstukken II 2024/25, 34324, nr. 35 en het daarbij gevoegde advies van de landsadvocaat.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07EC" w14:textId="77777777" w:rsidR="003319BF" w:rsidRDefault="003319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D66D" w14:textId="77777777" w:rsidR="00B81DDD" w:rsidRDefault="0066544D">
    <w:r>
      <w:rPr>
        <w:noProof/>
      </w:rPr>
      <mc:AlternateContent>
        <mc:Choice Requires="wps">
          <w:drawing>
            <wp:anchor distT="0" distB="0" distL="0" distR="0" simplePos="0" relativeHeight="251652096" behindDoc="0" locked="1" layoutInCell="1" allowOverlap="1" wp14:anchorId="41607533" wp14:editId="2C7CF6A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B0E4C03" w14:textId="77777777" w:rsidR="00E15C92" w:rsidRDefault="00E15C92"/>
                      </w:txbxContent>
                    </wps:txbx>
                    <wps:bodyPr vert="horz" wrap="square" lIns="0" tIns="0" rIns="0" bIns="0" anchor="t" anchorCtr="0"/>
                  </wps:wsp>
                </a:graphicData>
              </a:graphic>
            </wp:anchor>
          </w:drawing>
        </mc:Choice>
        <mc:Fallback>
          <w:pict>
            <v:shapetype w14:anchorId="4160753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B0E4C03" w14:textId="77777777" w:rsidR="00E15C92" w:rsidRDefault="00E15C9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11019D2" wp14:editId="71BB785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7E6ADF" w14:textId="77777777" w:rsidR="00B81DDD" w:rsidRDefault="0066544D">
                          <w:pPr>
                            <w:pStyle w:val="Referentiegegevensbold"/>
                          </w:pPr>
                          <w:r>
                            <w:t>Directoraat-Generaal Rechtspleging en Rechtshandhaving</w:t>
                          </w:r>
                        </w:p>
                        <w:p w14:paraId="26D6E38D" w14:textId="77777777" w:rsidR="00B81DDD" w:rsidRDefault="0066544D">
                          <w:pPr>
                            <w:pStyle w:val="Referentiegegevens"/>
                          </w:pPr>
                          <w:r>
                            <w:t>Directie Rechtsbestel</w:t>
                          </w:r>
                        </w:p>
                        <w:p w14:paraId="1CE45956" w14:textId="77777777" w:rsidR="00B81DDD" w:rsidRDefault="00B81DDD">
                          <w:pPr>
                            <w:pStyle w:val="WitregelW2"/>
                          </w:pPr>
                        </w:p>
                        <w:p w14:paraId="7F440C29" w14:textId="77777777" w:rsidR="00B81DDD" w:rsidRDefault="0066544D">
                          <w:pPr>
                            <w:pStyle w:val="Referentiegegevensbold"/>
                          </w:pPr>
                          <w:r>
                            <w:t>Datum</w:t>
                          </w:r>
                        </w:p>
                        <w:p w14:paraId="70936B84" w14:textId="2E594A4D" w:rsidR="00B81DDD" w:rsidRDefault="001C2F63">
                          <w:pPr>
                            <w:pStyle w:val="Referentiegegevens"/>
                          </w:pPr>
                          <w:r>
                            <w:t>9 juli 2026</w:t>
                          </w:r>
                        </w:p>
                        <w:p w14:paraId="62909313" w14:textId="77777777" w:rsidR="00B81DDD" w:rsidRDefault="00B81DDD">
                          <w:pPr>
                            <w:pStyle w:val="WitregelW1"/>
                          </w:pPr>
                        </w:p>
                        <w:p w14:paraId="5F671DF0" w14:textId="77777777" w:rsidR="00B81DDD" w:rsidRDefault="0066544D">
                          <w:pPr>
                            <w:pStyle w:val="Referentiegegevensbold"/>
                          </w:pPr>
                          <w:r>
                            <w:t>Onze referentie</w:t>
                          </w:r>
                        </w:p>
                        <w:p w14:paraId="11F45875" w14:textId="60894F8E" w:rsidR="00B81DDD" w:rsidRDefault="0052025C">
                          <w:pPr>
                            <w:pStyle w:val="Referentiegegevens"/>
                          </w:pPr>
                          <w:r>
                            <w:t>7712583</w:t>
                          </w:r>
                        </w:p>
                      </w:txbxContent>
                    </wps:txbx>
                    <wps:bodyPr vert="horz" wrap="square" lIns="0" tIns="0" rIns="0" bIns="0" anchor="t" anchorCtr="0"/>
                  </wps:wsp>
                </a:graphicData>
              </a:graphic>
            </wp:anchor>
          </w:drawing>
        </mc:Choice>
        <mc:Fallback>
          <w:pict>
            <v:shape w14:anchorId="511019D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27E6ADF" w14:textId="77777777" w:rsidR="00B81DDD" w:rsidRDefault="0066544D">
                    <w:pPr>
                      <w:pStyle w:val="Referentiegegevensbold"/>
                    </w:pPr>
                    <w:r>
                      <w:t>Directoraat-Generaal Rechtspleging en Rechtshandhaving</w:t>
                    </w:r>
                  </w:p>
                  <w:p w14:paraId="26D6E38D" w14:textId="77777777" w:rsidR="00B81DDD" w:rsidRDefault="0066544D">
                    <w:pPr>
                      <w:pStyle w:val="Referentiegegevens"/>
                    </w:pPr>
                    <w:r>
                      <w:t>Directie Rechtsbestel</w:t>
                    </w:r>
                  </w:p>
                  <w:p w14:paraId="1CE45956" w14:textId="77777777" w:rsidR="00B81DDD" w:rsidRDefault="00B81DDD">
                    <w:pPr>
                      <w:pStyle w:val="WitregelW2"/>
                    </w:pPr>
                  </w:p>
                  <w:p w14:paraId="7F440C29" w14:textId="77777777" w:rsidR="00B81DDD" w:rsidRDefault="0066544D">
                    <w:pPr>
                      <w:pStyle w:val="Referentiegegevensbold"/>
                    </w:pPr>
                    <w:r>
                      <w:t>Datum</w:t>
                    </w:r>
                  </w:p>
                  <w:p w14:paraId="70936B84" w14:textId="2E594A4D" w:rsidR="00B81DDD" w:rsidRDefault="001C2F63">
                    <w:pPr>
                      <w:pStyle w:val="Referentiegegevens"/>
                    </w:pPr>
                    <w:r>
                      <w:t>9 juli 2026</w:t>
                    </w:r>
                  </w:p>
                  <w:p w14:paraId="62909313" w14:textId="77777777" w:rsidR="00B81DDD" w:rsidRDefault="00B81DDD">
                    <w:pPr>
                      <w:pStyle w:val="WitregelW1"/>
                    </w:pPr>
                  </w:p>
                  <w:p w14:paraId="5F671DF0" w14:textId="77777777" w:rsidR="00B81DDD" w:rsidRDefault="0066544D">
                    <w:pPr>
                      <w:pStyle w:val="Referentiegegevensbold"/>
                    </w:pPr>
                    <w:r>
                      <w:t>Onze referentie</w:t>
                    </w:r>
                  </w:p>
                  <w:p w14:paraId="11F45875" w14:textId="60894F8E" w:rsidR="00B81DDD" w:rsidRDefault="0052025C">
                    <w:pPr>
                      <w:pStyle w:val="Referentiegegevens"/>
                    </w:pPr>
                    <w:r>
                      <w:t>7712583</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00550EA" wp14:editId="26FE05A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98B7AB" w14:textId="77777777" w:rsidR="00E15C92" w:rsidRDefault="00E15C92"/>
                      </w:txbxContent>
                    </wps:txbx>
                    <wps:bodyPr vert="horz" wrap="square" lIns="0" tIns="0" rIns="0" bIns="0" anchor="t" anchorCtr="0"/>
                  </wps:wsp>
                </a:graphicData>
              </a:graphic>
            </wp:anchor>
          </w:drawing>
        </mc:Choice>
        <mc:Fallback>
          <w:pict>
            <v:shape w14:anchorId="400550E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98B7AB" w14:textId="77777777" w:rsidR="00E15C92" w:rsidRDefault="00E15C9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A2B15E1" wp14:editId="61F3468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38F4A9" w14:textId="77777777" w:rsidR="00B81DDD" w:rsidRDefault="0066544D">
                          <w:pPr>
                            <w:pStyle w:val="Referentiegegevens"/>
                          </w:pPr>
                          <w:r>
                            <w:t xml:space="preserve">Pagina </w:t>
                          </w:r>
                          <w:r>
                            <w:fldChar w:fldCharType="begin"/>
                          </w:r>
                          <w:r>
                            <w:instrText>PAGE</w:instrText>
                          </w:r>
                          <w:r>
                            <w:fldChar w:fldCharType="separate"/>
                          </w:r>
                          <w:r w:rsidR="005B028A">
                            <w:rPr>
                              <w:noProof/>
                            </w:rPr>
                            <w:t>2</w:t>
                          </w:r>
                          <w:r>
                            <w:fldChar w:fldCharType="end"/>
                          </w:r>
                          <w:r>
                            <w:t xml:space="preserve"> van </w:t>
                          </w:r>
                          <w:r>
                            <w:fldChar w:fldCharType="begin"/>
                          </w:r>
                          <w:r>
                            <w:instrText>NUMPAGES</w:instrText>
                          </w:r>
                          <w:r>
                            <w:fldChar w:fldCharType="separate"/>
                          </w:r>
                          <w:r w:rsidR="005B028A">
                            <w:rPr>
                              <w:noProof/>
                            </w:rPr>
                            <w:t>2</w:t>
                          </w:r>
                          <w:r>
                            <w:fldChar w:fldCharType="end"/>
                          </w:r>
                        </w:p>
                      </w:txbxContent>
                    </wps:txbx>
                    <wps:bodyPr vert="horz" wrap="square" lIns="0" tIns="0" rIns="0" bIns="0" anchor="t" anchorCtr="0"/>
                  </wps:wsp>
                </a:graphicData>
              </a:graphic>
            </wp:anchor>
          </w:drawing>
        </mc:Choice>
        <mc:Fallback>
          <w:pict>
            <v:shape w14:anchorId="7A2B15E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38F4A9" w14:textId="77777777" w:rsidR="00B81DDD" w:rsidRDefault="0066544D">
                    <w:pPr>
                      <w:pStyle w:val="Referentiegegevens"/>
                    </w:pPr>
                    <w:r>
                      <w:t xml:space="preserve">Pagina </w:t>
                    </w:r>
                    <w:r>
                      <w:fldChar w:fldCharType="begin"/>
                    </w:r>
                    <w:r>
                      <w:instrText>PAGE</w:instrText>
                    </w:r>
                    <w:r>
                      <w:fldChar w:fldCharType="separate"/>
                    </w:r>
                    <w:r w:rsidR="005B028A">
                      <w:rPr>
                        <w:noProof/>
                      </w:rPr>
                      <w:t>2</w:t>
                    </w:r>
                    <w:r>
                      <w:fldChar w:fldCharType="end"/>
                    </w:r>
                    <w:r>
                      <w:t xml:space="preserve"> van </w:t>
                    </w:r>
                    <w:r>
                      <w:fldChar w:fldCharType="begin"/>
                    </w:r>
                    <w:r>
                      <w:instrText>NUMPAGES</w:instrText>
                    </w:r>
                    <w:r>
                      <w:fldChar w:fldCharType="separate"/>
                    </w:r>
                    <w:r w:rsidR="005B028A">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CF5C" w14:textId="77777777" w:rsidR="00B81DDD" w:rsidRDefault="0066544D">
    <w:pPr>
      <w:spacing w:after="6377" w:line="14" w:lineRule="exact"/>
    </w:pPr>
    <w:r>
      <w:rPr>
        <w:noProof/>
      </w:rPr>
      <mc:AlternateContent>
        <mc:Choice Requires="wps">
          <w:drawing>
            <wp:anchor distT="0" distB="0" distL="0" distR="0" simplePos="0" relativeHeight="251656192" behindDoc="0" locked="1" layoutInCell="1" allowOverlap="1" wp14:anchorId="4CE4C71C" wp14:editId="7FB76DD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95D405" w14:textId="77777777" w:rsidR="00B81DDD" w:rsidRDefault="0066544D">
                          <w:pPr>
                            <w:spacing w:line="240" w:lineRule="auto"/>
                          </w:pPr>
                          <w:r>
                            <w:rPr>
                              <w:noProof/>
                            </w:rPr>
                            <w:drawing>
                              <wp:inline distT="0" distB="0" distL="0" distR="0" wp14:anchorId="34FD698B" wp14:editId="78C6BAD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E4C71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95D405" w14:textId="77777777" w:rsidR="00B81DDD" w:rsidRDefault="0066544D">
                    <w:pPr>
                      <w:spacing w:line="240" w:lineRule="auto"/>
                    </w:pPr>
                    <w:r>
                      <w:rPr>
                        <w:noProof/>
                      </w:rPr>
                      <w:drawing>
                        <wp:inline distT="0" distB="0" distL="0" distR="0" wp14:anchorId="34FD698B" wp14:editId="78C6BAD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AFE9851" wp14:editId="54263DF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0AAFA6" w14:textId="77777777" w:rsidR="00B81DDD" w:rsidRDefault="0066544D">
                          <w:pPr>
                            <w:spacing w:line="240" w:lineRule="auto"/>
                          </w:pPr>
                          <w:r>
                            <w:rPr>
                              <w:noProof/>
                            </w:rPr>
                            <w:drawing>
                              <wp:inline distT="0" distB="0" distL="0" distR="0" wp14:anchorId="7AFA6633" wp14:editId="732FB739">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FE9851"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0AAFA6" w14:textId="77777777" w:rsidR="00B81DDD" w:rsidRDefault="0066544D">
                    <w:pPr>
                      <w:spacing w:line="240" w:lineRule="auto"/>
                    </w:pPr>
                    <w:r>
                      <w:rPr>
                        <w:noProof/>
                      </w:rPr>
                      <w:drawing>
                        <wp:inline distT="0" distB="0" distL="0" distR="0" wp14:anchorId="7AFA6633" wp14:editId="732FB739">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A23B45F" wp14:editId="26CB8E9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04D599" w14:textId="77777777" w:rsidR="00B81DDD" w:rsidRDefault="0066544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A23B45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804D599" w14:textId="77777777" w:rsidR="00B81DDD" w:rsidRDefault="0066544D">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A29BD72" wp14:editId="5E55BE0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403A9A" w14:textId="77777777" w:rsidR="000D3488" w:rsidRDefault="0066544D">
                          <w:r>
                            <w:t xml:space="preserve">Aan de Voorzitter van de Tweede Kamer </w:t>
                          </w:r>
                        </w:p>
                        <w:p w14:paraId="1C28E623" w14:textId="3BD3A3D0" w:rsidR="00B81DDD" w:rsidRDefault="0066544D">
                          <w:r>
                            <w:t>der Staten-Generaal</w:t>
                          </w:r>
                        </w:p>
                        <w:p w14:paraId="68118A61" w14:textId="77777777" w:rsidR="00B81DDD" w:rsidRDefault="0066544D">
                          <w:r>
                            <w:t>Postbus 20018</w:t>
                          </w:r>
                        </w:p>
                        <w:p w14:paraId="03F697E3" w14:textId="77777777" w:rsidR="00B81DDD" w:rsidRDefault="0066544D">
                          <w:r>
                            <w:t>2500 EA  DEN HAAG</w:t>
                          </w:r>
                        </w:p>
                      </w:txbxContent>
                    </wps:txbx>
                    <wps:bodyPr vert="horz" wrap="square" lIns="0" tIns="0" rIns="0" bIns="0" anchor="t" anchorCtr="0"/>
                  </wps:wsp>
                </a:graphicData>
              </a:graphic>
            </wp:anchor>
          </w:drawing>
        </mc:Choice>
        <mc:Fallback>
          <w:pict>
            <v:shape w14:anchorId="6A29BD7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1403A9A" w14:textId="77777777" w:rsidR="000D3488" w:rsidRDefault="0066544D">
                    <w:r>
                      <w:t xml:space="preserve">Aan de Voorzitter van de Tweede Kamer </w:t>
                    </w:r>
                  </w:p>
                  <w:p w14:paraId="1C28E623" w14:textId="3BD3A3D0" w:rsidR="00B81DDD" w:rsidRDefault="0066544D">
                    <w:r>
                      <w:t>der Staten-Generaal</w:t>
                    </w:r>
                  </w:p>
                  <w:p w14:paraId="68118A61" w14:textId="77777777" w:rsidR="00B81DDD" w:rsidRDefault="0066544D">
                    <w:r>
                      <w:t>Postbus 20018</w:t>
                    </w:r>
                  </w:p>
                  <w:p w14:paraId="03F697E3" w14:textId="77777777" w:rsidR="00B81DDD" w:rsidRDefault="0066544D">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A67861C" wp14:editId="4A2E76B9">
              <wp:simplePos x="0" y="0"/>
              <wp:positionH relativeFrom="page">
                <wp:posOffset>1009650</wp:posOffset>
              </wp:positionH>
              <wp:positionV relativeFrom="paragraph">
                <wp:posOffset>3352165</wp:posOffset>
              </wp:positionV>
              <wp:extent cx="4787900" cy="561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B81DDD" w14:paraId="185529A6" w14:textId="77777777">
                            <w:trPr>
                              <w:trHeight w:val="240"/>
                            </w:trPr>
                            <w:tc>
                              <w:tcPr>
                                <w:tcW w:w="1140" w:type="dxa"/>
                              </w:tcPr>
                              <w:p w14:paraId="3F98A022" w14:textId="77777777" w:rsidR="00B81DDD" w:rsidRDefault="0066544D">
                                <w:r>
                                  <w:t>Datum</w:t>
                                </w:r>
                              </w:p>
                            </w:tc>
                            <w:tc>
                              <w:tcPr>
                                <w:tcW w:w="5918" w:type="dxa"/>
                              </w:tcPr>
                              <w:p w14:paraId="5D4417E2" w14:textId="25C073BB" w:rsidR="00B81DDD" w:rsidRDefault="001C2F63">
                                <w:r>
                                  <w:t>9 juli 2026</w:t>
                                </w:r>
                              </w:p>
                            </w:tc>
                          </w:tr>
                          <w:tr w:rsidR="00B81DDD" w14:paraId="1698CFC0" w14:textId="77777777">
                            <w:trPr>
                              <w:trHeight w:val="240"/>
                            </w:trPr>
                            <w:tc>
                              <w:tcPr>
                                <w:tcW w:w="1140" w:type="dxa"/>
                              </w:tcPr>
                              <w:p w14:paraId="162B720A" w14:textId="77777777" w:rsidR="00B81DDD" w:rsidRDefault="0066544D">
                                <w:r>
                                  <w:t>Betreft</w:t>
                                </w:r>
                              </w:p>
                            </w:tc>
                            <w:tc>
                              <w:tcPr>
                                <w:tcW w:w="5918" w:type="dxa"/>
                              </w:tcPr>
                              <w:p w14:paraId="1BC2ADF8" w14:textId="568C2EC7" w:rsidR="00B81DDD" w:rsidRDefault="001C2F63">
                                <w:r>
                                  <w:t>Antwoorden Kamervragen over de cursusdag ‘pleiten voor Palestina’ voor advocaten</w:t>
                                </w:r>
                              </w:p>
                            </w:tc>
                          </w:tr>
                        </w:tbl>
                        <w:p w14:paraId="7F66A541" w14:textId="77777777" w:rsidR="00E15C92" w:rsidRDefault="00E15C9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67861C" id="1670fa0c-13cb-45ec-92be-ef1f34d237c5" o:spid="_x0000_s1034" type="#_x0000_t202" style="position:absolute;margin-left:79.5pt;margin-top:263.95pt;width:377pt;height:44.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eeVTeaABAAAuAwAADgAAAAAAAAAAAAAAAAAuAgAAZHJzL2Uyb0RvYy54bWxQSwECLQAUAAYACAAA&#10;ACEAjzK0x+AAAAALAQAADwAAAAAAAAAAAAAAAAD6AwAAZHJzL2Rvd25yZXYueG1sUEsFBgAAAAAE&#10;AAQA8wAAAAcFAAAAAA==&#10;" filled="f" stroked="f">
              <v:textbox inset="0,0,0,0">
                <w:txbxContent>
                  <w:tbl>
                    <w:tblPr>
                      <w:tblW w:w="0" w:type="auto"/>
                      <w:tblLayout w:type="fixed"/>
                      <w:tblLook w:val="0740" w:firstRow="0" w:lastRow="1" w:firstColumn="0" w:lastColumn="1" w:noHBand="1" w:noVBand="1"/>
                    </w:tblPr>
                    <w:tblGrid>
                      <w:gridCol w:w="1140"/>
                      <w:gridCol w:w="5918"/>
                    </w:tblGrid>
                    <w:tr w:rsidR="00B81DDD" w14:paraId="185529A6" w14:textId="77777777">
                      <w:trPr>
                        <w:trHeight w:val="240"/>
                      </w:trPr>
                      <w:tc>
                        <w:tcPr>
                          <w:tcW w:w="1140" w:type="dxa"/>
                        </w:tcPr>
                        <w:p w14:paraId="3F98A022" w14:textId="77777777" w:rsidR="00B81DDD" w:rsidRDefault="0066544D">
                          <w:r>
                            <w:t>Datum</w:t>
                          </w:r>
                        </w:p>
                      </w:tc>
                      <w:tc>
                        <w:tcPr>
                          <w:tcW w:w="5918" w:type="dxa"/>
                        </w:tcPr>
                        <w:p w14:paraId="5D4417E2" w14:textId="25C073BB" w:rsidR="00B81DDD" w:rsidRDefault="001C2F63">
                          <w:r>
                            <w:t>9 juli 2026</w:t>
                          </w:r>
                        </w:p>
                      </w:tc>
                    </w:tr>
                    <w:tr w:rsidR="00B81DDD" w14:paraId="1698CFC0" w14:textId="77777777">
                      <w:trPr>
                        <w:trHeight w:val="240"/>
                      </w:trPr>
                      <w:tc>
                        <w:tcPr>
                          <w:tcW w:w="1140" w:type="dxa"/>
                        </w:tcPr>
                        <w:p w14:paraId="162B720A" w14:textId="77777777" w:rsidR="00B81DDD" w:rsidRDefault="0066544D">
                          <w:r>
                            <w:t>Betreft</w:t>
                          </w:r>
                        </w:p>
                      </w:tc>
                      <w:tc>
                        <w:tcPr>
                          <w:tcW w:w="5918" w:type="dxa"/>
                        </w:tcPr>
                        <w:p w14:paraId="1BC2ADF8" w14:textId="568C2EC7" w:rsidR="00B81DDD" w:rsidRDefault="001C2F63">
                          <w:r>
                            <w:t>Antwoorden Kamervragen over de cursusdag ‘pleiten voor Palestina’ voor advocaten</w:t>
                          </w:r>
                        </w:p>
                      </w:tc>
                    </w:tr>
                  </w:tbl>
                  <w:p w14:paraId="7F66A541" w14:textId="77777777" w:rsidR="00E15C92" w:rsidRDefault="00E15C9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49CE311" wp14:editId="61BFC4B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4A20A8" w14:textId="77777777" w:rsidR="00B81DDD" w:rsidRDefault="0066544D">
                          <w:pPr>
                            <w:pStyle w:val="Referentiegegevensbold"/>
                          </w:pPr>
                          <w:r>
                            <w:t>Directoraat-Generaal Rechtspleging en Rechtshandhaving</w:t>
                          </w:r>
                        </w:p>
                        <w:p w14:paraId="02D3A5C0" w14:textId="77777777" w:rsidR="00B81DDD" w:rsidRDefault="0066544D">
                          <w:pPr>
                            <w:pStyle w:val="Referentiegegevens"/>
                          </w:pPr>
                          <w:r>
                            <w:t>Directie Rechtsbestel</w:t>
                          </w:r>
                        </w:p>
                        <w:p w14:paraId="0C8A6CA0" w14:textId="77777777" w:rsidR="00B81DDD" w:rsidRDefault="00B81DDD">
                          <w:pPr>
                            <w:pStyle w:val="WitregelW1"/>
                          </w:pPr>
                        </w:p>
                        <w:p w14:paraId="3576009B" w14:textId="77777777" w:rsidR="00B81DDD" w:rsidRPr="001C2F63" w:rsidRDefault="0066544D">
                          <w:pPr>
                            <w:pStyle w:val="Referentiegegevens"/>
                            <w:rPr>
                              <w:lang w:val="de-DE"/>
                            </w:rPr>
                          </w:pPr>
                          <w:proofErr w:type="spellStart"/>
                          <w:r w:rsidRPr="001C2F63">
                            <w:rPr>
                              <w:lang w:val="de-DE"/>
                            </w:rPr>
                            <w:t>Turfmarkt</w:t>
                          </w:r>
                          <w:proofErr w:type="spellEnd"/>
                          <w:r w:rsidRPr="001C2F63">
                            <w:rPr>
                              <w:lang w:val="de-DE"/>
                            </w:rPr>
                            <w:t xml:space="preserve"> 147</w:t>
                          </w:r>
                        </w:p>
                        <w:p w14:paraId="0B0219E9" w14:textId="77777777" w:rsidR="00B81DDD" w:rsidRPr="001C2F63" w:rsidRDefault="0066544D">
                          <w:pPr>
                            <w:pStyle w:val="Referentiegegevens"/>
                            <w:rPr>
                              <w:lang w:val="de-DE"/>
                            </w:rPr>
                          </w:pPr>
                          <w:r w:rsidRPr="001C2F63">
                            <w:rPr>
                              <w:lang w:val="de-DE"/>
                            </w:rPr>
                            <w:t>2511 DP  Den Haag</w:t>
                          </w:r>
                        </w:p>
                        <w:p w14:paraId="6AA8C181" w14:textId="77777777" w:rsidR="00B81DDD" w:rsidRPr="001C2F63" w:rsidRDefault="0066544D">
                          <w:pPr>
                            <w:pStyle w:val="Referentiegegevens"/>
                            <w:rPr>
                              <w:lang w:val="de-DE"/>
                            </w:rPr>
                          </w:pPr>
                          <w:r w:rsidRPr="001C2F63">
                            <w:rPr>
                              <w:lang w:val="de-DE"/>
                            </w:rPr>
                            <w:t>Postbus 20301</w:t>
                          </w:r>
                        </w:p>
                        <w:p w14:paraId="6714651A" w14:textId="77777777" w:rsidR="00B81DDD" w:rsidRPr="001C2F63" w:rsidRDefault="0066544D">
                          <w:pPr>
                            <w:pStyle w:val="Referentiegegevens"/>
                            <w:rPr>
                              <w:lang w:val="de-DE"/>
                            </w:rPr>
                          </w:pPr>
                          <w:r w:rsidRPr="001C2F63">
                            <w:rPr>
                              <w:lang w:val="de-DE"/>
                            </w:rPr>
                            <w:t>2500 EH  Den Haag</w:t>
                          </w:r>
                        </w:p>
                        <w:p w14:paraId="25B8EC1B" w14:textId="719E4F3B" w:rsidR="00B81DDD" w:rsidRPr="001C2F63" w:rsidRDefault="0066544D" w:rsidP="003047D0">
                          <w:pPr>
                            <w:pStyle w:val="Referentiegegevens"/>
                            <w:rPr>
                              <w:lang w:val="de-DE"/>
                            </w:rPr>
                          </w:pPr>
                          <w:r w:rsidRPr="001C2F63">
                            <w:rPr>
                              <w:lang w:val="de-DE"/>
                            </w:rPr>
                            <w:t>www.rijksoverheid.nl/jenv</w:t>
                          </w:r>
                        </w:p>
                        <w:p w14:paraId="42468E2B" w14:textId="77777777" w:rsidR="00B81DDD" w:rsidRPr="001C2F63" w:rsidRDefault="00B81DDD">
                          <w:pPr>
                            <w:pStyle w:val="WitregelW2"/>
                            <w:rPr>
                              <w:lang w:val="de-DE"/>
                            </w:rPr>
                          </w:pPr>
                        </w:p>
                        <w:p w14:paraId="27C8D09A" w14:textId="77777777" w:rsidR="00B81DDD" w:rsidRDefault="0066544D">
                          <w:pPr>
                            <w:pStyle w:val="Referentiegegevensbold"/>
                          </w:pPr>
                          <w:r>
                            <w:t>Onze referentie</w:t>
                          </w:r>
                        </w:p>
                        <w:p w14:paraId="5DF77AA3" w14:textId="1EF18388" w:rsidR="00B81DDD" w:rsidRDefault="0052025C">
                          <w:pPr>
                            <w:pStyle w:val="Referentiegegevens"/>
                          </w:pPr>
                          <w:r>
                            <w:t>7712583</w:t>
                          </w:r>
                        </w:p>
                        <w:p w14:paraId="7A289F1F" w14:textId="77777777" w:rsidR="00B81DDD" w:rsidRDefault="00B81DDD">
                          <w:pPr>
                            <w:pStyle w:val="WitregelW1"/>
                          </w:pPr>
                        </w:p>
                        <w:p w14:paraId="036D5549" w14:textId="77777777" w:rsidR="00B81DDD" w:rsidRDefault="0066544D">
                          <w:pPr>
                            <w:pStyle w:val="Referentiegegevensbold"/>
                          </w:pPr>
                          <w:r>
                            <w:t>Uw referentie</w:t>
                          </w:r>
                        </w:p>
                        <w:p w14:paraId="146D9016" w14:textId="77777777" w:rsidR="00B81DDD" w:rsidRDefault="0066544D">
                          <w:pPr>
                            <w:pStyle w:val="Referentiegegevens"/>
                          </w:pPr>
                          <w:r>
                            <w:t>2026Z13387</w:t>
                          </w:r>
                        </w:p>
                      </w:txbxContent>
                    </wps:txbx>
                    <wps:bodyPr vert="horz" wrap="square" lIns="0" tIns="0" rIns="0" bIns="0" anchor="t" anchorCtr="0"/>
                  </wps:wsp>
                </a:graphicData>
              </a:graphic>
            </wp:anchor>
          </w:drawing>
        </mc:Choice>
        <mc:Fallback>
          <w:pict>
            <v:shape w14:anchorId="149CE31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C4A20A8" w14:textId="77777777" w:rsidR="00B81DDD" w:rsidRDefault="0066544D">
                    <w:pPr>
                      <w:pStyle w:val="Referentiegegevensbold"/>
                    </w:pPr>
                    <w:r>
                      <w:t>Directoraat-Generaal Rechtspleging en Rechtshandhaving</w:t>
                    </w:r>
                  </w:p>
                  <w:p w14:paraId="02D3A5C0" w14:textId="77777777" w:rsidR="00B81DDD" w:rsidRDefault="0066544D">
                    <w:pPr>
                      <w:pStyle w:val="Referentiegegevens"/>
                    </w:pPr>
                    <w:r>
                      <w:t>Directie Rechtsbestel</w:t>
                    </w:r>
                  </w:p>
                  <w:p w14:paraId="0C8A6CA0" w14:textId="77777777" w:rsidR="00B81DDD" w:rsidRDefault="00B81DDD">
                    <w:pPr>
                      <w:pStyle w:val="WitregelW1"/>
                    </w:pPr>
                  </w:p>
                  <w:p w14:paraId="3576009B" w14:textId="77777777" w:rsidR="00B81DDD" w:rsidRPr="001C2F63" w:rsidRDefault="0066544D">
                    <w:pPr>
                      <w:pStyle w:val="Referentiegegevens"/>
                      <w:rPr>
                        <w:lang w:val="de-DE"/>
                      </w:rPr>
                    </w:pPr>
                    <w:proofErr w:type="spellStart"/>
                    <w:r w:rsidRPr="001C2F63">
                      <w:rPr>
                        <w:lang w:val="de-DE"/>
                      </w:rPr>
                      <w:t>Turfmarkt</w:t>
                    </w:r>
                    <w:proofErr w:type="spellEnd"/>
                    <w:r w:rsidRPr="001C2F63">
                      <w:rPr>
                        <w:lang w:val="de-DE"/>
                      </w:rPr>
                      <w:t xml:space="preserve"> 147</w:t>
                    </w:r>
                  </w:p>
                  <w:p w14:paraId="0B0219E9" w14:textId="77777777" w:rsidR="00B81DDD" w:rsidRPr="001C2F63" w:rsidRDefault="0066544D">
                    <w:pPr>
                      <w:pStyle w:val="Referentiegegevens"/>
                      <w:rPr>
                        <w:lang w:val="de-DE"/>
                      </w:rPr>
                    </w:pPr>
                    <w:r w:rsidRPr="001C2F63">
                      <w:rPr>
                        <w:lang w:val="de-DE"/>
                      </w:rPr>
                      <w:t>2511 DP  Den Haag</w:t>
                    </w:r>
                  </w:p>
                  <w:p w14:paraId="6AA8C181" w14:textId="77777777" w:rsidR="00B81DDD" w:rsidRPr="001C2F63" w:rsidRDefault="0066544D">
                    <w:pPr>
                      <w:pStyle w:val="Referentiegegevens"/>
                      <w:rPr>
                        <w:lang w:val="de-DE"/>
                      </w:rPr>
                    </w:pPr>
                    <w:r w:rsidRPr="001C2F63">
                      <w:rPr>
                        <w:lang w:val="de-DE"/>
                      </w:rPr>
                      <w:t>Postbus 20301</w:t>
                    </w:r>
                  </w:p>
                  <w:p w14:paraId="6714651A" w14:textId="77777777" w:rsidR="00B81DDD" w:rsidRPr="001C2F63" w:rsidRDefault="0066544D">
                    <w:pPr>
                      <w:pStyle w:val="Referentiegegevens"/>
                      <w:rPr>
                        <w:lang w:val="de-DE"/>
                      </w:rPr>
                    </w:pPr>
                    <w:r w:rsidRPr="001C2F63">
                      <w:rPr>
                        <w:lang w:val="de-DE"/>
                      </w:rPr>
                      <w:t>2500 EH  Den Haag</w:t>
                    </w:r>
                  </w:p>
                  <w:p w14:paraId="25B8EC1B" w14:textId="719E4F3B" w:rsidR="00B81DDD" w:rsidRPr="001C2F63" w:rsidRDefault="0066544D" w:rsidP="003047D0">
                    <w:pPr>
                      <w:pStyle w:val="Referentiegegevens"/>
                      <w:rPr>
                        <w:lang w:val="de-DE"/>
                      </w:rPr>
                    </w:pPr>
                    <w:r w:rsidRPr="001C2F63">
                      <w:rPr>
                        <w:lang w:val="de-DE"/>
                      </w:rPr>
                      <w:t>www.rijksoverheid.nl/jenv</w:t>
                    </w:r>
                  </w:p>
                  <w:p w14:paraId="42468E2B" w14:textId="77777777" w:rsidR="00B81DDD" w:rsidRPr="001C2F63" w:rsidRDefault="00B81DDD">
                    <w:pPr>
                      <w:pStyle w:val="WitregelW2"/>
                      <w:rPr>
                        <w:lang w:val="de-DE"/>
                      </w:rPr>
                    </w:pPr>
                  </w:p>
                  <w:p w14:paraId="27C8D09A" w14:textId="77777777" w:rsidR="00B81DDD" w:rsidRDefault="0066544D">
                    <w:pPr>
                      <w:pStyle w:val="Referentiegegevensbold"/>
                    </w:pPr>
                    <w:r>
                      <w:t>Onze referentie</w:t>
                    </w:r>
                  </w:p>
                  <w:p w14:paraId="5DF77AA3" w14:textId="1EF18388" w:rsidR="00B81DDD" w:rsidRDefault="0052025C">
                    <w:pPr>
                      <w:pStyle w:val="Referentiegegevens"/>
                    </w:pPr>
                    <w:r>
                      <w:t>7712583</w:t>
                    </w:r>
                  </w:p>
                  <w:p w14:paraId="7A289F1F" w14:textId="77777777" w:rsidR="00B81DDD" w:rsidRDefault="00B81DDD">
                    <w:pPr>
                      <w:pStyle w:val="WitregelW1"/>
                    </w:pPr>
                  </w:p>
                  <w:p w14:paraId="036D5549" w14:textId="77777777" w:rsidR="00B81DDD" w:rsidRDefault="0066544D">
                    <w:pPr>
                      <w:pStyle w:val="Referentiegegevensbold"/>
                    </w:pPr>
                    <w:r>
                      <w:t>Uw referentie</w:t>
                    </w:r>
                  </w:p>
                  <w:p w14:paraId="146D9016" w14:textId="77777777" w:rsidR="00B81DDD" w:rsidRDefault="0066544D">
                    <w:pPr>
                      <w:pStyle w:val="Referentiegegevens"/>
                    </w:pPr>
                    <w:r>
                      <w:t>2026Z13387</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4EB5E08" wp14:editId="2483047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F873E8" w14:textId="77777777" w:rsidR="00B81DDD" w:rsidRDefault="0066544D">
                          <w:pPr>
                            <w:pStyle w:val="Referentiegegevens"/>
                          </w:pPr>
                          <w:r>
                            <w:t xml:space="preserve">Pagina </w:t>
                          </w:r>
                          <w:r>
                            <w:fldChar w:fldCharType="begin"/>
                          </w:r>
                          <w:r>
                            <w:instrText>PAGE</w:instrText>
                          </w:r>
                          <w:r>
                            <w:fldChar w:fldCharType="separate"/>
                          </w:r>
                          <w:r w:rsidR="005B028A">
                            <w:rPr>
                              <w:noProof/>
                            </w:rPr>
                            <w:t>1</w:t>
                          </w:r>
                          <w:r>
                            <w:fldChar w:fldCharType="end"/>
                          </w:r>
                          <w:r>
                            <w:t xml:space="preserve"> van </w:t>
                          </w:r>
                          <w:r>
                            <w:fldChar w:fldCharType="begin"/>
                          </w:r>
                          <w:r>
                            <w:instrText>NUMPAGES</w:instrText>
                          </w:r>
                          <w:r>
                            <w:fldChar w:fldCharType="separate"/>
                          </w:r>
                          <w:r w:rsidR="005B028A">
                            <w:rPr>
                              <w:noProof/>
                            </w:rPr>
                            <w:t>2</w:t>
                          </w:r>
                          <w:r>
                            <w:fldChar w:fldCharType="end"/>
                          </w:r>
                        </w:p>
                      </w:txbxContent>
                    </wps:txbx>
                    <wps:bodyPr vert="horz" wrap="square" lIns="0" tIns="0" rIns="0" bIns="0" anchor="t" anchorCtr="0"/>
                  </wps:wsp>
                </a:graphicData>
              </a:graphic>
            </wp:anchor>
          </w:drawing>
        </mc:Choice>
        <mc:Fallback>
          <w:pict>
            <v:shape w14:anchorId="14EB5E0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0F873E8" w14:textId="77777777" w:rsidR="00B81DDD" w:rsidRDefault="0066544D">
                    <w:pPr>
                      <w:pStyle w:val="Referentiegegevens"/>
                    </w:pPr>
                    <w:r>
                      <w:t xml:space="preserve">Pagina </w:t>
                    </w:r>
                    <w:r>
                      <w:fldChar w:fldCharType="begin"/>
                    </w:r>
                    <w:r>
                      <w:instrText>PAGE</w:instrText>
                    </w:r>
                    <w:r>
                      <w:fldChar w:fldCharType="separate"/>
                    </w:r>
                    <w:r w:rsidR="005B028A">
                      <w:rPr>
                        <w:noProof/>
                      </w:rPr>
                      <w:t>1</w:t>
                    </w:r>
                    <w:r>
                      <w:fldChar w:fldCharType="end"/>
                    </w:r>
                    <w:r>
                      <w:t xml:space="preserve"> van </w:t>
                    </w:r>
                    <w:r>
                      <w:fldChar w:fldCharType="begin"/>
                    </w:r>
                    <w:r>
                      <w:instrText>NUMPAGES</w:instrText>
                    </w:r>
                    <w:r>
                      <w:fldChar w:fldCharType="separate"/>
                    </w:r>
                    <w:r w:rsidR="005B028A">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14E2AFB" wp14:editId="3ED3C76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9CFE7E" w14:textId="77777777" w:rsidR="00E15C92" w:rsidRDefault="00E15C92"/>
                      </w:txbxContent>
                    </wps:txbx>
                    <wps:bodyPr vert="horz" wrap="square" lIns="0" tIns="0" rIns="0" bIns="0" anchor="t" anchorCtr="0"/>
                  </wps:wsp>
                </a:graphicData>
              </a:graphic>
            </wp:anchor>
          </w:drawing>
        </mc:Choice>
        <mc:Fallback>
          <w:pict>
            <v:shape w14:anchorId="514E2AF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A9CFE7E" w14:textId="77777777" w:rsidR="00E15C92" w:rsidRDefault="00E15C9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DAEA9"/>
    <w:multiLevelType w:val="multilevel"/>
    <w:tmpl w:val="7B5FD4A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7EB2AF5"/>
    <w:multiLevelType w:val="multilevel"/>
    <w:tmpl w:val="3CB9C8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B009F85"/>
    <w:multiLevelType w:val="multilevel"/>
    <w:tmpl w:val="B9C5590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C9E6D3A"/>
    <w:multiLevelType w:val="hybridMultilevel"/>
    <w:tmpl w:val="682AA894"/>
    <w:lvl w:ilvl="0" w:tplc="D0F878F0">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118D477"/>
    <w:multiLevelType w:val="multilevel"/>
    <w:tmpl w:val="E6DB87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71087514">
    <w:abstractNumId w:val="4"/>
  </w:num>
  <w:num w:numId="2" w16cid:durableId="270432268">
    <w:abstractNumId w:val="1"/>
  </w:num>
  <w:num w:numId="3" w16cid:durableId="1971865289">
    <w:abstractNumId w:val="2"/>
  </w:num>
  <w:num w:numId="4" w16cid:durableId="1712920766">
    <w:abstractNumId w:val="0"/>
  </w:num>
  <w:num w:numId="5" w16cid:durableId="122579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DD"/>
    <w:rsid w:val="00002731"/>
    <w:rsid w:val="00081278"/>
    <w:rsid w:val="000D3488"/>
    <w:rsid w:val="000F32EE"/>
    <w:rsid w:val="00100A33"/>
    <w:rsid w:val="00115E9C"/>
    <w:rsid w:val="001C00F3"/>
    <w:rsid w:val="001C2F63"/>
    <w:rsid w:val="001E67B8"/>
    <w:rsid w:val="001F6E96"/>
    <w:rsid w:val="00204F81"/>
    <w:rsid w:val="00244E71"/>
    <w:rsid w:val="00264C7C"/>
    <w:rsid w:val="00287267"/>
    <w:rsid w:val="002B66FC"/>
    <w:rsid w:val="003047D0"/>
    <w:rsid w:val="003319BF"/>
    <w:rsid w:val="00352378"/>
    <w:rsid w:val="003B2015"/>
    <w:rsid w:val="003D7475"/>
    <w:rsid w:val="00434EE3"/>
    <w:rsid w:val="00443D20"/>
    <w:rsid w:val="0048134A"/>
    <w:rsid w:val="005128AA"/>
    <w:rsid w:val="0052025C"/>
    <w:rsid w:val="005B028A"/>
    <w:rsid w:val="0066544D"/>
    <w:rsid w:val="00711957"/>
    <w:rsid w:val="007C7D58"/>
    <w:rsid w:val="007F57A9"/>
    <w:rsid w:val="008A107F"/>
    <w:rsid w:val="008A5CCD"/>
    <w:rsid w:val="00903922"/>
    <w:rsid w:val="0095210E"/>
    <w:rsid w:val="00AE698E"/>
    <w:rsid w:val="00B37ADD"/>
    <w:rsid w:val="00B6456A"/>
    <w:rsid w:val="00B708D8"/>
    <w:rsid w:val="00B81DDD"/>
    <w:rsid w:val="00B82E02"/>
    <w:rsid w:val="00C30350"/>
    <w:rsid w:val="00CA4BFE"/>
    <w:rsid w:val="00CC19B5"/>
    <w:rsid w:val="00D9014E"/>
    <w:rsid w:val="00DB3E0C"/>
    <w:rsid w:val="00E15C92"/>
    <w:rsid w:val="00EC150C"/>
    <w:rsid w:val="00ED5D9C"/>
    <w:rsid w:val="00F47C1B"/>
    <w:rsid w:val="00F47CED"/>
    <w:rsid w:val="00F64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A215"/>
  <w15:docId w15:val="{773EEC1C-0A6C-45C0-B659-2271E531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047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47D0"/>
    <w:rPr>
      <w:rFonts w:ascii="Verdana" w:hAnsi="Verdana"/>
      <w:color w:val="000000"/>
      <w:sz w:val="18"/>
      <w:szCs w:val="18"/>
    </w:rPr>
  </w:style>
  <w:style w:type="paragraph" w:styleId="Voettekst">
    <w:name w:val="footer"/>
    <w:basedOn w:val="Standaard"/>
    <w:link w:val="VoettekstChar"/>
    <w:uiPriority w:val="99"/>
    <w:unhideWhenUsed/>
    <w:rsid w:val="003047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047D0"/>
    <w:rPr>
      <w:rFonts w:ascii="Verdana" w:hAnsi="Verdana"/>
      <w:color w:val="000000"/>
      <w:sz w:val="18"/>
      <w:szCs w:val="18"/>
    </w:rPr>
  </w:style>
  <w:style w:type="paragraph" w:styleId="Lijstalinea">
    <w:name w:val="List Paragraph"/>
    <w:basedOn w:val="Standaard"/>
    <w:uiPriority w:val="34"/>
    <w:qFormat/>
    <w:rsid w:val="0066544D"/>
    <w:pPr>
      <w:ind w:left="720"/>
      <w:contextualSpacing/>
    </w:pPr>
  </w:style>
  <w:style w:type="character" w:customStyle="1" w:styleId="VoetnoottekstChar">
    <w:name w:val="Voetnoottekst Char"/>
    <w:basedOn w:val="Standaardalinea-lettertype"/>
    <w:link w:val="Voetnoottekst"/>
    <w:uiPriority w:val="99"/>
    <w:rsid w:val="0066544D"/>
    <w:rPr>
      <w:rFonts w:ascii="Verdana" w:hAnsi="Verdana"/>
      <w:sz w:val="13"/>
      <w:szCs w:val="13"/>
    </w:rPr>
  </w:style>
  <w:style w:type="character" w:styleId="Voetnootmarkering">
    <w:name w:val="footnote reference"/>
    <w:basedOn w:val="Standaardalinea-lettertype"/>
    <w:uiPriority w:val="99"/>
    <w:semiHidden/>
    <w:unhideWhenUsed/>
    <w:rsid w:val="0066544D"/>
    <w:rPr>
      <w:vertAlign w:val="superscript"/>
    </w:rPr>
  </w:style>
  <w:style w:type="character" w:styleId="Verwijzingopmerking">
    <w:name w:val="annotation reference"/>
    <w:basedOn w:val="Standaardalinea-lettertype"/>
    <w:uiPriority w:val="99"/>
    <w:semiHidden/>
    <w:unhideWhenUsed/>
    <w:rsid w:val="003D7475"/>
    <w:rPr>
      <w:sz w:val="16"/>
      <w:szCs w:val="16"/>
    </w:rPr>
  </w:style>
  <w:style w:type="paragraph" w:styleId="Tekstopmerking">
    <w:name w:val="annotation text"/>
    <w:basedOn w:val="Standaard"/>
    <w:link w:val="TekstopmerkingChar"/>
    <w:uiPriority w:val="99"/>
    <w:unhideWhenUsed/>
    <w:rsid w:val="003D7475"/>
    <w:pPr>
      <w:spacing w:line="240" w:lineRule="auto"/>
    </w:pPr>
    <w:rPr>
      <w:sz w:val="20"/>
      <w:szCs w:val="20"/>
    </w:rPr>
  </w:style>
  <w:style w:type="character" w:customStyle="1" w:styleId="TekstopmerkingChar">
    <w:name w:val="Tekst opmerking Char"/>
    <w:basedOn w:val="Standaardalinea-lettertype"/>
    <w:link w:val="Tekstopmerking"/>
    <w:uiPriority w:val="99"/>
    <w:rsid w:val="003D74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D7475"/>
    <w:rPr>
      <w:b/>
      <w:bCs/>
    </w:rPr>
  </w:style>
  <w:style w:type="character" w:customStyle="1" w:styleId="OnderwerpvanopmerkingChar">
    <w:name w:val="Onderwerp van opmerking Char"/>
    <w:basedOn w:val="TekstopmerkingChar"/>
    <w:link w:val="Onderwerpvanopmerking"/>
    <w:uiPriority w:val="99"/>
    <w:semiHidden/>
    <w:rsid w:val="003D7475"/>
    <w:rPr>
      <w:rFonts w:ascii="Verdana" w:hAnsi="Verdana"/>
      <w:b/>
      <w:bCs/>
      <w:color w:val="000000"/>
    </w:rPr>
  </w:style>
  <w:style w:type="paragraph" w:styleId="Revisie">
    <w:name w:val="Revision"/>
    <w:hidden/>
    <w:uiPriority w:val="99"/>
    <w:semiHidden/>
    <w:rsid w:val="00ED5D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866</ap:Words>
  <ap:Characters>4765</ap:Characters>
  <ap:DocSecurity>0</ap:DocSecurity>
  <ap:Lines>39</ap:Lines>
  <ap:Paragraphs>11</ap:Paragraphs>
  <ap:ScaleCrop>false</ap:ScaleCrop>
  <ap:LinksUpToDate>false</ap:LinksUpToDate>
  <ap:CharactersWithSpaces>5620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2026-07-09T07:10:00.0000000Z</dcterms:created>
  <dcterms:modified xsi:type="dcterms:W3CDTF">2026-07-09T07:10:00.0000000Z</dcterms:modified>
  <dc:description>------------------------</dc:description>
  <dc:subject/>
  <keywords/>
  <version/>
  <category/>
</coreProperties>
</file>