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2AF5" w:rsidP="00BE00B2" w:rsidRDefault="00132AF5" w14:paraId="3C7CC39D" w14:textId="77777777">
      <w:pPr>
        <w:ind w:firstLine="0"/>
        <w:rPr>
          <w:b/>
          <w:bCs/>
          <w:sz w:val="22"/>
          <w:szCs w:val="22"/>
        </w:rPr>
      </w:pPr>
      <w:bookmarkStart w:name="_Hlk138846181" w:id="0"/>
      <w:r>
        <w:rPr>
          <w:b/>
          <w:bCs/>
          <w:sz w:val="22"/>
          <w:szCs w:val="22"/>
        </w:rPr>
        <w:t xml:space="preserve">Bijlage bij </w:t>
      </w:r>
      <w:proofErr w:type="spellStart"/>
      <w:r>
        <w:rPr>
          <w:b/>
          <w:bCs/>
          <w:sz w:val="22"/>
          <w:szCs w:val="22"/>
        </w:rPr>
        <w:t>NnavV</w:t>
      </w:r>
      <w:proofErr w:type="spellEnd"/>
      <w:r>
        <w:rPr>
          <w:b/>
          <w:bCs/>
          <w:sz w:val="22"/>
          <w:szCs w:val="22"/>
        </w:rPr>
        <w:t xml:space="preserve"> FVW 2027 </w:t>
      </w:r>
    </w:p>
    <w:p w:rsidRPr="00132AF5" w:rsidR="00BE00B2" w:rsidP="00BE00B2" w:rsidRDefault="00132AF5" w14:paraId="4CB6859B" w14:textId="1A9A13D4">
      <w:pPr>
        <w:ind w:firstLine="0"/>
        <w:rPr>
          <w:b/>
          <w:bCs/>
          <w:i/>
          <w:iCs/>
          <w:sz w:val="22"/>
          <w:szCs w:val="22"/>
        </w:rPr>
      </w:pPr>
      <w:r w:rsidRPr="00132AF5">
        <w:rPr>
          <w:b/>
          <w:bCs/>
          <w:i/>
          <w:iCs/>
          <w:sz w:val="22"/>
          <w:szCs w:val="22"/>
        </w:rPr>
        <w:t xml:space="preserve">Concept </w:t>
      </w:r>
      <w:proofErr w:type="spellStart"/>
      <w:r>
        <w:rPr>
          <w:b/>
          <w:bCs/>
          <w:i/>
          <w:iCs/>
          <w:sz w:val="22"/>
          <w:szCs w:val="22"/>
        </w:rPr>
        <w:t>E</w:t>
      </w:r>
      <w:r w:rsidRPr="00132AF5" w:rsidR="00BE00B2">
        <w:rPr>
          <w:b/>
          <w:bCs/>
          <w:i/>
          <w:iCs/>
          <w:sz w:val="22"/>
          <w:szCs w:val="22"/>
        </w:rPr>
        <w:t>indejaarsregeling</w:t>
      </w:r>
      <w:proofErr w:type="spellEnd"/>
      <w:r w:rsidRPr="00132AF5" w:rsidR="00BE00B2">
        <w:rPr>
          <w:b/>
          <w:bCs/>
          <w:i/>
          <w:iCs/>
          <w:sz w:val="22"/>
          <w:szCs w:val="22"/>
        </w:rPr>
        <w:t xml:space="preserve"> 202</w:t>
      </w:r>
      <w:r w:rsidRPr="00132AF5" w:rsidR="004B056D">
        <w:rPr>
          <w:b/>
          <w:bCs/>
          <w:i/>
          <w:iCs/>
          <w:sz w:val="22"/>
          <w:szCs w:val="22"/>
        </w:rPr>
        <w:t>6</w:t>
      </w:r>
      <w:r w:rsidRPr="00132AF5">
        <w:rPr>
          <w:b/>
          <w:bCs/>
          <w:i/>
          <w:iCs/>
          <w:sz w:val="22"/>
          <w:szCs w:val="22"/>
        </w:rPr>
        <w:t xml:space="preserve"> (pensioenen)</w:t>
      </w:r>
      <w:r w:rsidRPr="00132AF5" w:rsidR="00BE00B2">
        <w:rPr>
          <w:b/>
          <w:bCs/>
          <w:i/>
          <w:iCs/>
          <w:sz w:val="22"/>
          <w:szCs w:val="22"/>
        </w:rPr>
        <w:t xml:space="preserve"> </w:t>
      </w:r>
    </w:p>
    <w:p w:rsidR="004B056D" w:rsidP="00BE00B2" w:rsidRDefault="004B056D" w14:paraId="0CDF9C3D" w14:textId="77777777">
      <w:pPr>
        <w:ind w:firstLine="0"/>
        <w:rPr>
          <w:b/>
          <w:bCs/>
        </w:rPr>
      </w:pPr>
    </w:p>
    <w:p w:rsidR="0067408E" w:rsidP="0067408E" w:rsidRDefault="009D007C" w14:paraId="637FBC3D" w14:textId="7A92A414">
      <w:pPr>
        <w:shd w:val="clear" w:color="auto" w:fill="E7E6E6" w:themeFill="background2"/>
        <w:ind w:firstLine="0"/>
        <w:rPr>
          <w:b/>
          <w:bCs/>
        </w:rPr>
      </w:pPr>
      <w:r>
        <w:rPr>
          <w:b/>
          <w:bCs/>
        </w:rPr>
        <w:t>T</w:t>
      </w:r>
      <w:r w:rsidRPr="0067408E" w:rsidR="0067408E">
        <w:rPr>
          <w:b/>
          <w:bCs/>
        </w:rPr>
        <w:t>oelichting</w:t>
      </w:r>
      <w:r w:rsidR="0067408E">
        <w:rPr>
          <w:b/>
          <w:bCs/>
        </w:rPr>
        <w:t xml:space="preserve"> </w:t>
      </w:r>
    </w:p>
    <w:p w:rsidR="0067408E" w:rsidP="004B056D" w:rsidRDefault="0067408E" w14:paraId="6B35C13C" w14:textId="77777777">
      <w:pPr>
        <w:ind w:firstLine="0"/>
        <w:rPr>
          <w:b/>
          <w:bCs/>
        </w:rPr>
      </w:pPr>
    </w:p>
    <w:p w:rsidRPr="0041469E" w:rsidR="0041469E" w:rsidP="00F700C0" w:rsidRDefault="0041469E" w14:paraId="3926174C" w14:textId="77777777">
      <w:pPr>
        <w:ind w:firstLine="0"/>
        <w:rPr>
          <w:b/>
          <w:bCs/>
        </w:rPr>
      </w:pPr>
      <w:r w:rsidRPr="0041469E">
        <w:rPr>
          <w:b/>
          <w:bCs/>
        </w:rPr>
        <w:t xml:space="preserve">I. Algemeen </w:t>
      </w:r>
    </w:p>
    <w:p w:rsidRPr="0041469E" w:rsidR="0041469E" w:rsidP="00F700C0" w:rsidRDefault="0041469E" w14:paraId="3497F189" w14:textId="77777777">
      <w:pPr>
        <w:ind w:firstLine="0"/>
        <w:rPr>
          <w:b/>
          <w:bCs/>
        </w:rPr>
      </w:pPr>
    </w:p>
    <w:p w:rsidR="0041469E" w:rsidP="00F700C0" w:rsidRDefault="0041469E" w14:paraId="0826F410" w14:textId="3FE2B7B7">
      <w:pPr>
        <w:ind w:firstLine="0"/>
      </w:pPr>
      <w:r w:rsidRPr="0041469E">
        <w:rPr>
          <w:b/>
          <w:bCs/>
        </w:rPr>
        <w:t>1. Algemene toelichting</w:t>
      </w:r>
      <w:r w:rsidRPr="0041469E">
        <w:t xml:space="preserve"> </w:t>
      </w:r>
      <w:r>
        <w:br/>
      </w:r>
      <w:r w:rsidRPr="0041469E">
        <w:t>In deze regeling (</w:t>
      </w:r>
      <w:proofErr w:type="spellStart"/>
      <w:r w:rsidRPr="0041469E">
        <w:t>Eindejaarsregeling</w:t>
      </w:r>
      <w:proofErr w:type="spellEnd"/>
      <w:r w:rsidRPr="0041469E">
        <w:t xml:space="preserve"> 202</w:t>
      </w:r>
      <w:r>
        <w:t>6</w:t>
      </w:r>
      <w:r w:rsidRPr="0041469E">
        <w:t xml:space="preserve">) </w:t>
      </w:r>
      <w:r>
        <w:t xml:space="preserve">is een aantal </w:t>
      </w:r>
      <w:r w:rsidRPr="0041469E">
        <w:t>wijziging</w:t>
      </w:r>
      <w:r>
        <w:t>en</w:t>
      </w:r>
      <w:r w:rsidRPr="0041469E">
        <w:t xml:space="preserve"> opgenomen van </w:t>
      </w:r>
      <w:r>
        <w:t>een</w:t>
      </w:r>
      <w:r w:rsidRPr="0041469E">
        <w:t xml:space="preserve"> regeling op het terrein van de directe belastingen. De wijzigingen vloeien onder andere voort uit de Fiscale verzamelwet 202</w:t>
      </w:r>
      <w:r>
        <w:t>7</w:t>
      </w:r>
      <w:r w:rsidRPr="0041469E">
        <w:t xml:space="preserve"> (FVW 202</w:t>
      </w:r>
      <w:r>
        <w:t>7</w:t>
      </w:r>
      <w:r w:rsidRPr="0041469E">
        <w:t xml:space="preserve">). Deze regeling wijzigt de volgende regeling: </w:t>
      </w:r>
    </w:p>
    <w:p w:rsidR="0041469E" w:rsidP="00F700C0" w:rsidRDefault="0041469E" w14:paraId="65144E3F" w14:textId="77777777">
      <w:pPr>
        <w:ind w:firstLine="0"/>
      </w:pPr>
    </w:p>
    <w:p w:rsidR="0041469E" w:rsidP="00F700C0" w:rsidRDefault="0041469E" w14:paraId="44EBE25B" w14:textId="1B0A59C1">
      <w:pPr>
        <w:ind w:firstLine="0"/>
      </w:pPr>
      <w:r w:rsidRPr="0041469E">
        <w:t xml:space="preserve">- de Uitvoeringsregeling </w:t>
      </w:r>
      <w:r>
        <w:t xml:space="preserve">loonbelasting 2011 </w:t>
      </w:r>
      <w:r w:rsidR="00244893">
        <w:t xml:space="preserve">(URLB 2011). </w:t>
      </w:r>
    </w:p>
    <w:p w:rsidR="0041469E" w:rsidP="00F700C0" w:rsidRDefault="0041469E" w14:paraId="44BD5649" w14:textId="77777777">
      <w:pPr>
        <w:ind w:firstLine="0"/>
      </w:pPr>
    </w:p>
    <w:p w:rsidRPr="0041469E" w:rsidR="0041469E" w:rsidP="00F700C0" w:rsidRDefault="0041469E" w14:paraId="6565E8A7" w14:textId="423A8D8C">
      <w:pPr>
        <w:ind w:firstLine="0"/>
        <w:rPr>
          <w:b/>
          <w:bCs/>
        </w:rPr>
      </w:pPr>
      <w:r w:rsidRPr="0041469E">
        <w:rPr>
          <w:b/>
          <w:bCs/>
        </w:rPr>
        <w:t>2. Toelichting</w:t>
      </w:r>
      <w:r w:rsidR="006947C3">
        <w:rPr>
          <w:b/>
          <w:bCs/>
        </w:rPr>
        <w:t>en</w:t>
      </w:r>
      <w:r w:rsidRPr="0041469E">
        <w:rPr>
          <w:b/>
          <w:bCs/>
        </w:rPr>
        <w:t xml:space="preserve"> op enkele wijzigingen </w:t>
      </w:r>
    </w:p>
    <w:p w:rsidR="0041469E" w:rsidP="00F700C0" w:rsidRDefault="0041469E" w14:paraId="0BEBCCAE" w14:textId="77777777">
      <w:pPr>
        <w:ind w:firstLine="0"/>
      </w:pPr>
      <w:r w:rsidRPr="0041469E">
        <w:t xml:space="preserve">Voor enkel technische wijzigingen is hier geen toelichting opgenomen. De toelichting op enkel technische wijzigingen is te vinden in de artikelsgewijze toelichting. </w:t>
      </w:r>
    </w:p>
    <w:p w:rsidR="0041469E" w:rsidP="00F700C0" w:rsidRDefault="0041469E" w14:paraId="62B60533" w14:textId="77777777">
      <w:pPr>
        <w:ind w:firstLine="0"/>
      </w:pPr>
    </w:p>
    <w:p w:rsidRPr="00244893" w:rsidR="008F2DA9" w:rsidP="00F700C0" w:rsidRDefault="0041469E" w14:paraId="0AF52E11" w14:textId="77777777">
      <w:pPr>
        <w:ind w:firstLine="0"/>
        <w:rPr>
          <w:i/>
          <w:iCs/>
        </w:rPr>
      </w:pPr>
      <w:r w:rsidRPr="00244893">
        <w:rPr>
          <w:i/>
          <w:iCs/>
          <w:highlight w:val="yellow"/>
        </w:rPr>
        <w:t>PM</w:t>
      </w:r>
      <w:r w:rsidRPr="00244893">
        <w:rPr>
          <w:i/>
          <w:iCs/>
        </w:rPr>
        <w:t xml:space="preserve"> </w:t>
      </w:r>
      <w:r w:rsidRPr="00244893" w:rsidR="008F2DA9">
        <w:rPr>
          <w:i/>
          <w:iCs/>
        </w:rPr>
        <w:t xml:space="preserve">Overschrijding uiterste pensioeningangsdatum </w:t>
      </w:r>
    </w:p>
    <w:p w:rsidR="00CB6EE9" w:rsidP="004B056D" w:rsidRDefault="008F2DA9" w14:paraId="077DE512" w14:textId="602F855D">
      <w:pPr>
        <w:ind w:firstLine="0"/>
      </w:pPr>
      <w:r>
        <w:t xml:space="preserve">In de Wet op de loonbelasting 1964 </w:t>
      </w:r>
      <w:r w:rsidR="00244893">
        <w:t>zijn</w:t>
      </w:r>
      <w:r>
        <w:t xml:space="preserve"> uiterste ingangsdat</w:t>
      </w:r>
      <w:r w:rsidR="00244893">
        <w:t>a</w:t>
      </w:r>
      <w:r>
        <w:t xml:space="preserve"> </w:t>
      </w:r>
      <w:r w:rsidR="00EA077D">
        <w:t>opgenomen</w:t>
      </w:r>
      <w:r>
        <w:t xml:space="preserve"> van het ouderdomspensioen, partnerpensioen bij overlijden op of na pensioendatum, partnerpensioen bij overlijden voor pensioendatum en wezenpensioen</w:t>
      </w:r>
      <w:r w:rsidR="008552A3">
        <w:t xml:space="preserve"> (hierna</w:t>
      </w:r>
      <w:r w:rsidR="00EA077D">
        <w:t xml:space="preserve"> worden deze pensioensoorten gezamenlijk aangeduid als</w:t>
      </w:r>
      <w:r w:rsidR="008552A3">
        <w:t xml:space="preserve"> ‘pensioen’)</w:t>
      </w:r>
      <w:r>
        <w:t>.</w:t>
      </w:r>
      <w:r w:rsidR="009202E9">
        <w:rPr>
          <w:rStyle w:val="Voetnootmarkering"/>
        </w:rPr>
        <w:footnoteReference w:id="1"/>
      </w:r>
      <w:r>
        <w:t xml:space="preserve"> Als een pensioen niet tijdig ingaat heeft dat fiscale consequenties. Het pensioen wordt </w:t>
      </w:r>
      <w:r w:rsidR="008552A3">
        <w:t xml:space="preserve">dan </w:t>
      </w:r>
      <w:r>
        <w:t>onzuiver</w:t>
      </w:r>
      <w:r w:rsidR="008552A3">
        <w:t xml:space="preserve">. Dat betekent dat </w:t>
      </w:r>
      <w:r w:rsidR="009D007C">
        <w:t>de</w:t>
      </w:r>
      <w:r w:rsidR="008552A3">
        <w:t xml:space="preserve"> pensioen</w:t>
      </w:r>
      <w:r w:rsidR="009D007C">
        <w:t>aanspraak</w:t>
      </w:r>
      <w:r>
        <w:t xml:space="preserve"> in één keer volledig in de belastingheffing </w:t>
      </w:r>
      <w:r w:rsidR="008552A3">
        <w:t xml:space="preserve">wordt </w:t>
      </w:r>
      <w:r>
        <w:t>betrokken als loon uit vroegere dienstbetrekking</w:t>
      </w:r>
      <w:r w:rsidRPr="009202E9" w:rsidR="009202E9">
        <w:t xml:space="preserve"> </w:t>
      </w:r>
      <w:r w:rsidR="009202E9">
        <w:t>en</w:t>
      </w:r>
      <w:r w:rsidR="008552A3">
        <w:t xml:space="preserve"> dat</w:t>
      </w:r>
      <w:r w:rsidR="009202E9">
        <w:t xml:space="preserve"> daarnaast revisierente</w:t>
      </w:r>
      <w:r w:rsidR="008552A3">
        <w:t xml:space="preserve"> is</w:t>
      </w:r>
      <w:r w:rsidR="009202E9">
        <w:t xml:space="preserve"> verschuldigd</w:t>
      </w:r>
      <w:r w:rsidR="008552A3">
        <w:t xml:space="preserve"> over </w:t>
      </w:r>
      <w:r w:rsidR="009D007C">
        <w:t>die</w:t>
      </w:r>
      <w:r w:rsidR="008552A3">
        <w:t xml:space="preserve"> pensioen</w:t>
      </w:r>
      <w:r w:rsidR="009D007C">
        <w:t>aanspraak</w:t>
      </w:r>
      <w:r>
        <w:t>.</w:t>
      </w:r>
      <w:r w:rsidR="009202E9">
        <w:rPr>
          <w:rStyle w:val="Voetnootmarkering"/>
        </w:rPr>
        <w:footnoteReference w:id="2"/>
      </w:r>
      <w:r>
        <w:t xml:space="preserve"> In de uitvoeringspraktijk zijn er </w:t>
      </w:r>
      <w:r w:rsidR="009202E9">
        <w:t>gerechtigden</w:t>
      </w:r>
      <w:r w:rsidR="00EA077D">
        <w:t xml:space="preserve"> tot het pensioen</w:t>
      </w:r>
      <w:r w:rsidR="009202E9">
        <w:t xml:space="preserve"> </w:t>
      </w:r>
      <w:r>
        <w:t xml:space="preserve">die vanwege verschillende redenen (zoals woonachtig </w:t>
      </w:r>
      <w:r w:rsidR="009D007C">
        <w:t xml:space="preserve">zijn </w:t>
      </w:r>
      <w:r>
        <w:t xml:space="preserve">in het buitenland, gezondheidsproblemen) het pensioen niet tijdig opvragen bij de pensioenuitvoerder. </w:t>
      </w:r>
      <w:r w:rsidRPr="004D714A" w:rsidR="008552A3">
        <w:t>Met</w:t>
      </w:r>
      <w:r w:rsidRPr="004D714A" w:rsidR="00F700C0">
        <w:t xml:space="preserve"> </w:t>
      </w:r>
      <w:r w:rsidRPr="004D714A">
        <w:t>de</w:t>
      </w:r>
      <w:r w:rsidRPr="004D714A" w:rsidR="00F700C0">
        <w:t xml:space="preserve"> FVW</w:t>
      </w:r>
      <w:r w:rsidRPr="004D714A" w:rsidR="008552A3">
        <w:t xml:space="preserve"> 20</w:t>
      </w:r>
      <w:r w:rsidRPr="004D714A" w:rsidR="00F700C0">
        <w:t xml:space="preserve">27 is </w:t>
      </w:r>
      <w:r w:rsidRPr="004D714A" w:rsidR="008552A3">
        <w:t>geregeld</w:t>
      </w:r>
      <w:r w:rsidRPr="004D714A" w:rsidR="009202E9">
        <w:t xml:space="preserve"> dat</w:t>
      </w:r>
      <w:r w:rsidRPr="004D714A" w:rsidR="00F700C0">
        <w:t xml:space="preserve"> bij overschrijding van de uiterste ingangsdat</w:t>
      </w:r>
      <w:r w:rsidRPr="004D714A" w:rsidR="00244893">
        <w:t>a</w:t>
      </w:r>
      <w:r w:rsidRPr="004D714A" w:rsidR="00EA077D">
        <w:t>,</w:t>
      </w:r>
      <w:r w:rsidRPr="004D714A" w:rsidR="00F700C0">
        <w:t xml:space="preserve"> het pensioen onder</w:t>
      </w:r>
      <w:r w:rsidRPr="004D714A" w:rsidR="009202E9">
        <w:t xml:space="preserve"> bij ministeriële regeling</w:t>
      </w:r>
      <w:r w:rsidRPr="004D714A" w:rsidR="00F700C0">
        <w:t xml:space="preserve"> </w:t>
      </w:r>
      <w:r w:rsidRPr="004D714A" w:rsidR="009202E9">
        <w:t>te stellen</w:t>
      </w:r>
      <w:r w:rsidR="009202E9">
        <w:t xml:space="preserve"> </w:t>
      </w:r>
      <w:r w:rsidRPr="00F700C0" w:rsidR="00F700C0">
        <w:t>voorwaarden</w:t>
      </w:r>
      <w:r w:rsidR="009202E9">
        <w:t xml:space="preserve"> niet onzuiver wordt</w:t>
      </w:r>
      <w:r w:rsidRPr="00F700C0" w:rsidR="00F700C0">
        <w:t>.</w:t>
      </w:r>
      <w:r>
        <w:rPr>
          <w:rStyle w:val="Voetnootmarkering"/>
        </w:rPr>
        <w:footnoteReference w:id="3"/>
      </w:r>
      <w:r w:rsidR="009202E9">
        <w:t xml:space="preserve"> Met deze regeling wordt invulling gegeven aan </w:t>
      </w:r>
      <w:r w:rsidR="009D007C">
        <w:t>die mogelijkheid</w:t>
      </w:r>
      <w:r w:rsidR="009202E9">
        <w:t xml:space="preserve">. </w:t>
      </w:r>
      <w:r w:rsidR="00407B9F">
        <w:t xml:space="preserve">Als </w:t>
      </w:r>
      <w:r w:rsidR="009202E9">
        <w:t>voorwaarde word</w:t>
      </w:r>
      <w:r w:rsidR="00407B9F">
        <w:t>t</w:t>
      </w:r>
      <w:r w:rsidR="009202E9">
        <w:t xml:space="preserve"> gesteld</w:t>
      </w:r>
      <w:r w:rsidR="00407B9F">
        <w:t xml:space="preserve"> dat d</w:t>
      </w:r>
      <w:r w:rsidR="009202E9">
        <w:t xml:space="preserve">e pensioenuitvoerder </w:t>
      </w:r>
      <w:r w:rsidR="008E2A5C">
        <w:t>aannemelijk</w:t>
      </w:r>
      <w:r w:rsidR="00407B9F">
        <w:t xml:space="preserve"> maakt</w:t>
      </w:r>
      <w:r w:rsidR="008E2A5C">
        <w:t xml:space="preserve"> dat</w:t>
      </w:r>
      <w:r w:rsidR="009202E9">
        <w:t xml:space="preserve"> de gerechtigde tot het pensioen</w:t>
      </w:r>
      <w:r w:rsidR="008E2A5C">
        <w:t xml:space="preserve"> ten minste eenmaal</w:t>
      </w:r>
      <w:r w:rsidR="00244893">
        <w:t xml:space="preserve"> schriftelijk of </w:t>
      </w:r>
      <w:r w:rsidR="00CD4B94">
        <w:t>langs elektronische weg</w:t>
      </w:r>
      <w:r w:rsidR="00244893">
        <w:t xml:space="preserve"> </w:t>
      </w:r>
      <w:r w:rsidR="008E2A5C">
        <w:t xml:space="preserve">is </w:t>
      </w:r>
      <w:r w:rsidR="00244893">
        <w:t>geïnformeerd over de ingang van het pensioen. Mochten de contactgegevens van de gerechtigde tot het pensioen ontbreken dan</w:t>
      </w:r>
      <w:r w:rsidR="008E2A5C">
        <w:t xml:space="preserve"> </w:t>
      </w:r>
      <w:r w:rsidR="009D007C">
        <w:t>dient</w:t>
      </w:r>
      <w:r w:rsidR="008E2A5C">
        <w:t xml:space="preserve"> de pensioenuitvoerder aannemelijk </w:t>
      </w:r>
      <w:r w:rsidR="009D007C">
        <w:t xml:space="preserve">te maken </w:t>
      </w:r>
      <w:r w:rsidR="008E2A5C">
        <w:t xml:space="preserve">dat </w:t>
      </w:r>
      <w:r w:rsidR="009D007C">
        <w:t>hij</w:t>
      </w:r>
      <w:r w:rsidR="00244893">
        <w:t xml:space="preserve"> de gerechtigde</w:t>
      </w:r>
      <w:r w:rsidR="008E2A5C">
        <w:t xml:space="preserve"> tot het pensioen heeft</w:t>
      </w:r>
      <w:r w:rsidR="00244893">
        <w:t xml:space="preserve"> opgenomen in zoekacties. </w:t>
      </w:r>
      <w:r w:rsidR="009202E9">
        <w:t>Met de</w:t>
      </w:r>
      <w:r w:rsidR="00407B9F">
        <w:t>ze</w:t>
      </w:r>
      <w:r w:rsidR="009202E9">
        <w:t xml:space="preserve"> voorwaarde wordt aangesloten bij de bestaande zorgplicht</w:t>
      </w:r>
      <w:r w:rsidR="00A27950">
        <w:t xml:space="preserve"> vanuit onder andere de Pensioenwet</w:t>
      </w:r>
      <w:r w:rsidR="009202E9">
        <w:t xml:space="preserve"> die pensioenuitvoerders hebben om </w:t>
      </w:r>
      <w:r w:rsidR="00EA077D">
        <w:t>gerechtigden tot het pensioen</w:t>
      </w:r>
      <w:r w:rsidR="009202E9">
        <w:t xml:space="preserve"> te bereiken en </w:t>
      </w:r>
      <w:r w:rsidR="00244893">
        <w:t xml:space="preserve">hen </w:t>
      </w:r>
      <w:r w:rsidR="009202E9">
        <w:t>te informeren</w:t>
      </w:r>
      <w:r w:rsidR="00244893">
        <w:t xml:space="preserve"> over de ingang van het pensioen</w:t>
      </w:r>
      <w:r w:rsidR="009202E9">
        <w:t>.</w:t>
      </w:r>
      <w:r w:rsidR="00A27950">
        <w:rPr>
          <w:rStyle w:val="Voetnootmarkering"/>
        </w:rPr>
        <w:footnoteReference w:id="4"/>
      </w:r>
      <w:r w:rsidR="008E2A5C">
        <w:t xml:space="preserve"> </w:t>
      </w:r>
      <w:r w:rsidR="00CB1561">
        <w:t xml:space="preserve">De voorwaarde </w:t>
      </w:r>
      <w:r w:rsidR="00CB1561">
        <w:lastRenderedPageBreak/>
        <w:t xml:space="preserve">betreft </w:t>
      </w:r>
      <w:r w:rsidR="008E2A5C">
        <w:t xml:space="preserve">een inspanningsverlichting voor de pensioenuitvoerder waarbij aannemelijk dient te worden </w:t>
      </w:r>
      <w:r w:rsidR="009927EA">
        <w:t xml:space="preserve">gemaakt </w:t>
      </w:r>
      <w:r w:rsidR="00407B9F">
        <w:t xml:space="preserve">(als de Belastingdienst hierom vraagt) </w:t>
      </w:r>
      <w:r w:rsidR="008E2A5C">
        <w:t xml:space="preserve">dat er inspanningen zijn gedaan om de gerechtigde tot het pensioen te bereiken. Dit kan bijvoorbeeld aannemelijk worden gemaakt </w:t>
      </w:r>
      <w:r w:rsidR="00A90F95">
        <w:t xml:space="preserve">met </w:t>
      </w:r>
      <w:r w:rsidR="008E2A5C">
        <w:t>een procedure</w:t>
      </w:r>
      <w:r w:rsidR="00A90F95">
        <w:t xml:space="preserve"> waaruit volgt</w:t>
      </w:r>
      <w:r w:rsidR="008E2A5C">
        <w:t xml:space="preserve"> </w:t>
      </w:r>
      <w:r w:rsidR="00A27950">
        <w:t xml:space="preserve">hoe de pensioenuitvoerder handelt in het bereiken van gerechtigden tot het pensioen. </w:t>
      </w:r>
      <w:r w:rsidR="006947C3">
        <w:t xml:space="preserve">Het administreren van een onzuiver pensioen leidt tot extra administratieve lasten en kosten voor pensioenuitvoerders. </w:t>
      </w:r>
      <w:r w:rsidR="00407B9F">
        <w:t>Met d</w:t>
      </w:r>
      <w:r w:rsidR="006947C3">
        <w:t>e</w:t>
      </w:r>
      <w:r w:rsidR="009927EA">
        <w:t xml:space="preserve"> genoemde</w:t>
      </w:r>
      <w:r w:rsidR="006947C3">
        <w:t xml:space="preserve"> voorwaarde </w:t>
      </w:r>
      <w:r w:rsidR="00407B9F">
        <w:t>worden</w:t>
      </w:r>
      <w:r w:rsidR="006947C3">
        <w:t xml:space="preserve"> pensioenuitvoerders </w:t>
      </w:r>
      <w:r w:rsidR="00407B9F">
        <w:t xml:space="preserve">gestimuleerd </w:t>
      </w:r>
      <w:r w:rsidR="006947C3">
        <w:t>om gerechtigden</w:t>
      </w:r>
      <w:r w:rsidR="00EA077D">
        <w:t xml:space="preserve"> tot het pensioen te informeren en</w:t>
      </w:r>
      <w:r w:rsidR="006947C3">
        <w:t xml:space="preserve"> op te sporen. Dat is uiteindelijk ook in het belang van de gerechtigden</w:t>
      </w:r>
      <w:r w:rsidR="008E2A5C">
        <w:t xml:space="preserve"> tot het pensioen</w:t>
      </w:r>
      <w:r w:rsidR="00EA077D">
        <w:t xml:space="preserve"> zelf</w:t>
      </w:r>
      <w:r w:rsidR="006947C3">
        <w:t>.</w:t>
      </w:r>
      <w:r w:rsidR="00EA077D">
        <w:t xml:space="preserve"> </w:t>
      </w:r>
      <w:r w:rsidR="006947C3">
        <w:t xml:space="preserve"> </w:t>
      </w:r>
    </w:p>
    <w:p w:rsidR="0067408E" w:rsidP="004B056D" w:rsidRDefault="00CB6EE9" w14:paraId="2189CE69" w14:textId="6E614CF2">
      <w:pPr>
        <w:ind w:firstLine="0"/>
        <w:rPr>
          <w:b/>
          <w:bCs/>
        </w:rPr>
      </w:pPr>
      <w:r>
        <w:t xml:space="preserve">In de memorie van toelichting </w:t>
      </w:r>
      <w:r w:rsidR="009927EA">
        <w:t>bij</w:t>
      </w:r>
      <w:r>
        <w:t xml:space="preserve"> de F</w:t>
      </w:r>
      <w:r w:rsidR="009927EA">
        <w:t>VW</w:t>
      </w:r>
      <w:r>
        <w:t xml:space="preserve"> 2027 is </w:t>
      </w:r>
      <w:r w:rsidR="00C116D5">
        <w:t>genoemd dat</w:t>
      </w:r>
      <w:r>
        <w:t xml:space="preserve"> </w:t>
      </w:r>
      <w:r w:rsidR="00C116D5">
        <w:t xml:space="preserve">ook </w:t>
      </w:r>
      <w:r w:rsidR="00FF6B09">
        <w:t>gedacht kan worden de</w:t>
      </w:r>
      <w:r>
        <w:t xml:space="preserve"> voorwaarde</w:t>
      </w:r>
      <w:r w:rsidR="00C116D5">
        <w:t xml:space="preserve"> te stellen</w:t>
      </w:r>
      <w:r>
        <w:t xml:space="preserve"> dat de gerechtigde tot het pensioen op het moment van het aanvragen van het pensioen in leven is. Deze voorwaarde wordt niet gesteld</w:t>
      </w:r>
      <w:r w:rsidR="00096A6D">
        <w:t xml:space="preserve">. </w:t>
      </w:r>
      <w:r w:rsidR="00C116D5">
        <w:t xml:space="preserve">Met </w:t>
      </w:r>
      <w:r w:rsidR="00096A6D">
        <w:t xml:space="preserve">deze voorwaarde </w:t>
      </w:r>
      <w:r w:rsidR="009927EA">
        <w:t>zou</w:t>
      </w:r>
      <w:r w:rsidR="000B2D67">
        <w:t xml:space="preserve"> </w:t>
      </w:r>
      <w:r w:rsidR="00FF6B09">
        <w:t>de</w:t>
      </w:r>
      <w:r w:rsidR="000B2D67">
        <w:t xml:space="preserve"> pensioen</w:t>
      </w:r>
      <w:r w:rsidR="005F020A">
        <w:t>aanspraak</w:t>
      </w:r>
      <w:r w:rsidR="00096A6D">
        <w:t xml:space="preserve"> </w:t>
      </w:r>
      <w:r w:rsidR="00E22D52">
        <w:t>na</w:t>
      </w:r>
      <w:r w:rsidR="00096A6D">
        <w:t xml:space="preserve"> overlijden van de gerechtigde tot het pensioen</w:t>
      </w:r>
      <w:r w:rsidR="00C67BA2">
        <w:t xml:space="preserve"> onbedoeld</w:t>
      </w:r>
      <w:r w:rsidR="000B2D67">
        <w:t xml:space="preserve"> </w:t>
      </w:r>
      <w:r w:rsidR="00FF6B09">
        <w:t xml:space="preserve">alsnog </w:t>
      </w:r>
      <w:r w:rsidR="000B2D67">
        <w:t>onzuiver</w:t>
      </w:r>
      <w:r w:rsidR="002B5465">
        <w:t xml:space="preserve"> </w:t>
      </w:r>
      <w:r w:rsidR="009927EA">
        <w:t xml:space="preserve">kunnen </w:t>
      </w:r>
      <w:r w:rsidR="002B5465">
        <w:t>worden</w:t>
      </w:r>
      <w:r w:rsidR="000B2D67">
        <w:t>.</w:t>
      </w:r>
      <w:r w:rsidR="00096A6D">
        <w:t xml:space="preserve"> </w:t>
      </w:r>
      <w:r w:rsidR="002B5465">
        <w:t>Na</w:t>
      </w:r>
      <w:r w:rsidR="00B21E12">
        <w:t xml:space="preserve"> </w:t>
      </w:r>
      <w:r w:rsidR="00C116D5">
        <w:t xml:space="preserve">overlijden </w:t>
      </w:r>
      <w:r w:rsidR="00B21E12">
        <w:t>kan</w:t>
      </w:r>
      <w:r w:rsidR="00FF6B09">
        <w:t xml:space="preserve"> </w:t>
      </w:r>
      <w:r w:rsidR="00C67BA2">
        <w:t xml:space="preserve">namelijk </w:t>
      </w:r>
      <w:r w:rsidR="00B21E12">
        <w:t>ni</w:t>
      </w:r>
      <w:r w:rsidR="00FF6B09">
        <w:t>e</w:t>
      </w:r>
      <w:r w:rsidR="00B21E12">
        <w:t xml:space="preserve">t meer </w:t>
      </w:r>
      <w:r w:rsidR="00FF6B09">
        <w:t xml:space="preserve">worden </w:t>
      </w:r>
      <w:r w:rsidR="00B21E12">
        <w:t>vold</w:t>
      </w:r>
      <w:r w:rsidR="00FF6B09">
        <w:t>aa</w:t>
      </w:r>
      <w:r w:rsidR="00B21E12">
        <w:t xml:space="preserve">n aan de voorwaarde van in leven zijn op het moment van aanvraag van het pensioen. </w:t>
      </w:r>
      <w:r w:rsidR="009927EA">
        <w:t>In dat geval</w:t>
      </w:r>
      <w:r w:rsidR="00B21E12">
        <w:t xml:space="preserve"> </w:t>
      </w:r>
      <w:r w:rsidR="009927EA">
        <w:t xml:space="preserve">zou </w:t>
      </w:r>
      <w:r w:rsidR="00B21E12">
        <w:t>word</w:t>
      </w:r>
      <w:r w:rsidR="009927EA">
        <w:t>en</w:t>
      </w:r>
      <w:r w:rsidR="00B21E12">
        <w:t xml:space="preserve"> teruggevallen op de hoofdregel van de Wet LB 1964.</w:t>
      </w:r>
      <w:r w:rsidR="00B21E12">
        <w:rPr>
          <w:rStyle w:val="Voetnootmarkering"/>
        </w:rPr>
        <w:footnoteReference w:id="5"/>
      </w:r>
      <w:r w:rsidR="00B21E12">
        <w:t xml:space="preserve"> Dit </w:t>
      </w:r>
      <w:r w:rsidR="009927EA">
        <w:t xml:space="preserve">zou </w:t>
      </w:r>
      <w:r w:rsidR="00B21E12">
        <w:t>beteken</w:t>
      </w:r>
      <w:r w:rsidR="009927EA">
        <w:t>en</w:t>
      </w:r>
      <w:r w:rsidR="00B21E12">
        <w:t xml:space="preserve"> dat het pensioen</w:t>
      </w:r>
      <w:r w:rsidR="00C116D5">
        <w:t xml:space="preserve"> </w:t>
      </w:r>
      <w:r w:rsidR="004B3331">
        <w:t>als het niet</w:t>
      </w:r>
      <w:r w:rsidR="00643FEC">
        <w:t xml:space="preserve"> voor de uiterste ingangsdatum</w:t>
      </w:r>
      <w:r w:rsidR="004B3331">
        <w:t xml:space="preserve"> is ingegaan </w:t>
      </w:r>
      <w:r w:rsidR="00C116D5">
        <w:t xml:space="preserve">onzuiver </w:t>
      </w:r>
      <w:r w:rsidR="009927EA">
        <w:t>wordt</w:t>
      </w:r>
      <w:r w:rsidR="004B3331">
        <w:t>.</w:t>
      </w:r>
      <w:r w:rsidR="00ED1F9D">
        <w:t xml:space="preserve"> Dit gevolg is niet beoogd en daarom wordt deze voorwaarde niet gesteld. Daarnaast wordt </w:t>
      </w:r>
      <w:r w:rsidR="00AD66D4">
        <w:t>een mogelijk</w:t>
      </w:r>
      <w:r w:rsidR="00ED1F9D">
        <w:t xml:space="preserve"> gedragseffect</w:t>
      </w:r>
      <w:r w:rsidR="00AD66D4">
        <w:t xml:space="preserve"> </w:t>
      </w:r>
      <w:r w:rsidR="009927EA">
        <w:t>d</w:t>
      </w:r>
      <w:r w:rsidR="00AD66D4">
        <w:t xml:space="preserve">at met deze voorwaarde zou worden </w:t>
      </w:r>
      <w:r w:rsidR="009927EA">
        <w:t xml:space="preserve">tegengegaan </w:t>
      </w:r>
      <w:r w:rsidR="00AD66D4">
        <w:t xml:space="preserve">als beperkt ingeschat. Het gaat dan om de situatie </w:t>
      </w:r>
      <w:r w:rsidR="00ED1F9D">
        <w:t>dat</w:t>
      </w:r>
      <w:r w:rsidR="00AD66D4">
        <w:t xml:space="preserve"> </w:t>
      </w:r>
      <w:r w:rsidR="00ED1F9D">
        <w:t>gerechtigden tot</w:t>
      </w:r>
      <w:r w:rsidR="00AD66D4">
        <w:t xml:space="preserve"> het</w:t>
      </w:r>
      <w:r w:rsidR="00ED1F9D">
        <w:t xml:space="preserve"> pensioen het pensioen bewust </w:t>
      </w:r>
      <w:r w:rsidR="00AD66D4">
        <w:t>niet laten ingaan</w:t>
      </w:r>
      <w:r w:rsidR="00ED1F9D">
        <w:t xml:space="preserve"> zodat erfgenamen</w:t>
      </w:r>
      <w:r w:rsidR="00AD66D4">
        <w:t xml:space="preserve"> mogelijk</w:t>
      </w:r>
      <w:r w:rsidR="00ED1F9D">
        <w:t xml:space="preserve"> aanspraak kunnen maken op een (deel) van het niet ingegane pensioen.</w:t>
      </w:r>
      <w:r w:rsidR="00AD66D4">
        <w:t xml:space="preserve"> Dit is in </w:t>
      </w:r>
      <w:r w:rsidR="009927EA">
        <w:t xml:space="preserve">de </w:t>
      </w:r>
      <w:r w:rsidR="00AD66D4">
        <w:t>praktijk slechts beperkt mogelijk</w:t>
      </w:r>
      <w:r w:rsidR="00C116D5">
        <w:t xml:space="preserve"> vanuit bijvoorbeeld coulance van een pensioenuitvoerder</w:t>
      </w:r>
      <w:r w:rsidR="00AD66D4">
        <w:t>.</w:t>
      </w:r>
      <w:r w:rsidR="00C116D5">
        <w:rPr>
          <w:rStyle w:val="Voetnootmarkering"/>
        </w:rPr>
        <w:footnoteReference w:id="6"/>
      </w:r>
      <w:r w:rsidR="00ED1F9D">
        <w:t xml:space="preserve"> </w:t>
      </w:r>
      <w:r w:rsidRPr="005F020A" w:rsidR="005F020A">
        <w:t>Daarnaast leidt dit niet of nauwelijks tot fiscale voordelen</w:t>
      </w:r>
      <w:r w:rsidR="005F020A">
        <w:t>.</w:t>
      </w:r>
      <w:r w:rsidRPr="005F020A" w:rsidR="005F020A">
        <w:t xml:space="preserve"> </w:t>
      </w:r>
      <w:r w:rsidR="00ED1F9D">
        <w:t xml:space="preserve">Mocht in de praktijk blijken dat </w:t>
      </w:r>
      <w:r w:rsidR="00AD66D4">
        <w:t>dit gedragseffect wel optreedt dan zal in overleg met de uitvoeringspraktijk worden bezien hoe dit kan worden</w:t>
      </w:r>
      <w:r w:rsidR="009927EA">
        <w:t xml:space="preserve"> tegengegaan</w:t>
      </w:r>
      <w:r w:rsidR="00AD66D4">
        <w:t xml:space="preserve">. </w:t>
      </w:r>
      <w:r w:rsidR="00ED1F9D">
        <w:t xml:space="preserve"> </w:t>
      </w:r>
      <w:r w:rsidR="004B3331">
        <w:t xml:space="preserve"> </w:t>
      </w:r>
      <w:r w:rsidR="002B63FF">
        <w:t xml:space="preserve">  </w:t>
      </w:r>
      <w:r>
        <w:t xml:space="preserve">   </w:t>
      </w:r>
      <w:r w:rsidR="006947C3">
        <w:t xml:space="preserve"> </w:t>
      </w:r>
    </w:p>
    <w:p w:rsidR="006947C3" w:rsidP="004B056D" w:rsidRDefault="006947C3" w14:paraId="6F74E6D2" w14:textId="77777777">
      <w:pPr>
        <w:ind w:firstLine="0"/>
        <w:rPr>
          <w:b/>
          <w:bCs/>
        </w:rPr>
      </w:pPr>
    </w:p>
    <w:p w:rsidRPr="0067408E" w:rsidR="0067408E" w:rsidP="0067408E" w:rsidRDefault="0067408E" w14:paraId="29B0D8C6" w14:textId="30E2C7BB">
      <w:pPr>
        <w:shd w:val="clear" w:color="auto" w:fill="E7E6E6" w:themeFill="background2"/>
        <w:ind w:firstLine="0"/>
        <w:rPr>
          <w:b/>
          <w:bCs/>
        </w:rPr>
      </w:pPr>
      <w:r>
        <w:rPr>
          <w:b/>
          <w:bCs/>
        </w:rPr>
        <w:t>Aanpassingen Uitvoeringsregeling loonbelasting 2011</w:t>
      </w:r>
    </w:p>
    <w:p w:rsidR="0067408E" w:rsidP="004B056D" w:rsidRDefault="0067408E" w14:paraId="235C5EE2" w14:textId="77777777">
      <w:pPr>
        <w:ind w:firstLine="0"/>
        <w:rPr>
          <w:b/>
          <w:bCs/>
        </w:rPr>
      </w:pPr>
    </w:p>
    <w:p w:rsidR="00BE00B2" w:rsidP="004B056D" w:rsidRDefault="0067408E" w14:paraId="079700A3" w14:textId="69D14FB1">
      <w:pPr>
        <w:ind w:firstLine="0"/>
      </w:pPr>
      <w:r>
        <w:rPr>
          <w:b/>
          <w:bCs/>
        </w:rPr>
        <w:t xml:space="preserve">Aanhef </w:t>
      </w:r>
    </w:p>
    <w:p w:rsidR="00BE00B2" w:rsidP="00BE00B2" w:rsidRDefault="00BE00B2" w14:paraId="419D22FE" w14:textId="63B4C8FD">
      <w:pPr>
        <w:ind w:firstLine="0"/>
      </w:pPr>
      <w:bookmarkStart w:name="_Hlk137025519" w:id="1"/>
      <w:r w:rsidRPr="00CF7BD3">
        <w:rPr>
          <w:bCs/>
        </w:rPr>
        <w:t xml:space="preserve">Gelet </w:t>
      </w:r>
      <w:r w:rsidR="004D714A">
        <w:rPr>
          <w:bCs/>
        </w:rPr>
        <w:t>op</w:t>
      </w:r>
      <w:r w:rsidR="004B056D">
        <w:rPr>
          <w:bCs/>
        </w:rPr>
        <w:t xml:space="preserve"> </w:t>
      </w:r>
      <w:r w:rsidRPr="00CF7BD3">
        <w:rPr>
          <w:bCs/>
        </w:rPr>
        <w:t>artikel</w:t>
      </w:r>
      <w:bookmarkEnd w:id="1"/>
      <w:r w:rsidRPr="00CF7BD3">
        <w:rPr>
          <w:bCs/>
        </w:rPr>
        <w:t xml:space="preserve"> </w:t>
      </w:r>
      <w:r w:rsidR="004B056D">
        <w:rPr>
          <w:bCs/>
        </w:rPr>
        <w:t xml:space="preserve">19b </w:t>
      </w:r>
      <w:r w:rsidRPr="00CF7BD3">
        <w:rPr>
          <w:bCs/>
        </w:rPr>
        <w:t>van de Wet op de loonbelasting 1964;</w:t>
      </w:r>
    </w:p>
    <w:p w:rsidRPr="00BE00B2" w:rsidR="00BE00B2" w:rsidP="00BE00B2" w:rsidRDefault="0067408E" w14:paraId="10CF4F41" w14:textId="6DACDB95">
      <w:pPr>
        <w:ind w:firstLine="0"/>
        <w:rPr>
          <w:b/>
          <w:bCs/>
        </w:rPr>
      </w:pPr>
      <w:r>
        <w:rPr>
          <w:b/>
          <w:bCs/>
        </w:rPr>
        <w:br/>
      </w:r>
      <w:r w:rsidRPr="00BE00B2" w:rsidR="00BE00B2">
        <w:rPr>
          <w:b/>
          <w:bCs/>
        </w:rPr>
        <w:t xml:space="preserve">Artikel </w:t>
      </w:r>
      <w:r w:rsidRPr="00BE00B2" w:rsidR="00BE00B2">
        <w:rPr>
          <w:b/>
          <w:bCs/>
          <w:highlight w:val="yellow"/>
        </w:rPr>
        <w:t>PM</w:t>
      </w:r>
    </w:p>
    <w:p w:rsidR="007E6330" w:rsidP="007E6330" w:rsidRDefault="007E6330" w14:paraId="27EE67ED" w14:textId="77777777">
      <w:pPr>
        <w:ind w:firstLine="0"/>
      </w:pPr>
    </w:p>
    <w:p w:rsidRPr="0005234F" w:rsidR="007E6330" w:rsidP="007E6330" w:rsidRDefault="007E6330" w14:paraId="2B586153" w14:textId="79CC2683">
      <w:pPr>
        <w:ind w:firstLine="0"/>
      </w:pPr>
      <w:r w:rsidRPr="0005234F">
        <w:t>De Uitvoeringsregeling loonbelasting 2011 wordt als volgt gewijzigd:</w:t>
      </w:r>
    </w:p>
    <w:p w:rsidR="007E6330" w:rsidP="00BE00B2" w:rsidRDefault="007E6330" w14:paraId="4DE6D3CE" w14:textId="77777777">
      <w:pPr>
        <w:ind w:firstLine="0"/>
      </w:pPr>
    </w:p>
    <w:p w:rsidR="00BE00B2" w:rsidP="00BE00B2" w:rsidRDefault="006947C3" w14:paraId="2198BF44" w14:textId="3374135A">
      <w:pPr>
        <w:ind w:firstLine="0"/>
      </w:pPr>
      <w:r w:rsidRPr="006947C3">
        <w:rPr>
          <w:highlight w:val="yellow"/>
        </w:rPr>
        <w:t>A</w:t>
      </w:r>
    </w:p>
    <w:p w:rsidRPr="00BE00B2" w:rsidR="006947C3" w:rsidP="00BE00B2" w:rsidRDefault="006947C3" w14:paraId="315B983F" w14:textId="77777777">
      <w:pPr>
        <w:ind w:firstLine="0"/>
      </w:pPr>
    </w:p>
    <w:p w:rsidR="006947C3" w:rsidP="006947C3" w:rsidRDefault="006947C3" w14:paraId="1D13652C" w14:textId="77777777">
      <w:pPr>
        <w:ind w:firstLine="0"/>
      </w:pPr>
      <w:r>
        <w:t>Artikel 12.2 komt te luiden:</w:t>
      </w:r>
    </w:p>
    <w:p w:rsidR="006947C3" w:rsidP="006947C3" w:rsidRDefault="006947C3" w14:paraId="0C1D13FE" w14:textId="77777777">
      <w:pPr>
        <w:ind w:firstLine="0"/>
      </w:pPr>
    </w:p>
    <w:p w:rsidR="006947C3" w:rsidP="00407B9F" w:rsidRDefault="006947C3" w14:paraId="60D6B992" w14:textId="33EDE72D">
      <w:pPr>
        <w:ind w:firstLine="0"/>
      </w:pPr>
      <w:r w:rsidRPr="00831A24">
        <w:rPr>
          <w:b/>
          <w:bCs/>
        </w:rPr>
        <w:t>Artikel 12.2</w:t>
      </w:r>
      <w:r>
        <w:rPr>
          <w:b/>
          <w:bCs/>
        </w:rPr>
        <w:br/>
      </w:r>
      <w:r>
        <w:t xml:space="preserve">Voor de toepassing van artikel 19b, zevende lid, van de wet </w:t>
      </w:r>
      <w:r w:rsidR="00E10DC3">
        <w:t>maakt</w:t>
      </w:r>
      <w:r>
        <w:t xml:space="preserve"> de pensioenuitvoerder</w:t>
      </w:r>
      <w:r w:rsidR="00E10DC3">
        <w:t>,</w:t>
      </w:r>
      <w:r>
        <w:t xml:space="preserve"> bedoeld </w:t>
      </w:r>
      <w:r>
        <w:lastRenderedPageBreak/>
        <w:t>in artikel 1 van de Pensioenwet of artikel 1 van de Wet verplichte beroepspensioenregeling</w:t>
      </w:r>
      <w:r w:rsidR="00E10DC3">
        <w:t>,</w:t>
      </w:r>
      <w:r>
        <w:t xml:space="preserve"> </w:t>
      </w:r>
      <w:r w:rsidR="00E10DC3">
        <w:t xml:space="preserve">op verzoek van de inspecteur </w:t>
      </w:r>
      <w:r w:rsidR="008E2A5C">
        <w:t>aannemelijk</w:t>
      </w:r>
      <w:r w:rsidR="00407B9F">
        <w:t xml:space="preserve"> </w:t>
      </w:r>
      <w:r w:rsidR="008E2A5C">
        <w:t>dat</w:t>
      </w:r>
      <w:r>
        <w:t xml:space="preserve"> de gerechtigde </w:t>
      </w:r>
      <w:r w:rsidR="00407B9F">
        <w:t>tot het pensioen</w:t>
      </w:r>
      <w:r>
        <w:t xml:space="preserve"> ten minste eenmaal schriftelijk of </w:t>
      </w:r>
      <w:r w:rsidR="00CD4B94">
        <w:t>langs elektronische weg</w:t>
      </w:r>
      <w:r>
        <w:t xml:space="preserve"> </w:t>
      </w:r>
      <w:r w:rsidR="008E2A5C">
        <w:t xml:space="preserve">is </w:t>
      </w:r>
      <w:r>
        <w:t>geïnformeerd over de ingang van het pensioen</w:t>
      </w:r>
      <w:r w:rsidR="00E10DC3">
        <w:t xml:space="preserve">. </w:t>
      </w:r>
      <w:proofErr w:type="gramStart"/>
      <w:r w:rsidR="00E10DC3">
        <w:t>I</w:t>
      </w:r>
      <w:r>
        <w:t>ndien</w:t>
      </w:r>
      <w:proofErr w:type="gramEnd"/>
      <w:r>
        <w:t xml:space="preserve"> de daarvoor benodigde contactgegevens van de gerechtigde ontbreken </w:t>
      </w:r>
      <w:r w:rsidR="008E2A5C">
        <w:t>maak</w:t>
      </w:r>
      <w:r>
        <w:t>t de pensioenuitvoerder</w:t>
      </w:r>
      <w:r w:rsidR="008E2A5C">
        <w:t xml:space="preserve"> aannemelijk dat digitaal</w:t>
      </w:r>
      <w:r>
        <w:t xml:space="preserve"> zoekacties </w:t>
      </w:r>
      <w:r w:rsidR="008E2A5C">
        <w:t xml:space="preserve">zijn </w:t>
      </w:r>
      <w:r>
        <w:t xml:space="preserve">verricht naar de gerechtigde. </w:t>
      </w:r>
    </w:p>
    <w:bookmarkEnd w:id="0"/>
    <w:p w:rsidR="0067408E" w:rsidP="00BE00B2" w:rsidRDefault="0067408E" w14:paraId="460E77E0" w14:textId="77777777">
      <w:pPr>
        <w:ind w:firstLine="0"/>
        <w:rPr>
          <w:b/>
          <w:bCs/>
          <w:i/>
          <w:iCs/>
        </w:rPr>
      </w:pPr>
    </w:p>
    <w:p w:rsidRPr="0067408E" w:rsidR="00BE00B2" w:rsidP="00F700C0" w:rsidRDefault="00BE00B2" w14:paraId="65473E81" w14:textId="1B66E707">
      <w:pPr>
        <w:shd w:val="clear" w:color="auto" w:fill="E7E6E6" w:themeFill="background2"/>
        <w:ind w:firstLine="0"/>
        <w:rPr>
          <w:b/>
          <w:bCs/>
        </w:rPr>
      </w:pPr>
      <w:r w:rsidRPr="0067408E">
        <w:rPr>
          <w:b/>
          <w:bCs/>
        </w:rPr>
        <w:t>Artikelsgewijze toelichting</w:t>
      </w:r>
    </w:p>
    <w:p w:rsidR="0067408E" w:rsidP="00BE00B2" w:rsidRDefault="0067408E" w14:paraId="552D331F" w14:textId="77777777">
      <w:pPr>
        <w:pStyle w:val="Toelichting"/>
        <w:ind w:firstLine="0"/>
      </w:pPr>
    </w:p>
    <w:p w:rsidR="006947C3" w:rsidP="006947C3" w:rsidRDefault="006947C3" w14:paraId="49302522" w14:textId="4F7FE8AB">
      <w:pPr>
        <w:pStyle w:val="Toelichting"/>
        <w:ind w:firstLine="0"/>
      </w:pPr>
      <w:r>
        <w:t xml:space="preserve">Artikel </w:t>
      </w:r>
      <w:r w:rsidRPr="00BE00B2">
        <w:rPr>
          <w:highlight w:val="yellow"/>
        </w:rPr>
        <w:t>PM</w:t>
      </w:r>
      <w:r>
        <w:t xml:space="preserve">, onderdeel </w:t>
      </w:r>
      <w:r w:rsidRPr="006947C3">
        <w:rPr>
          <w:highlight w:val="yellow"/>
        </w:rPr>
        <w:t>A</w:t>
      </w:r>
      <w:r>
        <w:t xml:space="preserve"> (artikel 12.2 van de Uitvoeringsregeling loonbelasting 2011)</w:t>
      </w:r>
    </w:p>
    <w:p w:rsidR="006947C3" w:rsidP="00031B2B" w:rsidRDefault="00031B2B" w14:paraId="39A817E1" w14:textId="54377312">
      <w:pPr>
        <w:pStyle w:val="Toelichting"/>
        <w:ind w:firstLine="0"/>
      </w:pPr>
      <w:r>
        <w:rPr>
          <w:i w:val="0"/>
          <w:iCs/>
        </w:rPr>
        <w:t xml:space="preserve">In artikel 12.2 URLB 2011 is uitvoering gegeven aan de delegatiegrondslag van artikel 19b, zevende lid, Wet LB 1964. Er </w:t>
      </w:r>
      <w:r w:rsidR="00407B9F">
        <w:rPr>
          <w:i w:val="0"/>
          <w:iCs/>
        </w:rPr>
        <w:t>is</w:t>
      </w:r>
      <w:r>
        <w:rPr>
          <w:i w:val="0"/>
          <w:iCs/>
        </w:rPr>
        <w:t xml:space="preserve"> </w:t>
      </w:r>
      <w:r w:rsidR="00407B9F">
        <w:rPr>
          <w:i w:val="0"/>
          <w:iCs/>
        </w:rPr>
        <w:t xml:space="preserve">een </w:t>
      </w:r>
      <w:r>
        <w:rPr>
          <w:i w:val="0"/>
          <w:iCs/>
        </w:rPr>
        <w:t xml:space="preserve">voorwaarde gesteld waaronder artikel 19b, zevende lid, Wet LB 1964 kan worden toegepast. </w:t>
      </w:r>
      <w:r w:rsidR="00E10DC3">
        <w:rPr>
          <w:i w:val="0"/>
          <w:iCs/>
        </w:rPr>
        <w:t xml:space="preserve">Als voorwaarde wordt gesteld </w:t>
      </w:r>
      <w:r w:rsidRPr="00E10DC3" w:rsidR="00E10DC3">
        <w:rPr>
          <w:i w:val="0"/>
          <w:iCs/>
        </w:rPr>
        <w:t>dat de pensioenuitvoerder</w:t>
      </w:r>
      <w:r w:rsidR="00E10DC3">
        <w:rPr>
          <w:i w:val="0"/>
          <w:iCs/>
        </w:rPr>
        <w:t>,</w:t>
      </w:r>
      <w:r w:rsidRPr="00E10DC3" w:rsidR="00E10DC3">
        <w:rPr>
          <w:i w:val="0"/>
          <w:iCs/>
        </w:rPr>
        <w:t xml:space="preserve"> bedoeld in artikel 1 van de Pensioenwet of artikel 1 van de Wet verplichte beroepspensioenregeling</w:t>
      </w:r>
      <w:r w:rsidR="00E10DC3">
        <w:rPr>
          <w:i w:val="0"/>
          <w:iCs/>
        </w:rPr>
        <w:t>,</w:t>
      </w:r>
      <w:r w:rsidRPr="00E10DC3" w:rsidR="00E10DC3">
        <w:rPr>
          <w:i w:val="0"/>
          <w:iCs/>
        </w:rPr>
        <w:t xml:space="preserve"> op verzoek van de inspecteur aannemelijk </w:t>
      </w:r>
      <w:r w:rsidR="00A34CA4">
        <w:rPr>
          <w:i w:val="0"/>
          <w:iCs/>
        </w:rPr>
        <w:t xml:space="preserve">kan </w:t>
      </w:r>
      <w:r w:rsidRPr="00E10DC3" w:rsidR="00E10DC3">
        <w:rPr>
          <w:i w:val="0"/>
          <w:iCs/>
        </w:rPr>
        <w:t>mak</w:t>
      </w:r>
      <w:r w:rsidR="00A34CA4">
        <w:rPr>
          <w:i w:val="0"/>
          <w:iCs/>
        </w:rPr>
        <w:t>en</w:t>
      </w:r>
      <w:r w:rsidRPr="00E10DC3" w:rsidR="00E10DC3">
        <w:rPr>
          <w:i w:val="0"/>
          <w:iCs/>
        </w:rPr>
        <w:t xml:space="preserve"> dat de gerechtigde tot het pensioen ten minste eenmaal schriftelijk of langs elektronische weg is geïnformeerd over de ingang van het pensioen</w:t>
      </w:r>
      <w:r w:rsidR="00E10DC3">
        <w:rPr>
          <w:i w:val="0"/>
          <w:iCs/>
        </w:rPr>
        <w:t xml:space="preserve">. </w:t>
      </w:r>
      <w:proofErr w:type="gramStart"/>
      <w:r w:rsidR="00E10DC3">
        <w:rPr>
          <w:i w:val="0"/>
          <w:iCs/>
        </w:rPr>
        <w:t>I</w:t>
      </w:r>
      <w:r w:rsidRPr="00E10DC3" w:rsidR="00E10DC3">
        <w:rPr>
          <w:i w:val="0"/>
          <w:iCs/>
        </w:rPr>
        <w:t>ndien</w:t>
      </w:r>
      <w:proofErr w:type="gramEnd"/>
      <w:r w:rsidRPr="00E10DC3" w:rsidR="00E10DC3">
        <w:rPr>
          <w:i w:val="0"/>
          <w:iCs/>
        </w:rPr>
        <w:t xml:space="preserve"> de daarvoor benodigde contactgegevens van de gerechtigde ontbreken maakt de pensioenuitvoerder</w:t>
      </w:r>
      <w:r w:rsidR="00A34CA4">
        <w:rPr>
          <w:i w:val="0"/>
          <w:iCs/>
        </w:rPr>
        <w:t>,</w:t>
      </w:r>
      <w:r w:rsidR="004216AD">
        <w:rPr>
          <w:i w:val="0"/>
          <w:iCs/>
        </w:rPr>
        <w:t xml:space="preserve"> op verzoek van de inspecteur</w:t>
      </w:r>
      <w:r w:rsidR="00A34CA4">
        <w:rPr>
          <w:i w:val="0"/>
          <w:iCs/>
        </w:rPr>
        <w:t>,</w:t>
      </w:r>
      <w:r w:rsidRPr="00E10DC3" w:rsidR="00E10DC3">
        <w:rPr>
          <w:i w:val="0"/>
          <w:iCs/>
        </w:rPr>
        <w:t xml:space="preserve"> aannemelijk dat digitaal zoekacties zijn verricht naar de gerechtigde</w:t>
      </w:r>
      <w:r w:rsidR="00E10DC3">
        <w:rPr>
          <w:i w:val="0"/>
          <w:iCs/>
        </w:rPr>
        <w:t>.</w:t>
      </w:r>
      <w:r w:rsidR="009D007C">
        <w:rPr>
          <w:i w:val="0"/>
          <w:iCs/>
        </w:rPr>
        <w:t xml:space="preserve"> </w:t>
      </w:r>
      <w:r>
        <w:rPr>
          <w:i w:val="0"/>
          <w:iCs/>
        </w:rPr>
        <w:t>D</w:t>
      </w:r>
      <w:r w:rsidR="006566ED">
        <w:rPr>
          <w:i w:val="0"/>
          <w:iCs/>
        </w:rPr>
        <w:t xml:space="preserve">eze voorwaarde </w:t>
      </w:r>
      <w:r w:rsidR="009D007C">
        <w:rPr>
          <w:i w:val="0"/>
          <w:iCs/>
        </w:rPr>
        <w:t>wordt</w:t>
      </w:r>
      <w:r w:rsidR="00407B9F">
        <w:rPr>
          <w:i w:val="0"/>
          <w:iCs/>
        </w:rPr>
        <w:t xml:space="preserve"> </w:t>
      </w:r>
      <w:r>
        <w:rPr>
          <w:i w:val="0"/>
          <w:iCs/>
        </w:rPr>
        <w:t>toe</w:t>
      </w:r>
      <w:r w:rsidR="00C5710A">
        <w:rPr>
          <w:i w:val="0"/>
          <w:iCs/>
        </w:rPr>
        <w:t>ge</w:t>
      </w:r>
      <w:r>
        <w:rPr>
          <w:i w:val="0"/>
          <w:iCs/>
        </w:rPr>
        <w:t xml:space="preserve">licht in </w:t>
      </w:r>
      <w:r w:rsidR="00E10DC3">
        <w:rPr>
          <w:i w:val="0"/>
          <w:iCs/>
        </w:rPr>
        <w:t>paragraaf</w:t>
      </w:r>
      <w:r>
        <w:rPr>
          <w:i w:val="0"/>
          <w:iCs/>
        </w:rPr>
        <w:t xml:space="preserve"> </w:t>
      </w:r>
      <w:r w:rsidRPr="00031B2B">
        <w:rPr>
          <w:i w:val="0"/>
          <w:iCs/>
          <w:highlight w:val="yellow"/>
        </w:rPr>
        <w:t>PM</w:t>
      </w:r>
      <w:r>
        <w:rPr>
          <w:i w:val="0"/>
          <w:iCs/>
        </w:rPr>
        <w:t xml:space="preserve"> van de toelichting. </w:t>
      </w:r>
    </w:p>
    <w:p w:rsidRPr="006947C3" w:rsidR="006947C3" w:rsidP="006947C3" w:rsidRDefault="006947C3" w14:paraId="67DFA598" w14:textId="77777777"/>
    <w:p w:rsidR="00BE00B2" w:rsidP="00BE00B2" w:rsidRDefault="00BE00B2" w14:paraId="089C43F0" w14:textId="50CBC7AD">
      <w:pPr>
        <w:ind w:firstLine="0"/>
      </w:pPr>
      <w:r w:rsidRPr="00620C54">
        <w:t>.</w:t>
      </w:r>
    </w:p>
    <w:p w:rsidR="00B06701" w:rsidRDefault="00B06701" w14:paraId="6DE6F167" w14:textId="77777777"/>
    <w:sectPr w:rsidR="00B06701" w:rsidSect="001E6A24">
      <w:headerReference w:type="even" r:id="rId7"/>
      <w:headerReference w:type="default" r:id="rId8"/>
      <w:headerReference w:type="firs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7D981" w14:textId="77777777" w:rsidR="00EA650D" w:rsidRDefault="00EA650D" w:rsidP="00BE00B2">
      <w:pPr>
        <w:spacing w:line="240" w:lineRule="auto"/>
      </w:pPr>
      <w:r>
        <w:separator/>
      </w:r>
    </w:p>
  </w:endnote>
  <w:endnote w:type="continuationSeparator" w:id="0">
    <w:p w14:paraId="10E8639E" w14:textId="77777777" w:rsidR="00EA650D" w:rsidRDefault="00EA650D" w:rsidP="00BE0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5E5C" w14:textId="77777777" w:rsidR="00EA650D" w:rsidRDefault="00EA650D" w:rsidP="00BE00B2">
      <w:pPr>
        <w:spacing w:line="240" w:lineRule="auto"/>
      </w:pPr>
      <w:r>
        <w:separator/>
      </w:r>
    </w:p>
  </w:footnote>
  <w:footnote w:type="continuationSeparator" w:id="0">
    <w:p w14:paraId="27D9A925" w14:textId="77777777" w:rsidR="00EA650D" w:rsidRDefault="00EA650D" w:rsidP="00BE00B2">
      <w:pPr>
        <w:spacing w:line="240" w:lineRule="auto"/>
      </w:pPr>
      <w:r>
        <w:continuationSeparator/>
      </w:r>
    </w:p>
  </w:footnote>
  <w:footnote w:id="1">
    <w:p w14:paraId="56AB7971" w14:textId="5A2717AE" w:rsidR="009202E9" w:rsidRPr="009202E9" w:rsidRDefault="009202E9" w:rsidP="002A3773">
      <w:pPr>
        <w:pStyle w:val="Voetnoottekst"/>
        <w:ind w:firstLine="0"/>
        <w:rPr>
          <w:sz w:val="13"/>
          <w:szCs w:val="13"/>
        </w:rPr>
      </w:pPr>
      <w:r w:rsidRPr="009202E9">
        <w:rPr>
          <w:rStyle w:val="Voetnootmarkering"/>
          <w:sz w:val="13"/>
          <w:szCs w:val="13"/>
        </w:rPr>
        <w:footnoteRef/>
      </w:r>
      <w:r w:rsidRPr="009202E9">
        <w:rPr>
          <w:sz w:val="13"/>
          <w:szCs w:val="13"/>
        </w:rPr>
        <w:t xml:space="preserve"> Artikel 18a, vierde lid, onderdeel b, Wet LB 1964 voor het ouderdomspensioen, artikel 18a, vijfde lid, Wet LB 1964 voor het partnerpensioen bij overlijden op of na pensioendatum, artikel 18b, derde lid, Wet LB 1964 voor het partnerpensioen bij overlijden voor pensioendatum en artikel 18c, vierde lid, Wet LB 1964 voor het wezenpensioen.</w:t>
      </w:r>
    </w:p>
  </w:footnote>
  <w:footnote w:id="2">
    <w:p w14:paraId="0FF40C5A" w14:textId="4289E439" w:rsidR="009202E9" w:rsidRPr="009202E9" w:rsidRDefault="009202E9" w:rsidP="002A3773">
      <w:pPr>
        <w:pStyle w:val="Voetnoottekst"/>
        <w:ind w:firstLine="0"/>
        <w:rPr>
          <w:sz w:val="13"/>
          <w:szCs w:val="13"/>
        </w:rPr>
      </w:pPr>
      <w:r w:rsidRPr="009202E9">
        <w:rPr>
          <w:rStyle w:val="Voetnootmarkering"/>
          <w:sz w:val="13"/>
          <w:szCs w:val="13"/>
        </w:rPr>
        <w:footnoteRef/>
      </w:r>
      <w:r w:rsidRPr="009202E9">
        <w:rPr>
          <w:sz w:val="13"/>
          <w:szCs w:val="13"/>
        </w:rPr>
        <w:t xml:space="preserve"> Artikel 19b, eerste lid, </w:t>
      </w:r>
      <w:r w:rsidR="009927EA">
        <w:rPr>
          <w:sz w:val="13"/>
          <w:szCs w:val="13"/>
        </w:rPr>
        <w:t xml:space="preserve">aanhef en </w:t>
      </w:r>
      <w:r w:rsidRPr="009202E9">
        <w:rPr>
          <w:sz w:val="13"/>
          <w:szCs w:val="13"/>
        </w:rPr>
        <w:t>onderdeel a, en zesde lid Wet LB 1964 en artikel 30i, eerste lid, onderdeel a, AWR.</w:t>
      </w:r>
    </w:p>
  </w:footnote>
  <w:footnote w:id="3">
    <w:p w14:paraId="617BA151" w14:textId="7B9E5339" w:rsidR="008F2DA9" w:rsidRPr="008F2DA9" w:rsidRDefault="008F2DA9" w:rsidP="002A3773">
      <w:pPr>
        <w:pStyle w:val="Voetnoottekst"/>
        <w:ind w:firstLine="0"/>
        <w:rPr>
          <w:sz w:val="13"/>
          <w:szCs w:val="13"/>
        </w:rPr>
      </w:pPr>
      <w:r w:rsidRPr="009202E9">
        <w:rPr>
          <w:rStyle w:val="Voetnootmarkering"/>
          <w:sz w:val="13"/>
          <w:szCs w:val="13"/>
        </w:rPr>
        <w:footnoteRef/>
      </w:r>
      <w:r w:rsidRPr="009202E9">
        <w:rPr>
          <w:sz w:val="13"/>
          <w:szCs w:val="13"/>
        </w:rPr>
        <w:t xml:space="preserve"> Artikel III, onderdeel </w:t>
      </w:r>
      <w:r w:rsidR="009D007C">
        <w:rPr>
          <w:sz w:val="13"/>
          <w:szCs w:val="13"/>
        </w:rPr>
        <w:t>B</w:t>
      </w:r>
      <w:r w:rsidRPr="009202E9">
        <w:rPr>
          <w:sz w:val="13"/>
          <w:szCs w:val="13"/>
        </w:rPr>
        <w:t>, van de Fiscale verzamelwet 2027 (artikel 19b, zevende lid, Wet LB 1964).</w:t>
      </w:r>
      <w:r>
        <w:rPr>
          <w:sz w:val="13"/>
          <w:szCs w:val="13"/>
        </w:rPr>
        <w:t xml:space="preserve"> </w:t>
      </w:r>
    </w:p>
  </w:footnote>
  <w:footnote w:id="4">
    <w:p w14:paraId="120F0853" w14:textId="61EBB2F2" w:rsidR="00A27950" w:rsidRPr="00A27950" w:rsidRDefault="00A27950" w:rsidP="00524267">
      <w:pPr>
        <w:pStyle w:val="Voetnoottekst"/>
        <w:ind w:firstLine="0"/>
        <w:rPr>
          <w:sz w:val="13"/>
          <w:szCs w:val="13"/>
        </w:rPr>
      </w:pPr>
      <w:r w:rsidRPr="00A27950">
        <w:rPr>
          <w:rStyle w:val="Voetnootmarkering"/>
          <w:sz w:val="13"/>
          <w:szCs w:val="13"/>
        </w:rPr>
        <w:footnoteRef/>
      </w:r>
      <w:r w:rsidRPr="00A27950">
        <w:rPr>
          <w:sz w:val="13"/>
          <w:szCs w:val="13"/>
        </w:rPr>
        <w:t xml:space="preserve"> Zie onder andere artikel 43 van de Pensioenwet.</w:t>
      </w:r>
    </w:p>
  </w:footnote>
  <w:footnote w:id="5">
    <w:p w14:paraId="73332764" w14:textId="25D1DA93" w:rsidR="002A288A" w:rsidRPr="009202E9" w:rsidRDefault="00B21E12" w:rsidP="005F020A">
      <w:pPr>
        <w:pStyle w:val="Voetnoottekst"/>
        <w:ind w:firstLine="0"/>
        <w:rPr>
          <w:sz w:val="13"/>
          <w:szCs w:val="13"/>
        </w:rPr>
      </w:pPr>
      <w:r w:rsidRPr="00524267">
        <w:rPr>
          <w:rStyle w:val="Voetnootmarkering"/>
          <w:sz w:val="13"/>
          <w:szCs w:val="13"/>
        </w:rPr>
        <w:footnoteRef/>
      </w:r>
      <w:r w:rsidRPr="00524267">
        <w:rPr>
          <w:sz w:val="13"/>
          <w:szCs w:val="13"/>
        </w:rPr>
        <w:t xml:space="preserve"> </w:t>
      </w:r>
      <w:r w:rsidR="002A288A" w:rsidRPr="009202E9">
        <w:rPr>
          <w:sz w:val="13"/>
          <w:szCs w:val="13"/>
        </w:rPr>
        <w:t xml:space="preserve">Artikel 19b, eerste lid, </w:t>
      </w:r>
      <w:r w:rsidR="002A288A">
        <w:rPr>
          <w:sz w:val="13"/>
          <w:szCs w:val="13"/>
        </w:rPr>
        <w:t xml:space="preserve">aanhef en </w:t>
      </w:r>
      <w:r w:rsidR="002A288A" w:rsidRPr="009202E9">
        <w:rPr>
          <w:sz w:val="13"/>
          <w:szCs w:val="13"/>
        </w:rPr>
        <w:t>onderdeel a, en zesde lid Wet LB 1964 en artikel 30i, eerste lid, onderdeel a, AWR.</w:t>
      </w:r>
    </w:p>
    <w:p w14:paraId="084863F6" w14:textId="7EBAFA36" w:rsidR="00B21E12" w:rsidRPr="00524267" w:rsidRDefault="00B21E12" w:rsidP="005F020A">
      <w:pPr>
        <w:pStyle w:val="Voetnoottekst"/>
        <w:ind w:firstLine="0"/>
        <w:rPr>
          <w:sz w:val="13"/>
          <w:szCs w:val="13"/>
        </w:rPr>
      </w:pPr>
      <w:proofErr w:type="gramStart"/>
      <w:r w:rsidRPr="00524267">
        <w:rPr>
          <w:sz w:val="13"/>
          <w:szCs w:val="13"/>
        </w:rPr>
        <w:t>vind</w:t>
      </w:r>
      <w:r w:rsidR="002A288A">
        <w:rPr>
          <w:sz w:val="13"/>
          <w:szCs w:val="13"/>
        </w:rPr>
        <w:t>en</w:t>
      </w:r>
      <w:proofErr w:type="gramEnd"/>
      <w:r w:rsidRPr="00524267">
        <w:rPr>
          <w:sz w:val="13"/>
          <w:szCs w:val="13"/>
        </w:rPr>
        <w:t xml:space="preserve"> dan toepassing.</w:t>
      </w:r>
    </w:p>
  </w:footnote>
  <w:footnote w:id="6">
    <w:p w14:paraId="2706F847" w14:textId="19360665" w:rsidR="00C116D5" w:rsidRPr="00524267" w:rsidRDefault="00C116D5" w:rsidP="005F020A">
      <w:pPr>
        <w:pStyle w:val="Voetnoottekst"/>
        <w:ind w:firstLine="0"/>
        <w:rPr>
          <w:sz w:val="13"/>
          <w:szCs w:val="13"/>
        </w:rPr>
      </w:pPr>
      <w:r w:rsidRPr="00524267">
        <w:rPr>
          <w:rStyle w:val="Voetnootmarkering"/>
          <w:sz w:val="13"/>
          <w:szCs w:val="13"/>
        </w:rPr>
        <w:footnoteRef/>
      </w:r>
      <w:r w:rsidRPr="00524267">
        <w:rPr>
          <w:sz w:val="13"/>
          <w:szCs w:val="13"/>
        </w:rPr>
        <w:t xml:space="preserve"> </w:t>
      </w:r>
      <w:r w:rsidRPr="00C116D5">
        <w:rPr>
          <w:sz w:val="13"/>
          <w:szCs w:val="13"/>
        </w:rPr>
        <w:t>Rechtbank Noord-Nederland</w:t>
      </w:r>
      <w:r>
        <w:rPr>
          <w:sz w:val="13"/>
          <w:szCs w:val="13"/>
        </w:rPr>
        <w:t>, 21 oktober 2025,</w:t>
      </w:r>
      <w:r w:rsidRPr="00C116D5">
        <w:rPr>
          <w:sz w:val="13"/>
          <w:szCs w:val="13"/>
        </w:rPr>
        <w:t xml:space="preserve"> </w:t>
      </w:r>
      <w:r w:rsidRPr="00524267">
        <w:rPr>
          <w:sz w:val="13"/>
          <w:szCs w:val="13"/>
        </w:rPr>
        <w:t>ECLI:</w:t>
      </w:r>
      <w:proofErr w:type="gramStart"/>
      <w:r w:rsidRPr="00524267">
        <w:rPr>
          <w:sz w:val="13"/>
          <w:szCs w:val="13"/>
        </w:rPr>
        <w:t>NL:RBNNE</w:t>
      </w:r>
      <w:proofErr w:type="gramEnd"/>
      <w:r w:rsidRPr="00524267">
        <w:rPr>
          <w:sz w:val="13"/>
          <w:szCs w:val="13"/>
        </w:rPr>
        <w:t>:2025:4257</w:t>
      </w:r>
      <w:r>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47AE" w14:textId="7F29D37B" w:rsidR="00C61335" w:rsidRDefault="00F74C6C">
    <w:pPr>
      <w:pStyle w:val="Koptekst"/>
    </w:pPr>
    <w:r>
      <w:rPr>
        <w:noProof/>
      </w:rPr>
      <w:pict w14:anchorId="3EF95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80391" o:spid="_x0000_s1026" type="#_x0000_t136" style="position:absolute;left:0;text-align:left;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F482" w14:textId="747AAE70" w:rsidR="00C61335" w:rsidRDefault="00F74C6C">
    <w:pPr>
      <w:pStyle w:val="Koptekst"/>
    </w:pPr>
    <w:r>
      <w:rPr>
        <w:noProof/>
      </w:rPr>
      <w:pict w14:anchorId="519FA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80392" o:spid="_x0000_s1027" type="#_x0000_t136" style="position:absolute;left:0;text-align:left;margin-left:0;margin-top:0;width:520.65pt;height:115.7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7DC8" w14:textId="45708404" w:rsidR="00C61335" w:rsidRDefault="00F74C6C">
    <w:pPr>
      <w:pStyle w:val="Koptekst"/>
    </w:pPr>
    <w:r>
      <w:rPr>
        <w:noProof/>
      </w:rPr>
      <w:pict w14:anchorId="16EAB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80390" o:spid="_x0000_s1025" type="#_x0000_t136" style="position:absolute;left:0;text-align:left;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45ACC"/>
    <w:multiLevelType w:val="hybridMultilevel"/>
    <w:tmpl w:val="C0BC75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014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B2"/>
    <w:rsid w:val="00031B2B"/>
    <w:rsid w:val="0004533A"/>
    <w:rsid w:val="00082FBF"/>
    <w:rsid w:val="00096A6D"/>
    <w:rsid w:val="000A7511"/>
    <w:rsid w:val="000B2D67"/>
    <w:rsid w:val="000B7CB0"/>
    <w:rsid w:val="000C06C2"/>
    <w:rsid w:val="000E009E"/>
    <w:rsid w:val="001127E1"/>
    <w:rsid w:val="00126F65"/>
    <w:rsid w:val="00132AF5"/>
    <w:rsid w:val="00156561"/>
    <w:rsid w:val="001755E1"/>
    <w:rsid w:val="001E6A24"/>
    <w:rsid w:val="001F4D54"/>
    <w:rsid w:val="00244893"/>
    <w:rsid w:val="00244D17"/>
    <w:rsid w:val="0024524E"/>
    <w:rsid w:val="00282EB3"/>
    <w:rsid w:val="002A2351"/>
    <w:rsid w:val="002A288A"/>
    <w:rsid w:val="002A3773"/>
    <w:rsid w:val="002B5465"/>
    <w:rsid w:val="002B63FF"/>
    <w:rsid w:val="00301ACB"/>
    <w:rsid w:val="00355E1B"/>
    <w:rsid w:val="003F7C6F"/>
    <w:rsid w:val="00407B9F"/>
    <w:rsid w:val="0041469E"/>
    <w:rsid w:val="004216AD"/>
    <w:rsid w:val="00497E17"/>
    <w:rsid w:val="004B056D"/>
    <w:rsid w:val="004B3331"/>
    <w:rsid w:val="004C4502"/>
    <w:rsid w:val="004C5CA4"/>
    <w:rsid w:val="004D714A"/>
    <w:rsid w:val="004E3563"/>
    <w:rsid w:val="004F492B"/>
    <w:rsid w:val="0050172F"/>
    <w:rsid w:val="00524267"/>
    <w:rsid w:val="0057080B"/>
    <w:rsid w:val="005B2A32"/>
    <w:rsid w:val="005C2AC7"/>
    <w:rsid w:val="005F020A"/>
    <w:rsid w:val="005F5DCE"/>
    <w:rsid w:val="00610967"/>
    <w:rsid w:val="00643FEC"/>
    <w:rsid w:val="006566ED"/>
    <w:rsid w:val="00664559"/>
    <w:rsid w:val="0067408E"/>
    <w:rsid w:val="006947C3"/>
    <w:rsid w:val="006F1633"/>
    <w:rsid w:val="0074792B"/>
    <w:rsid w:val="0075042F"/>
    <w:rsid w:val="007E6330"/>
    <w:rsid w:val="00807941"/>
    <w:rsid w:val="00820E94"/>
    <w:rsid w:val="00831A24"/>
    <w:rsid w:val="00842722"/>
    <w:rsid w:val="008552A3"/>
    <w:rsid w:val="0086706A"/>
    <w:rsid w:val="00873159"/>
    <w:rsid w:val="008B3DF3"/>
    <w:rsid w:val="008E2A5C"/>
    <w:rsid w:val="008F2DA9"/>
    <w:rsid w:val="009202E9"/>
    <w:rsid w:val="00920714"/>
    <w:rsid w:val="009902A2"/>
    <w:rsid w:val="00990BB7"/>
    <w:rsid w:val="009927EA"/>
    <w:rsid w:val="009D007C"/>
    <w:rsid w:val="009D3F20"/>
    <w:rsid w:val="009E1C32"/>
    <w:rsid w:val="00A03C31"/>
    <w:rsid w:val="00A133CA"/>
    <w:rsid w:val="00A27950"/>
    <w:rsid w:val="00A34CA4"/>
    <w:rsid w:val="00A67AE4"/>
    <w:rsid w:val="00A7661F"/>
    <w:rsid w:val="00A90F95"/>
    <w:rsid w:val="00AA5E85"/>
    <w:rsid w:val="00AD2143"/>
    <w:rsid w:val="00AD66D4"/>
    <w:rsid w:val="00B06701"/>
    <w:rsid w:val="00B21E12"/>
    <w:rsid w:val="00B43112"/>
    <w:rsid w:val="00B6435A"/>
    <w:rsid w:val="00B87FD1"/>
    <w:rsid w:val="00BB10B7"/>
    <w:rsid w:val="00BC5279"/>
    <w:rsid w:val="00BC61F9"/>
    <w:rsid w:val="00BD36AE"/>
    <w:rsid w:val="00BE00B2"/>
    <w:rsid w:val="00C116D5"/>
    <w:rsid w:val="00C21E70"/>
    <w:rsid w:val="00C267E9"/>
    <w:rsid w:val="00C5710A"/>
    <w:rsid w:val="00C61335"/>
    <w:rsid w:val="00C67A67"/>
    <w:rsid w:val="00C67BA2"/>
    <w:rsid w:val="00C74244"/>
    <w:rsid w:val="00C74EE0"/>
    <w:rsid w:val="00CA33AB"/>
    <w:rsid w:val="00CB1561"/>
    <w:rsid w:val="00CB6EE9"/>
    <w:rsid w:val="00CD4B94"/>
    <w:rsid w:val="00CE23DC"/>
    <w:rsid w:val="00D50ACF"/>
    <w:rsid w:val="00D607FA"/>
    <w:rsid w:val="00D941C1"/>
    <w:rsid w:val="00DE2E6B"/>
    <w:rsid w:val="00E10DC3"/>
    <w:rsid w:val="00E207A2"/>
    <w:rsid w:val="00E22D52"/>
    <w:rsid w:val="00E3330A"/>
    <w:rsid w:val="00E641C5"/>
    <w:rsid w:val="00EA077D"/>
    <w:rsid w:val="00EA650D"/>
    <w:rsid w:val="00EB5ACF"/>
    <w:rsid w:val="00ED1F9D"/>
    <w:rsid w:val="00ED354E"/>
    <w:rsid w:val="00F11A11"/>
    <w:rsid w:val="00F54819"/>
    <w:rsid w:val="00F6356C"/>
    <w:rsid w:val="00F700C0"/>
    <w:rsid w:val="00F74C6C"/>
    <w:rsid w:val="00F95BDB"/>
    <w:rsid w:val="00FC5EEB"/>
    <w:rsid w:val="00FE0012"/>
    <w:rsid w:val="00FF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CB117"/>
  <w15:chartTrackingRefBased/>
  <w15:docId w15:val="{08F00484-0AE6-4886-9928-0DF2C338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B2"/>
    <w:pPr>
      <w:spacing w:after="0" w:line="360" w:lineRule="auto"/>
      <w:ind w:firstLine="709"/>
    </w:pPr>
    <w:rPr>
      <w:rFonts w:eastAsia="Times New Roman" w:cs="Times New Roman"/>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oelichting">
    <w:name w:val="Toelichting"/>
    <w:basedOn w:val="Standaard"/>
    <w:next w:val="Standaard"/>
    <w:rsid w:val="00BE00B2"/>
    <w:rPr>
      <w:i/>
    </w:rPr>
  </w:style>
  <w:style w:type="paragraph" w:styleId="Revisie">
    <w:name w:val="Revision"/>
    <w:hidden/>
    <w:uiPriority w:val="99"/>
    <w:semiHidden/>
    <w:rsid w:val="00C74244"/>
    <w:pPr>
      <w:spacing w:after="0" w:line="240" w:lineRule="auto"/>
    </w:pPr>
    <w:rPr>
      <w:rFonts w:eastAsia="Times New Roman" w:cs="Times New Roman"/>
      <w:szCs w:val="20"/>
      <w:lang w:val="nl-NL" w:eastAsia="nl-NL"/>
    </w:rPr>
  </w:style>
  <w:style w:type="character" w:styleId="Verwijzingopmerking">
    <w:name w:val="annotation reference"/>
    <w:basedOn w:val="Standaardalinea-lettertype"/>
    <w:uiPriority w:val="99"/>
    <w:semiHidden/>
    <w:unhideWhenUsed/>
    <w:rsid w:val="00C74244"/>
    <w:rPr>
      <w:sz w:val="16"/>
      <w:szCs w:val="16"/>
    </w:rPr>
  </w:style>
  <w:style w:type="paragraph" w:styleId="Tekstopmerking">
    <w:name w:val="annotation text"/>
    <w:basedOn w:val="Standaard"/>
    <w:link w:val="TekstopmerkingChar"/>
    <w:uiPriority w:val="99"/>
    <w:unhideWhenUsed/>
    <w:rsid w:val="00C74244"/>
    <w:pPr>
      <w:spacing w:line="240" w:lineRule="auto"/>
    </w:pPr>
    <w:rPr>
      <w:sz w:val="20"/>
    </w:rPr>
  </w:style>
  <w:style w:type="character" w:customStyle="1" w:styleId="TekstopmerkingChar">
    <w:name w:val="Tekst opmerking Char"/>
    <w:basedOn w:val="Standaardalinea-lettertype"/>
    <w:link w:val="Tekstopmerking"/>
    <w:uiPriority w:val="99"/>
    <w:rsid w:val="00C74244"/>
    <w:rPr>
      <w:rFonts w:eastAsia="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C74244"/>
    <w:rPr>
      <w:b/>
      <w:bCs/>
    </w:rPr>
  </w:style>
  <w:style w:type="character" w:customStyle="1" w:styleId="OnderwerpvanopmerkingChar">
    <w:name w:val="Onderwerp van opmerking Char"/>
    <w:basedOn w:val="TekstopmerkingChar"/>
    <w:link w:val="Onderwerpvanopmerking"/>
    <w:uiPriority w:val="99"/>
    <w:semiHidden/>
    <w:rsid w:val="00C74244"/>
    <w:rPr>
      <w:rFonts w:eastAsia="Times New Roman" w:cs="Times New Roman"/>
      <w:b/>
      <w:bCs/>
      <w:sz w:val="20"/>
      <w:szCs w:val="20"/>
      <w:lang w:val="nl-NL" w:eastAsia="nl-NL"/>
    </w:rPr>
  </w:style>
  <w:style w:type="paragraph" w:styleId="Lijstalinea">
    <w:name w:val="List Paragraph"/>
    <w:basedOn w:val="Standaard"/>
    <w:uiPriority w:val="34"/>
    <w:qFormat/>
    <w:rsid w:val="0004533A"/>
    <w:pPr>
      <w:ind w:left="720"/>
      <w:contextualSpacing/>
    </w:pPr>
  </w:style>
  <w:style w:type="paragraph" w:styleId="Voetnoottekst">
    <w:name w:val="footnote text"/>
    <w:basedOn w:val="Standaard"/>
    <w:link w:val="VoetnoottekstChar"/>
    <w:uiPriority w:val="99"/>
    <w:semiHidden/>
    <w:unhideWhenUsed/>
    <w:rsid w:val="008F2DA9"/>
    <w:pPr>
      <w:spacing w:line="240" w:lineRule="auto"/>
    </w:pPr>
    <w:rPr>
      <w:sz w:val="20"/>
    </w:rPr>
  </w:style>
  <w:style w:type="character" w:customStyle="1" w:styleId="VoetnoottekstChar">
    <w:name w:val="Voetnoottekst Char"/>
    <w:basedOn w:val="Standaardalinea-lettertype"/>
    <w:link w:val="Voetnoottekst"/>
    <w:uiPriority w:val="99"/>
    <w:semiHidden/>
    <w:rsid w:val="008F2DA9"/>
    <w:rPr>
      <w:rFonts w:eastAsia="Times New Roman" w:cs="Times New Roman"/>
      <w:sz w:val="20"/>
      <w:szCs w:val="20"/>
      <w:lang w:val="nl-NL" w:eastAsia="nl-NL"/>
    </w:rPr>
  </w:style>
  <w:style w:type="character" w:styleId="Voetnootmarkering">
    <w:name w:val="footnote reference"/>
    <w:basedOn w:val="Standaardalinea-lettertype"/>
    <w:uiPriority w:val="99"/>
    <w:semiHidden/>
    <w:unhideWhenUsed/>
    <w:rsid w:val="008F2DA9"/>
    <w:rPr>
      <w:vertAlign w:val="superscript"/>
    </w:rPr>
  </w:style>
  <w:style w:type="paragraph" w:styleId="Koptekst">
    <w:name w:val="header"/>
    <w:basedOn w:val="Standaard"/>
    <w:link w:val="KoptekstChar"/>
    <w:uiPriority w:val="99"/>
    <w:unhideWhenUsed/>
    <w:rsid w:val="00C613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61335"/>
    <w:rPr>
      <w:rFonts w:eastAsia="Times New Roman" w:cs="Times New Roman"/>
      <w:szCs w:val="20"/>
      <w:lang w:val="nl-NL" w:eastAsia="nl-NL"/>
    </w:rPr>
  </w:style>
  <w:style w:type="paragraph" w:styleId="Voettekst">
    <w:name w:val="footer"/>
    <w:basedOn w:val="Standaard"/>
    <w:link w:val="VoettekstChar"/>
    <w:uiPriority w:val="99"/>
    <w:unhideWhenUsed/>
    <w:rsid w:val="00C6133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61335"/>
    <w:rPr>
      <w:rFonts w:eastAsia="Times New Roman" w:cs="Times New Roman"/>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973</ap:Words>
  <ap:Characters>5354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2026-07-08T13:43:00.0000000Z</dcterms:created>
  <dcterms:modified xsi:type="dcterms:W3CDTF">2026-07-08T13:43:00.0000000Z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2024-05-21T13:43:36Z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075a7d5f-8333-4621-9f85-48a11e2a7c32</vt:lpwstr>
  </property>
  <property fmtid="{D5CDD505-2E9C-101B-9397-08002B2CF9AE}" pid="8" name="MSIP_Label_b2aa6e22-2c82-48c6-bf24-1790f4b9c128_ContentBits">
    <vt:lpwstr>0</vt:lpwstr>
  </property>
</Properties>
</file>