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855" w:rsidP="00942855" w:rsidRDefault="00942855" w14:paraId="5AE08AF0" w14:textId="77CCB843">
      <w:pPr>
        <w:rPr>
          <w:szCs w:val="18"/>
        </w:rPr>
      </w:pPr>
      <w:r>
        <w:rPr>
          <w:szCs w:val="18"/>
        </w:rPr>
        <w:t xml:space="preserve">Geachte </w:t>
      </w:r>
      <w:r w:rsidR="00B50C8C">
        <w:rPr>
          <w:szCs w:val="18"/>
        </w:rPr>
        <w:t>V</w:t>
      </w:r>
      <w:r>
        <w:rPr>
          <w:szCs w:val="18"/>
        </w:rPr>
        <w:t>oorzitter,</w:t>
      </w:r>
    </w:p>
    <w:p w:rsidR="00942855" w:rsidP="00942855" w:rsidRDefault="00942855" w14:paraId="733EEE3A" w14:textId="77777777">
      <w:pPr>
        <w:rPr>
          <w:szCs w:val="18"/>
        </w:rPr>
      </w:pPr>
    </w:p>
    <w:p w:rsidR="00942855" w:rsidP="00942855" w:rsidRDefault="00942855" w14:paraId="50462D7E" w14:textId="4645740F">
      <w:pPr>
        <w:rPr>
          <w:szCs w:val="18"/>
        </w:rPr>
      </w:pPr>
      <w:r>
        <w:rPr>
          <w:szCs w:val="18"/>
        </w:rPr>
        <w:t>Op 4 februari 2025 heeft uw Kamer de op 30 januari ingediende motie van het lid Dijk</w:t>
      </w:r>
      <w:r w:rsidR="00BC0870">
        <w:rPr>
          <w:szCs w:val="18"/>
        </w:rPr>
        <w:t xml:space="preserve"> (SP)</w:t>
      </w:r>
      <w:r>
        <w:rPr>
          <w:szCs w:val="18"/>
        </w:rPr>
        <w:t xml:space="preserve"> over de concentratie, marktmacht en prijsopdrijving in de voedselindustrie (Kamerstuk 29544, nr. 1264) aangenomen. De motie verzoekt de regering </w:t>
      </w:r>
      <w:r w:rsidRPr="00056AF4">
        <w:rPr>
          <w:szCs w:val="18"/>
        </w:rPr>
        <w:t>de concentratie, marktmacht en prijsopdrijving in de voedselindustrie in kaart te brengen, beleidsvoorstellen hierop te formuleren, en dit met de Miljoenennota aan de Kamer te sturen</w:t>
      </w:r>
      <w:r>
        <w:rPr>
          <w:szCs w:val="18"/>
        </w:rPr>
        <w:t xml:space="preserve">. </w:t>
      </w:r>
    </w:p>
    <w:p w:rsidR="00942855" w:rsidP="00942855" w:rsidRDefault="00942855" w14:paraId="2F4C0F85" w14:textId="77777777">
      <w:pPr>
        <w:rPr>
          <w:szCs w:val="18"/>
        </w:rPr>
      </w:pPr>
    </w:p>
    <w:p w:rsidR="00942855" w:rsidP="00942855" w:rsidRDefault="00942855" w14:paraId="13FC2581" w14:textId="156E3721">
      <w:r>
        <w:t>In het Kamerdebat op 22 januari 2026 over de begroting van Economische Zaken is door het lid Dijk gevraagd naar de status van zijn motie. De minister van Economische Zaken heeft daarop toegezegd dit na te gaan</w:t>
      </w:r>
      <w:r w:rsidR="00CE1547">
        <w:t>.</w:t>
      </w:r>
      <w:r>
        <w:rPr>
          <w:rStyle w:val="Voetnootmarkering"/>
        </w:rPr>
        <w:footnoteReference w:id="1"/>
      </w:r>
      <w:r>
        <w:t xml:space="preserve"> Met deze Kamerbrief kom ik de toezegging namens het kabinet </w:t>
      </w:r>
      <w:r w:rsidR="00BC0870">
        <w:t xml:space="preserve">tegemoet en </w:t>
      </w:r>
      <w:r w:rsidR="00FA362C">
        <w:t>daarmee beschouw ik zowel</w:t>
      </w:r>
      <w:r>
        <w:t xml:space="preserve"> de toezegging als de motie als afgedaan</w:t>
      </w:r>
      <w:r w:rsidR="00BC0870">
        <w:t>.</w:t>
      </w:r>
    </w:p>
    <w:p w:rsidR="00942855" w:rsidP="00942855" w:rsidRDefault="00942855" w14:paraId="4B378494" w14:textId="77777777"/>
    <w:p w:rsidR="00130BD7" w:rsidP="00942855" w:rsidRDefault="0023252D" w14:paraId="6ADA14AC" w14:textId="311305B4">
      <w:r>
        <w:t xml:space="preserve">Op </w:t>
      </w:r>
      <w:r w:rsidR="00D4685F">
        <w:t>aanvraag</w:t>
      </w:r>
      <w:r>
        <w:t xml:space="preserve"> </w:t>
      </w:r>
      <w:r w:rsidR="00942855">
        <w:t xml:space="preserve">van mijn ministerie doet </w:t>
      </w:r>
      <w:r w:rsidR="00D4685F">
        <w:t xml:space="preserve">de </w:t>
      </w:r>
      <w:r w:rsidR="00E95998">
        <w:t>Autoriteit Consument &amp; Markt (ACM)</w:t>
      </w:r>
      <w:r w:rsidR="00D4685F">
        <w:t xml:space="preserve"> </w:t>
      </w:r>
      <w:r>
        <w:t xml:space="preserve">vanaf 2020 </w:t>
      </w:r>
      <w:r w:rsidR="00130BD7">
        <w:t xml:space="preserve">onderzoek </w:t>
      </w:r>
      <w:r w:rsidR="00942855">
        <w:t>naar prijzen, kosten en marges in de Nederlandse agrarische voedselketen</w:t>
      </w:r>
      <w:r w:rsidR="00E95998">
        <w:t xml:space="preserve"> via de Agro-Nutri Monitor</w:t>
      </w:r>
      <w:r w:rsidR="00942855">
        <w:t xml:space="preserve">. </w:t>
      </w:r>
      <w:r w:rsidR="00E95998">
        <w:t xml:space="preserve">De ACM is een onafhankelijke toezichthouder die zich sterk maakt voor goed werkende markten voor mensen en bedrijven. </w:t>
      </w:r>
      <w:r>
        <w:t xml:space="preserve">De Agro-Nutri Monitor brengt voor een aantal specifieke voedselproducten in kaart hoe </w:t>
      </w:r>
      <w:r w:rsidRPr="00663B95">
        <w:t>de kosten en opbrengsten verdeeld zijn tussen boeren, tuinders, de verwerkende industrie, groothandels en supermarkten.</w:t>
      </w:r>
      <w:r>
        <w:t xml:space="preserve"> </w:t>
      </w:r>
    </w:p>
    <w:p w:rsidR="00130BD7" w:rsidP="00942855" w:rsidRDefault="00130BD7" w14:paraId="50B4C83F" w14:textId="77777777"/>
    <w:p w:rsidR="00942855" w:rsidP="00942855" w:rsidRDefault="0023252D" w14:paraId="2BE5FCE1" w14:textId="3990B3B8">
      <w:r>
        <w:t>Uit vier opeenvolgende rapportages van de Agro-Nutri Monitor komt het beeld naar voren dat geen onevenredige verdeling van ketenmarges te zien is tussen de verschillende schakels in de voedsel</w:t>
      </w:r>
      <w:r w:rsidR="00C920CC">
        <w:t>voorzienings</w:t>
      </w:r>
      <w:r>
        <w:t>keten</w:t>
      </w:r>
      <w:r w:rsidR="00C920CC">
        <w:t>, ongeacht omvang of marktconcentratie</w:t>
      </w:r>
      <w:r w:rsidR="00E95998">
        <w:t xml:space="preserve"> van </w:t>
      </w:r>
      <w:r w:rsidR="00B65E77">
        <w:t>k</w:t>
      </w:r>
      <w:r w:rsidR="00E95998">
        <w:t>eten</w:t>
      </w:r>
      <w:r w:rsidR="00B65E77">
        <w:t>partijen</w:t>
      </w:r>
      <w:r>
        <w:t xml:space="preserve">. </w:t>
      </w:r>
      <w:r w:rsidR="00E95998">
        <w:t>Voor de onderzochte producten zijn</w:t>
      </w:r>
      <w:r w:rsidR="00CE1547">
        <w:t xml:space="preserve"> er</w:t>
      </w:r>
      <w:r w:rsidR="00E95998">
        <w:t xml:space="preserve"> daarmee geen aanwijzingen </w:t>
      </w:r>
      <w:r w:rsidR="00B65E77">
        <w:t>die</w:t>
      </w:r>
      <w:r w:rsidR="00C920CC">
        <w:t xml:space="preserve"> op een prijsopdrijvend effect</w:t>
      </w:r>
      <w:r w:rsidR="00B65E77">
        <w:t xml:space="preserve"> wijzen, echter </w:t>
      </w:r>
      <w:r w:rsidRPr="00BE416E" w:rsidR="00C920CC">
        <w:t>de relatie tussen concentratie en prijsvorming</w:t>
      </w:r>
      <w:r w:rsidR="00B65E77">
        <w:t xml:space="preserve"> maakt geen expliciet onderdeel van het onderzoek uit</w:t>
      </w:r>
      <w:r w:rsidR="00C920CC">
        <w:t xml:space="preserve">. </w:t>
      </w:r>
      <w:r w:rsidR="004A4A72">
        <w:t>Met de Agro-Nutri Monitor wordt wel getoond dat d</w:t>
      </w:r>
      <w:r w:rsidR="00942855">
        <w:t xml:space="preserve">e meerkosten voor verduurzamingsinspanningen op het boerenerf niet altijd </w:t>
      </w:r>
      <w:r w:rsidR="004A4A72">
        <w:t xml:space="preserve">worden </w:t>
      </w:r>
      <w:r w:rsidR="00942855">
        <w:t xml:space="preserve">vergoed. </w:t>
      </w:r>
      <w:r w:rsidR="004A4A72">
        <w:t xml:space="preserve">Daarnaast </w:t>
      </w:r>
      <w:r w:rsidR="00942855">
        <w:t xml:space="preserve">leiden nieuwe samenwerkingsvormen onder boeren tot </w:t>
      </w:r>
      <w:r w:rsidR="00942855">
        <w:lastRenderedPageBreak/>
        <w:t xml:space="preserve">tegenwicht in markten en is de internationale context belangrijk bij het matchen van vraag en aanbod. </w:t>
      </w:r>
    </w:p>
    <w:p w:rsidR="00942855" w:rsidP="00942855" w:rsidRDefault="00942855" w14:paraId="312318C8" w14:textId="77777777"/>
    <w:p w:rsidR="00942855" w:rsidP="00942855" w:rsidRDefault="00942855" w14:paraId="2A7A90B7" w14:textId="637EE5B7">
      <w:r>
        <w:t>Ee</w:t>
      </w:r>
      <w:r w:rsidR="009802B6">
        <w:t>n andere</w:t>
      </w:r>
      <w:r w:rsidR="00130BD7">
        <w:t xml:space="preserve"> </w:t>
      </w:r>
      <w:r>
        <w:t xml:space="preserve">manier om </w:t>
      </w:r>
      <w:r w:rsidR="009802B6">
        <w:t xml:space="preserve">naar </w:t>
      </w:r>
      <w:r w:rsidR="00551948">
        <w:t>voedselprijzen</w:t>
      </w:r>
      <w:r w:rsidR="00B121A8">
        <w:t xml:space="preserve"> </w:t>
      </w:r>
      <w:r>
        <w:t xml:space="preserve">te kijken is door de Nederlandse </w:t>
      </w:r>
      <w:r w:rsidR="00551948">
        <w:t>boodschappen</w:t>
      </w:r>
      <w:r>
        <w:t xml:space="preserve">prijzen te vergelijken met het buitenland. In de </w:t>
      </w:r>
      <w:r w:rsidRPr="0079514C">
        <w:t xml:space="preserve">Kabinetsreactie </w:t>
      </w:r>
      <w:r>
        <w:t xml:space="preserve">op de </w:t>
      </w:r>
      <w:r w:rsidRPr="0079514C">
        <w:t>Initiatiefnota 'Minder inflatie, meer bestaanszekerheid'</w:t>
      </w:r>
      <w:r>
        <w:t xml:space="preserve"> van 28 november j</w:t>
      </w:r>
      <w:r w:rsidR="00551948">
        <w:t>ongsleden</w:t>
      </w:r>
      <w:r>
        <w:rPr>
          <w:rStyle w:val="Voetnootmarkering"/>
        </w:rPr>
        <w:footnoteReference w:id="2"/>
      </w:r>
      <w:r>
        <w:t xml:space="preserve"> heeft de minister van Economische Zaken toegelicht dat </w:t>
      </w:r>
      <w:r w:rsidRPr="00CF0C35">
        <w:t>het prijsniveau van de boodschappen in Nederland onder het EU-gemiddelde</w:t>
      </w:r>
      <w:r w:rsidRPr="00CF0C35">
        <w:rPr>
          <w:vertAlign w:val="superscript"/>
        </w:rPr>
        <w:footnoteReference w:id="3"/>
      </w:r>
      <w:r>
        <w:t xml:space="preserve"> lig</w:t>
      </w:r>
      <w:r w:rsidR="009802B6">
        <w:t>t</w:t>
      </w:r>
      <w:r>
        <w:t xml:space="preserve">, ondanks </w:t>
      </w:r>
      <w:r w:rsidRPr="00CF0C35">
        <w:t>hogere lonen, energiekoste</w:t>
      </w:r>
      <w:r w:rsidR="009802B6">
        <w:t>n en</w:t>
      </w:r>
      <w:r w:rsidR="00330BB7">
        <w:t xml:space="preserve"> </w:t>
      </w:r>
      <w:r w:rsidRPr="00CF0C35">
        <w:t>accijnzen</w:t>
      </w:r>
      <w:r w:rsidR="009802B6">
        <w:t>. Logische verklaringen daarvoor zijn</w:t>
      </w:r>
      <w:r w:rsidRPr="00CF0C35" w:rsidR="009802B6">
        <w:t xml:space="preserve"> de sterke concurrentie tussen supermarkten (met scherpe aanbiedingen) en de gunstig logistieke positie van Nederland.</w:t>
      </w:r>
    </w:p>
    <w:p w:rsidR="00942855" w:rsidP="00942855" w:rsidRDefault="00942855" w14:paraId="3B0E9113" w14:textId="77777777"/>
    <w:p w:rsidR="00615DAF" w:rsidP="00942855" w:rsidRDefault="00551948" w14:paraId="46D0CE60" w14:textId="1E44704B">
      <w:r>
        <w:t>U</w:t>
      </w:r>
      <w:r w:rsidR="00130BD7">
        <w:t xml:space="preserve">it de </w:t>
      </w:r>
      <w:r>
        <w:t xml:space="preserve">rapportages van de Agro-Nutri Monitor </w:t>
      </w:r>
      <w:r w:rsidR="004A4A72">
        <w:t xml:space="preserve">is mij gebleken </w:t>
      </w:r>
      <w:r w:rsidR="00130BD7">
        <w:t>dat</w:t>
      </w:r>
      <w:r w:rsidR="00942855">
        <w:t xml:space="preserve"> </w:t>
      </w:r>
      <w:r w:rsidR="00130BD7">
        <w:t>op dit moment</w:t>
      </w:r>
      <w:r w:rsidR="00942855">
        <w:t xml:space="preserve"> geen </w:t>
      </w:r>
      <w:r w:rsidR="004A4A72">
        <w:t xml:space="preserve">aanwijsbare </w:t>
      </w:r>
      <w:r w:rsidR="00942855">
        <w:t>signalen</w:t>
      </w:r>
      <w:r w:rsidR="00130BD7">
        <w:t xml:space="preserve"> zijn van prijsopdrijving door concentratie en m</w:t>
      </w:r>
      <w:r w:rsidR="00942855">
        <w:t>arktmacht</w:t>
      </w:r>
      <w:r w:rsidR="00130BD7">
        <w:t>,</w:t>
      </w:r>
      <w:r>
        <w:t xml:space="preserve"> desondanks</w:t>
      </w:r>
      <w:r w:rsidR="00130BD7">
        <w:t xml:space="preserve"> vi</w:t>
      </w:r>
      <w:r w:rsidR="00942855">
        <w:t xml:space="preserve">nd ik het belangrijk om </w:t>
      </w:r>
      <w:r w:rsidR="00130BD7">
        <w:t>de voedselketen</w:t>
      </w:r>
      <w:r w:rsidR="00942855">
        <w:t xml:space="preserve"> goed in de gaten te houden en diepgaander onderzoek te doen naar winstmarges en marktconcentraties. Het kabinet kijkt daarom uit naar het onderzoek van de ACM naar de </w:t>
      </w:r>
      <w:r w:rsidRPr="008D3588" w:rsidR="00942855">
        <w:t>prijzen van levensmiddelen</w:t>
      </w:r>
      <w:r w:rsidRPr="004A4A72" w:rsidR="004A4A72">
        <w:rPr>
          <w:rFonts w:ascii="Arial" w:hAnsi="Arial" w:cs="Arial"/>
          <w:sz w:val="19"/>
          <w:szCs w:val="19"/>
        </w:rPr>
        <w:t xml:space="preserve"> </w:t>
      </w:r>
      <w:r w:rsidR="004A4A72">
        <w:rPr>
          <w:rFonts w:ascii="Arial" w:hAnsi="Arial" w:cs="Arial"/>
          <w:sz w:val="19"/>
          <w:szCs w:val="19"/>
        </w:rPr>
        <w:t xml:space="preserve">waarbij ook </w:t>
      </w:r>
      <w:r w:rsidRPr="004A4A72" w:rsidR="004A4A72">
        <w:t>een prijsvergelijking met een aantal andere landen uit</w:t>
      </w:r>
      <w:r w:rsidR="004A4A72">
        <w:t>gevoerd wordt</w:t>
      </w:r>
      <w:r w:rsidR="00942855">
        <w:t>. In dit onderzoek wordt gekeken</w:t>
      </w:r>
      <w:r w:rsidRPr="002C74E0" w:rsidR="00942855">
        <w:t xml:space="preserve"> welke kosten en winstmarges in de keten bijdragen aan de prijs die consumenten uiteindelijk in de winkel betalen.</w:t>
      </w:r>
      <w:r w:rsidR="00942855">
        <w:t xml:space="preserve"> Het is de verwachting dat de uitkomsten van dit onderzoek in het laatste kwartaal van dit jaar beschikbaar komen. </w:t>
      </w:r>
    </w:p>
    <w:p w:rsidR="00615DAF" w:rsidP="00942855" w:rsidRDefault="00615DAF" w14:paraId="51BC4685" w14:textId="77777777"/>
    <w:p w:rsidR="00942855" w:rsidP="00942855" w:rsidRDefault="00615DAF" w14:paraId="38E06284" w14:textId="2A3DAFB7">
      <w:r>
        <w:t>D</w:t>
      </w:r>
      <w:r w:rsidR="00942855">
        <w:t xml:space="preserve">aarnaast heeft de Europese Commissie opdracht gegeven voor een studie naar voedselbetaalbaarheid in de Europese Unie met daarbij specifieke aandacht voor de rol van instrumenten uit het Gemeenschappelijk Landbouwbeleid. Zodra deze studie is afgerond, zal ik uw Kamer het eindrapport doen toekomen. </w:t>
      </w:r>
    </w:p>
    <w:p w:rsidR="00942855" w:rsidP="00942855" w:rsidRDefault="00942855" w14:paraId="133028EA" w14:textId="77777777"/>
    <w:p w:rsidR="00942855" w:rsidP="00942855" w:rsidRDefault="00942855" w14:paraId="399E4D02" w14:textId="43C3D6E5">
      <w:r>
        <w:t>Tot slot, (</w:t>
      </w:r>
      <w:r w:rsidR="009802B6">
        <w:t>v</w:t>
      </w:r>
      <w:r>
        <w:t>oedsel)betaalbaarheid in het algemeen is, en blijft, een belangrijk onderwerp voor het kabinet</w:t>
      </w:r>
      <w:r w:rsidR="008D062F">
        <w:t>. D</w:t>
      </w:r>
      <w:r>
        <w:t>e uitkomsten van de genoemde onderzoeken</w:t>
      </w:r>
      <w:r w:rsidR="008D062F">
        <w:t xml:space="preserve"> alsmede </w:t>
      </w:r>
      <w:r w:rsidR="00CD6608">
        <w:t xml:space="preserve">eventuele nieuwe </w:t>
      </w:r>
      <w:r w:rsidR="008D062F">
        <w:t>voorstellen van de Europese Commissie zullen</w:t>
      </w:r>
      <w:r w:rsidR="00330BB7">
        <w:t xml:space="preserve"> in den brede</w:t>
      </w:r>
      <w:r>
        <w:t xml:space="preserve"> betr</w:t>
      </w:r>
      <w:r w:rsidR="008D062F">
        <w:t>o</w:t>
      </w:r>
      <w:r>
        <w:t xml:space="preserve">kken </w:t>
      </w:r>
      <w:r w:rsidR="008D062F">
        <w:t xml:space="preserve">worden </w:t>
      </w:r>
      <w:r>
        <w:t xml:space="preserve">bij </w:t>
      </w:r>
      <w:r w:rsidR="00551948">
        <w:t xml:space="preserve">verdere </w:t>
      </w:r>
      <w:r w:rsidR="00B65E77">
        <w:t>beraadslaging</w:t>
      </w:r>
      <w:r w:rsidR="00551948">
        <w:t xml:space="preserve"> in het Kabinet</w:t>
      </w:r>
      <w:r>
        <w:t xml:space="preserve">. </w:t>
      </w:r>
    </w:p>
    <w:p w:rsidR="001536B3" w:rsidP="00810C93" w:rsidRDefault="001536B3" w14:paraId="4627994C" w14:textId="77777777"/>
    <w:p w:rsidR="001536B3" w:rsidP="00810C93" w:rsidRDefault="00942855" w14:paraId="53923F24" w14:textId="19CF6DB8">
      <w:r>
        <w:t xml:space="preserve">Hoogachtend, </w:t>
      </w:r>
    </w:p>
    <w:p w:rsidR="00584BAC" w:rsidP="00810C93" w:rsidRDefault="00584BAC" w14:paraId="2C8D1C14" w14:textId="77777777">
      <w:pPr>
        <w:rPr>
          <w:szCs w:val="18"/>
        </w:rPr>
      </w:pPr>
    </w:p>
    <w:p w:rsidR="009850B1" w:rsidP="007F510A" w:rsidRDefault="009850B1" w14:paraId="3C7AE722" w14:textId="77777777">
      <w:pPr>
        <w:rPr>
          <w:szCs w:val="18"/>
        </w:rPr>
      </w:pPr>
    </w:p>
    <w:p w:rsidR="00426BC7" w:rsidP="007F510A" w:rsidRDefault="00426BC7" w14:paraId="5201E236" w14:textId="77777777">
      <w:pPr>
        <w:rPr>
          <w:szCs w:val="18"/>
        </w:rPr>
      </w:pPr>
    </w:p>
    <w:p w:rsidR="00426BC7" w:rsidP="009850B1" w:rsidRDefault="00426BC7" w14:paraId="2D5009CF" w14:textId="77777777">
      <w:pPr>
        <w:tabs>
          <w:tab w:val="left" w:pos="945"/>
        </w:tabs>
        <w:rPr>
          <w:szCs w:val="18"/>
        </w:rPr>
      </w:pPr>
    </w:p>
    <w:p w:rsidRPr="00A54BCC" w:rsidR="00C90702" w:rsidP="007F510A" w:rsidRDefault="00DD2364" w14:paraId="72951C05" w14:textId="77777777">
      <w:pPr>
        <w:rPr>
          <w:szCs w:val="18"/>
        </w:rPr>
      </w:pPr>
      <w:r>
        <w:rPr>
          <w:szCs w:val="18"/>
        </w:rPr>
        <w:t xml:space="preserve">Silvio </w:t>
      </w:r>
      <w:r w:rsidR="00F51EDB">
        <w:rPr>
          <w:szCs w:val="18"/>
        </w:rPr>
        <w:t xml:space="preserve">P.A. </w:t>
      </w:r>
      <w:r>
        <w:rPr>
          <w:szCs w:val="18"/>
        </w:rPr>
        <w:t>Erkens</w:t>
      </w:r>
    </w:p>
    <w:p w:rsidRPr="00426BC7" w:rsidR="00426BC7" w:rsidP="00524FB4" w:rsidRDefault="00DD2364" w14:paraId="5D60D324"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9B4566" w:rsidP="00810C93" w:rsidRDefault="009B4566" w14:paraId="6690F87F" w14:textId="77777777"/>
    <w:p w:rsidR="00144B73" w:rsidP="00810C93" w:rsidRDefault="00144B73" w14:paraId="629A19F8" w14:textId="77777777"/>
    <w:p w:rsidRPr="00144B73" w:rsidR="00144B73" w:rsidP="00810C93" w:rsidRDefault="00144B73" w14:paraId="4CE32645"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0AE1" w14:textId="77777777" w:rsidR="00A06437" w:rsidRDefault="00A06437">
      <w:r>
        <w:separator/>
      </w:r>
    </w:p>
    <w:p w14:paraId="7E4A196D" w14:textId="77777777" w:rsidR="00A06437" w:rsidRDefault="00A06437"/>
  </w:endnote>
  <w:endnote w:type="continuationSeparator" w:id="0">
    <w:p w14:paraId="4F98F44F" w14:textId="77777777" w:rsidR="00A06437" w:rsidRDefault="00A06437">
      <w:r>
        <w:continuationSeparator/>
      </w:r>
    </w:p>
    <w:p w14:paraId="39E166AC" w14:textId="77777777" w:rsidR="00A06437" w:rsidRDefault="00A06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085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A17F0" w14:paraId="55F64007" w14:textId="77777777" w:rsidTr="00CA6A25">
      <w:trPr>
        <w:trHeight w:hRule="exact" w:val="240"/>
      </w:trPr>
      <w:tc>
        <w:tcPr>
          <w:tcW w:w="7601" w:type="dxa"/>
        </w:tcPr>
        <w:p w14:paraId="2E42F99A" w14:textId="77777777" w:rsidR="00527BD4" w:rsidRDefault="00527BD4" w:rsidP="003F1F6B">
          <w:pPr>
            <w:pStyle w:val="Huisstijl-Rubricering"/>
          </w:pPr>
        </w:p>
      </w:tc>
      <w:tc>
        <w:tcPr>
          <w:tcW w:w="2156" w:type="dxa"/>
        </w:tcPr>
        <w:p w14:paraId="5A6E566B" w14:textId="248723A8" w:rsidR="00527BD4" w:rsidRPr="00645414" w:rsidRDefault="00DD23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34E31">
            <w:t>2</w:t>
          </w:r>
          <w:r w:rsidR="00144B73">
            <w:fldChar w:fldCharType="end"/>
          </w:r>
        </w:p>
      </w:tc>
    </w:tr>
  </w:tbl>
  <w:p w14:paraId="630341B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A17F0" w14:paraId="19A764A2" w14:textId="77777777" w:rsidTr="00CA6A25">
      <w:trPr>
        <w:trHeight w:hRule="exact" w:val="240"/>
      </w:trPr>
      <w:tc>
        <w:tcPr>
          <w:tcW w:w="7601" w:type="dxa"/>
        </w:tcPr>
        <w:p w14:paraId="538ADD22" w14:textId="77777777" w:rsidR="00527BD4" w:rsidRDefault="00527BD4" w:rsidP="008C356D">
          <w:pPr>
            <w:pStyle w:val="Huisstijl-Rubricering"/>
          </w:pPr>
        </w:p>
      </w:tc>
      <w:tc>
        <w:tcPr>
          <w:tcW w:w="2170" w:type="dxa"/>
        </w:tcPr>
        <w:p w14:paraId="11523427" w14:textId="15E09A4A" w:rsidR="00527BD4" w:rsidRPr="00ED539E" w:rsidRDefault="00DD23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A06437">
            <w:t>1</w:t>
          </w:r>
          <w:r w:rsidR="003F2647">
            <w:fldChar w:fldCharType="end"/>
          </w:r>
        </w:p>
      </w:tc>
    </w:tr>
  </w:tbl>
  <w:p w14:paraId="45CC51A0" w14:textId="77777777" w:rsidR="00527BD4" w:rsidRPr="00BC3B53" w:rsidRDefault="00527BD4" w:rsidP="008C356D">
    <w:pPr>
      <w:pStyle w:val="Voettekst"/>
      <w:spacing w:line="240" w:lineRule="auto"/>
      <w:rPr>
        <w:sz w:val="2"/>
        <w:szCs w:val="2"/>
      </w:rPr>
    </w:pPr>
  </w:p>
  <w:p w14:paraId="4A64387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6BD7" w14:textId="77777777" w:rsidR="00A06437" w:rsidRDefault="00A06437">
      <w:r>
        <w:separator/>
      </w:r>
    </w:p>
    <w:p w14:paraId="3B0C051A" w14:textId="77777777" w:rsidR="00A06437" w:rsidRDefault="00A06437"/>
  </w:footnote>
  <w:footnote w:type="continuationSeparator" w:id="0">
    <w:p w14:paraId="61A2A978" w14:textId="77777777" w:rsidR="00A06437" w:rsidRDefault="00A06437">
      <w:r>
        <w:continuationSeparator/>
      </w:r>
    </w:p>
    <w:p w14:paraId="384C46DF" w14:textId="77777777" w:rsidR="00A06437" w:rsidRDefault="00A06437"/>
  </w:footnote>
  <w:footnote w:id="1">
    <w:p w14:paraId="08FD21D1" w14:textId="77777777" w:rsidR="00942855" w:rsidRPr="006D3388" w:rsidRDefault="00942855" w:rsidP="00942855">
      <w:pPr>
        <w:pStyle w:val="Voetnoottekst"/>
      </w:pPr>
      <w:r>
        <w:rPr>
          <w:rStyle w:val="Voetnootmarkering"/>
        </w:rPr>
        <w:footnoteRef/>
      </w:r>
      <w:r>
        <w:t xml:space="preserve"> </w:t>
      </w:r>
      <w:hyperlink r:id="rId1" w:history="1">
        <w:r w:rsidRPr="006D3388">
          <w:rPr>
            <w:rStyle w:val="Hyperlink"/>
          </w:rPr>
          <w:t>Plenaire verslagen | Tweede Kamer der Staten-Generaal</w:t>
        </w:r>
      </w:hyperlink>
    </w:p>
  </w:footnote>
  <w:footnote w:id="2">
    <w:p w14:paraId="72070B77" w14:textId="77777777" w:rsidR="00942855" w:rsidRDefault="00942855" w:rsidP="00942855">
      <w:pPr>
        <w:pStyle w:val="Voetnoottekst"/>
      </w:pPr>
      <w:r>
        <w:rPr>
          <w:rStyle w:val="Voetnootmarkering"/>
        </w:rPr>
        <w:footnoteRef/>
      </w:r>
      <w:r>
        <w:t xml:space="preserve"> </w:t>
      </w:r>
      <w:r w:rsidRPr="00BB4E18">
        <w:t>Kamerstuk 36720</w:t>
      </w:r>
      <w:r>
        <w:t>, nr. 4</w:t>
      </w:r>
    </w:p>
  </w:footnote>
  <w:footnote w:id="3">
    <w:p w14:paraId="134FCB72" w14:textId="77777777" w:rsidR="00942855" w:rsidRDefault="00942855" w:rsidP="00942855">
      <w:pPr>
        <w:pStyle w:val="Voetnoottekst"/>
        <w:rPr>
          <w:lang w:val="en-US"/>
        </w:rPr>
      </w:pPr>
      <w:r>
        <w:rPr>
          <w:rStyle w:val="Voetnootmarkering"/>
        </w:rPr>
        <w:footnoteRef/>
      </w:r>
      <w:r>
        <w:t xml:space="preserve"> Dit betreft de onderdelen ‘eten’ en ‘non-alcoholische dranken’. </w:t>
      </w:r>
      <w:r>
        <w:rPr>
          <w:lang w:val="en-US"/>
        </w:rPr>
        <w:t>Bron: Eurostat (2025). Comparative price levels for food, beverages and tobacco.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A17F0" w14:paraId="57C092C7" w14:textId="77777777" w:rsidTr="00A50CF6">
      <w:tc>
        <w:tcPr>
          <w:tcW w:w="2156" w:type="dxa"/>
        </w:tcPr>
        <w:p w14:paraId="70A3D21D" w14:textId="77777777" w:rsidR="00527BD4" w:rsidRPr="005819CE" w:rsidRDefault="00DD2364" w:rsidP="00A50CF6">
          <w:pPr>
            <w:pStyle w:val="Huisstijl-Adres"/>
            <w:rPr>
              <w:b/>
            </w:rPr>
          </w:pPr>
          <w:r>
            <w:rPr>
              <w:b/>
            </w:rPr>
            <w:t>Directie Europese en Internationale Zaken</w:t>
          </w:r>
          <w:r w:rsidRPr="005819CE">
            <w:rPr>
              <w:b/>
            </w:rPr>
            <w:br/>
          </w:r>
        </w:p>
      </w:tc>
    </w:tr>
    <w:tr w:rsidR="000A17F0" w14:paraId="4FAC814C" w14:textId="77777777" w:rsidTr="00A50CF6">
      <w:trPr>
        <w:trHeight w:hRule="exact" w:val="200"/>
      </w:trPr>
      <w:tc>
        <w:tcPr>
          <w:tcW w:w="2156" w:type="dxa"/>
        </w:tcPr>
        <w:p w14:paraId="11CBBA08" w14:textId="77777777" w:rsidR="00527BD4" w:rsidRPr="005819CE" w:rsidRDefault="00527BD4" w:rsidP="00A50CF6"/>
      </w:tc>
    </w:tr>
    <w:tr w:rsidR="000A17F0" w14:paraId="7BD76DA4" w14:textId="77777777" w:rsidTr="00502512">
      <w:trPr>
        <w:trHeight w:hRule="exact" w:val="774"/>
      </w:trPr>
      <w:tc>
        <w:tcPr>
          <w:tcW w:w="2156" w:type="dxa"/>
        </w:tcPr>
        <w:p w14:paraId="27E929E3" w14:textId="77777777" w:rsidR="00527BD4" w:rsidRDefault="00DD2364" w:rsidP="003A5290">
          <w:pPr>
            <w:pStyle w:val="Huisstijl-Kopje"/>
          </w:pPr>
          <w:r>
            <w:t>Ons kenmerk</w:t>
          </w:r>
        </w:p>
        <w:p w14:paraId="36F8A4CF" w14:textId="627BBCD3" w:rsidR="00527BD4" w:rsidRPr="005819CE" w:rsidRDefault="00DD2364" w:rsidP="001E6117">
          <w:pPr>
            <w:pStyle w:val="Huisstijl-Kopje"/>
          </w:pPr>
          <w:r>
            <w:rPr>
              <w:b w:val="0"/>
            </w:rPr>
            <w:t>DGA</w:t>
          </w:r>
          <w:r w:rsidRPr="00502512">
            <w:rPr>
              <w:b w:val="0"/>
            </w:rPr>
            <w:t xml:space="preserve"> / </w:t>
          </w:r>
          <w:r>
            <w:rPr>
              <w:b w:val="0"/>
            </w:rPr>
            <w:t>106711804</w:t>
          </w:r>
        </w:p>
      </w:tc>
    </w:tr>
  </w:tbl>
  <w:p w14:paraId="1296219F" w14:textId="77777777" w:rsidR="00527BD4" w:rsidRDefault="00527BD4" w:rsidP="008C356D"/>
  <w:p w14:paraId="249479C0" w14:textId="77777777" w:rsidR="00527BD4" w:rsidRPr="00740712" w:rsidRDefault="00527BD4" w:rsidP="008C356D"/>
  <w:p w14:paraId="6F0F7BEF" w14:textId="77777777" w:rsidR="00527BD4" w:rsidRPr="00217880" w:rsidRDefault="00527BD4" w:rsidP="008C356D">
    <w:pPr>
      <w:spacing w:line="0" w:lineRule="atLeast"/>
      <w:rPr>
        <w:sz w:val="2"/>
        <w:szCs w:val="2"/>
      </w:rPr>
    </w:pPr>
  </w:p>
  <w:p w14:paraId="40128113" w14:textId="77777777" w:rsidR="00527BD4" w:rsidRDefault="00527BD4" w:rsidP="004F44C2">
    <w:pPr>
      <w:pStyle w:val="Koptekst"/>
      <w:rPr>
        <w:rFonts w:cs="Verdana-Bold"/>
        <w:b/>
        <w:bCs/>
        <w:smallCaps/>
        <w:szCs w:val="18"/>
      </w:rPr>
    </w:pPr>
  </w:p>
  <w:p w14:paraId="20EE9C7B" w14:textId="77777777" w:rsidR="00527BD4" w:rsidRDefault="00527BD4" w:rsidP="004F44C2"/>
  <w:p w14:paraId="7CF5E7B5" w14:textId="77777777" w:rsidR="00527BD4" w:rsidRPr="00740712" w:rsidRDefault="00527BD4" w:rsidP="004F44C2"/>
  <w:p w14:paraId="00C7007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A17F0" w14:paraId="5AEB2463" w14:textId="77777777" w:rsidTr="00751A6A">
      <w:trPr>
        <w:trHeight w:val="2636"/>
      </w:trPr>
      <w:tc>
        <w:tcPr>
          <w:tcW w:w="737" w:type="dxa"/>
        </w:tcPr>
        <w:p w14:paraId="2E2703EA" w14:textId="77777777" w:rsidR="00527BD4" w:rsidRDefault="00527BD4" w:rsidP="00D0609E">
          <w:pPr>
            <w:framePr w:w="6340" w:h="2750" w:hRule="exact" w:hSpace="180" w:wrap="around" w:vAnchor="page" w:hAnchor="text" w:x="3873" w:y="-140"/>
            <w:spacing w:line="240" w:lineRule="auto"/>
          </w:pPr>
        </w:p>
      </w:tc>
      <w:tc>
        <w:tcPr>
          <w:tcW w:w="5156" w:type="dxa"/>
        </w:tcPr>
        <w:p w14:paraId="29CDE587" w14:textId="77777777" w:rsidR="00527BD4" w:rsidRDefault="00DD236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7C91184" wp14:editId="07B1BFA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9DFDA96" w14:textId="77777777" w:rsidR="00527BD4" w:rsidRDefault="00527BD4" w:rsidP="00D0609E">
    <w:pPr>
      <w:framePr w:w="6340" w:h="2750" w:hRule="exact" w:hSpace="180" w:wrap="around" w:vAnchor="page" w:hAnchor="text" w:x="3873" w:y="-140"/>
    </w:pPr>
  </w:p>
  <w:p w14:paraId="6BD1603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A17F0" w14:paraId="0F17B0D1" w14:textId="77777777" w:rsidTr="00A50CF6">
      <w:tc>
        <w:tcPr>
          <w:tcW w:w="2160" w:type="dxa"/>
        </w:tcPr>
        <w:p w14:paraId="5A641E60" w14:textId="77777777" w:rsidR="00527BD4" w:rsidRPr="005819CE" w:rsidRDefault="00DD2364" w:rsidP="00A50CF6">
          <w:pPr>
            <w:pStyle w:val="Huisstijl-Adres"/>
            <w:rPr>
              <w:b/>
            </w:rPr>
          </w:pPr>
          <w:r>
            <w:rPr>
              <w:b/>
            </w:rPr>
            <w:t>Directie Europese en Internationale Zaken</w:t>
          </w:r>
          <w:r w:rsidRPr="005819CE">
            <w:rPr>
              <w:b/>
            </w:rPr>
            <w:br/>
          </w:r>
        </w:p>
        <w:p w14:paraId="4DEE3C57" w14:textId="77777777" w:rsidR="00527BD4" w:rsidRPr="00BE5ED9" w:rsidRDefault="00DD2364" w:rsidP="00A50CF6">
          <w:pPr>
            <w:pStyle w:val="Huisstijl-Adres"/>
          </w:pPr>
          <w:r>
            <w:rPr>
              <w:b/>
            </w:rPr>
            <w:t>Bezoekadres</w:t>
          </w:r>
          <w:r>
            <w:rPr>
              <w:b/>
            </w:rPr>
            <w:br/>
          </w:r>
          <w:r>
            <w:t>Bezuidenhoutseweg 73</w:t>
          </w:r>
          <w:r w:rsidRPr="005819CE">
            <w:br/>
          </w:r>
          <w:r>
            <w:t>2594 AC Den Haag</w:t>
          </w:r>
        </w:p>
        <w:p w14:paraId="478DABEC" w14:textId="77777777" w:rsidR="00EF495B" w:rsidRDefault="00DD2364" w:rsidP="0098788A">
          <w:pPr>
            <w:pStyle w:val="Huisstijl-Adres"/>
          </w:pPr>
          <w:r>
            <w:rPr>
              <w:b/>
            </w:rPr>
            <w:t>Postadres</w:t>
          </w:r>
          <w:r>
            <w:rPr>
              <w:b/>
            </w:rPr>
            <w:br/>
          </w:r>
          <w:r>
            <w:t>Postbus 20401</w:t>
          </w:r>
          <w:r w:rsidRPr="005819CE">
            <w:br/>
            <w:t>2500 E</w:t>
          </w:r>
          <w:r>
            <w:t>K</w:t>
          </w:r>
          <w:r w:rsidRPr="005819CE">
            <w:t xml:space="preserve"> Den Haag</w:t>
          </w:r>
        </w:p>
        <w:p w14:paraId="2109602B" w14:textId="77777777" w:rsidR="00556BEE" w:rsidRPr="005B3814" w:rsidRDefault="00DD2364" w:rsidP="0098788A">
          <w:pPr>
            <w:pStyle w:val="Huisstijl-Adres"/>
          </w:pPr>
          <w:r>
            <w:rPr>
              <w:b/>
            </w:rPr>
            <w:t>Overheidsidentificatienr</w:t>
          </w:r>
          <w:r>
            <w:rPr>
              <w:b/>
            </w:rPr>
            <w:br/>
          </w:r>
          <w:r w:rsidR="00BA129E">
            <w:rPr>
              <w:rFonts w:cs="Agrofont"/>
              <w:iCs/>
            </w:rPr>
            <w:t>00000001858272854000</w:t>
          </w:r>
        </w:p>
        <w:p w14:paraId="2C4FDE80" w14:textId="1E424A71" w:rsidR="00527BD4" w:rsidRPr="00B50C8C" w:rsidRDefault="00DD236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A17F0" w14:paraId="281F5093" w14:textId="77777777" w:rsidTr="00A50CF6">
      <w:trPr>
        <w:trHeight w:hRule="exact" w:val="200"/>
      </w:trPr>
      <w:tc>
        <w:tcPr>
          <w:tcW w:w="2160" w:type="dxa"/>
        </w:tcPr>
        <w:p w14:paraId="1AE6ED03" w14:textId="77777777" w:rsidR="00527BD4" w:rsidRPr="005819CE" w:rsidRDefault="00527BD4" w:rsidP="00A50CF6"/>
      </w:tc>
    </w:tr>
    <w:tr w:rsidR="000A17F0" w14:paraId="5CD0C90C" w14:textId="77777777" w:rsidTr="00A50CF6">
      <w:tc>
        <w:tcPr>
          <w:tcW w:w="2160" w:type="dxa"/>
        </w:tcPr>
        <w:p w14:paraId="5462F1FD" w14:textId="77777777" w:rsidR="000C0163" w:rsidRPr="005819CE" w:rsidRDefault="00DD2364" w:rsidP="000C0163">
          <w:pPr>
            <w:pStyle w:val="Huisstijl-Kopje"/>
          </w:pPr>
          <w:r>
            <w:t>Ons kenmerk</w:t>
          </w:r>
          <w:r w:rsidRPr="005819CE">
            <w:t xml:space="preserve"> </w:t>
          </w:r>
        </w:p>
        <w:p w14:paraId="72EA67E6" w14:textId="5E7FE0E9" w:rsidR="000C0163" w:rsidRPr="005819CE" w:rsidRDefault="00942855" w:rsidP="000C0163">
          <w:pPr>
            <w:pStyle w:val="Huisstijl-Gegeven"/>
          </w:pPr>
          <w:r>
            <w:t>DGA</w:t>
          </w:r>
          <w:r w:rsidR="00DD2364">
            <w:t xml:space="preserve"> /</w:t>
          </w:r>
          <w:r w:rsidR="00486354">
            <w:t xml:space="preserve"> </w:t>
          </w:r>
          <w:r w:rsidR="00DD2364">
            <w:t>106711804</w:t>
          </w:r>
        </w:p>
        <w:p w14:paraId="25A0DF76" w14:textId="77777777" w:rsidR="00527BD4" w:rsidRPr="005819CE" w:rsidRDefault="00DD2364" w:rsidP="00A50CF6">
          <w:pPr>
            <w:pStyle w:val="Huisstijl-Kopje"/>
          </w:pPr>
          <w:r>
            <w:t>Uw kenmerk</w:t>
          </w:r>
        </w:p>
        <w:p w14:paraId="1E87DA5C" w14:textId="1C3CEA05" w:rsidR="00527BD4" w:rsidRPr="005819CE" w:rsidRDefault="00DD2364" w:rsidP="00B50C8C">
          <w:pPr>
            <w:pStyle w:val="Huisstijl-Gegeven"/>
          </w:pPr>
          <w:r>
            <w:t>TK 29544, nr. 1264</w:t>
          </w:r>
        </w:p>
      </w:tc>
    </w:tr>
  </w:tbl>
  <w:p w14:paraId="50BDB21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A17F0" w14:paraId="1D7FACDC" w14:textId="77777777" w:rsidTr="009E2051">
      <w:trPr>
        <w:trHeight w:val="400"/>
      </w:trPr>
      <w:tc>
        <w:tcPr>
          <w:tcW w:w="7520" w:type="dxa"/>
          <w:gridSpan w:val="2"/>
        </w:tcPr>
        <w:p w14:paraId="1866094E" w14:textId="77777777" w:rsidR="00527BD4" w:rsidRPr="00BC3B53" w:rsidRDefault="00DD2364" w:rsidP="00A50CF6">
          <w:pPr>
            <w:pStyle w:val="Huisstijl-Retouradres"/>
          </w:pPr>
          <w:r>
            <w:t>&gt; Retouradres Postbus 20401 2500 EK Den Haag</w:t>
          </w:r>
        </w:p>
      </w:tc>
    </w:tr>
    <w:tr w:rsidR="000A17F0" w14:paraId="04BBFE49" w14:textId="77777777" w:rsidTr="009E2051">
      <w:tc>
        <w:tcPr>
          <w:tcW w:w="7520" w:type="dxa"/>
          <w:gridSpan w:val="2"/>
        </w:tcPr>
        <w:p w14:paraId="46173E40" w14:textId="77777777" w:rsidR="00527BD4" w:rsidRPr="00983E8F" w:rsidRDefault="00527BD4" w:rsidP="00A50CF6">
          <w:pPr>
            <w:pStyle w:val="Huisstijl-Rubricering"/>
          </w:pPr>
        </w:p>
      </w:tc>
    </w:tr>
    <w:tr w:rsidR="000A17F0" w14:paraId="35ABE852" w14:textId="77777777" w:rsidTr="009E2051">
      <w:trPr>
        <w:trHeight w:hRule="exact" w:val="2440"/>
      </w:trPr>
      <w:tc>
        <w:tcPr>
          <w:tcW w:w="7520" w:type="dxa"/>
          <w:gridSpan w:val="2"/>
        </w:tcPr>
        <w:p w14:paraId="3B16F29D" w14:textId="77777777" w:rsidR="00527BD4" w:rsidRDefault="00DD2364" w:rsidP="00A50CF6">
          <w:pPr>
            <w:pStyle w:val="Huisstijl-NAW"/>
          </w:pPr>
          <w:r>
            <w:t xml:space="preserve">De Voorzitter van de Tweede Kamer </w:t>
          </w:r>
        </w:p>
        <w:p w14:paraId="7A663E6F" w14:textId="77777777" w:rsidR="000A17F0" w:rsidRDefault="00DD2364">
          <w:pPr>
            <w:pStyle w:val="Huisstijl-NAW"/>
          </w:pPr>
          <w:r>
            <w:t>der Staten-Generaal</w:t>
          </w:r>
        </w:p>
        <w:p w14:paraId="3F761A84" w14:textId="77777777" w:rsidR="000A17F0" w:rsidRDefault="00DD2364">
          <w:pPr>
            <w:pStyle w:val="Huisstijl-NAW"/>
          </w:pPr>
          <w:r>
            <w:t>Prinses Irenestraat 6</w:t>
          </w:r>
        </w:p>
        <w:p w14:paraId="30E40CE6" w14:textId="77777777" w:rsidR="000A17F0" w:rsidRDefault="00DD2364">
          <w:pPr>
            <w:pStyle w:val="Huisstijl-NAW"/>
          </w:pPr>
          <w:r>
            <w:t>2595 BD  DEN HAAG</w:t>
          </w:r>
        </w:p>
        <w:p w14:paraId="37CFB051" w14:textId="77777777" w:rsidR="000A17F0" w:rsidRDefault="00486354">
          <w:pPr>
            <w:pStyle w:val="Huisstijl-NAW"/>
          </w:pPr>
          <w:r>
            <w:t xml:space="preserve"> </w:t>
          </w:r>
        </w:p>
      </w:tc>
    </w:tr>
    <w:tr w:rsidR="000A17F0" w14:paraId="5391BE7B" w14:textId="77777777" w:rsidTr="009E2051">
      <w:trPr>
        <w:trHeight w:hRule="exact" w:val="400"/>
      </w:trPr>
      <w:tc>
        <w:tcPr>
          <w:tcW w:w="7520" w:type="dxa"/>
          <w:gridSpan w:val="2"/>
        </w:tcPr>
        <w:p w14:paraId="1EFC63E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A17F0" w14:paraId="2D9F4D22" w14:textId="77777777" w:rsidTr="009E2051">
      <w:trPr>
        <w:trHeight w:val="240"/>
      </w:trPr>
      <w:tc>
        <w:tcPr>
          <w:tcW w:w="900" w:type="dxa"/>
        </w:tcPr>
        <w:p w14:paraId="1945508C" w14:textId="77777777" w:rsidR="00527BD4" w:rsidRPr="007709EF" w:rsidRDefault="00DD2364" w:rsidP="00A50CF6">
          <w:pPr>
            <w:rPr>
              <w:szCs w:val="18"/>
            </w:rPr>
          </w:pPr>
          <w:r>
            <w:rPr>
              <w:szCs w:val="18"/>
            </w:rPr>
            <w:t>Datum</w:t>
          </w:r>
        </w:p>
      </w:tc>
      <w:tc>
        <w:tcPr>
          <w:tcW w:w="6620" w:type="dxa"/>
        </w:tcPr>
        <w:p w14:paraId="132FD8DD" w14:textId="50DF3923" w:rsidR="00527BD4" w:rsidRPr="007709EF" w:rsidRDefault="00E66506" w:rsidP="00A50CF6">
          <w:r>
            <w:t>8 juli 2026</w:t>
          </w:r>
        </w:p>
      </w:tc>
    </w:tr>
    <w:tr w:rsidR="000A17F0" w14:paraId="300D1D89" w14:textId="77777777" w:rsidTr="009E2051">
      <w:trPr>
        <w:trHeight w:val="240"/>
      </w:trPr>
      <w:tc>
        <w:tcPr>
          <w:tcW w:w="900" w:type="dxa"/>
        </w:tcPr>
        <w:p w14:paraId="535EE9B1" w14:textId="77777777" w:rsidR="00527BD4" w:rsidRPr="007709EF" w:rsidRDefault="00DD2364" w:rsidP="00A50CF6">
          <w:pPr>
            <w:rPr>
              <w:szCs w:val="18"/>
            </w:rPr>
          </w:pPr>
          <w:r>
            <w:rPr>
              <w:szCs w:val="18"/>
            </w:rPr>
            <w:t>Betreft</w:t>
          </w:r>
        </w:p>
      </w:tc>
      <w:tc>
        <w:tcPr>
          <w:tcW w:w="6620" w:type="dxa"/>
        </w:tcPr>
        <w:p w14:paraId="7B380B0E" w14:textId="41907F2C" w:rsidR="00527BD4" w:rsidRPr="007709EF" w:rsidRDefault="00942855" w:rsidP="00A50CF6">
          <w:r>
            <w:t>U</w:t>
          </w:r>
          <w:r w:rsidR="00DD2364">
            <w:t>itvoering motie van het lid Dijk</w:t>
          </w:r>
          <w:r w:rsidR="00BC0870">
            <w:t xml:space="preserve"> (SP)</w:t>
          </w:r>
          <w:r w:rsidR="00DD2364">
            <w:t xml:space="preserve"> over de concentratie, marktmacht en prijsopdrijving in de voedselindustrie </w:t>
          </w:r>
        </w:p>
      </w:tc>
    </w:tr>
  </w:tbl>
  <w:p w14:paraId="0232D79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6282412">
      <w:start w:val="1"/>
      <w:numFmt w:val="bullet"/>
      <w:pStyle w:val="Lijstopsomteken"/>
      <w:lvlText w:val="•"/>
      <w:lvlJc w:val="left"/>
      <w:pPr>
        <w:tabs>
          <w:tab w:val="num" w:pos="227"/>
        </w:tabs>
        <w:ind w:left="227" w:hanging="227"/>
      </w:pPr>
      <w:rPr>
        <w:rFonts w:ascii="Verdana" w:hAnsi="Verdana" w:hint="default"/>
        <w:sz w:val="18"/>
        <w:szCs w:val="18"/>
      </w:rPr>
    </w:lvl>
    <w:lvl w:ilvl="1" w:tplc="1E7CC36A" w:tentative="1">
      <w:start w:val="1"/>
      <w:numFmt w:val="bullet"/>
      <w:lvlText w:val="o"/>
      <w:lvlJc w:val="left"/>
      <w:pPr>
        <w:tabs>
          <w:tab w:val="num" w:pos="1440"/>
        </w:tabs>
        <w:ind w:left="1440" w:hanging="360"/>
      </w:pPr>
      <w:rPr>
        <w:rFonts w:ascii="Courier New" w:hAnsi="Courier New" w:cs="Courier New" w:hint="default"/>
      </w:rPr>
    </w:lvl>
    <w:lvl w:ilvl="2" w:tplc="7146E294" w:tentative="1">
      <w:start w:val="1"/>
      <w:numFmt w:val="bullet"/>
      <w:lvlText w:val=""/>
      <w:lvlJc w:val="left"/>
      <w:pPr>
        <w:tabs>
          <w:tab w:val="num" w:pos="2160"/>
        </w:tabs>
        <w:ind w:left="2160" w:hanging="360"/>
      </w:pPr>
      <w:rPr>
        <w:rFonts w:ascii="Wingdings" w:hAnsi="Wingdings" w:hint="default"/>
      </w:rPr>
    </w:lvl>
    <w:lvl w:ilvl="3" w:tplc="0452200E" w:tentative="1">
      <w:start w:val="1"/>
      <w:numFmt w:val="bullet"/>
      <w:lvlText w:val=""/>
      <w:lvlJc w:val="left"/>
      <w:pPr>
        <w:tabs>
          <w:tab w:val="num" w:pos="2880"/>
        </w:tabs>
        <w:ind w:left="2880" w:hanging="360"/>
      </w:pPr>
      <w:rPr>
        <w:rFonts w:ascii="Symbol" w:hAnsi="Symbol" w:hint="default"/>
      </w:rPr>
    </w:lvl>
    <w:lvl w:ilvl="4" w:tplc="019E721C" w:tentative="1">
      <w:start w:val="1"/>
      <w:numFmt w:val="bullet"/>
      <w:lvlText w:val="o"/>
      <w:lvlJc w:val="left"/>
      <w:pPr>
        <w:tabs>
          <w:tab w:val="num" w:pos="3600"/>
        </w:tabs>
        <w:ind w:left="3600" w:hanging="360"/>
      </w:pPr>
      <w:rPr>
        <w:rFonts w:ascii="Courier New" w:hAnsi="Courier New" w:cs="Courier New" w:hint="default"/>
      </w:rPr>
    </w:lvl>
    <w:lvl w:ilvl="5" w:tplc="25CC6288" w:tentative="1">
      <w:start w:val="1"/>
      <w:numFmt w:val="bullet"/>
      <w:lvlText w:val=""/>
      <w:lvlJc w:val="left"/>
      <w:pPr>
        <w:tabs>
          <w:tab w:val="num" w:pos="4320"/>
        </w:tabs>
        <w:ind w:left="4320" w:hanging="360"/>
      </w:pPr>
      <w:rPr>
        <w:rFonts w:ascii="Wingdings" w:hAnsi="Wingdings" w:hint="default"/>
      </w:rPr>
    </w:lvl>
    <w:lvl w:ilvl="6" w:tplc="86D2C820" w:tentative="1">
      <w:start w:val="1"/>
      <w:numFmt w:val="bullet"/>
      <w:lvlText w:val=""/>
      <w:lvlJc w:val="left"/>
      <w:pPr>
        <w:tabs>
          <w:tab w:val="num" w:pos="5040"/>
        </w:tabs>
        <w:ind w:left="5040" w:hanging="360"/>
      </w:pPr>
      <w:rPr>
        <w:rFonts w:ascii="Symbol" w:hAnsi="Symbol" w:hint="default"/>
      </w:rPr>
    </w:lvl>
    <w:lvl w:ilvl="7" w:tplc="189C9348" w:tentative="1">
      <w:start w:val="1"/>
      <w:numFmt w:val="bullet"/>
      <w:lvlText w:val="o"/>
      <w:lvlJc w:val="left"/>
      <w:pPr>
        <w:tabs>
          <w:tab w:val="num" w:pos="5760"/>
        </w:tabs>
        <w:ind w:left="5760" w:hanging="360"/>
      </w:pPr>
      <w:rPr>
        <w:rFonts w:ascii="Courier New" w:hAnsi="Courier New" w:cs="Courier New" w:hint="default"/>
      </w:rPr>
    </w:lvl>
    <w:lvl w:ilvl="8" w:tplc="ABEE3E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A8C17A6">
      <w:start w:val="1"/>
      <w:numFmt w:val="bullet"/>
      <w:pStyle w:val="Lijstopsomteken2"/>
      <w:lvlText w:val="–"/>
      <w:lvlJc w:val="left"/>
      <w:pPr>
        <w:tabs>
          <w:tab w:val="num" w:pos="227"/>
        </w:tabs>
        <w:ind w:left="227" w:firstLine="0"/>
      </w:pPr>
      <w:rPr>
        <w:rFonts w:ascii="Verdana" w:hAnsi="Verdana" w:hint="default"/>
      </w:rPr>
    </w:lvl>
    <w:lvl w:ilvl="1" w:tplc="AC36167E" w:tentative="1">
      <w:start w:val="1"/>
      <w:numFmt w:val="bullet"/>
      <w:lvlText w:val="o"/>
      <w:lvlJc w:val="left"/>
      <w:pPr>
        <w:tabs>
          <w:tab w:val="num" w:pos="1440"/>
        </w:tabs>
        <w:ind w:left="1440" w:hanging="360"/>
      </w:pPr>
      <w:rPr>
        <w:rFonts w:ascii="Courier New" w:hAnsi="Courier New" w:cs="Courier New" w:hint="default"/>
      </w:rPr>
    </w:lvl>
    <w:lvl w:ilvl="2" w:tplc="37F0611A" w:tentative="1">
      <w:start w:val="1"/>
      <w:numFmt w:val="bullet"/>
      <w:lvlText w:val=""/>
      <w:lvlJc w:val="left"/>
      <w:pPr>
        <w:tabs>
          <w:tab w:val="num" w:pos="2160"/>
        </w:tabs>
        <w:ind w:left="2160" w:hanging="360"/>
      </w:pPr>
      <w:rPr>
        <w:rFonts w:ascii="Wingdings" w:hAnsi="Wingdings" w:hint="default"/>
      </w:rPr>
    </w:lvl>
    <w:lvl w:ilvl="3" w:tplc="9B4E6914" w:tentative="1">
      <w:start w:val="1"/>
      <w:numFmt w:val="bullet"/>
      <w:lvlText w:val=""/>
      <w:lvlJc w:val="left"/>
      <w:pPr>
        <w:tabs>
          <w:tab w:val="num" w:pos="2880"/>
        </w:tabs>
        <w:ind w:left="2880" w:hanging="360"/>
      </w:pPr>
      <w:rPr>
        <w:rFonts w:ascii="Symbol" w:hAnsi="Symbol" w:hint="default"/>
      </w:rPr>
    </w:lvl>
    <w:lvl w:ilvl="4" w:tplc="7C9843EA" w:tentative="1">
      <w:start w:val="1"/>
      <w:numFmt w:val="bullet"/>
      <w:lvlText w:val="o"/>
      <w:lvlJc w:val="left"/>
      <w:pPr>
        <w:tabs>
          <w:tab w:val="num" w:pos="3600"/>
        </w:tabs>
        <w:ind w:left="3600" w:hanging="360"/>
      </w:pPr>
      <w:rPr>
        <w:rFonts w:ascii="Courier New" w:hAnsi="Courier New" w:cs="Courier New" w:hint="default"/>
      </w:rPr>
    </w:lvl>
    <w:lvl w:ilvl="5" w:tplc="F148EF36" w:tentative="1">
      <w:start w:val="1"/>
      <w:numFmt w:val="bullet"/>
      <w:lvlText w:val=""/>
      <w:lvlJc w:val="left"/>
      <w:pPr>
        <w:tabs>
          <w:tab w:val="num" w:pos="4320"/>
        </w:tabs>
        <w:ind w:left="4320" w:hanging="360"/>
      </w:pPr>
      <w:rPr>
        <w:rFonts w:ascii="Wingdings" w:hAnsi="Wingdings" w:hint="default"/>
      </w:rPr>
    </w:lvl>
    <w:lvl w:ilvl="6" w:tplc="9A8C9D2E" w:tentative="1">
      <w:start w:val="1"/>
      <w:numFmt w:val="bullet"/>
      <w:lvlText w:val=""/>
      <w:lvlJc w:val="left"/>
      <w:pPr>
        <w:tabs>
          <w:tab w:val="num" w:pos="5040"/>
        </w:tabs>
        <w:ind w:left="5040" w:hanging="360"/>
      </w:pPr>
      <w:rPr>
        <w:rFonts w:ascii="Symbol" w:hAnsi="Symbol" w:hint="default"/>
      </w:rPr>
    </w:lvl>
    <w:lvl w:ilvl="7" w:tplc="927E6718" w:tentative="1">
      <w:start w:val="1"/>
      <w:numFmt w:val="bullet"/>
      <w:lvlText w:val="o"/>
      <w:lvlJc w:val="left"/>
      <w:pPr>
        <w:tabs>
          <w:tab w:val="num" w:pos="5760"/>
        </w:tabs>
        <w:ind w:left="5760" w:hanging="360"/>
      </w:pPr>
      <w:rPr>
        <w:rFonts w:ascii="Courier New" w:hAnsi="Courier New" w:cs="Courier New" w:hint="default"/>
      </w:rPr>
    </w:lvl>
    <w:lvl w:ilvl="8" w:tplc="73BEC2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86257864">
    <w:abstractNumId w:val="10"/>
  </w:num>
  <w:num w:numId="2" w16cid:durableId="849024154">
    <w:abstractNumId w:val="7"/>
  </w:num>
  <w:num w:numId="3" w16cid:durableId="969676914">
    <w:abstractNumId w:val="6"/>
  </w:num>
  <w:num w:numId="4" w16cid:durableId="52504882">
    <w:abstractNumId w:val="5"/>
  </w:num>
  <w:num w:numId="5" w16cid:durableId="432937775">
    <w:abstractNumId w:val="4"/>
  </w:num>
  <w:num w:numId="6" w16cid:durableId="1456632522">
    <w:abstractNumId w:val="8"/>
  </w:num>
  <w:num w:numId="7" w16cid:durableId="1666661625">
    <w:abstractNumId w:val="3"/>
  </w:num>
  <w:num w:numId="8" w16cid:durableId="165020119">
    <w:abstractNumId w:val="2"/>
  </w:num>
  <w:num w:numId="9" w16cid:durableId="565266778">
    <w:abstractNumId w:val="1"/>
  </w:num>
  <w:num w:numId="10" w16cid:durableId="1087114531">
    <w:abstractNumId w:val="0"/>
  </w:num>
  <w:num w:numId="11" w16cid:durableId="1321930849">
    <w:abstractNumId w:val="9"/>
  </w:num>
  <w:num w:numId="12" w16cid:durableId="1206403699">
    <w:abstractNumId w:val="11"/>
  </w:num>
  <w:num w:numId="13" w16cid:durableId="2004044107">
    <w:abstractNumId w:val="13"/>
  </w:num>
  <w:num w:numId="14" w16cid:durableId="94870070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049C"/>
    <w:rsid w:val="00064021"/>
    <w:rsid w:val="00071F28"/>
    <w:rsid w:val="00074079"/>
    <w:rsid w:val="00092799"/>
    <w:rsid w:val="00092C5F"/>
    <w:rsid w:val="00096680"/>
    <w:rsid w:val="000A0F36"/>
    <w:rsid w:val="000A174A"/>
    <w:rsid w:val="000A17F0"/>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0BD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1E5C"/>
    <w:rsid w:val="00185576"/>
    <w:rsid w:val="00185951"/>
    <w:rsid w:val="00196B8B"/>
    <w:rsid w:val="001A059C"/>
    <w:rsid w:val="001A2BEA"/>
    <w:rsid w:val="001A6D93"/>
    <w:rsid w:val="001B36C9"/>
    <w:rsid w:val="001C32EC"/>
    <w:rsid w:val="001C38BD"/>
    <w:rsid w:val="001C4D5A"/>
    <w:rsid w:val="001E34C6"/>
    <w:rsid w:val="001E5581"/>
    <w:rsid w:val="001E6117"/>
    <w:rsid w:val="001F3C70"/>
    <w:rsid w:val="00200D88"/>
    <w:rsid w:val="00201F68"/>
    <w:rsid w:val="00202928"/>
    <w:rsid w:val="00206126"/>
    <w:rsid w:val="00212F2A"/>
    <w:rsid w:val="00214F2B"/>
    <w:rsid w:val="00217880"/>
    <w:rsid w:val="00222D66"/>
    <w:rsid w:val="00224A8A"/>
    <w:rsid w:val="00225022"/>
    <w:rsid w:val="002309A8"/>
    <w:rsid w:val="0023252D"/>
    <w:rsid w:val="00236CFE"/>
    <w:rsid w:val="002428E3"/>
    <w:rsid w:val="00243031"/>
    <w:rsid w:val="00260BAF"/>
    <w:rsid w:val="002650F7"/>
    <w:rsid w:val="002720A9"/>
    <w:rsid w:val="00273F3B"/>
    <w:rsid w:val="00274DB7"/>
    <w:rsid w:val="00275984"/>
    <w:rsid w:val="00280F74"/>
    <w:rsid w:val="00286998"/>
    <w:rsid w:val="00291AB7"/>
    <w:rsid w:val="0029422B"/>
    <w:rsid w:val="002A7CE7"/>
    <w:rsid w:val="002B153C"/>
    <w:rsid w:val="002B52FC"/>
    <w:rsid w:val="002C2830"/>
    <w:rsid w:val="002D001A"/>
    <w:rsid w:val="002D28E2"/>
    <w:rsid w:val="002D317B"/>
    <w:rsid w:val="002D3587"/>
    <w:rsid w:val="002D502D"/>
    <w:rsid w:val="002E0F69"/>
    <w:rsid w:val="002F5147"/>
    <w:rsid w:val="002F7ABD"/>
    <w:rsid w:val="00312597"/>
    <w:rsid w:val="00327BA5"/>
    <w:rsid w:val="00330BB7"/>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6223"/>
    <w:rsid w:val="003D39EC"/>
    <w:rsid w:val="003E3DD5"/>
    <w:rsid w:val="003F07C6"/>
    <w:rsid w:val="003F1F6B"/>
    <w:rsid w:val="003F2647"/>
    <w:rsid w:val="003F3757"/>
    <w:rsid w:val="003F38BD"/>
    <w:rsid w:val="003F44B7"/>
    <w:rsid w:val="003F46E4"/>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4A72"/>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1948"/>
    <w:rsid w:val="005565F9"/>
    <w:rsid w:val="00556BEE"/>
    <w:rsid w:val="005619AB"/>
    <w:rsid w:val="005654C3"/>
    <w:rsid w:val="00572834"/>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D85"/>
    <w:rsid w:val="005C3FE0"/>
    <w:rsid w:val="005C740C"/>
    <w:rsid w:val="005D625B"/>
    <w:rsid w:val="005F226C"/>
    <w:rsid w:val="005F62D3"/>
    <w:rsid w:val="005F6D11"/>
    <w:rsid w:val="00600CF0"/>
    <w:rsid w:val="006048F4"/>
    <w:rsid w:val="0060660A"/>
    <w:rsid w:val="00613B1D"/>
    <w:rsid w:val="00615DAF"/>
    <w:rsid w:val="00617A44"/>
    <w:rsid w:val="006202B6"/>
    <w:rsid w:val="006247BE"/>
    <w:rsid w:val="00625CD0"/>
    <w:rsid w:val="0062627D"/>
    <w:rsid w:val="00627432"/>
    <w:rsid w:val="00631610"/>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671A"/>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3FC5"/>
    <w:rsid w:val="00893D3E"/>
    <w:rsid w:val="008A1F5D"/>
    <w:rsid w:val="008A28F5"/>
    <w:rsid w:val="008B1198"/>
    <w:rsid w:val="008B3471"/>
    <w:rsid w:val="008B3929"/>
    <w:rsid w:val="008B4125"/>
    <w:rsid w:val="008B4CB3"/>
    <w:rsid w:val="008B567B"/>
    <w:rsid w:val="008B7B24"/>
    <w:rsid w:val="008C29E3"/>
    <w:rsid w:val="008C356D"/>
    <w:rsid w:val="008D062F"/>
    <w:rsid w:val="008E0B3F"/>
    <w:rsid w:val="008E49AD"/>
    <w:rsid w:val="008E698E"/>
    <w:rsid w:val="008F2584"/>
    <w:rsid w:val="008F3246"/>
    <w:rsid w:val="008F3C1B"/>
    <w:rsid w:val="008F508C"/>
    <w:rsid w:val="0090271B"/>
    <w:rsid w:val="00910642"/>
    <w:rsid w:val="00910DDF"/>
    <w:rsid w:val="00911B86"/>
    <w:rsid w:val="009143D7"/>
    <w:rsid w:val="0091583A"/>
    <w:rsid w:val="00930B13"/>
    <w:rsid w:val="009311C8"/>
    <w:rsid w:val="00933376"/>
    <w:rsid w:val="00933A2F"/>
    <w:rsid w:val="00934079"/>
    <w:rsid w:val="00942855"/>
    <w:rsid w:val="00965C57"/>
    <w:rsid w:val="009716D8"/>
    <w:rsid w:val="009718F9"/>
    <w:rsid w:val="00972FB9"/>
    <w:rsid w:val="00975112"/>
    <w:rsid w:val="009802B6"/>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06437"/>
    <w:rsid w:val="00A128AD"/>
    <w:rsid w:val="00A149D5"/>
    <w:rsid w:val="00A21E76"/>
    <w:rsid w:val="00A23BC8"/>
    <w:rsid w:val="00A2487A"/>
    <w:rsid w:val="00A30E68"/>
    <w:rsid w:val="00A31933"/>
    <w:rsid w:val="00A329D2"/>
    <w:rsid w:val="00A34AA0"/>
    <w:rsid w:val="00A359BC"/>
    <w:rsid w:val="00A35E4A"/>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1A8"/>
    <w:rsid w:val="00B12456"/>
    <w:rsid w:val="00B145F0"/>
    <w:rsid w:val="00B259C8"/>
    <w:rsid w:val="00B26CCF"/>
    <w:rsid w:val="00B30FC2"/>
    <w:rsid w:val="00B331A2"/>
    <w:rsid w:val="00B425F0"/>
    <w:rsid w:val="00B42DFA"/>
    <w:rsid w:val="00B50C8C"/>
    <w:rsid w:val="00B531DD"/>
    <w:rsid w:val="00B55014"/>
    <w:rsid w:val="00B62232"/>
    <w:rsid w:val="00B65E77"/>
    <w:rsid w:val="00B70BF3"/>
    <w:rsid w:val="00B71DC2"/>
    <w:rsid w:val="00B91CFC"/>
    <w:rsid w:val="00B9300F"/>
    <w:rsid w:val="00B93893"/>
    <w:rsid w:val="00BA11F9"/>
    <w:rsid w:val="00BA129E"/>
    <w:rsid w:val="00BA6EB2"/>
    <w:rsid w:val="00BA7E0A"/>
    <w:rsid w:val="00BB6F7C"/>
    <w:rsid w:val="00BC0870"/>
    <w:rsid w:val="00BC3B53"/>
    <w:rsid w:val="00BC3B96"/>
    <w:rsid w:val="00BC4AE3"/>
    <w:rsid w:val="00BC5B28"/>
    <w:rsid w:val="00BE3F88"/>
    <w:rsid w:val="00BE4756"/>
    <w:rsid w:val="00BE5ED9"/>
    <w:rsid w:val="00BE7B41"/>
    <w:rsid w:val="00C15A91"/>
    <w:rsid w:val="00C206F1"/>
    <w:rsid w:val="00C217E1"/>
    <w:rsid w:val="00C219B1"/>
    <w:rsid w:val="00C27768"/>
    <w:rsid w:val="00C34E31"/>
    <w:rsid w:val="00C4015B"/>
    <w:rsid w:val="00C40C60"/>
    <w:rsid w:val="00C5258E"/>
    <w:rsid w:val="00C530C9"/>
    <w:rsid w:val="00C619A7"/>
    <w:rsid w:val="00C73D5F"/>
    <w:rsid w:val="00C8584E"/>
    <w:rsid w:val="00C90702"/>
    <w:rsid w:val="00C920CC"/>
    <w:rsid w:val="00C97C80"/>
    <w:rsid w:val="00CA47D3"/>
    <w:rsid w:val="00CA6533"/>
    <w:rsid w:val="00CA6A25"/>
    <w:rsid w:val="00CA6A3F"/>
    <w:rsid w:val="00CA7C99"/>
    <w:rsid w:val="00CC6290"/>
    <w:rsid w:val="00CC7BA8"/>
    <w:rsid w:val="00CD233D"/>
    <w:rsid w:val="00CD362D"/>
    <w:rsid w:val="00CD6608"/>
    <w:rsid w:val="00CE101D"/>
    <w:rsid w:val="00CE1547"/>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685F"/>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2364"/>
    <w:rsid w:val="00DD2DBE"/>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66506"/>
    <w:rsid w:val="00E717C4"/>
    <w:rsid w:val="00E77E18"/>
    <w:rsid w:val="00E77F89"/>
    <w:rsid w:val="00E80330"/>
    <w:rsid w:val="00E806C5"/>
    <w:rsid w:val="00E80E71"/>
    <w:rsid w:val="00E850D3"/>
    <w:rsid w:val="00E853D6"/>
    <w:rsid w:val="00E876B9"/>
    <w:rsid w:val="00E95998"/>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287"/>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A362C"/>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1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942855"/>
    <w:rPr>
      <w:vertAlign w:val="superscript"/>
    </w:rPr>
  </w:style>
  <w:style w:type="character" w:styleId="Verwijzingopmerking">
    <w:name w:val="annotation reference"/>
    <w:basedOn w:val="Standaardalinea-lettertype"/>
    <w:semiHidden/>
    <w:unhideWhenUsed/>
    <w:rsid w:val="0023252D"/>
    <w:rPr>
      <w:sz w:val="16"/>
      <w:szCs w:val="16"/>
    </w:rPr>
  </w:style>
  <w:style w:type="paragraph" w:styleId="Tekstopmerking">
    <w:name w:val="annotation text"/>
    <w:basedOn w:val="Standaard"/>
    <w:link w:val="TekstopmerkingChar"/>
    <w:unhideWhenUsed/>
    <w:rsid w:val="0023252D"/>
    <w:pPr>
      <w:spacing w:line="240" w:lineRule="auto"/>
    </w:pPr>
    <w:rPr>
      <w:sz w:val="20"/>
      <w:szCs w:val="20"/>
    </w:rPr>
  </w:style>
  <w:style w:type="character" w:customStyle="1" w:styleId="TekstopmerkingChar">
    <w:name w:val="Tekst opmerking Char"/>
    <w:basedOn w:val="Standaardalinea-lettertype"/>
    <w:link w:val="Tekstopmerking"/>
    <w:rsid w:val="0023252D"/>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plenaire_verslagen/detail/2025-2026/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636</ap:Words>
  <ap:Characters>3502</ap:Characters>
  <ap:DocSecurity>0</ap:DocSecurity>
  <ap:Lines>29</ap:Lines>
  <ap:Paragraphs>8</ap:Paragraphs>
  <ap:ScaleCrop>false</ap:ScaleCrop>
  <ap:LinksUpToDate>false</ap:LinksUpToDate>
  <ap:CharactersWithSpaces>4130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2026-07-08T10:03:00.0000000Z</dcterms:created>
  <dcterms:modified xsi:type="dcterms:W3CDTF">2026-07-08T10:03:00.0000000Z</dcterms:modified>
  <dc:description>------------------------</dc:description>
  <dc:subject/>
  <keywords/>
  <version/>
  <category/>
</coreProperties>
</file>