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2026Z15965</w:t>
        <w:br/>
      </w:r>
      <w:proofErr w:type="spellEnd"/>
    </w:p>
    <w:p>
      <w:pPr>
        <w:pStyle w:val="Normal"/>
        <w:rPr>
          <w:b w:val="1"/>
          <w:bCs w:val="1"/>
        </w:rPr>
      </w:pPr>
      <w:r w:rsidR="250AE766">
        <w:rPr>
          <w:b w:val="0"/>
          <w:bCs w:val="0"/>
        </w:rPr>
        <w:t>(ingezonden 8 juli 2026)</w:t>
        <w:br/>
      </w:r>
    </w:p>
    <w:p>
      <w:r>
        <w:t xml:space="preserve">Vragen van het lid Teunissen en het lid Kostić (beiden PvdD) aan de minister van Klimaat en Groene Groei over de gevolgen van de dagvaarding van Tata Steel voor de maatwerkafspraken.</w:t>
      </w:r>
      <w:r>
        <w:br/>
      </w:r>
    </w:p>
    <w:p>
      <w:pPr>
        <w:pStyle w:val="ListParagraph"/>
        <w:numPr>
          <w:ilvl w:val="0"/>
          <w:numId w:val="100513430"/>
        </w:numPr>
        <w:ind w:left="360"/>
      </w:pPr>
      <w:r>
        <w:t xml:space="preserve">Hoe beoordeelt u de dagvaarding van Tata Steel door het Openbaar Ministerie</w:t>
      </w:r>
      <w:r>
        <w:rPr>
          <w:i w:val="1"/>
          <w:iCs w:val="1"/>
        </w:rPr>
        <w:t xml:space="preserve"> </w:t>
      </w:r>
      <w:r>
        <w:rPr/>
        <w:t xml:space="preserve">in het licht van de door u in het plenaire debat genoemde mogelijkheid dat een uitkomst van een onderzoek van een bevoegde autoriteit een grond kan vormen voor opzegging van de 'Joint Letter of Intent' (JLoI), indien die naar redelijk oordeel van de Staat ernstige zorgen doet ontstaan over de maatwerkafspraak?</w:t>
      </w:r>
      <w:r>
        <w:br/>
      </w:r>
    </w:p>
    <w:p>
      <w:pPr>
        <w:pStyle w:val="ListParagraph"/>
        <w:numPr>
          <w:ilvl w:val="0"/>
          <w:numId w:val="100513430"/>
        </w:numPr>
        <w:ind w:left="360"/>
      </w:pPr>
      <w:r>
        <w:t xml:space="preserve">Betekent deze dagvaarding voor u aanleiding om opnieuw te beoordelen of voortzetting van de JLoI nog verenigbaar is met de belangen van de Staat, de omwonenden en de kwaliteit van de uiteindelijke maatwerkafspraken? Waarom wel of waarom niet?</w:t>
      </w:r>
      <w:r>
        <w:br/>
      </w:r>
    </w:p>
    <w:p>
      <w:pPr>
        <w:pStyle w:val="ListParagraph"/>
        <w:numPr>
          <w:ilvl w:val="0"/>
          <w:numId w:val="100513430"/>
        </w:numPr>
        <w:ind w:left="360"/>
      </w:pPr>
      <w:r>
        <w:t xml:space="preserve">Welke concrete gevolgen verbindt u aan deze ontwikkeling voor de onderhandelingen over de definitieve, bindende maatwerkafspraken met Tata Steel?</w:t>
      </w:r>
      <w:r>
        <w:br/>
      </w:r>
    </w:p>
    <w:p>
      <w:pPr>
        <w:pStyle w:val="ListParagraph"/>
        <w:numPr>
          <w:ilvl w:val="0"/>
          <w:numId w:val="100513430"/>
        </w:numPr>
        <w:ind w:left="360"/>
      </w:pPr>
      <w:r>
        <w:t xml:space="preserve">Kunt u uiteenzetten welke “borging van de risico’s” inmiddels is uitgewerkt, en op welke wijze daarin rekening wordt gehouden met een strafzaak, mogelijke aansprakelijkheid en de gezondheidsschade voor omwonenden?</w:t>
      </w:r>
      <w:r>
        <w:br/>
      </w:r>
    </w:p>
    <w:p>
      <w:pPr>
        <w:pStyle w:val="ListParagraph"/>
        <w:numPr>
          <w:ilvl w:val="0"/>
          <w:numId w:val="100513430"/>
        </w:numPr>
        <w:ind w:left="360"/>
      </w:pPr>
      <w:r>
        <w:t xml:space="preserve">Welke criteria hanteert u om te bepalen wanneer een uitkomst van een onderzoek of strafzaak zó ernstig is dat opzegging van de JLoI of heronderhandeling van de maatwerkafspraken aan de orde is?</w:t>
      </w:r>
      <w:r>
        <w:br/>
      </w:r>
    </w:p>
    <w:p>
      <w:pPr>
        <w:pStyle w:val="ListParagraph"/>
        <w:numPr>
          <w:ilvl w:val="0"/>
          <w:numId w:val="100513430"/>
        </w:numPr>
        <w:ind w:left="360"/>
      </w:pPr>
      <w:r>
        <w:t xml:space="preserve">Bent u bereid de Kamer vóór verdere stappen in het maatwerktraject te informeren over de juridische en inhoudelijke consequenties van deze dagvaarding voor de onderhandelingspositie van de Staat?</w:t>
      </w:r>
      <w:r>
        <w:br/>
      </w:r>
    </w:p>
    <w:p>
      <w:pPr>
        <w:pStyle w:val="ListParagraph"/>
        <w:numPr>
          <w:ilvl w:val="0"/>
          <w:numId w:val="100513430"/>
        </w:numPr>
        <w:ind w:left="360"/>
      </w:pPr>
      <w:r>
        <w:t xml:space="preserve">Bent u bereid om niet tot afronding van de maatwerkafspraak over te gaan zolang de strafzaak tegen Tata Steel nog loopt?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340">
    <w:abstractNumId w:val="100513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