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946D9" w14:paraId="046476EE" w14:textId="77777777"/>
    <w:p w:rsidR="009154A1" w14:paraId="1D334CA6" w14:textId="77777777">
      <w:r>
        <w:t xml:space="preserve">In het regeerakkoord ‘Aan de slag, bouwen aan een beter Nederland’ is het voornemen opgenomen om de procedures </w:t>
      </w:r>
      <w:r w:rsidR="00567526">
        <w:t>die gelden bij de verkoop van huurwoningen</w:t>
      </w:r>
      <w:r>
        <w:t xml:space="preserve"> van woningcorporaties</w:t>
      </w:r>
      <w:r w:rsidR="00567526">
        <w:t xml:space="preserve"> te vereenvoudigen. </w:t>
      </w:r>
      <w:r w:rsidR="004B415E">
        <w:t>D</w:t>
      </w:r>
      <w:r w:rsidR="00E72F71">
        <w:t>i</w:t>
      </w:r>
      <w:r w:rsidR="004B415E">
        <w:t>t heeft als doel</w:t>
      </w:r>
      <w:r w:rsidR="00567526">
        <w:t xml:space="preserve"> om corporaties meer financiële armslag te geven om te investeren in nieuwbouw en verduurzaming.</w:t>
      </w:r>
      <w:r w:rsidR="002C0151">
        <w:t xml:space="preserve"> In deze brief geef ik aan welke mogelijkheden ik zie voor vereenvoudiging. Het </w:t>
      </w:r>
      <w:r>
        <w:t xml:space="preserve">voornemen uit het regeerakkoord </w:t>
      </w:r>
      <w:r w:rsidR="002C0151">
        <w:t xml:space="preserve">is in lijn met </w:t>
      </w:r>
      <w:r>
        <w:t>d</w:t>
      </w:r>
      <w:r w:rsidR="00C04F16">
        <w:t>e vorig jaar aangenomen motie De Groot</w:t>
      </w:r>
      <w:r>
        <w:rPr>
          <w:rStyle w:val="FootnoteReference"/>
        </w:rPr>
        <w:footnoteReference w:id="2"/>
      </w:r>
      <w:r w:rsidR="00C04F16">
        <w:t xml:space="preserve"> </w:t>
      </w:r>
      <w:r>
        <w:t>die een soortgelijke strekking heeft en waaraan dezelfde overwegingen ten grondslag liggen.</w:t>
      </w:r>
      <w:r w:rsidR="002C0151">
        <w:t xml:space="preserve"> Met de hierna volgende voorstellen wordt d</w:t>
      </w:r>
      <w:r w:rsidR="006541F5">
        <w:t>aarmee</w:t>
      </w:r>
      <w:r w:rsidR="002C0151">
        <w:t xml:space="preserve"> tevens invulling gegeven aan deze motie.</w:t>
      </w:r>
      <w:r w:rsidR="008321A3">
        <w:t xml:space="preserve"> Alvorens hier op in te gaan wordt</w:t>
      </w:r>
      <w:r w:rsidR="00633F20">
        <w:t>, om een beeld te krijgen van de aantallen waar het over gaat,</w:t>
      </w:r>
      <w:r w:rsidR="008321A3">
        <w:t xml:space="preserve"> eerst een overzicht gegeven van </w:t>
      </w:r>
      <w:r w:rsidR="001B1C36">
        <w:t xml:space="preserve">het aantal </w:t>
      </w:r>
      <w:r w:rsidR="008321A3">
        <w:t>verkop</w:t>
      </w:r>
      <w:r w:rsidR="001B1C36">
        <w:t>en</w:t>
      </w:r>
      <w:r w:rsidR="008321A3">
        <w:t xml:space="preserve"> van woningen door woningcorporaties </w:t>
      </w:r>
      <w:r w:rsidR="001B1C36">
        <w:t>in de afgelopen</w:t>
      </w:r>
      <w:r w:rsidR="008321A3">
        <w:t xml:space="preserve"> jaren.</w:t>
      </w:r>
    </w:p>
    <w:p w:rsidR="008321A3" w14:paraId="54103B05" w14:textId="77777777"/>
    <w:p w:rsidRPr="00FF3329" w:rsidR="008321A3" w14:paraId="0DB509EF" w14:textId="77777777">
      <w:pPr>
        <w:rPr>
          <w:b/>
          <w:bCs/>
        </w:rPr>
      </w:pPr>
      <w:r w:rsidRPr="00FF3329">
        <w:rPr>
          <w:b/>
          <w:bCs/>
        </w:rPr>
        <w:t>Aantallen verkopen door woningcorporaties</w:t>
      </w:r>
    </w:p>
    <w:p w:rsidR="00FF3329" w14:paraId="754AC480" w14:textId="77777777">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357987</wp:posOffset>
            </wp:positionV>
            <wp:extent cx="5527344" cy="2842260"/>
            <wp:effectExtent l="0" t="0" r="16510" b="15240"/>
            <wp:wrapSquare wrapText="bothSides"/>
            <wp:docPr id="29072096" name="Grafiek 1">
              <a:extLst xmlns:a="http://schemas.openxmlformats.org/drawingml/2006/main">
                <a:ext xmlns:a="http://schemas.openxmlformats.org/drawingml/2006/main" uri="{FF2B5EF4-FFF2-40B4-BE49-F238E27FC236}">
                  <a16:creationId xmlns:a16="http://schemas.microsoft.com/office/drawing/2014/main" id="{FA078AB1-37AD-8FD7-D55E-BE9EE2AB21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91261C">
        <w:t xml:space="preserve">In onderstaande </w:t>
      </w:r>
      <w:r w:rsidR="00697AC4">
        <w:t>figuur</w:t>
      </w:r>
      <w:r w:rsidR="0091261C">
        <w:t xml:space="preserve"> wordt het aantal verkopen van woningen door woningcorporaties weergegeven, met een onderscheid naar kopende partij.</w:t>
      </w:r>
    </w:p>
    <w:p w:rsidR="009F3471" w14:paraId="506168EC" w14:textId="77777777">
      <w:r>
        <w:t>De</w:t>
      </w:r>
      <w:r w:rsidR="00697AC4">
        <w:t xml:space="preserve"> figuur</w:t>
      </w:r>
      <w:r>
        <w:t xml:space="preserve"> laat zien dat het aantal verkopen in de afgelopen jaren is gedaald, waarbij het aantal woningen dat aan beleggers is verkocht sterker is gedaald dan de verkopen</w:t>
      </w:r>
      <w:r w:rsidR="006C2362">
        <w:t xml:space="preserve"> aan huishoudens voor eigen bewoning</w:t>
      </w:r>
      <w:r>
        <w:t xml:space="preserve"> </w:t>
      </w:r>
      <w:r w:rsidR="00885B3D">
        <w:t>(</w:t>
      </w:r>
      <w:r w:rsidR="00092B64">
        <w:t>i</w:t>
      </w:r>
      <w:r w:rsidR="00885B3D">
        <w:t>n de bijlage bij deze brief is een tabel opgenomen met de exacte aantallen).</w:t>
      </w:r>
    </w:p>
    <w:p w:rsidR="009F3471" w14:paraId="4402FA7A" w14:textId="77777777"/>
    <w:p w:rsidR="00396655" w14:paraId="415004DE" w14:textId="77777777">
      <w:r>
        <w:t xml:space="preserve">De reden dat er minder woningen worden verkocht door woningcorporaties is gelegen in de </w:t>
      </w:r>
      <w:r w:rsidR="006C27A4">
        <w:t xml:space="preserve">gespannen woningmarkt: er is een </w:t>
      </w:r>
      <w:r>
        <w:t>aanhoudend grote vraag naar sociale huurwoningen. De opbrengsten van de verkoop kunnen weliswaar worden aangewend voor de bouw van nieuwe sociale huurwoningen, maar tegelijkertijd zijn de verkochte woningen niet meer beschikbaar voor de huisvesting van de doelgroep. Ook zijn de kosten van nieuwbouwwoningen zodanig gestegen dat met de opbrengsten van de verkopen minder woningen kunnen worden teruggebouwd dan voorheen het geval was.</w:t>
      </w:r>
      <w:r w:rsidR="006C27A4">
        <w:t xml:space="preserve"> Het argument van financiële opbrengsten heeft dus aan kracht ingeboet.</w:t>
      </w:r>
      <w:r w:rsidR="00B16F80">
        <w:t xml:space="preserve"> </w:t>
      </w:r>
      <w:r w:rsidR="0097659B">
        <w:t>V</w:t>
      </w:r>
      <w:r w:rsidR="00B16F80">
        <w:t xml:space="preserve">erder beschikken de corporaties niet altijd over de noodzakelijke grondposities om te bouwen en duren planprocedures lang. </w:t>
      </w:r>
      <w:r w:rsidR="00BB3459">
        <w:t xml:space="preserve">Dat </w:t>
      </w:r>
      <w:r w:rsidR="00B16F80">
        <w:t xml:space="preserve">alles </w:t>
      </w:r>
      <w:r w:rsidR="00BB3459">
        <w:t>maakt dat woningcorporaties en hun lokale partners, de gemeente</w:t>
      </w:r>
      <w:r w:rsidR="004B415E">
        <w:t>n</w:t>
      </w:r>
      <w:r w:rsidR="00BB3459">
        <w:t xml:space="preserve"> en huurdersorganisatie</w:t>
      </w:r>
      <w:r w:rsidR="004B415E">
        <w:t>s</w:t>
      </w:r>
      <w:r w:rsidR="00BB3459">
        <w:t>, vaak terughoudend zijn over de verkoop van corporatiewoningen</w:t>
      </w:r>
      <w:r w:rsidR="0097659B">
        <w:t xml:space="preserve"> en dat regelmatig ook vastleggen in de lokale prestatieafspraken</w:t>
      </w:r>
      <w:r w:rsidR="00BB3459">
        <w:t>.</w:t>
      </w:r>
    </w:p>
    <w:p w:rsidR="00BB3459" w14:paraId="35D79DBA" w14:textId="77777777"/>
    <w:p w:rsidR="00BB3459" w14:paraId="2BCAC3AF" w14:textId="77777777">
      <w:r>
        <w:t>Een en ander betekent niet dat er geen woningen meer verkocht worden</w:t>
      </w:r>
      <w:r w:rsidR="004E6D20">
        <w:t xml:space="preserve">. </w:t>
      </w:r>
      <w:r w:rsidR="00795E62">
        <w:t xml:space="preserve">Na </w:t>
      </w:r>
      <w:r w:rsidR="00386BC1">
        <w:t xml:space="preserve">de </w:t>
      </w:r>
      <w:r w:rsidR="00795E62">
        <w:t xml:space="preserve">daling verwachten woningcorporaties de komende jaren meer woningen te verkopen aan eigenaar-bewoners: van 5100 woningen in 2025 </w:t>
      </w:r>
      <w:r w:rsidR="001C18CC">
        <w:t xml:space="preserve">tot </w:t>
      </w:r>
      <w:r w:rsidR="00795E62">
        <w:t xml:space="preserve">naar </w:t>
      </w:r>
      <w:r w:rsidR="00386BC1">
        <w:t xml:space="preserve">verwachting </w:t>
      </w:r>
      <w:r w:rsidR="00795E62">
        <w:t xml:space="preserve">6100 woningen in 2029. </w:t>
      </w:r>
      <w:r w:rsidR="004E6D20">
        <w:t>In de berekeningen die ten grondslag liggen aan de Nationale prestatieafspraken</w:t>
      </w:r>
      <w:r w:rsidR="00220FBF">
        <w:t xml:space="preserve"> </w:t>
      </w:r>
      <w:r w:rsidR="00795E62">
        <w:t xml:space="preserve">is met </w:t>
      </w:r>
      <w:r w:rsidR="006C2362">
        <w:t>deze</w:t>
      </w:r>
      <w:r w:rsidR="00795E62">
        <w:t xml:space="preserve"> stijging van </w:t>
      </w:r>
      <w:r w:rsidR="00220FBF">
        <w:t>de verkoop van corporatiewoningen</w:t>
      </w:r>
      <w:r w:rsidR="002B59A2">
        <w:t xml:space="preserve"> (ook financieel)</w:t>
      </w:r>
      <w:r w:rsidR="00795E62">
        <w:t xml:space="preserve"> rekening gehouden.</w:t>
      </w:r>
    </w:p>
    <w:p w:rsidR="00B267C8" w14:paraId="1CC1E59F" w14:textId="77777777"/>
    <w:p w:rsidRPr="00B267C8" w:rsidR="00B267C8" w14:paraId="5592BE75" w14:textId="77777777">
      <w:pPr>
        <w:rPr>
          <w:b/>
          <w:bCs/>
        </w:rPr>
      </w:pPr>
      <w:r w:rsidRPr="00B267C8">
        <w:rPr>
          <w:b/>
          <w:bCs/>
        </w:rPr>
        <w:t>Wat is bepalend voor het verkoopbeleid van woningcorporaties?</w:t>
      </w:r>
    </w:p>
    <w:p w:rsidR="00B267C8" w14:paraId="79A16318" w14:textId="77777777">
      <w:r>
        <w:t xml:space="preserve">Woningcorporaties zijn private partijen met een maatschappelijke taak. In </w:t>
      </w:r>
      <w:r w:rsidR="004C2C43">
        <w:t xml:space="preserve">beginsel </w:t>
      </w:r>
      <w:r>
        <w:t>hebben zij volledige zeggenschap over hun eigen bezit en nemen zij in overleg met hun lokale partners besluiten ten aanzien van de omvang van dat bezit, waaronder eventueel ook de verkoop van woningen. Zoals hiervoor al is aangegeven maken woningcorporaties vaak prestatieafspraken met de gemeente en de huurdersorganisatie over de omvang van de sociale huurwoningvoorraad, waarbij ook afspraken gemaakt kunnen worden over de spreiding daarvan over de wijken</w:t>
      </w:r>
      <w:r w:rsidR="00C5526C">
        <w:t xml:space="preserve"> en over de beschikbaarheid van verschillende woningtypen. Afspraken over de verkoop van sociale huurwoningen worden ook binnen dit kader gemaakt.</w:t>
      </w:r>
      <w:r w:rsidR="00112998">
        <w:t xml:space="preserve"> </w:t>
      </w:r>
    </w:p>
    <w:p w:rsidR="00A62B46" w14:paraId="3F6392B2" w14:textId="77777777"/>
    <w:p w:rsidR="00112998" w14:paraId="69FF7D9E" w14:textId="77777777">
      <w:r>
        <w:t xml:space="preserve">De belangen van de gemeente, de huurdersorganisatie en de woningcorporatie kunnen daarbij verschillen. De gemeente en de huurdersorganisatie hebben doorgaans belang bij een grote sociale huurvoorraad, zodat wachttijden voor een sociale huurwoning niet te hoog oplopen. Voor de corporatie </w:t>
      </w:r>
      <w:r w:rsidR="00CD3C04">
        <w:t>spelen ook portefeuille-overwegingen een rol: welke woningen zijn nodig voor de huisvesting van de doelgroep, nu en in de toekomst, en welke kunnen worden verkocht</w:t>
      </w:r>
      <w:r w:rsidR="00FB6A88">
        <w:t xml:space="preserve"> of gesloopt en vervangen door nieuwe</w:t>
      </w:r>
      <w:r w:rsidR="00CD3C04">
        <w:t>.</w:t>
      </w:r>
      <w:r w:rsidR="00A62B46">
        <w:t xml:space="preserve"> Daarnaast</w:t>
      </w:r>
      <w:r w:rsidR="00CD3C04">
        <w:t xml:space="preserve"> kunnen verkopen bijdragen aan de leefbaarheid in wijken en </w:t>
      </w:r>
      <w:r w:rsidR="00284B88">
        <w:t>zijn de opbrengsten noodzakelijk om alle gewenste investeringen te kunnen doen.</w:t>
      </w:r>
    </w:p>
    <w:p w:rsidR="00A62B46" w14:paraId="09831721" w14:textId="77777777"/>
    <w:p w:rsidR="00284B88" w14:paraId="051B02B7" w14:textId="77777777">
      <w:r>
        <w:t>Het overleg hierover tussen de lokale partijen is een zaak van geven en nemen, waarbij verkopen in samenhang met nieuwbouw, verduurzaming, huurbeleid, grondprijzen e</w:t>
      </w:r>
      <w:r w:rsidR="00E80668">
        <w:t>n andere volkshuisvestelijke doelen</w:t>
      </w:r>
      <w:r>
        <w:t xml:space="preserve"> aan de orde komen. De regelgeving ten aanzien van verkopen door woningcorporaties, zoals vastgelegd in </w:t>
      </w:r>
      <w:r>
        <w:t>het Besluit toegelaten instellingen volkshuisvesting (</w:t>
      </w:r>
      <w:r>
        <w:t>Btiv</w:t>
      </w:r>
      <w:r>
        <w:t xml:space="preserve">), </w:t>
      </w:r>
      <w:r w:rsidR="003708B8">
        <w:t xml:space="preserve">is </w:t>
      </w:r>
      <w:r>
        <w:t xml:space="preserve">daarbij </w:t>
      </w:r>
      <w:r>
        <w:t>randvoorwaardelijk</w:t>
      </w:r>
      <w:r>
        <w:t xml:space="preserve"> maar he</w:t>
      </w:r>
      <w:r w:rsidR="003708B8">
        <w:t>eft</w:t>
      </w:r>
      <w:r>
        <w:t xml:space="preserve"> geen sturende rol. </w:t>
      </w:r>
    </w:p>
    <w:p w:rsidR="002C0151" w14:paraId="7843E305" w14:textId="77777777"/>
    <w:p w:rsidRPr="009154A1" w:rsidR="009154A1" w14:paraId="5F692E07" w14:textId="77777777">
      <w:pPr>
        <w:rPr>
          <w:b/>
          <w:bCs/>
        </w:rPr>
      </w:pPr>
      <w:r>
        <w:rPr>
          <w:b/>
          <w:bCs/>
        </w:rPr>
        <w:t xml:space="preserve">Mogelijkheden voor vereenvoudiging </w:t>
      </w:r>
      <w:r w:rsidRPr="009154A1">
        <w:rPr>
          <w:b/>
          <w:bCs/>
        </w:rPr>
        <w:t xml:space="preserve">van de </w:t>
      </w:r>
      <w:r>
        <w:rPr>
          <w:b/>
          <w:bCs/>
        </w:rPr>
        <w:t>regelgeving</w:t>
      </w:r>
    </w:p>
    <w:p w:rsidR="008E6CD2" w14:paraId="61179C15" w14:textId="77777777">
      <w:bookmarkStart w:name="_Hlk231984455" w:id="0"/>
      <w:r>
        <w:t xml:space="preserve">De regelgeving in het </w:t>
      </w:r>
      <w:r>
        <w:t>Btiv</w:t>
      </w:r>
      <w:r>
        <w:t xml:space="preserve"> met betrekking tot de verkoop van woningen door woningcorporaties he</w:t>
      </w:r>
      <w:r w:rsidR="000A6F01">
        <w:t>eft</w:t>
      </w:r>
      <w:r>
        <w:t xml:space="preserve"> </w:t>
      </w:r>
      <w:bookmarkEnd w:id="0"/>
      <w:r w:rsidR="005778F9">
        <w:t xml:space="preserve">vooral </w:t>
      </w:r>
      <w:r>
        <w:t>tot doel het</w:t>
      </w:r>
      <w:r w:rsidR="008971F5">
        <w:t xml:space="preserve"> voorkomen dat er weglek van maatschappelijk vermogen plaatsvindt, </w:t>
      </w:r>
      <w:r>
        <w:t xml:space="preserve">en eveneens </w:t>
      </w:r>
      <w:r w:rsidR="00DC4630">
        <w:t>om te</w:t>
      </w:r>
      <w:r>
        <w:t xml:space="preserve"> voorkomen dat vastgoed in verkeerde handen t</w:t>
      </w:r>
      <w:r w:rsidR="006B0DF7">
        <w:t>erecht komt</w:t>
      </w:r>
      <w:r>
        <w:t>.</w:t>
      </w:r>
      <w:r w:rsidR="008F36C0">
        <w:t xml:space="preserve"> </w:t>
      </w:r>
      <w:r w:rsidR="00B80504">
        <w:t>Op de naleving wordt toegezien door de Auto</w:t>
      </w:r>
      <w:r w:rsidR="00CE6C72">
        <w:t>riteit woningcorporaties (</w:t>
      </w:r>
      <w:r w:rsidR="00CE6C72">
        <w:t>Aw</w:t>
      </w:r>
      <w:r w:rsidR="00CE6C72">
        <w:t>).</w:t>
      </w:r>
      <w:r w:rsidR="00B80504">
        <w:t xml:space="preserve"> </w:t>
      </w:r>
      <w:r w:rsidR="00C4788F">
        <w:t>In de regelgeving wordt een onderscheid gemaakt aan welke partij wordt verkocht.</w:t>
      </w:r>
    </w:p>
    <w:p w:rsidR="008E6CD2" w14:paraId="61CBADCA" w14:textId="77777777"/>
    <w:p w:rsidRPr="00C4788F" w:rsidR="00C4788F" w14:paraId="5DD70841" w14:textId="77777777">
      <w:pPr>
        <w:rPr>
          <w:i/>
          <w:iCs/>
        </w:rPr>
      </w:pPr>
      <w:r>
        <w:rPr>
          <w:i/>
          <w:iCs/>
        </w:rPr>
        <w:t>Verkoop aan natuurlijke personen voor eigen bewoning</w:t>
      </w:r>
    </w:p>
    <w:p w:rsidR="008F36C0" w14:paraId="1D6498B5" w14:textId="77777777">
      <w:r>
        <w:t xml:space="preserve">De meeste </w:t>
      </w:r>
      <w:r w:rsidR="00AE42A9">
        <w:t>corporatie</w:t>
      </w:r>
      <w:r>
        <w:t xml:space="preserve">woningen worden verkocht aan huishoudens die daar zelf gaan wonen, dit kan bijvoorbeeld de zittende huurder zijn. Juist voor deze categorie verkopen is er </w:t>
      </w:r>
      <w:r w:rsidRPr="00352AE2">
        <w:rPr>
          <w:i/>
          <w:iCs/>
        </w:rPr>
        <w:t>geen</w:t>
      </w:r>
      <w:r>
        <w:t xml:space="preserve"> toestemming vooraf nodig van de </w:t>
      </w:r>
      <w:r>
        <w:t>Aw</w:t>
      </w:r>
      <w:r>
        <w:t xml:space="preserve">. </w:t>
      </w:r>
      <w:r w:rsidR="003C00B4">
        <w:t>Dat geldt o</w:t>
      </w:r>
      <w:r w:rsidR="005778F9">
        <w:t xml:space="preserve">ok wanneer </w:t>
      </w:r>
      <w:r>
        <w:t xml:space="preserve">de woning met korting wordt verkocht, </w:t>
      </w:r>
      <w:r w:rsidR="005778F9">
        <w:t xml:space="preserve">mits </w:t>
      </w:r>
      <w:r>
        <w:t xml:space="preserve">er </w:t>
      </w:r>
      <w:r w:rsidR="005778F9">
        <w:t xml:space="preserve">aan </w:t>
      </w:r>
      <w:r>
        <w:t>bepaalde voorwaarden</w:t>
      </w:r>
      <w:r w:rsidR="005778F9">
        <w:t xml:space="preserve"> wordt voldaan. Deze voorwaarden hebben onder meer betrekking op de </w:t>
      </w:r>
      <w:r>
        <w:t xml:space="preserve">terugbetaling van de korting </w:t>
      </w:r>
      <w:r w:rsidR="001664AF">
        <w:t xml:space="preserve">en </w:t>
      </w:r>
      <w:r w:rsidR="005778F9">
        <w:t xml:space="preserve">op de </w:t>
      </w:r>
      <w:r w:rsidR="001664AF">
        <w:t xml:space="preserve">waardedeling </w:t>
      </w:r>
      <w:r>
        <w:t>bij doorverkoop. Verkopen met korting vinden er overigens nauwelijks nog plaats</w:t>
      </w:r>
      <w:r w:rsidR="001664AF">
        <w:t xml:space="preserve">, omdat corporaties </w:t>
      </w:r>
      <w:r w:rsidR="005778F9">
        <w:t xml:space="preserve">hun </w:t>
      </w:r>
      <w:r w:rsidR="001664AF">
        <w:t>financ</w:t>
      </w:r>
      <w:r w:rsidR="005778F9">
        <w:t>iël</w:t>
      </w:r>
      <w:r w:rsidR="001664AF">
        <w:t>e</w:t>
      </w:r>
      <w:r w:rsidR="005778F9">
        <w:t xml:space="preserve"> middelen </w:t>
      </w:r>
      <w:r w:rsidR="001664AF">
        <w:t xml:space="preserve">moeten </w:t>
      </w:r>
      <w:r w:rsidR="005778F9">
        <w:t>in</w:t>
      </w:r>
      <w:r w:rsidR="001664AF">
        <w:t>zetten om aan hun grote volkshuisvestelijke</w:t>
      </w:r>
      <w:r w:rsidR="00FB6A88">
        <w:t xml:space="preserve"> opgaven</w:t>
      </w:r>
      <w:r w:rsidR="001664AF">
        <w:t xml:space="preserve"> te kunnen voldoen</w:t>
      </w:r>
      <w:r>
        <w:t>. De weinige regels die gelden, zoals het vereiste dat wordt verkocht tegen marktwaarde of anders met inachtneming van bepaalde voorwaarden, zijn blijvend nodig om weglek van maatschappelijk vermogen te voorkomen.</w:t>
      </w:r>
      <w:r w:rsidR="00E92938">
        <w:t xml:space="preserve"> </w:t>
      </w:r>
      <w:r w:rsidR="00353CA9">
        <w:t xml:space="preserve">Ik zie </w:t>
      </w:r>
      <w:r w:rsidR="00E36AE6">
        <w:t xml:space="preserve">geen </w:t>
      </w:r>
      <w:r w:rsidR="00353CA9">
        <w:t>mogelijkheden voor vereenvoudiging van de regels bij deze categorie verkopen.</w:t>
      </w:r>
    </w:p>
    <w:p w:rsidR="00C4788F" w14:paraId="37430B3B" w14:textId="77777777"/>
    <w:p w:rsidRPr="00C4788F" w:rsidR="00C4788F" w14:paraId="2212A81C" w14:textId="77777777">
      <w:pPr>
        <w:rPr>
          <w:i/>
          <w:iCs/>
        </w:rPr>
      </w:pPr>
      <w:r>
        <w:rPr>
          <w:i/>
          <w:iCs/>
        </w:rPr>
        <w:t>Verkoop aan andere toegelaten instellingen</w:t>
      </w:r>
    </w:p>
    <w:p w:rsidR="004C2299" w14:paraId="40C7ED33" w14:textId="77777777">
      <w:r>
        <w:t>Een tweede categorie verkopen</w:t>
      </w:r>
      <w:r w:rsidR="005853A2">
        <w:t xml:space="preserve"> waar</w:t>
      </w:r>
      <w:r w:rsidR="00B857F3">
        <w:t xml:space="preserve">bij </w:t>
      </w:r>
      <w:r w:rsidR="005853A2">
        <w:t>voor</w:t>
      </w:r>
      <w:r w:rsidR="00B857F3">
        <w:t xml:space="preserve">af </w:t>
      </w:r>
      <w:r w:rsidRPr="005853A2" w:rsidR="005853A2">
        <w:rPr>
          <w:i/>
          <w:iCs/>
        </w:rPr>
        <w:t>geen</w:t>
      </w:r>
      <w:r w:rsidR="005853A2">
        <w:t xml:space="preserve"> toestemming</w:t>
      </w:r>
      <w:r w:rsidR="00B857F3">
        <w:t xml:space="preserve"> van</w:t>
      </w:r>
      <w:r w:rsidR="005853A2">
        <w:t xml:space="preserve"> </w:t>
      </w:r>
      <w:r w:rsidR="00B857F3">
        <w:t xml:space="preserve">de </w:t>
      </w:r>
      <w:r w:rsidR="00B857F3">
        <w:t>Aw</w:t>
      </w:r>
      <w:r w:rsidR="00B857F3">
        <w:t xml:space="preserve"> is vereist</w:t>
      </w:r>
      <w:r w:rsidR="005853A2">
        <w:t>,</w:t>
      </w:r>
      <w:r>
        <w:t xml:space="preserve"> betreft de verkoop van sociale huurwoningen tussen woningcorporaties. Deze verkopen vinden </w:t>
      </w:r>
      <w:r w:rsidR="003439E9">
        <w:t xml:space="preserve">bijvoorbeeld plaats wanneer de woningen zijn gelegen in het geografische werkgebied van een andere corporatie en dit vanuit </w:t>
      </w:r>
      <w:r>
        <w:t xml:space="preserve">een oogpunt van bedrijfsvoering </w:t>
      </w:r>
      <w:r w:rsidR="003439E9">
        <w:t>efficiënt is</w:t>
      </w:r>
      <w:r>
        <w:t xml:space="preserve">, </w:t>
      </w:r>
      <w:r w:rsidR="003439E9">
        <w:t xml:space="preserve">of </w:t>
      </w:r>
      <w:r>
        <w:t>indien een corporatie in financiële moeilijkheden is gekomen</w:t>
      </w:r>
      <w:r w:rsidR="003439E9">
        <w:t>. In dit laatste geval kan de verkoop</w:t>
      </w:r>
      <w:r w:rsidR="00633F20">
        <w:t xml:space="preserve"> aan een andere corporatie</w:t>
      </w:r>
      <w:r w:rsidR="003439E9">
        <w:t xml:space="preserve"> bijdragen aan het financieel herstel en aan het behoud van </w:t>
      </w:r>
      <w:r>
        <w:t>een voldoende grote sociale huurvoorraad</w:t>
      </w:r>
      <w:r w:rsidR="003439E9">
        <w:t>.</w:t>
      </w:r>
      <w:r>
        <w:t xml:space="preserve"> </w:t>
      </w:r>
      <w:r>
        <w:t xml:space="preserve">Verkopen tussen corporaties zijn ook vaak onderdeel van onderlinge solidariteit. </w:t>
      </w:r>
    </w:p>
    <w:p w:rsidR="004C2299" w14:paraId="50E38BC0" w14:textId="77777777"/>
    <w:p w:rsidR="003D5A57" w:rsidP="00633F20" w14:paraId="447536DE" w14:textId="77777777">
      <w:r>
        <w:t>Om te voorkomen dat bij de overname van woningen door een andere woningcorporatie overdrachtsbelasting betaald moet worden, is in artikel 22</w:t>
      </w:r>
      <w:r w:rsidR="00B857F3">
        <w:t>, derde lid</w:t>
      </w:r>
      <w:r w:rsidR="00633F20">
        <w:t xml:space="preserve"> </w:t>
      </w:r>
      <w:r w:rsidR="00633F20">
        <w:t>Btiv</w:t>
      </w:r>
      <w:r w:rsidR="00B857F3">
        <w:t xml:space="preserve"> geregeld dat </w:t>
      </w:r>
      <w:r w:rsidR="00DB7601">
        <w:t xml:space="preserve">verkoop </w:t>
      </w:r>
      <w:r w:rsidR="00B857F3">
        <w:t>tegen een bij ministeriële regeling bepaalde waarde plaatsvindt. In dat geval is</w:t>
      </w:r>
      <w:r w:rsidR="00E179CD">
        <w:t xml:space="preserve"> er, indien er is voldaan aan </w:t>
      </w:r>
      <w:r w:rsidR="002F2CA4">
        <w:t>alle voorwaarden voor de overdracht van een taak</w:t>
      </w:r>
      <w:r w:rsidR="00873FCF">
        <w:t>,</w:t>
      </w:r>
      <w:r w:rsidR="002F2CA4">
        <w:t xml:space="preserve"> een beroep mogelijk op een vrijstelling van overdrachtsbelasting</w:t>
      </w:r>
      <w:r w:rsidR="00B857F3">
        <w:t xml:space="preserve"> op grond van </w:t>
      </w:r>
      <w:r w:rsidR="00E179CD">
        <w:t>de Wet op de belastingen van rechtsverkeer</w:t>
      </w:r>
      <w:r w:rsidR="00B857F3">
        <w:t>.</w:t>
      </w:r>
      <w:r w:rsidR="00633F20">
        <w:t xml:space="preserve"> </w:t>
      </w:r>
      <w:r w:rsidR="002F2CA4">
        <w:t xml:space="preserve">In het belastingplan 2027 is een voorstel opgenomen om een nieuwe vrijstelling te introduceren om </w:t>
      </w:r>
      <w:r w:rsidR="00633F20">
        <w:t>overdrachten</w:t>
      </w:r>
      <w:r w:rsidR="002F2CA4">
        <w:t xml:space="preserve"> tussen woningcorporaties</w:t>
      </w:r>
      <w:r w:rsidR="00633F20">
        <w:t xml:space="preserve"> van onroerende zaken binnen sociale activiteiten (Diensten van Algemeen Economisch Belang) vrij te stellen van ov</w:t>
      </w:r>
      <w:r w:rsidR="00DB7601">
        <w:t>erdrachts</w:t>
      </w:r>
      <w:r w:rsidR="00633F20">
        <w:t>b</w:t>
      </w:r>
      <w:r w:rsidR="00DB7601">
        <w:t>elasting</w:t>
      </w:r>
      <w:r w:rsidR="00633F20">
        <w:t>.</w:t>
      </w:r>
      <w:r w:rsidRPr="002F2CA4" w:rsidR="002F2CA4">
        <w:t xml:space="preserve"> </w:t>
      </w:r>
      <w:r w:rsidRPr="00B54BE0" w:rsidR="002F2CA4">
        <w:t xml:space="preserve">Met deze nieuwe vrijstelling is het voor woningcorporaties makkelijker </w:t>
      </w:r>
      <w:r w:rsidR="002F2CA4">
        <w:t>om onderling onroerende zaken aan elkaar over te dragen zonder aan de, soms complexe, voorwaarden voor de overdracht van een taak te voldoen</w:t>
      </w:r>
      <w:r w:rsidR="004B415E">
        <w:t>.</w:t>
      </w:r>
      <w:r w:rsidR="00633F20">
        <w:t xml:space="preserve"> Zodra de nieuwe regelgeving va</w:t>
      </w:r>
      <w:r w:rsidR="00281ACA">
        <w:t>n</w:t>
      </w:r>
      <w:r w:rsidR="00633F20">
        <w:t xml:space="preserve"> kracht is kan artikel 22, derde lid </w:t>
      </w:r>
      <w:r w:rsidR="00633F20">
        <w:t>Btiv</w:t>
      </w:r>
      <w:r w:rsidR="00633F20">
        <w:t>, komen te vervallen. Dit levert een (beperkte)</w:t>
      </w:r>
      <w:r w:rsidR="00281ACA">
        <w:t xml:space="preserve"> vereenvoudiging van regelgeving op.</w:t>
      </w:r>
    </w:p>
    <w:p w:rsidR="003D5A57" w14:paraId="5FC6AEA0" w14:textId="77777777"/>
    <w:p w:rsidRPr="00C4788F" w:rsidR="00C4788F" w14:paraId="64261101" w14:textId="77777777">
      <w:pPr>
        <w:rPr>
          <w:i/>
          <w:iCs/>
        </w:rPr>
      </w:pPr>
      <w:r w:rsidRPr="00C4788F">
        <w:rPr>
          <w:i/>
          <w:iCs/>
        </w:rPr>
        <w:t>Verkoop aan derden niet voor eigen gebruik (beleggers)</w:t>
      </w:r>
    </w:p>
    <w:p w:rsidR="003544EB" w:rsidP="00491F0C" w14:paraId="23674E3F" w14:textId="77777777">
      <w:r>
        <w:t>Het deel van de regelgeving waar vereenvoudiging het meest voor de hand ligt, betreft d</w:t>
      </w:r>
      <w:r w:rsidR="00D4665F">
        <w:t>e verko</w:t>
      </w:r>
      <w:r>
        <w:t>o</w:t>
      </w:r>
      <w:r w:rsidR="00D4665F">
        <w:t>p aan beleggers</w:t>
      </w:r>
      <w:r>
        <w:t>. Deze</w:t>
      </w:r>
      <w:r w:rsidR="00D4665F">
        <w:t xml:space="preserve"> is aan meer regels gebonden en </w:t>
      </w:r>
      <w:r w:rsidR="00281ACA">
        <w:t xml:space="preserve">voor elke transactie </w:t>
      </w:r>
      <w:r w:rsidR="00D4665F">
        <w:t xml:space="preserve">is toestemming vooraf van de </w:t>
      </w:r>
      <w:r w:rsidR="00D4665F">
        <w:t>Aw</w:t>
      </w:r>
      <w:r w:rsidR="00D4665F">
        <w:t xml:space="preserve"> noodzakelijk.</w:t>
      </w:r>
      <w:r w:rsidR="006059F8">
        <w:t xml:space="preserve"> </w:t>
      </w:r>
      <w:r>
        <w:t xml:space="preserve">De regels hebben onder meer betrekking op de openbare aanbesteding en aanbiedingsvolgorde (eerst aanbieden aan (zittende) huurders, daarna aan andere corporaties en dan pas aan beleggers), het vereiste van </w:t>
      </w:r>
      <w:r w:rsidR="008971F5">
        <w:t>een Verklaring omtrent gedrag</w:t>
      </w:r>
      <w:r w:rsidR="009D4BF9">
        <w:t xml:space="preserve"> (V</w:t>
      </w:r>
      <w:r w:rsidR="00DA1612">
        <w:t>O</w:t>
      </w:r>
      <w:r w:rsidR="009D4BF9">
        <w:t>G</w:t>
      </w:r>
      <w:r w:rsidR="008971F5">
        <w:t>), om te voorkomen dat het vastgoed van corporaties in criminele handen terecht komt</w:t>
      </w:r>
      <w:r>
        <w:t xml:space="preserve">, en op de </w:t>
      </w:r>
      <w:r w:rsidR="004E6476">
        <w:t xml:space="preserve">vereiste </w:t>
      </w:r>
      <w:r>
        <w:t>zienswijzen van gemeenten en huurdersorganisaties</w:t>
      </w:r>
      <w:r w:rsidR="008971F5">
        <w:t>.</w:t>
      </w:r>
      <w:r w:rsidR="00092B64">
        <w:t xml:space="preserve"> </w:t>
      </w:r>
      <w:r>
        <w:t>Hiervoor is aangegeven dat corporaties vaak prestatieafspraken maken met de gemeente en de huurdersorganisatie over de omvang van de sociale woningvoorraad en over de verkoop van woningen. Als dit het geval is</w:t>
      </w:r>
      <w:r w:rsidR="004E6476">
        <w:t xml:space="preserve">, is een zienswijze op het moment dat de verkoop daadwerkelijk plaatsvindt eigenlijk dubbelop. </w:t>
      </w:r>
      <w:r w:rsidR="00F6727F">
        <w:t>Ik wil daarom de regelgeving aanpassen zodat</w:t>
      </w:r>
      <w:r w:rsidR="0089169C">
        <w:t>,</w:t>
      </w:r>
      <w:r w:rsidR="00F6727F">
        <w:t xml:space="preserve"> indien er prestatieafspraken zijn gemaakt over de omvang van de sociale woningvoorraad én over de verkoop van delen daarvan, de zienwijzen van gemeente en huurdersorganisatie achterwege kunnen blijven.</w:t>
      </w:r>
      <w:r w:rsidR="00CC27A2">
        <w:t xml:space="preserve"> Voor potentieel te liberaliseren woningen</w:t>
      </w:r>
      <w:r>
        <w:t xml:space="preserve"> </w:t>
      </w:r>
      <w:r w:rsidRPr="00D672CD" w:rsidR="00CC27A2">
        <w:t>bestaat deze mogelijkheid al, mits aan een tweede voorwaarde is voldaan, namelijk dat de woningen nog zeven jaar verhuurd worden in het middensegment. Deze laatste voorwaarde komt te vervallen, zodat de aankoop van corporatiewoningen door beleggers aantrekkelijker wordt.</w:t>
      </w:r>
      <w:r w:rsidRPr="00D672CD" w:rsidR="00DA1612">
        <w:t xml:space="preserve"> Ook</w:t>
      </w:r>
      <w:r w:rsidRPr="00D672CD" w:rsidR="0019282F">
        <w:t xml:space="preserve"> in dit geval </w:t>
      </w:r>
      <w:r w:rsidRPr="00D672CD" w:rsidR="00DA1612">
        <w:t xml:space="preserve">is voorwaardelijk dat </w:t>
      </w:r>
      <w:r w:rsidRPr="00D672CD" w:rsidR="0019282F">
        <w:t xml:space="preserve">er </w:t>
      </w:r>
      <w:r w:rsidRPr="00D672CD" w:rsidR="00DA1612">
        <w:t>lokale prestatieafspraken over gemaakt zijn</w:t>
      </w:r>
      <w:r w:rsidRPr="00D672CD" w:rsidR="0019282F">
        <w:t>, zodat het belang van huurders en gemeenten is geborgd. In de lokale prestatieafspraken kunnen lokale partijen vervolgens ook aanvullende afspraken maken, bijvoorbeeld een verplichting om na verkoop voor een minimale periode door te verhuren</w:t>
      </w:r>
      <w:r w:rsidRPr="00D672CD" w:rsidR="00DA1612">
        <w:t>.</w:t>
      </w:r>
    </w:p>
    <w:p w:rsidR="00393203" w14:paraId="4D319C87" w14:textId="77777777"/>
    <w:p w:rsidRPr="00B67E56" w:rsidR="0034279A" w14:paraId="034ED87D" w14:textId="77777777">
      <w:pPr>
        <w:rPr>
          <w:i/>
          <w:iCs/>
        </w:rPr>
      </w:pPr>
      <w:r w:rsidRPr="00B67E56">
        <w:rPr>
          <w:i/>
          <w:iCs/>
        </w:rPr>
        <w:t>Verkoop van niet-</w:t>
      </w:r>
      <w:r w:rsidRPr="00B67E56">
        <w:rPr>
          <w:i/>
          <w:iCs/>
        </w:rPr>
        <w:t>daeb</w:t>
      </w:r>
      <w:r w:rsidRPr="00B67E56">
        <w:rPr>
          <w:i/>
          <w:iCs/>
        </w:rPr>
        <w:t xml:space="preserve"> woningen aan beleggers</w:t>
      </w:r>
    </w:p>
    <w:p w:rsidR="0034279A" w14:paraId="02D3E70A" w14:textId="77777777">
      <w:r>
        <w:t>De regelgeving ten aanzien van de verkoop van woningen uit de niet-</w:t>
      </w:r>
      <w:r>
        <w:t>daeb</w:t>
      </w:r>
      <w:r>
        <w:t xml:space="preserve">-tak van de woningcorporatie aan beleggers is beperkt. Wel dient een verzoek tot verkoop vergezeld te gaan door een uiteenzetting van het belang voor de volkshuisvesting van de voorgenomen verkoop. </w:t>
      </w:r>
      <w:r w:rsidR="007D225A">
        <w:t>De woningen uit de niet-</w:t>
      </w:r>
      <w:r w:rsidR="007D225A">
        <w:t>daeb</w:t>
      </w:r>
      <w:r w:rsidR="007D225A">
        <w:t>-tak hebben</w:t>
      </w:r>
      <w:r w:rsidR="00F84B50">
        <w:t xml:space="preserve">, met het oog op de integratie van </w:t>
      </w:r>
      <w:r w:rsidR="00F84B50">
        <w:t>middenhuurwoningen</w:t>
      </w:r>
      <w:r w:rsidR="00F84B50">
        <w:t xml:space="preserve"> in de </w:t>
      </w:r>
      <w:r w:rsidR="00F84B50">
        <w:t>daeb</w:t>
      </w:r>
      <w:r w:rsidR="00F84B50">
        <w:t xml:space="preserve">-tak, </w:t>
      </w:r>
      <w:r w:rsidR="007D225A">
        <w:t>geen functie voor de huisvesting van de doelgroep van lagere inkomens.</w:t>
      </w:r>
      <w:r w:rsidRPr="00513D2F" w:rsidR="00513D2F">
        <w:t xml:space="preserve"> </w:t>
      </w:r>
      <w:r w:rsidR="00513D2F">
        <w:t>Het gaat dan immers om vrije sector huurwoningen.</w:t>
      </w:r>
      <w:r w:rsidR="007D225A">
        <w:t xml:space="preserve"> </w:t>
      </w:r>
      <w:r w:rsidR="009F72E4">
        <w:t>Een uiteenzetting van het belang voor de volkshuisvesting van de verkoop ligt daarmee eigenlijk niet in de rede, terwijl dit de corporatie verplicht tot extra handelingen en dus lasten. Ik ben daarom voornemens deze bepaling te schrappen.</w:t>
      </w:r>
    </w:p>
    <w:p w:rsidR="0034279A" w14:paraId="165323E2" w14:textId="77777777"/>
    <w:p w:rsidRPr="00630037" w:rsidR="00C96D00" w14:paraId="0E9456E3" w14:textId="77777777">
      <w:pPr>
        <w:rPr>
          <w:i/>
          <w:iCs/>
        </w:rPr>
      </w:pPr>
      <w:r w:rsidRPr="00630037">
        <w:rPr>
          <w:i/>
          <w:iCs/>
        </w:rPr>
        <w:t>Verkoop onder Voorwaarden</w:t>
      </w:r>
    </w:p>
    <w:p w:rsidR="00EB3ABB" w:rsidP="00EB3ABB" w14:paraId="6BD600BF" w14:textId="77777777">
      <w:pPr>
        <w:rPr>
          <w:rFonts w:ascii="Calibri" w:hAnsi="Calibri"/>
          <w:color w:val="auto"/>
          <w:sz w:val="22"/>
          <w:szCs w:val="22"/>
        </w:rPr>
      </w:pPr>
      <w:r>
        <w:t>Een bijzondere vorm van verkoop van corporatiewoningen betreft de Verkoop onder voorwaarden (</w:t>
      </w:r>
      <w:r>
        <w:t>VoV</w:t>
      </w:r>
      <w:r>
        <w:t xml:space="preserve">). Met deze constructie kan een woningcorporatie een woning met een korting te koop aanbieden aan een huishouden met (vaak) een laag- of middeninkomen. Dit maakt woningen voor deze inkomensgroepen beter bereikbaar. De corporatie heeft vervolgens een plicht dan wel eerste recht om de woning terug te kopen wanneer deze weer te koop wordt aangeboden. De corporatie deelt hierbij in de waardeontwikkeling van de woning en de woning blijft op deze manier onderdeel van de corporatievoorraad. </w:t>
      </w:r>
    </w:p>
    <w:p w:rsidR="00EB3ABB" w:rsidP="00EB3ABB" w14:paraId="0BE79592" w14:textId="77777777"/>
    <w:p w:rsidR="00EB3ABB" w:rsidP="00EB3ABB" w14:paraId="4E61BEF5" w14:textId="77777777">
      <w:r>
        <w:t xml:space="preserve">Het recht of de plicht om woningen als eerste terug te kopen, verplicht de corporatie om bij de inrichting van haar financiële huishouding rekening te houden met de toekomstige kosten voor het terugkopen. Dit heeft ook gevolgen voor de leencapaciteit, zoals genormeerd door het Waarborgfonds Sociale woningbouw (WSW). De beperking van de leencapaciteit speelt in de praktijk echter alleen wanneer een corporatie op grote schaal (in relatie tot de eigen woningvoorraad) gebruik maakt van </w:t>
      </w:r>
      <w:r>
        <w:t>VoV</w:t>
      </w:r>
      <w:r>
        <w:t>-constructies. De meeste corporaties maken tot nu toe niet of zeer beperkt gebruik van dit soort constructies. Door dit instrument vaker in te zetten zouden corporaties meer kunnen verkopen en daardoor over meer financiële opbrengsten beschikken, en tegelijkertijd vanwege het terugkooprecht grip houden op de (toekomstige) omvang van de sociale huurwoningvoorraad</w:t>
      </w:r>
      <w:bookmarkStart w:name="_Hlk233200643" w:id="1"/>
      <w:r>
        <w:t xml:space="preserve">. Ik wil met Aedes bezien onder welke voorwaarden de inzet van </w:t>
      </w:r>
      <w:r>
        <w:t>VoV</w:t>
      </w:r>
      <w:r>
        <w:t>-constructies gestimuleerd kan worden.</w:t>
      </w:r>
      <w:r w:rsidR="005C7A8A">
        <w:t xml:space="preserve"> </w:t>
      </w:r>
      <w:bookmarkStart w:name="_Hlk233200622" w:id="2"/>
      <w:bookmarkEnd w:id="1"/>
      <w:r w:rsidR="005C7A8A">
        <w:t>Met het WSW zal worden overlegd over de voorwaarden die daarbij in acht genomen moeten worden.</w:t>
      </w:r>
    </w:p>
    <w:bookmarkEnd w:id="2"/>
    <w:p w:rsidRPr="000259A7" w:rsidR="00EB3ABB" w14:paraId="16E78A55" w14:textId="77777777"/>
    <w:p w:rsidRPr="00E72F71" w:rsidR="00E72F71" w14:paraId="4BB2A3BD" w14:textId="77777777">
      <w:pPr>
        <w:rPr>
          <w:b/>
          <w:bCs/>
        </w:rPr>
      </w:pPr>
      <w:r w:rsidRPr="00CB1045">
        <w:rPr>
          <w:b/>
          <w:bCs/>
        </w:rPr>
        <w:t>Tot slo</w:t>
      </w:r>
      <w:r>
        <w:rPr>
          <w:b/>
          <w:bCs/>
        </w:rPr>
        <w:t>t</w:t>
      </w:r>
      <w:r w:rsidR="001D4160">
        <w:t xml:space="preserve"> </w:t>
      </w:r>
    </w:p>
    <w:p w:rsidR="00CB1045" w14:paraId="1F4060BB" w14:textId="77777777">
      <w:r>
        <w:t xml:space="preserve">Voor het kabinet heeft </w:t>
      </w:r>
      <w:r w:rsidR="0062326F">
        <w:t xml:space="preserve">het </w:t>
      </w:r>
      <w:r>
        <w:t>aanpakken van de woningnood absolute prioriteit</w:t>
      </w:r>
      <w:r w:rsidR="0062326F">
        <w:t>,</w:t>
      </w:r>
      <w:r>
        <w:t xml:space="preserve"> zoals </w:t>
      </w:r>
      <w:r w:rsidR="0062326F">
        <w:t xml:space="preserve">ook </w:t>
      </w:r>
      <w:r>
        <w:t xml:space="preserve">blijkt uit het instellen </w:t>
      </w:r>
      <w:r w:rsidR="00803808">
        <w:t xml:space="preserve">van de </w:t>
      </w:r>
      <w:r>
        <w:t>Taskforce versnelling woningbouw</w:t>
      </w:r>
      <w:r w:rsidR="0062326F">
        <w:t xml:space="preserve">. De Taskforce presenteert na de zomer een integraal plan om zo snel mogelijk uit de woningnood te komen, met 100.000 nieuwe woningen per jaar als inzet. </w:t>
      </w:r>
      <w:r w:rsidR="001D4160">
        <w:t xml:space="preserve">Zolang deze situatie </w:t>
      </w:r>
      <w:r w:rsidR="0062326F">
        <w:t>nog niet is bereikt</w:t>
      </w:r>
      <w:r w:rsidR="00C817DA">
        <w:t xml:space="preserve"> liggen maatregelen die kunnen leiden tot een krimp van de sociale huursector niet in de rede. </w:t>
      </w:r>
      <w:r w:rsidR="00B7312C">
        <w:t xml:space="preserve">De maatregelen die het </w:t>
      </w:r>
      <w:r w:rsidR="00280DFC">
        <w:t>K</w:t>
      </w:r>
      <w:r w:rsidR="00B7312C">
        <w:t>abinet neemt om de bouwproductie te verhogen en de woningmarkt beter te laten functioneren</w:t>
      </w:r>
      <w:r w:rsidR="006F3BD0">
        <w:t xml:space="preserve"> </w:t>
      </w:r>
      <w:r w:rsidR="00B7312C">
        <w:t>zullen bijdragen aan een goed</w:t>
      </w:r>
      <w:r w:rsidR="00F22C6F">
        <w:t>e</w:t>
      </w:r>
      <w:r w:rsidR="00B7312C">
        <w:t xml:space="preserve"> portefeuille</w:t>
      </w:r>
      <w:r w:rsidR="00F22C6F">
        <w:t>ontwikkeling</w:t>
      </w:r>
      <w:r w:rsidR="00B7312C">
        <w:t xml:space="preserve"> van woningcorporaties</w:t>
      </w:r>
      <w:r w:rsidRPr="00D672CD" w:rsidR="00B7312C">
        <w:t>.</w:t>
      </w:r>
    </w:p>
    <w:p w:rsidR="00D672CD" w14:paraId="03CB9BF6" w14:textId="77777777"/>
    <w:p w:rsidR="00CB1045" w14:paraId="352ADE6C" w14:textId="77777777"/>
    <w:p w:rsidR="00393203" w:rsidP="00393203" w14:paraId="48A39599" w14:textId="77777777">
      <w:r>
        <w:t>De minister van Volkshuisvesting en Ruimtelijke Ordening,</w:t>
      </w:r>
    </w:p>
    <w:p w:rsidR="00393203" w:rsidP="00393203" w14:paraId="46AEE98B" w14:textId="77777777"/>
    <w:p w:rsidR="00393203" w:rsidP="00393203" w14:paraId="3F4266F7" w14:textId="77777777"/>
    <w:p w:rsidR="00393203" w:rsidP="00393203" w14:paraId="7174FA07" w14:textId="77777777"/>
    <w:p w:rsidR="00393203" w:rsidP="00393203" w14:paraId="2FA8D8C1" w14:textId="77777777"/>
    <w:p w:rsidR="00393203" w:rsidP="00393203" w14:paraId="7B90217A" w14:textId="77777777"/>
    <w:p w:rsidR="007946D9" w14:paraId="63613C74" w14:textId="77777777">
      <w:r>
        <w:t>E</w:t>
      </w:r>
      <w:r w:rsidR="00491F0C">
        <w:t>lanor</w:t>
      </w:r>
      <w:r>
        <w:t xml:space="preserve"> </w:t>
      </w:r>
      <w:r>
        <w:t>Boekholt-O’Sullivan</w:t>
      </w:r>
    </w:p>
    <w:p w:rsidR="00DA7B03" w14:paraId="24592727" w14:textId="77777777">
      <w:pPr>
        <w:spacing w:line="240" w:lineRule="auto"/>
      </w:pPr>
    </w:p>
    <w:p w:rsidR="009078B4" w14:paraId="0B3FC40F" w14:textId="77777777">
      <w:pPr>
        <w:spacing w:line="240" w:lineRule="auto"/>
        <w:rPr>
          <w:b/>
          <w:bCs/>
          <w:sz w:val="20"/>
          <w:szCs w:val="20"/>
        </w:rPr>
      </w:pPr>
      <w:r>
        <w:rPr>
          <w:b/>
          <w:bCs/>
          <w:sz w:val="20"/>
          <w:szCs w:val="20"/>
        </w:rPr>
        <w:br w:type="page"/>
      </w:r>
    </w:p>
    <w:p w:rsidRPr="00DA7B03" w:rsidR="00DA7B03" w14:paraId="28513277" w14:textId="77777777">
      <w:pPr>
        <w:rPr>
          <w:b/>
          <w:bCs/>
          <w:sz w:val="20"/>
          <w:szCs w:val="20"/>
        </w:rPr>
      </w:pPr>
      <w:r w:rsidRPr="00DA7B03">
        <w:rPr>
          <w:b/>
          <w:bCs/>
          <w:sz w:val="20"/>
          <w:szCs w:val="20"/>
        </w:rPr>
        <w:t>BIJLAGE</w:t>
      </w:r>
    </w:p>
    <w:p w:rsidR="00DA7B03" w14:paraId="4E09CFDA" w14:textId="77777777"/>
    <w:p w:rsidRPr="00DA7B03" w:rsidR="00DA7B03" w14:paraId="6977C91E" w14:textId="77777777">
      <w:pPr>
        <w:rPr>
          <w:b/>
          <w:bCs/>
        </w:rPr>
      </w:pPr>
      <w:r w:rsidRPr="00DA7B03">
        <w:rPr>
          <w:b/>
          <w:bCs/>
        </w:rPr>
        <w:t>Aantal woningverkopen door woningcorporaties naar type koper</w:t>
      </w:r>
    </w:p>
    <w:p w:rsidR="00DA7B03" w14:paraId="336B6575" w14:textId="77777777"/>
    <w:p w:rsidR="00DA7B03" w14:paraId="3A200003" w14:textId="77777777"/>
    <w:p w:rsidR="00DA7B03" w14:paraId="78AD4A01" w14:textId="77777777"/>
    <w:p w:rsidR="00DA7B03" w14:paraId="2AFCFD2E" w14:textId="77777777"/>
    <w:p w:rsidR="00DA7B03" w14:paraId="46898814" w14:textId="77777777"/>
    <w:p w:rsidR="00DA7B03" w14:paraId="25365437" w14:textId="77777777"/>
    <w:p w:rsidR="00DA7B03" w14:paraId="30497981" w14:textId="77777777"/>
    <w:p w:rsidR="00DA7B03" w14:paraId="0DC71432" w14:textId="77777777"/>
    <w:p w:rsidR="00DA7B03" w14:paraId="295E7CD6" w14:textId="77777777"/>
    <w:p w:rsidR="00DA7B03" w14:paraId="28E7D9D6" w14:textId="77777777"/>
    <w:p w:rsidR="00DA7B03" w14:paraId="619CB424" w14:textId="77777777"/>
    <w:p w:rsidR="00DA7B03" w14:paraId="53B7BB45" w14:textId="77777777"/>
    <w:p w:rsidR="00DA7B03" w14:paraId="4A981903" w14:textId="77777777"/>
    <w:p w:rsidR="00DA7B03" w14:paraId="480464DA" w14:textId="77777777"/>
    <w:tbl>
      <w:tblPr>
        <w:tblStyle w:val="GridTable4Accent4"/>
        <w:tblpPr w:leftFromText="141" w:rightFromText="141" w:vertAnchor="page" w:horzAnchor="page" w:tblpX="1616" w:tblpY="5608"/>
        <w:tblW w:w="7650" w:type="dxa"/>
        <w:tblLook w:val="04A0"/>
      </w:tblPr>
      <w:tblGrid>
        <w:gridCol w:w="885"/>
        <w:gridCol w:w="1005"/>
        <w:gridCol w:w="1161"/>
        <w:gridCol w:w="1455"/>
        <w:gridCol w:w="1553"/>
        <w:gridCol w:w="740"/>
        <w:gridCol w:w="984"/>
      </w:tblGrid>
      <w:tr w:rsidTr="009078B4" w14:paraId="20DE487B" w14:textId="77777777">
        <w:tblPrEx>
          <w:tblW w:w="7650" w:type="dxa"/>
          <w:tblLook w:val="04A0"/>
        </w:tblPrEx>
        <w:trPr>
          <w:trHeight w:val="320"/>
        </w:trPr>
        <w:tc>
          <w:tcPr>
            <w:tcW w:w="7650" w:type="dxa"/>
            <w:gridSpan w:val="7"/>
            <w:noWrap/>
          </w:tcPr>
          <w:p w:rsidRPr="007C6F1E" w:rsidR="00DA7B03" w:rsidP="009078B4" w14:paraId="6B9DD416" w14:textId="77777777">
            <w:pPr>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 xml:space="preserve">Tabel </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 xml:space="preserve"> Aantal verkochte woningen door woningcorporaties per jaar naar type koper </w:t>
            </w:r>
          </w:p>
        </w:tc>
      </w:tr>
      <w:tr w:rsidTr="009078B4" w14:paraId="46AD97B1" w14:textId="77777777">
        <w:tblPrEx>
          <w:tblW w:w="7650" w:type="dxa"/>
          <w:tblLook w:val="04A0"/>
        </w:tblPrEx>
        <w:trPr>
          <w:trHeight w:val="320"/>
        </w:trPr>
        <w:tc>
          <w:tcPr>
            <w:tcW w:w="885" w:type="dxa"/>
            <w:noWrap/>
            <w:hideMark/>
          </w:tcPr>
          <w:p w:rsidRPr="007C6F1E" w:rsidR="00DA7B03" w:rsidP="009078B4" w14:paraId="0A8F4D29" w14:textId="77777777">
            <w:pPr>
              <w:rPr>
                <w:rFonts w:ascii="Aptos Narrow" w:hAnsi="Aptos Narrow" w:eastAsia="Times New Roman" w:cs="Times New Roman"/>
                <w:color w:val="FFFFFF" w:themeColor="background1"/>
                <w:kern w:val="0"/>
                <w:lang w:eastAsia="nl-NL"/>
                <w14:ligatures w14:val="none"/>
              </w:rPr>
            </w:pPr>
          </w:p>
        </w:tc>
        <w:tc>
          <w:tcPr>
            <w:tcW w:w="6765" w:type="dxa"/>
            <w:gridSpan w:val="6"/>
            <w:noWrap/>
            <w:hideMark/>
          </w:tcPr>
          <w:p w:rsidRPr="007C6F1E" w:rsidR="00DA7B03" w:rsidP="009078B4" w14:paraId="368FD365" w14:textId="77777777">
            <w:pPr>
              <w:rPr>
                <w:rFonts w:ascii="Aptos Narrow" w:hAnsi="Aptos Narrow" w:eastAsia="Times New Roman" w:cs="Times New Roman"/>
                <w:b/>
                <w:bCs/>
                <w:kern w:val="0"/>
                <w:lang w:eastAsia="nl-NL"/>
                <w14:ligatures w14:val="none"/>
              </w:rPr>
            </w:pPr>
            <w:r w:rsidRPr="007C6F1E">
              <w:rPr>
                <w:rFonts w:ascii="Aptos Narrow" w:hAnsi="Aptos Narrow" w:eastAsia="Times New Roman" w:cs="Times New Roman"/>
                <w:b/>
                <w:bCs/>
                <w:kern w:val="0"/>
                <w:lang w:eastAsia="nl-NL"/>
                <w14:ligatures w14:val="none"/>
              </w:rPr>
              <w:t>Type koper</w:t>
            </w:r>
          </w:p>
        </w:tc>
      </w:tr>
      <w:tr w:rsidTr="009078B4" w14:paraId="2F77D91A" w14:textId="77777777">
        <w:tblPrEx>
          <w:tblW w:w="7650" w:type="dxa"/>
          <w:tblLook w:val="04A0"/>
        </w:tblPrEx>
        <w:trPr>
          <w:trHeight w:val="320"/>
        </w:trPr>
        <w:tc>
          <w:tcPr>
            <w:tcW w:w="885" w:type="dxa"/>
            <w:noWrap/>
            <w:hideMark/>
          </w:tcPr>
          <w:p w:rsidRPr="007C6F1E" w:rsidR="00DA7B03" w:rsidP="009078B4" w14:paraId="0CA13E8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Koopjaar</w:t>
            </w:r>
          </w:p>
        </w:tc>
        <w:tc>
          <w:tcPr>
            <w:tcW w:w="1005" w:type="dxa"/>
            <w:noWrap/>
            <w:hideMark/>
          </w:tcPr>
          <w:p w:rsidRPr="007C6F1E" w:rsidR="00DA7B03" w:rsidP="009078B4" w14:paraId="20E7FFEF" w14:textId="77777777">
            <w:pPr>
              <w:jc w:val="right"/>
              <w:rPr>
                <w:rFonts w:ascii="Aptos Narrow" w:hAnsi="Aptos Narrow" w:eastAsia="Times New Roman" w:cs="Times New Roman"/>
                <w:b/>
                <w:bCs/>
                <w:kern w:val="0"/>
                <w:lang w:eastAsia="nl-NL"/>
                <w14:ligatures w14:val="none"/>
              </w:rPr>
            </w:pPr>
            <w:r w:rsidRPr="007C6F1E">
              <w:rPr>
                <w:rFonts w:ascii="Aptos Narrow" w:hAnsi="Aptos Narrow" w:eastAsia="Times New Roman" w:cs="Times New Roman"/>
                <w:b/>
                <w:bCs/>
                <w:kern w:val="0"/>
                <w:lang w:eastAsia="nl-NL"/>
                <w14:ligatures w14:val="none"/>
              </w:rPr>
              <w:t>NP - Eigen gebruik</w:t>
            </w:r>
          </w:p>
        </w:tc>
        <w:tc>
          <w:tcPr>
            <w:tcW w:w="1161" w:type="dxa"/>
            <w:noWrap/>
            <w:hideMark/>
          </w:tcPr>
          <w:p w:rsidRPr="007C6F1E" w:rsidR="00DA7B03" w:rsidP="009078B4" w14:paraId="7F522D37" w14:textId="77777777">
            <w:pPr>
              <w:jc w:val="right"/>
              <w:rPr>
                <w:rFonts w:ascii="Aptos Narrow" w:hAnsi="Aptos Narrow" w:eastAsia="Times New Roman" w:cs="Times New Roman"/>
                <w:b/>
                <w:bCs/>
                <w:kern w:val="0"/>
                <w:lang w:eastAsia="nl-NL"/>
                <w14:ligatures w14:val="none"/>
              </w:rPr>
            </w:pPr>
            <w:r w:rsidRPr="009340F4">
              <w:rPr>
                <w:rFonts w:ascii="Aptos Narrow" w:hAnsi="Aptos Narrow" w:eastAsia="Times New Roman" w:cs="Times New Roman"/>
                <w:b/>
                <w:bCs/>
                <w:kern w:val="0"/>
                <w:lang w:eastAsia="nl-NL"/>
                <w14:ligatures w14:val="none"/>
              </w:rPr>
              <w:t>I</w:t>
            </w:r>
            <w:r w:rsidRPr="007C6F1E">
              <w:rPr>
                <w:rFonts w:ascii="Aptos Narrow" w:hAnsi="Aptos Narrow" w:eastAsia="Times New Roman" w:cs="Times New Roman"/>
                <w:b/>
                <w:bCs/>
                <w:kern w:val="0"/>
                <w:lang w:eastAsia="nl-NL"/>
                <w14:ligatures w14:val="none"/>
              </w:rPr>
              <w:t>nvesteerder</w:t>
            </w:r>
          </w:p>
        </w:tc>
        <w:tc>
          <w:tcPr>
            <w:tcW w:w="1455" w:type="dxa"/>
            <w:noWrap/>
            <w:hideMark/>
          </w:tcPr>
          <w:p w:rsidRPr="007C6F1E" w:rsidR="00DA7B03" w:rsidP="009078B4" w14:paraId="0E9D9C6E" w14:textId="77777777">
            <w:pPr>
              <w:jc w:val="right"/>
              <w:rPr>
                <w:rFonts w:ascii="Aptos Narrow" w:hAnsi="Aptos Narrow" w:eastAsia="Times New Roman" w:cs="Times New Roman"/>
                <w:b/>
                <w:bCs/>
                <w:kern w:val="0"/>
                <w:lang w:eastAsia="nl-NL"/>
                <w14:ligatures w14:val="none"/>
              </w:rPr>
            </w:pPr>
            <w:r w:rsidRPr="009340F4">
              <w:rPr>
                <w:rFonts w:ascii="Aptos Narrow" w:hAnsi="Aptos Narrow" w:eastAsia="Times New Roman" w:cs="Times New Roman"/>
                <w:b/>
                <w:bCs/>
                <w:kern w:val="0"/>
                <w:lang w:eastAsia="nl-NL"/>
                <w14:ligatures w14:val="none"/>
              </w:rPr>
              <w:t>I</w:t>
            </w:r>
            <w:r w:rsidRPr="007C6F1E">
              <w:rPr>
                <w:rFonts w:ascii="Aptos Narrow" w:hAnsi="Aptos Narrow" w:eastAsia="Times New Roman" w:cs="Times New Roman"/>
                <w:b/>
                <w:bCs/>
                <w:kern w:val="0"/>
                <w:lang w:eastAsia="nl-NL"/>
                <w14:ligatures w14:val="none"/>
              </w:rPr>
              <w:t>nvesteerder</w:t>
            </w:r>
            <w:r w:rsidRPr="009340F4">
              <w:rPr>
                <w:rFonts w:ascii="Aptos Narrow" w:hAnsi="Aptos Narrow" w:eastAsia="Times New Roman" w:cs="Times New Roman"/>
                <w:b/>
                <w:bCs/>
                <w:kern w:val="0"/>
                <w:lang w:eastAsia="nl-NL"/>
                <w14:ligatures w14:val="none"/>
              </w:rPr>
              <w:t xml:space="preserve"> (Rechtspersoon)</w:t>
            </w:r>
          </w:p>
        </w:tc>
        <w:tc>
          <w:tcPr>
            <w:tcW w:w="1553" w:type="dxa"/>
            <w:noWrap/>
            <w:hideMark/>
          </w:tcPr>
          <w:p w:rsidRPr="007C6F1E" w:rsidR="00DA7B03" w:rsidP="009078B4" w14:paraId="4F86EEC4" w14:textId="77777777">
            <w:pPr>
              <w:jc w:val="right"/>
              <w:rPr>
                <w:rFonts w:ascii="Aptos Narrow" w:hAnsi="Aptos Narrow" w:eastAsia="Times New Roman" w:cs="Times New Roman"/>
                <w:b/>
                <w:bCs/>
                <w:kern w:val="0"/>
                <w:lang w:eastAsia="nl-NL"/>
                <w14:ligatures w14:val="none"/>
              </w:rPr>
            </w:pPr>
            <w:r w:rsidRPr="009340F4">
              <w:rPr>
                <w:rFonts w:ascii="Aptos Narrow" w:hAnsi="Aptos Narrow" w:eastAsia="Times New Roman" w:cs="Times New Roman"/>
                <w:b/>
                <w:bCs/>
                <w:kern w:val="0"/>
                <w:lang w:eastAsia="nl-NL"/>
                <w14:ligatures w14:val="none"/>
              </w:rPr>
              <w:t>W</w:t>
            </w:r>
            <w:r w:rsidRPr="007C6F1E">
              <w:rPr>
                <w:rFonts w:ascii="Aptos Narrow" w:hAnsi="Aptos Narrow" w:eastAsia="Times New Roman" w:cs="Times New Roman"/>
                <w:b/>
                <w:bCs/>
                <w:kern w:val="0"/>
                <w:lang w:eastAsia="nl-NL"/>
                <w14:ligatures w14:val="none"/>
              </w:rPr>
              <w:t>oningcorporatie</w:t>
            </w:r>
          </w:p>
        </w:tc>
        <w:tc>
          <w:tcPr>
            <w:tcW w:w="740" w:type="dxa"/>
            <w:noWrap/>
            <w:hideMark/>
          </w:tcPr>
          <w:p w:rsidRPr="007C6F1E" w:rsidR="00DA7B03" w:rsidP="009078B4" w14:paraId="0682C7FF" w14:textId="77777777">
            <w:pPr>
              <w:jc w:val="right"/>
              <w:rPr>
                <w:rFonts w:ascii="Aptos Narrow" w:hAnsi="Aptos Narrow" w:eastAsia="Times New Roman" w:cs="Times New Roman"/>
                <w:b/>
                <w:bCs/>
                <w:kern w:val="0"/>
                <w:lang w:eastAsia="nl-NL"/>
                <w14:ligatures w14:val="none"/>
              </w:rPr>
            </w:pPr>
            <w:r w:rsidRPr="009340F4">
              <w:rPr>
                <w:rFonts w:ascii="Aptos Narrow" w:hAnsi="Aptos Narrow" w:eastAsia="Times New Roman" w:cs="Times New Roman"/>
                <w:b/>
                <w:bCs/>
                <w:kern w:val="0"/>
                <w:lang w:eastAsia="nl-NL"/>
                <w14:ligatures w14:val="none"/>
              </w:rPr>
              <w:t>O</w:t>
            </w:r>
            <w:r w:rsidRPr="007C6F1E">
              <w:rPr>
                <w:rFonts w:ascii="Aptos Narrow" w:hAnsi="Aptos Narrow" w:eastAsia="Times New Roman" w:cs="Times New Roman"/>
                <w:b/>
                <w:bCs/>
                <w:kern w:val="0"/>
                <w:lang w:eastAsia="nl-NL"/>
                <w14:ligatures w14:val="none"/>
              </w:rPr>
              <w:t>verig</w:t>
            </w:r>
          </w:p>
        </w:tc>
        <w:tc>
          <w:tcPr>
            <w:tcW w:w="851" w:type="dxa"/>
            <w:noWrap/>
            <w:hideMark/>
          </w:tcPr>
          <w:p w:rsidRPr="007C6F1E" w:rsidR="00DA7B03" w:rsidP="009078B4" w14:paraId="623F3F9A" w14:textId="77777777">
            <w:pPr>
              <w:jc w:val="right"/>
              <w:rPr>
                <w:rFonts w:ascii="Aptos Narrow" w:hAnsi="Aptos Narrow" w:eastAsia="Times New Roman" w:cs="Times New Roman"/>
                <w:b/>
                <w:bCs/>
                <w:kern w:val="0"/>
                <w:lang w:eastAsia="nl-NL"/>
                <w14:ligatures w14:val="none"/>
              </w:rPr>
            </w:pPr>
            <w:r w:rsidRPr="007C6F1E">
              <w:rPr>
                <w:rFonts w:ascii="Aptos Narrow" w:hAnsi="Aptos Narrow" w:eastAsia="Times New Roman" w:cs="Times New Roman"/>
                <w:b/>
                <w:bCs/>
                <w:kern w:val="0"/>
                <w:lang w:eastAsia="nl-NL"/>
                <w14:ligatures w14:val="none"/>
              </w:rPr>
              <w:t>Onbekend</w:t>
            </w:r>
          </w:p>
        </w:tc>
      </w:tr>
      <w:tr w:rsidTr="009078B4" w14:paraId="5DB74E64" w14:textId="77777777">
        <w:tblPrEx>
          <w:tblW w:w="7650" w:type="dxa"/>
          <w:tblLook w:val="04A0"/>
        </w:tblPrEx>
        <w:trPr>
          <w:trHeight w:val="320"/>
        </w:trPr>
        <w:tc>
          <w:tcPr>
            <w:tcW w:w="885" w:type="dxa"/>
            <w:noWrap/>
            <w:hideMark/>
          </w:tcPr>
          <w:p w:rsidRPr="007C6F1E" w:rsidR="00DA7B03" w:rsidP="009078B4" w14:paraId="23D09257"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2010</w:t>
            </w:r>
          </w:p>
        </w:tc>
        <w:tc>
          <w:tcPr>
            <w:tcW w:w="1005" w:type="dxa"/>
            <w:noWrap/>
            <w:hideMark/>
          </w:tcPr>
          <w:p w:rsidRPr="007C6F1E" w:rsidR="00DA7B03" w:rsidP="009078B4" w14:paraId="138AC98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15</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804</w:t>
            </w:r>
          </w:p>
        </w:tc>
        <w:tc>
          <w:tcPr>
            <w:tcW w:w="1161" w:type="dxa"/>
            <w:noWrap/>
            <w:hideMark/>
          </w:tcPr>
          <w:p w:rsidRPr="007C6F1E" w:rsidR="00DA7B03" w:rsidP="009078B4" w14:paraId="4E631E08"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207</w:t>
            </w:r>
          </w:p>
        </w:tc>
        <w:tc>
          <w:tcPr>
            <w:tcW w:w="1455" w:type="dxa"/>
            <w:noWrap/>
            <w:hideMark/>
          </w:tcPr>
          <w:p w:rsidRPr="007C6F1E" w:rsidR="00DA7B03" w:rsidP="009078B4" w14:paraId="4B8403C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622</w:t>
            </w:r>
          </w:p>
        </w:tc>
        <w:tc>
          <w:tcPr>
            <w:tcW w:w="1553" w:type="dxa"/>
            <w:noWrap/>
            <w:hideMark/>
          </w:tcPr>
          <w:p w:rsidRPr="007C6F1E" w:rsidR="00DA7B03" w:rsidP="009078B4" w14:paraId="2290DDB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642</w:t>
            </w:r>
          </w:p>
        </w:tc>
        <w:tc>
          <w:tcPr>
            <w:tcW w:w="740" w:type="dxa"/>
            <w:noWrap/>
            <w:hideMark/>
          </w:tcPr>
          <w:p w:rsidRPr="007C6F1E" w:rsidR="00DA7B03" w:rsidP="009078B4" w14:paraId="2A960D05"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971</w:t>
            </w:r>
          </w:p>
        </w:tc>
        <w:tc>
          <w:tcPr>
            <w:tcW w:w="851" w:type="dxa"/>
            <w:noWrap/>
            <w:hideMark/>
          </w:tcPr>
          <w:p w:rsidRPr="007C6F1E" w:rsidR="00DA7B03" w:rsidP="009078B4" w14:paraId="597E4F5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117</w:t>
            </w:r>
          </w:p>
        </w:tc>
      </w:tr>
      <w:tr w:rsidTr="009078B4" w14:paraId="2B514BCB" w14:textId="77777777">
        <w:tblPrEx>
          <w:tblW w:w="7650" w:type="dxa"/>
          <w:tblLook w:val="04A0"/>
        </w:tblPrEx>
        <w:trPr>
          <w:trHeight w:val="320"/>
        </w:trPr>
        <w:tc>
          <w:tcPr>
            <w:tcW w:w="885" w:type="dxa"/>
            <w:noWrap/>
            <w:hideMark/>
          </w:tcPr>
          <w:p w:rsidRPr="007C6F1E" w:rsidR="00DA7B03" w:rsidP="009078B4" w14:paraId="5C474797"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2011</w:t>
            </w:r>
          </w:p>
        </w:tc>
        <w:tc>
          <w:tcPr>
            <w:tcW w:w="1005" w:type="dxa"/>
            <w:noWrap/>
            <w:hideMark/>
          </w:tcPr>
          <w:p w:rsidRPr="007C6F1E" w:rsidR="00DA7B03" w:rsidP="009078B4" w14:paraId="35924FF6"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15</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561</w:t>
            </w:r>
          </w:p>
        </w:tc>
        <w:tc>
          <w:tcPr>
            <w:tcW w:w="1161" w:type="dxa"/>
            <w:noWrap/>
            <w:hideMark/>
          </w:tcPr>
          <w:p w:rsidRPr="007C6F1E" w:rsidR="00DA7B03" w:rsidP="009078B4" w14:paraId="49125D9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361</w:t>
            </w:r>
          </w:p>
        </w:tc>
        <w:tc>
          <w:tcPr>
            <w:tcW w:w="1455" w:type="dxa"/>
            <w:noWrap/>
            <w:hideMark/>
          </w:tcPr>
          <w:p w:rsidRPr="007C6F1E" w:rsidR="00DA7B03" w:rsidP="009078B4" w14:paraId="609E5AA7"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628</w:t>
            </w:r>
          </w:p>
        </w:tc>
        <w:tc>
          <w:tcPr>
            <w:tcW w:w="1553" w:type="dxa"/>
            <w:noWrap/>
            <w:hideMark/>
          </w:tcPr>
          <w:p w:rsidRPr="007C6F1E" w:rsidR="00DA7B03" w:rsidP="009078B4" w14:paraId="360893D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291</w:t>
            </w:r>
          </w:p>
        </w:tc>
        <w:tc>
          <w:tcPr>
            <w:tcW w:w="740" w:type="dxa"/>
            <w:noWrap/>
            <w:hideMark/>
          </w:tcPr>
          <w:p w:rsidRPr="007C6F1E" w:rsidR="00DA7B03" w:rsidP="009078B4" w14:paraId="021D1493"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258</w:t>
            </w:r>
          </w:p>
        </w:tc>
        <w:tc>
          <w:tcPr>
            <w:tcW w:w="851" w:type="dxa"/>
            <w:noWrap/>
            <w:hideMark/>
          </w:tcPr>
          <w:p w:rsidRPr="007C6F1E" w:rsidR="00DA7B03" w:rsidP="009078B4" w14:paraId="30AB00FA"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124</w:t>
            </w:r>
          </w:p>
        </w:tc>
      </w:tr>
      <w:tr w:rsidTr="009078B4" w14:paraId="1E36FD1E" w14:textId="77777777">
        <w:tblPrEx>
          <w:tblW w:w="7650" w:type="dxa"/>
          <w:tblLook w:val="04A0"/>
        </w:tblPrEx>
        <w:trPr>
          <w:trHeight w:val="320"/>
        </w:trPr>
        <w:tc>
          <w:tcPr>
            <w:tcW w:w="885" w:type="dxa"/>
            <w:noWrap/>
            <w:hideMark/>
          </w:tcPr>
          <w:p w:rsidRPr="007C6F1E" w:rsidR="00DA7B03" w:rsidP="009078B4" w14:paraId="68D5747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2012</w:t>
            </w:r>
          </w:p>
        </w:tc>
        <w:tc>
          <w:tcPr>
            <w:tcW w:w="1005" w:type="dxa"/>
            <w:noWrap/>
            <w:hideMark/>
          </w:tcPr>
          <w:p w:rsidRPr="007C6F1E" w:rsidR="00DA7B03" w:rsidP="009078B4" w14:paraId="5FE23BF8"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15</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612</w:t>
            </w:r>
          </w:p>
        </w:tc>
        <w:tc>
          <w:tcPr>
            <w:tcW w:w="1161" w:type="dxa"/>
            <w:noWrap/>
            <w:hideMark/>
          </w:tcPr>
          <w:p w:rsidRPr="007C6F1E" w:rsidR="00DA7B03" w:rsidP="009078B4" w14:paraId="0523762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332</w:t>
            </w:r>
          </w:p>
        </w:tc>
        <w:tc>
          <w:tcPr>
            <w:tcW w:w="1455" w:type="dxa"/>
            <w:noWrap/>
            <w:hideMark/>
          </w:tcPr>
          <w:p w:rsidRPr="007C6F1E" w:rsidR="00DA7B03" w:rsidP="009078B4" w14:paraId="3C78A6F0"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530</w:t>
            </w:r>
          </w:p>
        </w:tc>
        <w:tc>
          <w:tcPr>
            <w:tcW w:w="1553" w:type="dxa"/>
            <w:noWrap/>
            <w:hideMark/>
          </w:tcPr>
          <w:p w:rsidRPr="007C6F1E" w:rsidR="00DA7B03" w:rsidP="009078B4" w14:paraId="7BA906D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9</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068</w:t>
            </w:r>
          </w:p>
        </w:tc>
        <w:tc>
          <w:tcPr>
            <w:tcW w:w="740" w:type="dxa"/>
            <w:noWrap/>
            <w:hideMark/>
          </w:tcPr>
          <w:p w:rsidRPr="007C6F1E" w:rsidR="00DA7B03" w:rsidP="009078B4" w14:paraId="1E77AAFD"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966</w:t>
            </w:r>
          </w:p>
        </w:tc>
        <w:tc>
          <w:tcPr>
            <w:tcW w:w="851" w:type="dxa"/>
            <w:noWrap/>
            <w:hideMark/>
          </w:tcPr>
          <w:p w:rsidRPr="007C6F1E" w:rsidR="00DA7B03" w:rsidP="009078B4" w14:paraId="6FE779C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102</w:t>
            </w:r>
          </w:p>
        </w:tc>
      </w:tr>
      <w:tr w:rsidTr="009078B4" w14:paraId="33DA9B19" w14:textId="77777777">
        <w:tblPrEx>
          <w:tblW w:w="7650" w:type="dxa"/>
          <w:tblLook w:val="04A0"/>
        </w:tblPrEx>
        <w:trPr>
          <w:trHeight w:val="320"/>
        </w:trPr>
        <w:tc>
          <w:tcPr>
            <w:tcW w:w="885" w:type="dxa"/>
            <w:noWrap/>
            <w:hideMark/>
          </w:tcPr>
          <w:p w:rsidRPr="007C6F1E" w:rsidR="00DA7B03" w:rsidP="009078B4" w14:paraId="3E992245"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2013</w:t>
            </w:r>
          </w:p>
        </w:tc>
        <w:tc>
          <w:tcPr>
            <w:tcW w:w="1005" w:type="dxa"/>
            <w:noWrap/>
            <w:hideMark/>
          </w:tcPr>
          <w:p w:rsidRPr="007C6F1E" w:rsidR="00DA7B03" w:rsidP="009078B4" w14:paraId="13C477A7"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16</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056</w:t>
            </w:r>
          </w:p>
        </w:tc>
        <w:tc>
          <w:tcPr>
            <w:tcW w:w="1161" w:type="dxa"/>
            <w:noWrap/>
            <w:hideMark/>
          </w:tcPr>
          <w:p w:rsidRPr="007C6F1E" w:rsidR="00DA7B03" w:rsidP="009078B4" w14:paraId="732EF930"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513</w:t>
            </w:r>
          </w:p>
        </w:tc>
        <w:tc>
          <w:tcPr>
            <w:tcW w:w="1455" w:type="dxa"/>
            <w:noWrap/>
            <w:hideMark/>
          </w:tcPr>
          <w:p w:rsidRPr="007C6F1E" w:rsidR="00DA7B03" w:rsidP="009078B4" w14:paraId="6C1A972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524</w:t>
            </w:r>
          </w:p>
        </w:tc>
        <w:tc>
          <w:tcPr>
            <w:tcW w:w="1553" w:type="dxa"/>
            <w:noWrap/>
            <w:hideMark/>
          </w:tcPr>
          <w:p w:rsidRPr="007C6F1E" w:rsidR="00DA7B03" w:rsidP="009078B4" w14:paraId="5324AE05"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951</w:t>
            </w:r>
          </w:p>
        </w:tc>
        <w:tc>
          <w:tcPr>
            <w:tcW w:w="740" w:type="dxa"/>
            <w:noWrap/>
            <w:hideMark/>
          </w:tcPr>
          <w:p w:rsidRPr="007C6F1E" w:rsidR="00DA7B03" w:rsidP="009078B4" w14:paraId="4134D85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813</w:t>
            </w:r>
          </w:p>
        </w:tc>
        <w:tc>
          <w:tcPr>
            <w:tcW w:w="851" w:type="dxa"/>
            <w:noWrap/>
            <w:hideMark/>
          </w:tcPr>
          <w:p w:rsidRPr="007C6F1E" w:rsidR="00DA7B03" w:rsidP="009078B4" w14:paraId="235CA2B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100</w:t>
            </w:r>
          </w:p>
        </w:tc>
      </w:tr>
      <w:tr w:rsidTr="009078B4" w14:paraId="636D4374" w14:textId="77777777">
        <w:tblPrEx>
          <w:tblW w:w="7650" w:type="dxa"/>
          <w:tblLook w:val="04A0"/>
        </w:tblPrEx>
        <w:trPr>
          <w:trHeight w:val="320"/>
        </w:trPr>
        <w:tc>
          <w:tcPr>
            <w:tcW w:w="885" w:type="dxa"/>
            <w:noWrap/>
            <w:hideMark/>
          </w:tcPr>
          <w:p w:rsidRPr="007C6F1E" w:rsidR="00DA7B03" w:rsidP="009078B4" w14:paraId="647CE167"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2014</w:t>
            </w:r>
          </w:p>
        </w:tc>
        <w:tc>
          <w:tcPr>
            <w:tcW w:w="1005" w:type="dxa"/>
            <w:noWrap/>
            <w:hideMark/>
          </w:tcPr>
          <w:p w:rsidRPr="007C6F1E" w:rsidR="00DA7B03" w:rsidP="009078B4" w14:paraId="25E005A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18</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791</w:t>
            </w:r>
          </w:p>
        </w:tc>
        <w:tc>
          <w:tcPr>
            <w:tcW w:w="1161" w:type="dxa"/>
            <w:noWrap/>
            <w:hideMark/>
          </w:tcPr>
          <w:p w:rsidRPr="007C6F1E" w:rsidR="00DA7B03" w:rsidP="009078B4" w14:paraId="1E45E4A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705</w:t>
            </w:r>
          </w:p>
        </w:tc>
        <w:tc>
          <w:tcPr>
            <w:tcW w:w="1455" w:type="dxa"/>
            <w:noWrap/>
            <w:hideMark/>
          </w:tcPr>
          <w:p w:rsidRPr="007C6F1E" w:rsidR="00DA7B03" w:rsidP="009078B4" w14:paraId="7A62E19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071</w:t>
            </w:r>
          </w:p>
        </w:tc>
        <w:tc>
          <w:tcPr>
            <w:tcW w:w="1553" w:type="dxa"/>
            <w:noWrap/>
            <w:hideMark/>
          </w:tcPr>
          <w:p w:rsidRPr="007C6F1E" w:rsidR="00DA7B03" w:rsidP="009078B4" w14:paraId="3E74694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664</w:t>
            </w:r>
          </w:p>
        </w:tc>
        <w:tc>
          <w:tcPr>
            <w:tcW w:w="740" w:type="dxa"/>
            <w:noWrap/>
            <w:hideMark/>
          </w:tcPr>
          <w:p w:rsidRPr="007C6F1E" w:rsidR="00DA7B03" w:rsidP="009078B4" w14:paraId="12F73DA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927</w:t>
            </w:r>
          </w:p>
        </w:tc>
        <w:tc>
          <w:tcPr>
            <w:tcW w:w="851" w:type="dxa"/>
            <w:noWrap/>
            <w:hideMark/>
          </w:tcPr>
          <w:p w:rsidRPr="007C6F1E" w:rsidR="00DA7B03" w:rsidP="009078B4" w14:paraId="320420D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100</w:t>
            </w:r>
          </w:p>
        </w:tc>
      </w:tr>
      <w:tr w:rsidTr="009078B4" w14:paraId="6FCA5BE8" w14:textId="77777777">
        <w:tblPrEx>
          <w:tblW w:w="7650" w:type="dxa"/>
          <w:tblLook w:val="04A0"/>
        </w:tblPrEx>
        <w:trPr>
          <w:trHeight w:val="320"/>
        </w:trPr>
        <w:tc>
          <w:tcPr>
            <w:tcW w:w="885" w:type="dxa"/>
            <w:noWrap/>
            <w:hideMark/>
          </w:tcPr>
          <w:p w:rsidRPr="007C6F1E" w:rsidR="00DA7B03" w:rsidP="009078B4" w14:paraId="71C1A76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2015</w:t>
            </w:r>
          </w:p>
        </w:tc>
        <w:tc>
          <w:tcPr>
            <w:tcW w:w="1005" w:type="dxa"/>
            <w:noWrap/>
            <w:hideMark/>
          </w:tcPr>
          <w:p w:rsidRPr="007C6F1E" w:rsidR="00DA7B03" w:rsidP="009078B4" w14:paraId="2D41358D"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17</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564</w:t>
            </w:r>
          </w:p>
        </w:tc>
        <w:tc>
          <w:tcPr>
            <w:tcW w:w="1161" w:type="dxa"/>
            <w:noWrap/>
            <w:hideMark/>
          </w:tcPr>
          <w:p w:rsidRPr="007C6F1E" w:rsidR="00DA7B03" w:rsidP="009078B4" w14:paraId="39B02F2D"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728</w:t>
            </w:r>
          </w:p>
        </w:tc>
        <w:tc>
          <w:tcPr>
            <w:tcW w:w="1455" w:type="dxa"/>
            <w:noWrap/>
            <w:hideMark/>
          </w:tcPr>
          <w:p w:rsidRPr="007C6F1E" w:rsidR="00DA7B03" w:rsidP="009078B4" w14:paraId="370E99B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447</w:t>
            </w:r>
          </w:p>
        </w:tc>
        <w:tc>
          <w:tcPr>
            <w:tcW w:w="1553" w:type="dxa"/>
            <w:noWrap/>
            <w:hideMark/>
          </w:tcPr>
          <w:p w:rsidRPr="007C6F1E" w:rsidR="00DA7B03" w:rsidP="009078B4" w14:paraId="462C603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4</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006</w:t>
            </w:r>
          </w:p>
        </w:tc>
        <w:tc>
          <w:tcPr>
            <w:tcW w:w="740" w:type="dxa"/>
            <w:noWrap/>
            <w:hideMark/>
          </w:tcPr>
          <w:p w:rsidRPr="007C6F1E" w:rsidR="00DA7B03" w:rsidP="009078B4" w14:paraId="2F75050A"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046</w:t>
            </w:r>
          </w:p>
        </w:tc>
        <w:tc>
          <w:tcPr>
            <w:tcW w:w="851" w:type="dxa"/>
            <w:noWrap/>
            <w:hideMark/>
          </w:tcPr>
          <w:p w:rsidRPr="007C6F1E" w:rsidR="00DA7B03" w:rsidP="009078B4" w14:paraId="374F144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110</w:t>
            </w:r>
          </w:p>
        </w:tc>
      </w:tr>
      <w:tr w:rsidTr="009078B4" w14:paraId="54E13D31" w14:textId="77777777">
        <w:tblPrEx>
          <w:tblW w:w="7650" w:type="dxa"/>
          <w:tblLook w:val="04A0"/>
        </w:tblPrEx>
        <w:trPr>
          <w:trHeight w:val="320"/>
        </w:trPr>
        <w:tc>
          <w:tcPr>
            <w:tcW w:w="885" w:type="dxa"/>
            <w:noWrap/>
            <w:hideMark/>
          </w:tcPr>
          <w:p w:rsidRPr="007C6F1E" w:rsidR="00DA7B03" w:rsidP="009078B4" w14:paraId="4134CB3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2016</w:t>
            </w:r>
          </w:p>
        </w:tc>
        <w:tc>
          <w:tcPr>
            <w:tcW w:w="1005" w:type="dxa"/>
            <w:noWrap/>
            <w:hideMark/>
          </w:tcPr>
          <w:p w:rsidRPr="007C6F1E" w:rsidR="00DA7B03" w:rsidP="009078B4" w14:paraId="2165DC06"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13</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293</w:t>
            </w:r>
          </w:p>
        </w:tc>
        <w:tc>
          <w:tcPr>
            <w:tcW w:w="1161" w:type="dxa"/>
            <w:noWrap/>
            <w:hideMark/>
          </w:tcPr>
          <w:p w:rsidRPr="007C6F1E" w:rsidR="00DA7B03" w:rsidP="009078B4" w14:paraId="5BB6852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674</w:t>
            </w:r>
          </w:p>
        </w:tc>
        <w:tc>
          <w:tcPr>
            <w:tcW w:w="1455" w:type="dxa"/>
            <w:noWrap/>
            <w:hideMark/>
          </w:tcPr>
          <w:p w:rsidRPr="007C6F1E" w:rsidR="00DA7B03" w:rsidP="009078B4" w14:paraId="041E309D"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713</w:t>
            </w:r>
          </w:p>
        </w:tc>
        <w:tc>
          <w:tcPr>
            <w:tcW w:w="1553" w:type="dxa"/>
            <w:noWrap/>
            <w:hideMark/>
          </w:tcPr>
          <w:p w:rsidRPr="007C6F1E" w:rsidR="00DA7B03" w:rsidP="009078B4" w14:paraId="153BA08C"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067</w:t>
            </w:r>
          </w:p>
        </w:tc>
        <w:tc>
          <w:tcPr>
            <w:tcW w:w="740" w:type="dxa"/>
            <w:noWrap/>
            <w:hideMark/>
          </w:tcPr>
          <w:p w:rsidRPr="007C6F1E" w:rsidR="00DA7B03" w:rsidP="009078B4" w14:paraId="2B8AE677"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538</w:t>
            </w:r>
          </w:p>
        </w:tc>
        <w:tc>
          <w:tcPr>
            <w:tcW w:w="851" w:type="dxa"/>
            <w:noWrap/>
            <w:hideMark/>
          </w:tcPr>
          <w:p w:rsidRPr="007C6F1E" w:rsidR="00DA7B03" w:rsidP="009078B4" w14:paraId="0AB82146"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93</w:t>
            </w:r>
          </w:p>
        </w:tc>
      </w:tr>
      <w:tr w:rsidTr="009078B4" w14:paraId="46138216" w14:textId="77777777">
        <w:tblPrEx>
          <w:tblW w:w="7650" w:type="dxa"/>
          <w:tblLook w:val="04A0"/>
        </w:tblPrEx>
        <w:trPr>
          <w:trHeight w:val="320"/>
        </w:trPr>
        <w:tc>
          <w:tcPr>
            <w:tcW w:w="885" w:type="dxa"/>
            <w:noWrap/>
            <w:hideMark/>
          </w:tcPr>
          <w:p w:rsidRPr="007C6F1E" w:rsidR="00DA7B03" w:rsidP="009078B4" w14:paraId="5FF5549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2017</w:t>
            </w:r>
          </w:p>
        </w:tc>
        <w:tc>
          <w:tcPr>
            <w:tcW w:w="1005" w:type="dxa"/>
            <w:noWrap/>
            <w:hideMark/>
          </w:tcPr>
          <w:p w:rsidRPr="007C6F1E" w:rsidR="00DA7B03" w:rsidP="009078B4" w14:paraId="61BA41B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10</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755</w:t>
            </w:r>
          </w:p>
        </w:tc>
        <w:tc>
          <w:tcPr>
            <w:tcW w:w="1161" w:type="dxa"/>
            <w:noWrap/>
            <w:hideMark/>
          </w:tcPr>
          <w:p w:rsidRPr="007C6F1E" w:rsidR="00DA7B03" w:rsidP="009078B4" w14:paraId="41784A7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474</w:t>
            </w:r>
          </w:p>
        </w:tc>
        <w:tc>
          <w:tcPr>
            <w:tcW w:w="1455" w:type="dxa"/>
            <w:noWrap/>
            <w:hideMark/>
          </w:tcPr>
          <w:p w:rsidRPr="007C6F1E" w:rsidR="00DA7B03" w:rsidP="009078B4" w14:paraId="3ECEC06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640</w:t>
            </w:r>
          </w:p>
        </w:tc>
        <w:tc>
          <w:tcPr>
            <w:tcW w:w="1553" w:type="dxa"/>
            <w:noWrap/>
            <w:hideMark/>
          </w:tcPr>
          <w:p w:rsidRPr="007C6F1E" w:rsidR="00DA7B03" w:rsidP="009078B4" w14:paraId="1CB725B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253</w:t>
            </w:r>
          </w:p>
        </w:tc>
        <w:tc>
          <w:tcPr>
            <w:tcW w:w="740" w:type="dxa"/>
            <w:noWrap/>
            <w:hideMark/>
          </w:tcPr>
          <w:p w:rsidRPr="007C6F1E" w:rsidR="00DA7B03" w:rsidP="009078B4" w14:paraId="392E236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670</w:t>
            </w:r>
          </w:p>
        </w:tc>
        <w:tc>
          <w:tcPr>
            <w:tcW w:w="851" w:type="dxa"/>
            <w:noWrap/>
            <w:hideMark/>
          </w:tcPr>
          <w:p w:rsidRPr="007C6F1E" w:rsidR="00DA7B03" w:rsidP="009078B4" w14:paraId="3A1155C0"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72</w:t>
            </w:r>
          </w:p>
        </w:tc>
      </w:tr>
      <w:tr w:rsidTr="009078B4" w14:paraId="21F54241" w14:textId="77777777">
        <w:tblPrEx>
          <w:tblW w:w="7650" w:type="dxa"/>
          <w:tblLook w:val="04A0"/>
        </w:tblPrEx>
        <w:trPr>
          <w:trHeight w:val="320"/>
        </w:trPr>
        <w:tc>
          <w:tcPr>
            <w:tcW w:w="885" w:type="dxa"/>
            <w:noWrap/>
            <w:hideMark/>
          </w:tcPr>
          <w:p w:rsidRPr="007C6F1E" w:rsidR="00DA7B03" w:rsidP="009078B4" w14:paraId="75726FF0"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2018</w:t>
            </w:r>
          </w:p>
        </w:tc>
        <w:tc>
          <w:tcPr>
            <w:tcW w:w="1005" w:type="dxa"/>
            <w:noWrap/>
            <w:hideMark/>
          </w:tcPr>
          <w:p w:rsidRPr="007C6F1E" w:rsidR="00DA7B03" w:rsidP="009078B4" w14:paraId="423D443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8</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957</w:t>
            </w:r>
          </w:p>
        </w:tc>
        <w:tc>
          <w:tcPr>
            <w:tcW w:w="1161" w:type="dxa"/>
            <w:noWrap/>
            <w:hideMark/>
          </w:tcPr>
          <w:p w:rsidRPr="007C6F1E" w:rsidR="00DA7B03" w:rsidP="009078B4" w14:paraId="436FFAA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330</w:t>
            </w:r>
          </w:p>
        </w:tc>
        <w:tc>
          <w:tcPr>
            <w:tcW w:w="1455" w:type="dxa"/>
            <w:noWrap/>
            <w:hideMark/>
          </w:tcPr>
          <w:p w:rsidRPr="007C6F1E" w:rsidR="00DA7B03" w:rsidP="009078B4" w14:paraId="39F0BE3A"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520</w:t>
            </w:r>
          </w:p>
        </w:tc>
        <w:tc>
          <w:tcPr>
            <w:tcW w:w="1553" w:type="dxa"/>
            <w:noWrap/>
            <w:hideMark/>
          </w:tcPr>
          <w:p w:rsidRPr="007C6F1E" w:rsidR="00DA7B03" w:rsidP="009078B4" w14:paraId="63BE88D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628</w:t>
            </w:r>
          </w:p>
        </w:tc>
        <w:tc>
          <w:tcPr>
            <w:tcW w:w="740" w:type="dxa"/>
            <w:noWrap/>
            <w:hideMark/>
          </w:tcPr>
          <w:p w:rsidRPr="007C6F1E" w:rsidR="00DA7B03" w:rsidP="009078B4" w14:paraId="1F939A4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525</w:t>
            </w:r>
          </w:p>
        </w:tc>
        <w:tc>
          <w:tcPr>
            <w:tcW w:w="851" w:type="dxa"/>
            <w:noWrap/>
            <w:hideMark/>
          </w:tcPr>
          <w:p w:rsidRPr="007C6F1E" w:rsidR="00DA7B03" w:rsidP="009078B4" w14:paraId="7C92AC9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60</w:t>
            </w:r>
          </w:p>
        </w:tc>
      </w:tr>
      <w:tr w:rsidTr="009078B4" w14:paraId="7E879BA6" w14:textId="77777777">
        <w:tblPrEx>
          <w:tblW w:w="7650" w:type="dxa"/>
          <w:tblLook w:val="04A0"/>
        </w:tblPrEx>
        <w:trPr>
          <w:trHeight w:val="320"/>
        </w:trPr>
        <w:tc>
          <w:tcPr>
            <w:tcW w:w="885" w:type="dxa"/>
            <w:noWrap/>
            <w:hideMark/>
          </w:tcPr>
          <w:p w:rsidRPr="007C6F1E" w:rsidR="00DA7B03" w:rsidP="009078B4" w14:paraId="58FB801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2019</w:t>
            </w:r>
          </w:p>
        </w:tc>
        <w:tc>
          <w:tcPr>
            <w:tcW w:w="1005" w:type="dxa"/>
            <w:noWrap/>
            <w:hideMark/>
          </w:tcPr>
          <w:p w:rsidRPr="007C6F1E" w:rsidR="00DA7B03" w:rsidP="009078B4" w14:paraId="436CFED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8</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113</w:t>
            </w:r>
          </w:p>
        </w:tc>
        <w:tc>
          <w:tcPr>
            <w:tcW w:w="1161" w:type="dxa"/>
            <w:noWrap/>
            <w:hideMark/>
          </w:tcPr>
          <w:p w:rsidRPr="007C6F1E" w:rsidR="00DA7B03" w:rsidP="009078B4" w14:paraId="47786E5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343</w:t>
            </w:r>
          </w:p>
        </w:tc>
        <w:tc>
          <w:tcPr>
            <w:tcW w:w="1455" w:type="dxa"/>
            <w:noWrap/>
            <w:hideMark/>
          </w:tcPr>
          <w:p w:rsidRPr="007C6F1E" w:rsidR="00DA7B03" w:rsidP="009078B4" w14:paraId="722D03D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586</w:t>
            </w:r>
          </w:p>
        </w:tc>
        <w:tc>
          <w:tcPr>
            <w:tcW w:w="1553" w:type="dxa"/>
            <w:noWrap/>
            <w:hideMark/>
          </w:tcPr>
          <w:p w:rsidRPr="007C6F1E" w:rsidR="00DA7B03" w:rsidP="009078B4" w14:paraId="43F88CC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973</w:t>
            </w:r>
          </w:p>
        </w:tc>
        <w:tc>
          <w:tcPr>
            <w:tcW w:w="740" w:type="dxa"/>
            <w:noWrap/>
            <w:hideMark/>
          </w:tcPr>
          <w:p w:rsidRPr="007C6F1E" w:rsidR="00DA7B03" w:rsidP="009078B4" w14:paraId="313E2B2D"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391</w:t>
            </w:r>
          </w:p>
        </w:tc>
        <w:tc>
          <w:tcPr>
            <w:tcW w:w="851" w:type="dxa"/>
            <w:noWrap/>
            <w:hideMark/>
          </w:tcPr>
          <w:p w:rsidRPr="007C6F1E" w:rsidR="00DA7B03" w:rsidP="009078B4" w14:paraId="390B389C"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24</w:t>
            </w:r>
          </w:p>
        </w:tc>
      </w:tr>
      <w:tr w:rsidTr="009078B4" w14:paraId="4DBCF425" w14:textId="77777777">
        <w:tblPrEx>
          <w:tblW w:w="7650" w:type="dxa"/>
          <w:tblLook w:val="04A0"/>
        </w:tblPrEx>
        <w:trPr>
          <w:trHeight w:val="320"/>
        </w:trPr>
        <w:tc>
          <w:tcPr>
            <w:tcW w:w="885" w:type="dxa"/>
            <w:noWrap/>
            <w:hideMark/>
          </w:tcPr>
          <w:p w:rsidRPr="007C6F1E" w:rsidR="00DA7B03" w:rsidP="009078B4" w14:paraId="336B2D7C"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2020</w:t>
            </w:r>
          </w:p>
        </w:tc>
        <w:tc>
          <w:tcPr>
            <w:tcW w:w="1005" w:type="dxa"/>
            <w:noWrap/>
            <w:hideMark/>
          </w:tcPr>
          <w:p w:rsidRPr="007C6F1E" w:rsidR="00DA7B03" w:rsidP="009078B4" w14:paraId="31BCC36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035</w:t>
            </w:r>
          </w:p>
        </w:tc>
        <w:tc>
          <w:tcPr>
            <w:tcW w:w="1161" w:type="dxa"/>
            <w:noWrap/>
            <w:hideMark/>
          </w:tcPr>
          <w:p w:rsidRPr="007C6F1E" w:rsidR="00DA7B03" w:rsidP="009078B4" w14:paraId="31A0A8E6"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271</w:t>
            </w:r>
          </w:p>
        </w:tc>
        <w:tc>
          <w:tcPr>
            <w:tcW w:w="1455" w:type="dxa"/>
            <w:noWrap/>
            <w:hideMark/>
          </w:tcPr>
          <w:p w:rsidRPr="007C6F1E" w:rsidR="00DA7B03" w:rsidP="009078B4" w14:paraId="7B7C43A9"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125</w:t>
            </w:r>
          </w:p>
        </w:tc>
        <w:tc>
          <w:tcPr>
            <w:tcW w:w="1553" w:type="dxa"/>
            <w:noWrap/>
            <w:hideMark/>
          </w:tcPr>
          <w:p w:rsidRPr="007C6F1E" w:rsidR="00DA7B03" w:rsidP="009078B4" w14:paraId="693CAED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9</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356</w:t>
            </w:r>
          </w:p>
        </w:tc>
        <w:tc>
          <w:tcPr>
            <w:tcW w:w="740" w:type="dxa"/>
            <w:noWrap/>
            <w:hideMark/>
          </w:tcPr>
          <w:p w:rsidRPr="007C6F1E" w:rsidR="00DA7B03" w:rsidP="009078B4" w14:paraId="580D59E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694</w:t>
            </w:r>
          </w:p>
        </w:tc>
        <w:tc>
          <w:tcPr>
            <w:tcW w:w="851" w:type="dxa"/>
            <w:noWrap/>
            <w:hideMark/>
          </w:tcPr>
          <w:p w:rsidRPr="007C6F1E" w:rsidR="00DA7B03" w:rsidP="009078B4" w14:paraId="133E07C6"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22</w:t>
            </w:r>
          </w:p>
        </w:tc>
      </w:tr>
      <w:tr w:rsidTr="009078B4" w14:paraId="2CF6A18D" w14:textId="77777777">
        <w:tblPrEx>
          <w:tblW w:w="7650" w:type="dxa"/>
          <w:tblLook w:val="04A0"/>
        </w:tblPrEx>
        <w:trPr>
          <w:trHeight w:val="320"/>
        </w:trPr>
        <w:tc>
          <w:tcPr>
            <w:tcW w:w="885" w:type="dxa"/>
            <w:noWrap/>
            <w:hideMark/>
          </w:tcPr>
          <w:p w:rsidRPr="007C6F1E" w:rsidR="00DA7B03" w:rsidP="009078B4" w14:paraId="64EF18A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2021</w:t>
            </w:r>
          </w:p>
        </w:tc>
        <w:tc>
          <w:tcPr>
            <w:tcW w:w="1005" w:type="dxa"/>
            <w:noWrap/>
            <w:hideMark/>
          </w:tcPr>
          <w:p w:rsidRPr="007C6F1E" w:rsidR="00DA7B03" w:rsidP="009078B4" w14:paraId="4391265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320</w:t>
            </w:r>
          </w:p>
        </w:tc>
        <w:tc>
          <w:tcPr>
            <w:tcW w:w="1161" w:type="dxa"/>
            <w:noWrap/>
            <w:hideMark/>
          </w:tcPr>
          <w:p w:rsidRPr="007C6F1E" w:rsidR="00DA7B03" w:rsidP="009078B4" w14:paraId="3277C9F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102</w:t>
            </w:r>
          </w:p>
        </w:tc>
        <w:tc>
          <w:tcPr>
            <w:tcW w:w="1455" w:type="dxa"/>
            <w:noWrap/>
            <w:hideMark/>
          </w:tcPr>
          <w:p w:rsidRPr="007C6F1E" w:rsidR="00DA7B03" w:rsidP="009078B4" w14:paraId="388CE393"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195</w:t>
            </w:r>
          </w:p>
        </w:tc>
        <w:tc>
          <w:tcPr>
            <w:tcW w:w="1553" w:type="dxa"/>
            <w:noWrap/>
            <w:hideMark/>
          </w:tcPr>
          <w:p w:rsidRPr="007C6F1E" w:rsidR="00DA7B03" w:rsidP="009078B4" w14:paraId="10035120"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839</w:t>
            </w:r>
          </w:p>
        </w:tc>
        <w:tc>
          <w:tcPr>
            <w:tcW w:w="740" w:type="dxa"/>
            <w:noWrap/>
            <w:hideMark/>
          </w:tcPr>
          <w:p w:rsidRPr="007C6F1E" w:rsidR="00DA7B03" w:rsidP="009078B4" w14:paraId="6A4C007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084</w:t>
            </w:r>
          </w:p>
        </w:tc>
        <w:tc>
          <w:tcPr>
            <w:tcW w:w="851" w:type="dxa"/>
            <w:noWrap/>
            <w:hideMark/>
          </w:tcPr>
          <w:p w:rsidRPr="007C6F1E" w:rsidR="00DA7B03" w:rsidP="009078B4" w14:paraId="00BB4FF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18</w:t>
            </w:r>
          </w:p>
        </w:tc>
      </w:tr>
      <w:tr w:rsidTr="009078B4" w14:paraId="43240491" w14:textId="77777777">
        <w:tblPrEx>
          <w:tblW w:w="7650" w:type="dxa"/>
          <w:tblLook w:val="04A0"/>
        </w:tblPrEx>
        <w:trPr>
          <w:trHeight w:val="320"/>
        </w:trPr>
        <w:tc>
          <w:tcPr>
            <w:tcW w:w="885" w:type="dxa"/>
            <w:noWrap/>
            <w:hideMark/>
          </w:tcPr>
          <w:p w:rsidRPr="007C6F1E" w:rsidR="00DA7B03" w:rsidP="009078B4" w14:paraId="0CA05F4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2022</w:t>
            </w:r>
          </w:p>
        </w:tc>
        <w:tc>
          <w:tcPr>
            <w:tcW w:w="1005" w:type="dxa"/>
            <w:noWrap/>
            <w:hideMark/>
          </w:tcPr>
          <w:p w:rsidRPr="007C6F1E" w:rsidR="00DA7B03" w:rsidP="009078B4" w14:paraId="7F7365CA"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4</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851</w:t>
            </w:r>
          </w:p>
        </w:tc>
        <w:tc>
          <w:tcPr>
            <w:tcW w:w="1161" w:type="dxa"/>
            <w:noWrap/>
            <w:hideMark/>
          </w:tcPr>
          <w:p w:rsidRPr="007C6F1E" w:rsidR="00DA7B03" w:rsidP="009078B4" w14:paraId="0914F3C7"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68</w:t>
            </w:r>
          </w:p>
        </w:tc>
        <w:tc>
          <w:tcPr>
            <w:tcW w:w="1455" w:type="dxa"/>
            <w:noWrap/>
            <w:hideMark/>
          </w:tcPr>
          <w:p w:rsidRPr="007C6F1E" w:rsidR="00DA7B03" w:rsidP="009078B4" w14:paraId="03D8DF0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818</w:t>
            </w:r>
          </w:p>
        </w:tc>
        <w:tc>
          <w:tcPr>
            <w:tcW w:w="1553" w:type="dxa"/>
            <w:noWrap/>
            <w:hideMark/>
          </w:tcPr>
          <w:p w:rsidRPr="007C6F1E" w:rsidR="00DA7B03" w:rsidP="009078B4" w14:paraId="31F1D3A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053</w:t>
            </w:r>
          </w:p>
        </w:tc>
        <w:tc>
          <w:tcPr>
            <w:tcW w:w="740" w:type="dxa"/>
            <w:noWrap/>
            <w:hideMark/>
          </w:tcPr>
          <w:p w:rsidRPr="007C6F1E" w:rsidR="00DA7B03" w:rsidP="009078B4" w14:paraId="2552B1E0"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875</w:t>
            </w:r>
          </w:p>
        </w:tc>
        <w:tc>
          <w:tcPr>
            <w:tcW w:w="851" w:type="dxa"/>
            <w:noWrap/>
            <w:hideMark/>
          </w:tcPr>
          <w:p w:rsidRPr="007C6F1E" w:rsidR="00DA7B03" w:rsidP="009078B4" w14:paraId="707E94EC"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21</w:t>
            </w:r>
          </w:p>
        </w:tc>
      </w:tr>
      <w:tr w:rsidTr="009078B4" w14:paraId="7DA66888" w14:textId="77777777">
        <w:tblPrEx>
          <w:tblW w:w="7650" w:type="dxa"/>
          <w:tblLook w:val="04A0"/>
        </w:tblPrEx>
        <w:trPr>
          <w:trHeight w:val="320"/>
        </w:trPr>
        <w:tc>
          <w:tcPr>
            <w:tcW w:w="885" w:type="dxa"/>
            <w:noWrap/>
            <w:hideMark/>
          </w:tcPr>
          <w:p w:rsidRPr="007C6F1E" w:rsidR="00DA7B03" w:rsidP="009078B4" w14:paraId="57CFF8A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2023</w:t>
            </w:r>
          </w:p>
        </w:tc>
        <w:tc>
          <w:tcPr>
            <w:tcW w:w="1005" w:type="dxa"/>
            <w:noWrap/>
            <w:hideMark/>
          </w:tcPr>
          <w:p w:rsidRPr="007C6F1E" w:rsidR="00DA7B03" w:rsidP="009078B4" w14:paraId="60821D0A"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217</w:t>
            </w:r>
          </w:p>
        </w:tc>
        <w:tc>
          <w:tcPr>
            <w:tcW w:w="1161" w:type="dxa"/>
            <w:noWrap/>
            <w:hideMark/>
          </w:tcPr>
          <w:p w:rsidRPr="007C6F1E" w:rsidR="00DA7B03" w:rsidP="009078B4" w14:paraId="7AA0FFB1"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71</w:t>
            </w:r>
          </w:p>
        </w:tc>
        <w:tc>
          <w:tcPr>
            <w:tcW w:w="1455" w:type="dxa"/>
            <w:noWrap/>
            <w:hideMark/>
          </w:tcPr>
          <w:p w:rsidRPr="007C6F1E" w:rsidR="00DA7B03" w:rsidP="009078B4" w14:paraId="0D7E1B32"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555</w:t>
            </w:r>
          </w:p>
        </w:tc>
        <w:tc>
          <w:tcPr>
            <w:tcW w:w="1553" w:type="dxa"/>
            <w:noWrap/>
            <w:hideMark/>
          </w:tcPr>
          <w:p w:rsidRPr="007C6F1E" w:rsidR="00DA7B03" w:rsidP="009078B4" w14:paraId="39E6043D"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981</w:t>
            </w:r>
          </w:p>
        </w:tc>
        <w:tc>
          <w:tcPr>
            <w:tcW w:w="740" w:type="dxa"/>
            <w:noWrap/>
            <w:hideMark/>
          </w:tcPr>
          <w:p w:rsidRPr="007C6F1E" w:rsidR="00DA7B03" w:rsidP="009078B4" w14:paraId="483D5F0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50</w:t>
            </w:r>
          </w:p>
        </w:tc>
        <w:tc>
          <w:tcPr>
            <w:tcW w:w="851" w:type="dxa"/>
            <w:noWrap/>
            <w:hideMark/>
          </w:tcPr>
          <w:p w:rsidRPr="007C6F1E" w:rsidR="00DA7B03" w:rsidP="009078B4" w14:paraId="7573FC63"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4</w:t>
            </w:r>
          </w:p>
        </w:tc>
      </w:tr>
      <w:tr w:rsidTr="009078B4" w14:paraId="06C927BC" w14:textId="77777777">
        <w:tblPrEx>
          <w:tblW w:w="7650" w:type="dxa"/>
          <w:tblLook w:val="04A0"/>
        </w:tblPrEx>
        <w:trPr>
          <w:trHeight w:val="320"/>
        </w:trPr>
        <w:tc>
          <w:tcPr>
            <w:tcW w:w="885" w:type="dxa"/>
            <w:noWrap/>
            <w:hideMark/>
          </w:tcPr>
          <w:p w:rsidRPr="007C6F1E" w:rsidR="00DA7B03" w:rsidP="009078B4" w14:paraId="7405324C"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2024</w:t>
            </w:r>
          </w:p>
        </w:tc>
        <w:tc>
          <w:tcPr>
            <w:tcW w:w="1005" w:type="dxa"/>
            <w:noWrap/>
            <w:hideMark/>
          </w:tcPr>
          <w:p w:rsidRPr="007C6F1E" w:rsidR="00DA7B03" w:rsidP="009078B4" w14:paraId="0667886C"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4</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813</w:t>
            </w:r>
          </w:p>
        </w:tc>
        <w:tc>
          <w:tcPr>
            <w:tcW w:w="1161" w:type="dxa"/>
            <w:noWrap/>
            <w:hideMark/>
          </w:tcPr>
          <w:p w:rsidRPr="007C6F1E" w:rsidR="00DA7B03" w:rsidP="009078B4" w14:paraId="4CE93F9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46</w:t>
            </w:r>
          </w:p>
        </w:tc>
        <w:tc>
          <w:tcPr>
            <w:tcW w:w="1455" w:type="dxa"/>
            <w:noWrap/>
            <w:hideMark/>
          </w:tcPr>
          <w:p w:rsidRPr="007C6F1E" w:rsidR="00DA7B03" w:rsidP="009078B4" w14:paraId="2B3A8CE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701</w:t>
            </w:r>
          </w:p>
        </w:tc>
        <w:tc>
          <w:tcPr>
            <w:tcW w:w="1553" w:type="dxa"/>
            <w:noWrap/>
            <w:hideMark/>
          </w:tcPr>
          <w:p w:rsidRPr="007C6F1E" w:rsidR="00DA7B03" w:rsidP="009078B4" w14:paraId="003D5BF5"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791</w:t>
            </w:r>
          </w:p>
        </w:tc>
        <w:tc>
          <w:tcPr>
            <w:tcW w:w="740" w:type="dxa"/>
            <w:noWrap/>
            <w:hideMark/>
          </w:tcPr>
          <w:p w:rsidRPr="007C6F1E" w:rsidR="00DA7B03" w:rsidP="009078B4" w14:paraId="4CFD8325"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010</w:t>
            </w:r>
          </w:p>
        </w:tc>
        <w:tc>
          <w:tcPr>
            <w:tcW w:w="851" w:type="dxa"/>
            <w:noWrap/>
            <w:hideMark/>
          </w:tcPr>
          <w:p w:rsidRPr="007C6F1E" w:rsidR="00DA7B03" w:rsidP="009078B4" w14:paraId="349D04AD"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6</w:t>
            </w:r>
          </w:p>
        </w:tc>
      </w:tr>
      <w:tr w:rsidTr="009078B4" w14:paraId="2621C981" w14:textId="77777777">
        <w:tblPrEx>
          <w:tblW w:w="7650" w:type="dxa"/>
          <w:tblLook w:val="04A0"/>
        </w:tblPrEx>
        <w:trPr>
          <w:trHeight w:val="320"/>
        </w:trPr>
        <w:tc>
          <w:tcPr>
            <w:tcW w:w="885" w:type="dxa"/>
            <w:noWrap/>
            <w:hideMark/>
          </w:tcPr>
          <w:p w:rsidRPr="007C6F1E" w:rsidR="00DA7B03" w:rsidP="009078B4" w14:paraId="6E060454"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2025</w:t>
            </w:r>
          </w:p>
        </w:tc>
        <w:tc>
          <w:tcPr>
            <w:tcW w:w="1005" w:type="dxa"/>
            <w:noWrap/>
            <w:hideMark/>
          </w:tcPr>
          <w:p w:rsidRPr="007C6F1E" w:rsidR="00DA7B03" w:rsidP="009078B4" w14:paraId="77E0EAB8"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5</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174</w:t>
            </w:r>
          </w:p>
        </w:tc>
        <w:tc>
          <w:tcPr>
            <w:tcW w:w="1161" w:type="dxa"/>
            <w:noWrap/>
            <w:hideMark/>
          </w:tcPr>
          <w:p w:rsidRPr="007C6F1E" w:rsidR="00DA7B03" w:rsidP="009078B4" w14:paraId="0A999DBE"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22</w:t>
            </w:r>
          </w:p>
        </w:tc>
        <w:tc>
          <w:tcPr>
            <w:tcW w:w="1455" w:type="dxa"/>
            <w:noWrap/>
            <w:hideMark/>
          </w:tcPr>
          <w:p w:rsidRPr="007C6F1E" w:rsidR="00DA7B03" w:rsidP="009078B4" w14:paraId="4245301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730</w:t>
            </w:r>
          </w:p>
        </w:tc>
        <w:tc>
          <w:tcPr>
            <w:tcW w:w="1553" w:type="dxa"/>
            <w:noWrap/>
            <w:hideMark/>
          </w:tcPr>
          <w:p w:rsidRPr="007C6F1E" w:rsidR="00DA7B03" w:rsidP="009078B4" w14:paraId="73534A7B"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w:t>
            </w:r>
            <w:r>
              <w:rPr>
                <w:rFonts w:ascii="Aptos Narrow" w:hAnsi="Aptos Narrow" w:eastAsia="Times New Roman" w:cs="Times New Roman"/>
                <w:kern w:val="0"/>
                <w:lang w:eastAsia="nl-NL"/>
                <w14:ligatures w14:val="none"/>
              </w:rPr>
              <w:t>.</w:t>
            </w:r>
            <w:r w:rsidRPr="007C6F1E">
              <w:rPr>
                <w:rFonts w:ascii="Aptos Narrow" w:hAnsi="Aptos Narrow" w:eastAsia="Times New Roman" w:cs="Times New Roman"/>
                <w:kern w:val="0"/>
                <w:lang w:eastAsia="nl-NL"/>
                <w14:ligatures w14:val="none"/>
              </w:rPr>
              <w:t>426</w:t>
            </w:r>
          </w:p>
        </w:tc>
        <w:tc>
          <w:tcPr>
            <w:tcW w:w="740" w:type="dxa"/>
            <w:noWrap/>
            <w:hideMark/>
          </w:tcPr>
          <w:p w:rsidRPr="007C6F1E" w:rsidR="00DA7B03" w:rsidP="009078B4" w14:paraId="5D5D463F"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176</w:t>
            </w:r>
          </w:p>
        </w:tc>
        <w:tc>
          <w:tcPr>
            <w:tcW w:w="851" w:type="dxa"/>
            <w:noWrap/>
            <w:hideMark/>
          </w:tcPr>
          <w:p w:rsidRPr="007C6F1E" w:rsidR="00DA7B03" w:rsidP="009078B4" w14:paraId="5E5CB893" w14:textId="77777777">
            <w:pPr>
              <w:jc w:val="right"/>
              <w:rPr>
                <w:rFonts w:ascii="Aptos Narrow" w:hAnsi="Aptos Narrow" w:eastAsia="Times New Roman" w:cs="Times New Roman"/>
                <w:kern w:val="0"/>
                <w:lang w:eastAsia="nl-NL"/>
                <w14:ligatures w14:val="none"/>
              </w:rPr>
            </w:pPr>
            <w:r w:rsidRPr="007C6F1E">
              <w:rPr>
                <w:rFonts w:ascii="Aptos Narrow" w:hAnsi="Aptos Narrow" w:eastAsia="Times New Roman" w:cs="Times New Roman"/>
                <w:kern w:val="0"/>
                <w:lang w:eastAsia="nl-NL"/>
                <w14:ligatures w14:val="none"/>
              </w:rPr>
              <w:t>3</w:t>
            </w:r>
          </w:p>
        </w:tc>
      </w:tr>
    </w:tbl>
    <w:p w:rsidR="00DA7B03" w14:paraId="793C1521"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82F" w14:paraId="735EEA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6D9" w14:paraId="0315D23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82F" w14:paraId="6ECD60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1B1" w14:paraId="175B1978" w14:textId="77777777">
      <w:pPr>
        <w:spacing w:line="240" w:lineRule="auto"/>
      </w:pPr>
      <w:r>
        <w:separator/>
      </w:r>
    </w:p>
  </w:footnote>
  <w:footnote w:type="continuationSeparator" w:id="1">
    <w:p w:rsidR="003201B1" w14:paraId="4535CC2B" w14:textId="77777777">
      <w:pPr>
        <w:spacing w:line="240" w:lineRule="auto"/>
      </w:pPr>
      <w:r>
        <w:continuationSeparator/>
      </w:r>
    </w:p>
  </w:footnote>
  <w:footnote w:id="2">
    <w:p w:rsidR="0097659B" w:rsidRPr="0097659B" w14:paraId="584E1ECE" w14:textId="77777777">
      <w:pPr>
        <w:pStyle w:val="FootnoteText"/>
        <w:rPr>
          <w:sz w:val="16"/>
          <w:szCs w:val="16"/>
        </w:rPr>
      </w:pPr>
      <w:r>
        <w:rPr>
          <w:rStyle w:val="FootnoteReference"/>
        </w:rPr>
        <w:footnoteRef/>
      </w:r>
      <w:r>
        <w:t xml:space="preserve"> </w:t>
      </w:r>
      <w:r w:rsidRPr="0097659B">
        <w:rPr>
          <w:sz w:val="16"/>
          <w:szCs w:val="16"/>
        </w:rPr>
        <w:t>TK 2024-2025, 32847, nr. 1369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82F" w14:paraId="596B1E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6D9" w14:paraId="111DA93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946D9" w14:textId="77777777">
                          <w:pPr>
                            <w:pStyle w:val="Referentiegegevensbold"/>
                          </w:pPr>
                          <w:r>
                            <w:t>Directoraat-Generaal Volkshuisvesting en Bouwen</w:t>
                          </w:r>
                        </w:p>
                        <w:p w:rsidR="007946D9" w14:textId="77777777">
                          <w:pPr>
                            <w:pStyle w:val="WitregelW2"/>
                          </w:pPr>
                        </w:p>
                        <w:p w:rsidR="007946D9" w14:textId="77777777">
                          <w:pPr>
                            <w:pStyle w:val="WitregelW1"/>
                          </w:pPr>
                        </w:p>
                        <w:p w:rsidR="007946D9" w14:textId="77777777">
                          <w:pPr>
                            <w:pStyle w:val="Referentiegegevensbold"/>
                          </w:pPr>
                          <w:r>
                            <w:t>Onze referentie</w:t>
                          </w:r>
                        </w:p>
                        <w:p w:rsidR="003F1EB3" w14:textId="4F3E5F92">
                          <w:pPr>
                            <w:pStyle w:val="Referentiegegevens"/>
                          </w:pPr>
                          <w:r>
                            <w:fldChar w:fldCharType="begin"/>
                          </w:r>
                          <w:r>
                            <w:instrText xml:space="preserve"> DOCPROPERTY  "Kenmerk"  \* MERGEFORMAT </w:instrText>
                          </w:r>
                          <w:r>
                            <w:fldChar w:fldCharType="separate"/>
                          </w:r>
                          <w:r w:rsidR="00E104C7">
                            <w:t>2026-0000300757</w:t>
                          </w:r>
                          <w:r w:rsidR="00E104C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946D9" w14:paraId="5AD9E442" w14:textId="77777777">
                    <w:pPr>
                      <w:pStyle w:val="Referentiegegevensbold"/>
                    </w:pPr>
                    <w:r>
                      <w:t>Directoraat-Generaal Volkshuisvesting en Bouwen</w:t>
                    </w:r>
                  </w:p>
                  <w:p w:rsidR="007946D9" w14:paraId="7416AF7C" w14:textId="77777777">
                    <w:pPr>
                      <w:pStyle w:val="WitregelW2"/>
                    </w:pPr>
                  </w:p>
                  <w:p w:rsidR="007946D9" w14:paraId="25571D63" w14:textId="77777777">
                    <w:pPr>
                      <w:pStyle w:val="WitregelW1"/>
                    </w:pPr>
                  </w:p>
                  <w:p w:rsidR="007946D9" w14:paraId="1A0F23D4" w14:textId="77777777">
                    <w:pPr>
                      <w:pStyle w:val="Referentiegegevensbold"/>
                    </w:pPr>
                    <w:r>
                      <w:t>Onze referentie</w:t>
                    </w:r>
                  </w:p>
                  <w:p w:rsidR="003F1EB3" w14:paraId="51DE2CB8" w14:textId="4F3E5F92">
                    <w:pPr>
                      <w:pStyle w:val="Referentiegegevens"/>
                    </w:pPr>
                    <w:r>
                      <w:fldChar w:fldCharType="begin"/>
                    </w:r>
                    <w:r>
                      <w:instrText xml:space="preserve"> DOCPROPERTY  "Kenmerk"  \* MERGEFORMAT </w:instrText>
                    </w:r>
                    <w:r>
                      <w:fldChar w:fldCharType="separate"/>
                    </w:r>
                    <w:r w:rsidR="00E104C7">
                      <w:t>2026-0000300757</w:t>
                    </w:r>
                    <w:r w:rsidR="00E104C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E7A5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E7A59" w14:paraId="1B2C8ED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F1E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F1EB3" w14:paraId="6555A5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6D9" w14:paraId="246C111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946D9" w14:textId="77777777">
                          <w:r>
                            <w:t>Aan de voorzitter van de Tweede Kamer der Staten-Generaal</w:t>
                          </w:r>
                        </w:p>
                        <w:p w:rsidR="007946D9" w14:textId="77777777">
                          <w:r>
                            <w:t>Postbus 20018</w:t>
                          </w:r>
                        </w:p>
                        <w:p w:rsidR="007946D9"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946D9" w14:paraId="7B9245D5" w14:textId="77777777">
                    <w:r>
                      <w:t>Aan de voorzitter van de Tweede Kamer der Staten-Generaal</w:t>
                    </w:r>
                  </w:p>
                  <w:p w:rsidR="007946D9" w14:paraId="358DF697" w14:textId="77777777">
                    <w:r>
                      <w:t>Postbus 20018</w:t>
                    </w:r>
                  </w:p>
                  <w:p w:rsidR="007946D9" w14:paraId="2239BC3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203E25CE" w14:textId="77777777">
                            <w:tblPrEx>
                              <w:tblW w:w="0" w:type="auto"/>
                              <w:tblInd w:w="-120" w:type="dxa"/>
                              <w:tblLayout w:type="fixed"/>
                              <w:tblLook w:val="07E0"/>
                            </w:tblPrEx>
                            <w:trPr>
                              <w:trHeight w:val="240"/>
                            </w:trPr>
                            <w:tc>
                              <w:tcPr>
                                <w:tcW w:w="1140" w:type="dxa"/>
                              </w:tcPr>
                              <w:p w:rsidR="007946D9" w14:textId="77777777">
                                <w:r>
                                  <w:t>Datum</w:t>
                                </w:r>
                              </w:p>
                            </w:tc>
                            <w:tc>
                              <w:tcPr>
                                <w:tcW w:w="5918" w:type="dxa"/>
                              </w:tcPr>
                              <w:p w:rsidR="00092B64" w14:textId="77777777">
                                <w:r>
                                  <w:t>8 juli 2026</w:t>
                                </w:r>
                              </w:p>
                            </w:tc>
                          </w:tr>
                          <w:tr w14:paraId="7249333B" w14:textId="77777777">
                            <w:tblPrEx>
                              <w:tblW w:w="0" w:type="auto"/>
                              <w:tblInd w:w="-120" w:type="dxa"/>
                              <w:tblLayout w:type="fixed"/>
                              <w:tblLook w:val="07E0"/>
                            </w:tblPrEx>
                            <w:trPr>
                              <w:trHeight w:val="240"/>
                            </w:trPr>
                            <w:tc>
                              <w:tcPr>
                                <w:tcW w:w="1140" w:type="dxa"/>
                              </w:tcPr>
                              <w:p w:rsidR="007946D9" w14:textId="77777777">
                                <w:r>
                                  <w:t>Betreft</w:t>
                                </w:r>
                              </w:p>
                            </w:tc>
                            <w:tc>
                              <w:tcPr>
                                <w:tcW w:w="5918" w:type="dxa"/>
                              </w:tcPr>
                              <w:p w:rsidR="003F1EB3" w14:textId="46273405">
                                <w:r>
                                  <w:fldChar w:fldCharType="begin"/>
                                </w:r>
                                <w:r>
                                  <w:instrText xml:space="preserve"> DOCPROPERTY  "Onderwerp"  \* MERGEFORMAT </w:instrText>
                                </w:r>
                                <w:r>
                                  <w:fldChar w:fldCharType="separate"/>
                                </w:r>
                                <w:r w:rsidR="00E104C7">
                                  <w:t>vereenvoudiging verkoopregels woningcorporaties</w:t>
                                </w:r>
                                <w:r w:rsidR="00E104C7">
                                  <w:fldChar w:fldCharType="end"/>
                                </w:r>
                              </w:p>
                            </w:tc>
                          </w:tr>
                        </w:tbl>
                        <w:p w:rsidR="001E7A59"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03E25CD" w14:textId="77777777">
                      <w:tblPrEx>
                        <w:tblW w:w="0" w:type="auto"/>
                        <w:tblInd w:w="-120" w:type="dxa"/>
                        <w:tblLayout w:type="fixed"/>
                        <w:tblLook w:val="07E0"/>
                      </w:tblPrEx>
                      <w:trPr>
                        <w:trHeight w:val="240"/>
                      </w:trPr>
                      <w:tc>
                        <w:tcPr>
                          <w:tcW w:w="1140" w:type="dxa"/>
                        </w:tcPr>
                        <w:p w:rsidR="007946D9" w14:paraId="6083EC2E" w14:textId="77777777">
                          <w:r>
                            <w:t>Datum</w:t>
                          </w:r>
                        </w:p>
                      </w:tc>
                      <w:tc>
                        <w:tcPr>
                          <w:tcW w:w="5918" w:type="dxa"/>
                        </w:tcPr>
                        <w:p w:rsidR="00092B64" w14:paraId="40087A07" w14:textId="77777777">
                          <w:r>
                            <w:t>8 juli 2026</w:t>
                          </w:r>
                        </w:p>
                      </w:tc>
                    </w:tr>
                    <w:tr w14:paraId="7249333A" w14:textId="77777777">
                      <w:tblPrEx>
                        <w:tblW w:w="0" w:type="auto"/>
                        <w:tblInd w:w="-120" w:type="dxa"/>
                        <w:tblLayout w:type="fixed"/>
                        <w:tblLook w:val="07E0"/>
                      </w:tblPrEx>
                      <w:trPr>
                        <w:trHeight w:val="240"/>
                      </w:trPr>
                      <w:tc>
                        <w:tcPr>
                          <w:tcW w:w="1140" w:type="dxa"/>
                        </w:tcPr>
                        <w:p w:rsidR="007946D9" w14:paraId="0B3CF95A" w14:textId="77777777">
                          <w:r>
                            <w:t>Betreft</w:t>
                          </w:r>
                        </w:p>
                      </w:tc>
                      <w:tc>
                        <w:tcPr>
                          <w:tcW w:w="5918" w:type="dxa"/>
                        </w:tcPr>
                        <w:p w:rsidR="003F1EB3" w14:paraId="3D3696EF" w14:textId="46273405">
                          <w:r>
                            <w:fldChar w:fldCharType="begin"/>
                          </w:r>
                          <w:r>
                            <w:instrText xml:space="preserve"> DOCPROPERTY  "Onderwerp"  \* MERGEFORMAT </w:instrText>
                          </w:r>
                          <w:r>
                            <w:fldChar w:fldCharType="separate"/>
                          </w:r>
                          <w:r w:rsidR="00E104C7">
                            <w:t>vereenvoudiging verkoopregels woningcorporaties</w:t>
                          </w:r>
                          <w:r w:rsidR="00E104C7">
                            <w:fldChar w:fldCharType="end"/>
                          </w:r>
                        </w:p>
                      </w:tc>
                    </w:tr>
                  </w:tbl>
                  <w:p w:rsidR="001E7A59" w14:paraId="7D3F213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946D9" w14:textId="77777777">
                          <w:pPr>
                            <w:pStyle w:val="Referentiegegevensbold"/>
                          </w:pPr>
                          <w:r>
                            <w:t>Directoraat-Generaal Volkshuisvesting en Bouwen</w:t>
                          </w:r>
                        </w:p>
                        <w:p w:rsidR="007946D9" w14:textId="77777777">
                          <w:pPr>
                            <w:pStyle w:val="WitregelW1"/>
                          </w:pPr>
                        </w:p>
                        <w:p w:rsidR="007946D9" w14:textId="77777777">
                          <w:pPr>
                            <w:pStyle w:val="Referentiegegevens"/>
                          </w:pPr>
                          <w:r>
                            <w:t>Turfmarkt 147</w:t>
                          </w:r>
                        </w:p>
                        <w:p w:rsidR="007946D9" w14:textId="77777777">
                          <w:pPr>
                            <w:pStyle w:val="Referentiegegevens"/>
                          </w:pPr>
                          <w:r>
                            <w:t>2511 DP Den Haag</w:t>
                          </w:r>
                        </w:p>
                        <w:p w:rsidR="007946D9" w14:textId="77777777">
                          <w:pPr>
                            <w:pStyle w:val="Referentiegegevens"/>
                          </w:pPr>
                          <w:r>
                            <w:t>Postbus 20011</w:t>
                          </w:r>
                        </w:p>
                        <w:p w:rsidR="007946D9" w14:textId="77777777">
                          <w:pPr>
                            <w:pStyle w:val="Referentiegegevens"/>
                          </w:pPr>
                          <w:r>
                            <w:t>2500 EA  Den Haag</w:t>
                          </w:r>
                        </w:p>
                        <w:p w:rsidR="007946D9" w14:textId="77777777">
                          <w:pPr>
                            <w:pStyle w:val="WitregelW2"/>
                          </w:pPr>
                        </w:p>
                        <w:p w:rsidR="007946D9" w14:textId="77777777">
                          <w:pPr>
                            <w:pStyle w:val="Referentiegegevensbold"/>
                          </w:pPr>
                          <w:r>
                            <w:t>Onze referentie</w:t>
                          </w:r>
                        </w:p>
                        <w:p w:rsidR="003F1EB3" w14:textId="447FD8A5">
                          <w:pPr>
                            <w:pStyle w:val="Referentiegegevens"/>
                          </w:pPr>
                          <w:r>
                            <w:fldChar w:fldCharType="begin"/>
                          </w:r>
                          <w:r>
                            <w:instrText xml:space="preserve"> DOCPROPERTY  "Kenmerk"  \* MERGEFORMAT </w:instrText>
                          </w:r>
                          <w:r>
                            <w:fldChar w:fldCharType="separate"/>
                          </w:r>
                          <w:r w:rsidR="00E104C7">
                            <w:t>2026-0000300757</w:t>
                          </w:r>
                          <w:r w:rsidR="00E104C7">
                            <w:fldChar w:fldCharType="end"/>
                          </w:r>
                        </w:p>
                        <w:p w:rsidR="007946D9" w14:textId="77777777">
                          <w:pPr>
                            <w:pStyle w:val="WitregelW1"/>
                          </w:pPr>
                        </w:p>
                        <w:p w:rsidR="007946D9" w14:textId="77777777">
                          <w:pPr>
                            <w:pStyle w:val="Referentiegegevensbold"/>
                          </w:pPr>
                          <w:r>
                            <w:t>Bijlage(n)</w:t>
                          </w:r>
                        </w:p>
                        <w:p w:rsidR="007946D9" w14:textId="77777777">
                          <w:pPr>
                            <w:pStyle w:val="Referentiegegevens"/>
                          </w:pPr>
                          <w:r>
                            <w:t>0</w:t>
                          </w:r>
                        </w:p>
                        <w:p w:rsidR="007946D9" w14:textId="77777777">
                          <w:pPr>
                            <w:pStyle w:val="WitregelW2"/>
                          </w:pPr>
                        </w:p>
                        <w:p w:rsidR="007946D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946D9" w14:paraId="0688E376" w14:textId="77777777">
                    <w:pPr>
                      <w:pStyle w:val="Referentiegegevensbold"/>
                    </w:pPr>
                    <w:r>
                      <w:t>Directoraat-Generaal Volkshuisvesting en Bouwen</w:t>
                    </w:r>
                  </w:p>
                  <w:p w:rsidR="007946D9" w14:paraId="4C8AD05A" w14:textId="77777777">
                    <w:pPr>
                      <w:pStyle w:val="WitregelW1"/>
                    </w:pPr>
                  </w:p>
                  <w:p w:rsidR="007946D9" w14:paraId="0467E62A" w14:textId="77777777">
                    <w:pPr>
                      <w:pStyle w:val="Referentiegegevens"/>
                    </w:pPr>
                    <w:r>
                      <w:t>Turfmarkt 147</w:t>
                    </w:r>
                  </w:p>
                  <w:p w:rsidR="007946D9" w14:paraId="20F58817" w14:textId="77777777">
                    <w:pPr>
                      <w:pStyle w:val="Referentiegegevens"/>
                    </w:pPr>
                    <w:r>
                      <w:t>2511 DP Den Haag</w:t>
                    </w:r>
                  </w:p>
                  <w:p w:rsidR="007946D9" w14:paraId="0672A1FE" w14:textId="77777777">
                    <w:pPr>
                      <w:pStyle w:val="Referentiegegevens"/>
                    </w:pPr>
                    <w:r>
                      <w:t>Postbus 20011</w:t>
                    </w:r>
                  </w:p>
                  <w:p w:rsidR="007946D9" w14:paraId="76BD3342" w14:textId="77777777">
                    <w:pPr>
                      <w:pStyle w:val="Referentiegegevens"/>
                    </w:pPr>
                    <w:r>
                      <w:t>2500 EA  Den Haag</w:t>
                    </w:r>
                  </w:p>
                  <w:p w:rsidR="007946D9" w14:paraId="53646EB3" w14:textId="77777777">
                    <w:pPr>
                      <w:pStyle w:val="WitregelW2"/>
                    </w:pPr>
                  </w:p>
                  <w:p w:rsidR="007946D9" w14:paraId="4EF7AF74" w14:textId="77777777">
                    <w:pPr>
                      <w:pStyle w:val="Referentiegegevensbold"/>
                    </w:pPr>
                    <w:r>
                      <w:t>Onze referentie</w:t>
                    </w:r>
                  </w:p>
                  <w:p w:rsidR="003F1EB3" w14:paraId="0F12DA99" w14:textId="447FD8A5">
                    <w:pPr>
                      <w:pStyle w:val="Referentiegegevens"/>
                    </w:pPr>
                    <w:r>
                      <w:fldChar w:fldCharType="begin"/>
                    </w:r>
                    <w:r>
                      <w:instrText xml:space="preserve"> DOCPROPERTY  "Kenmerk"  \* MERGEFORMAT </w:instrText>
                    </w:r>
                    <w:r>
                      <w:fldChar w:fldCharType="separate"/>
                    </w:r>
                    <w:r w:rsidR="00E104C7">
                      <w:t>2026-0000300757</w:t>
                    </w:r>
                    <w:r w:rsidR="00E104C7">
                      <w:fldChar w:fldCharType="end"/>
                    </w:r>
                  </w:p>
                  <w:p w:rsidR="007946D9" w14:paraId="6158D0CF" w14:textId="77777777">
                    <w:pPr>
                      <w:pStyle w:val="WitregelW1"/>
                    </w:pPr>
                  </w:p>
                  <w:p w:rsidR="007946D9" w14:paraId="274F7C01" w14:textId="77777777">
                    <w:pPr>
                      <w:pStyle w:val="Referentiegegevensbold"/>
                    </w:pPr>
                    <w:r>
                      <w:t>Bijlage(n)</w:t>
                    </w:r>
                  </w:p>
                  <w:p w:rsidR="007946D9" w14:paraId="2F54EDEF" w14:textId="77777777">
                    <w:pPr>
                      <w:pStyle w:val="Referentiegegevens"/>
                    </w:pPr>
                    <w:r>
                      <w:t>0</w:t>
                    </w:r>
                  </w:p>
                  <w:p w:rsidR="007946D9" w14:paraId="6838ACCF" w14:textId="77777777">
                    <w:pPr>
                      <w:pStyle w:val="WitregelW2"/>
                    </w:pPr>
                  </w:p>
                  <w:p w:rsidR="007946D9" w14:paraId="614A69D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E7A5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E7A59" w14:paraId="0758501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F1E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F1EB3" w14:paraId="6F531AC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946D9" w14:textId="77777777">
                          <w:pPr>
                            <w:spacing w:line="240" w:lineRule="auto"/>
                          </w:pPr>
                          <w:r>
                            <w:rPr>
                              <w:noProof/>
                            </w:rPr>
                            <w:drawing>
                              <wp:inline distT="0" distB="0" distL="0" distR="0">
                                <wp:extent cx="467995" cy="1583865"/>
                                <wp:effectExtent l="0" t="0" r="0" b="0"/>
                                <wp:docPr id="173134505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3134505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946D9" w14:paraId="0F98FB1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946D9" w14:textId="77777777">
                          <w:pPr>
                            <w:spacing w:line="240" w:lineRule="auto"/>
                          </w:pPr>
                          <w:r>
                            <w:rPr>
                              <w:noProof/>
                            </w:rPr>
                            <w:drawing>
                              <wp:inline distT="0" distB="0" distL="0" distR="0">
                                <wp:extent cx="2339975" cy="1582834"/>
                                <wp:effectExtent l="0" t="0" r="0" b="0"/>
                                <wp:docPr id="203996632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3996632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946D9" w14:paraId="459EDE7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46D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946D9" w14:paraId="2FE75B5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1EE8DF"/>
    <w:multiLevelType w:val="multilevel"/>
    <w:tmpl w:val="BE7A90F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D0E9ADB"/>
    <w:multiLevelType w:val="multilevel"/>
    <w:tmpl w:val="BFA5FE6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E7B6E17"/>
    <w:multiLevelType w:val="multilevel"/>
    <w:tmpl w:val="8376051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6D39119"/>
    <w:multiLevelType w:val="multilevel"/>
    <w:tmpl w:val="33DC7D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9229212">
    <w:abstractNumId w:val="1"/>
  </w:num>
  <w:num w:numId="2" w16cid:durableId="121507931">
    <w:abstractNumId w:val="3"/>
  </w:num>
  <w:num w:numId="3" w16cid:durableId="993531764">
    <w:abstractNumId w:val="0"/>
  </w:num>
  <w:num w:numId="4" w16cid:durableId="1844003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D9"/>
    <w:rsid w:val="000129CA"/>
    <w:rsid w:val="00021D55"/>
    <w:rsid w:val="000259A7"/>
    <w:rsid w:val="00040A0F"/>
    <w:rsid w:val="000522DC"/>
    <w:rsid w:val="00092B64"/>
    <w:rsid w:val="000A6F01"/>
    <w:rsid w:val="000A71B9"/>
    <w:rsid w:val="000E472B"/>
    <w:rsid w:val="00112998"/>
    <w:rsid w:val="00117847"/>
    <w:rsid w:val="001332A8"/>
    <w:rsid w:val="001508D1"/>
    <w:rsid w:val="001664AF"/>
    <w:rsid w:val="00182F9F"/>
    <w:rsid w:val="0019282F"/>
    <w:rsid w:val="001B1C36"/>
    <w:rsid w:val="001B2B7A"/>
    <w:rsid w:val="001C18CC"/>
    <w:rsid w:val="001C600B"/>
    <w:rsid w:val="001D4160"/>
    <w:rsid w:val="001E7A59"/>
    <w:rsid w:val="001F161B"/>
    <w:rsid w:val="002166EE"/>
    <w:rsid w:val="00220FBF"/>
    <w:rsid w:val="00241F53"/>
    <w:rsid w:val="002445A6"/>
    <w:rsid w:val="00264C21"/>
    <w:rsid w:val="00280DFC"/>
    <w:rsid w:val="00281ACA"/>
    <w:rsid w:val="00284B88"/>
    <w:rsid w:val="002866F1"/>
    <w:rsid w:val="002B59A2"/>
    <w:rsid w:val="002C0151"/>
    <w:rsid w:val="002C0D8E"/>
    <w:rsid w:val="002D76CB"/>
    <w:rsid w:val="002E04D4"/>
    <w:rsid w:val="002F2CA4"/>
    <w:rsid w:val="003201B1"/>
    <w:rsid w:val="003401E6"/>
    <w:rsid w:val="0034279A"/>
    <w:rsid w:val="003439E9"/>
    <w:rsid w:val="00352AE2"/>
    <w:rsid w:val="00353CA9"/>
    <w:rsid w:val="003544EB"/>
    <w:rsid w:val="00366821"/>
    <w:rsid w:val="00367674"/>
    <w:rsid w:val="003708B8"/>
    <w:rsid w:val="00386BC1"/>
    <w:rsid w:val="00393203"/>
    <w:rsid w:val="00396655"/>
    <w:rsid w:val="003A3C05"/>
    <w:rsid w:val="003C00B4"/>
    <w:rsid w:val="003D436E"/>
    <w:rsid w:val="003D5A57"/>
    <w:rsid w:val="003E459E"/>
    <w:rsid w:val="003F1EB3"/>
    <w:rsid w:val="003F3E65"/>
    <w:rsid w:val="004340E7"/>
    <w:rsid w:val="0044736B"/>
    <w:rsid w:val="00473FC6"/>
    <w:rsid w:val="00491F0C"/>
    <w:rsid w:val="004979E6"/>
    <w:rsid w:val="004B415E"/>
    <w:rsid w:val="004C2299"/>
    <w:rsid w:val="004C2C43"/>
    <w:rsid w:val="004E640C"/>
    <w:rsid w:val="004E6476"/>
    <w:rsid w:val="004E6D20"/>
    <w:rsid w:val="00513D2F"/>
    <w:rsid w:val="00567526"/>
    <w:rsid w:val="00572BB8"/>
    <w:rsid w:val="005778F9"/>
    <w:rsid w:val="005835A0"/>
    <w:rsid w:val="005853A2"/>
    <w:rsid w:val="005B4847"/>
    <w:rsid w:val="005C7A8A"/>
    <w:rsid w:val="005D21C3"/>
    <w:rsid w:val="006007BA"/>
    <w:rsid w:val="006059F8"/>
    <w:rsid w:val="00620B69"/>
    <w:rsid w:val="006225BC"/>
    <w:rsid w:val="0062326F"/>
    <w:rsid w:val="00630037"/>
    <w:rsid w:val="00633F20"/>
    <w:rsid w:val="0063544B"/>
    <w:rsid w:val="006541F5"/>
    <w:rsid w:val="0068553F"/>
    <w:rsid w:val="00697AC4"/>
    <w:rsid w:val="006B0DF7"/>
    <w:rsid w:val="006C2362"/>
    <w:rsid w:val="006C27A4"/>
    <w:rsid w:val="006E440E"/>
    <w:rsid w:val="006E60D9"/>
    <w:rsid w:val="006F3BD0"/>
    <w:rsid w:val="00711C37"/>
    <w:rsid w:val="00716D5F"/>
    <w:rsid w:val="0072265A"/>
    <w:rsid w:val="00754282"/>
    <w:rsid w:val="007778AC"/>
    <w:rsid w:val="00783478"/>
    <w:rsid w:val="007946D9"/>
    <w:rsid w:val="00794BB1"/>
    <w:rsid w:val="00795E62"/>
    <w:rsid w:val="007C57DD"/>
    <w:rsid w:val="007C6F1E"/>
    <w:rsid w:val="007D225A"/>
    <w:rsid w:val="00803808"/>
    <w:rsid w:val="008130E3"/>
    <w:rsid w:val="00813590"/>
    <w:rsid w:val="008229E6"/>
    <w:rsid w:val="008321A3"/>
    <w:rsid w:val="00866345"/>
    <w:rsid w:val="00873FCF"/>
    <w:rsid w:val="00885B3D"/>
    <w:rsid w:val="0089169C"/>
    <w:rsid w:val="00894143"/>
    <w:rsid w:val="008971F5"/>
    <w:rsid w:val="008C3958"/>
    <w:rsid w:val="008E444C"/>
    <w:rsid w:val="008E6CD2"/>
    <w:rsid w:val="008F36C0"/>
    <w:rsid w:val="009078B4"/>
    <w:rsid w:val="0091261C"/>
    <w:rsid w:val="00913D7F"/>
    <w:rsid w:val="009154A1"/>
    <w:rsid w:val="00927C02"/>
    <w:rsid w:val="009340F4"/>
    <w:rsid w:val="00947855"/>
    <w:rsid w:val="009543F0"/>
    <w:rsid w:val="0096634D"/>
    <w:rsid w:val="0097659B"/>
    <w:rsid w:val="0099292A"/>
    <w:rsid w:val="009D4BF9"/>
    <w:rsid w:val="009F1FA0"/>
    <w:rsid w:val="009F3471"/>
    <w:rsid w:val="009F72E4"/>
    <w:rsid w:val="00A430C9"/>
    <w:rsid w:val="00A62B46"/>
    <w:rsid w:val="00A7096E"/>
    <w:rsid w:val="00A83D82"/>
    <w:rsid w:val="00AC6F04"/>
    <w:rsid w:val="00AE42A9"/>
    <w:rsid w:val="00AF561D"/>
    <w:rsid w:val="00B11B6E"/>
    <w:rsid w:val="00B126D8"/>
    <w:rsid w:val="00B16F80"/>
    <w:rsid w:val="00B267C8"/>
    <w:rsid w:val="00B47C90"/>
    <w:rsid w:val="00B54BE0"/>
    <w:rsid w:val="00B67E56"/>
    <w:rsid w:val="00B7255A"/>
    <w:rsid w:val="00B7312C"/>
    <w:rsid w:val="00B80504"/>
    <w:rsid w:val="00B857F3"/>
    <w:rsid w:val="00BB3459"/>
    <w:rsid w:val="00BE0F2F"/>
    <w:rsid w:val="00C04F16"/>
    <w:rsid w:val="00C10E94"/>
    <w:rsid w:val="00C24013"/>
    <w:rsid w:val="00C33E5B"/>
    <w:rsid w:val="00C348DF"/>
    <w:rsid w:val="00C4788F"/>
    <w:rsid w:val="00C5526C"/>
    <w:rsid w:val="00C817DA"/>
    <w:rsid w:val="00C96D00"/>
    <w:rsid w:val="00CB1045"/>
    <w:rsid w:val="00CB6B77"/>
    <w:rsid w:val="00CB78AC"/>
    <w:rsid w:val="00CC27A2"/>
    <w:rsid w:val="00CC3205"/>
    <w:rsid w:val="00CD3C04"/>
    <w:rsid w:val="00CE6C72"/>
    <w:rsid w:val="00CF1B5D"/>
    <w:rsid w:val="00D4665F"/>
    <w:rsid w:val="00D672CD"/>
    <w:rsid w:val="00D70D1A"/>
    <w:rsid w:val="00DA1612"/>
    <w:rsid w:val="00DA7B03"/>
    <w:rsid w:val="00DB7601"/>
    <w:rsid w:val="00DC2700"/>
    <w:rsid w:val="00DC4630"/>
    <w:rsid w:val="00E104C7"/>
    <w:rsid w:val="00E16665"/>
    <w:rsid w:val="00E179CD"/>
    <w:rsid w:val="00E36AE6"/>
    <w:rsid w:val="00E46502"/>
    <w:rsid w:val="00E72F71"/>
    <w:rsid w:val="00E80668"/>
    <w:rsid w:val="00E85D8E"/>
    <w:rsid w:val="00E92938"/>
    <w:rsid w:val="00EA3D27"/>
    <w:rsid w:val="00EB3ABB"/>
    <w:rsid w:val="00EB3E1B"/>
    <w:rsid w:val="00F06BF9"/>
    <w:rsid w:val="00F16148"/>
    <w:rsid w:val="00F22C6F"/>
    <w:rsid w:val="00F37DF9"/>
    <w:rsid w:val="00F417F7"/>
    <w:rsid w:val="00F6727F"/>
    <w:rsid w:val="00F84B50"/>
    <w:rsid w:val="00F854E5"/>
    <w:rsid w:val="00FB6A88"/>
    <w:rsid w:val="00FC3592"/>
    <w:rsid w:val="00FF332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A2599F6"/>
  <w15:docId w15:val="{880F3833-07C5-43BB-841A-3824C446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3203"/>
    <w:pPr>
      <w:tabs>
        <w:tab w:val="center" w:pos="4536"/>
        <w:tab w:val="right" w:pos="9072"/>
      </w:tabs>
      <w:spacing w:line="240" w:lineRule="auto"/>
    </w:pPr>
  </w:style>
  <w:style w:type="character" w:customStyle="1" w:styleId="KoptekstChar">
    <w:name w:val="Koptekst Char"/>
    <w:basedOn w:val="DefaultParagraphFont"/>
    <w:link w:val="Header"/>
    <w:uiPriority w:val="99"/>
    <w:rsid w:val="00393203"/>
    <w:rPr>
      <w:rFonts w:ascii="Verdana" w:hAnsi="Verdana"/>
      <w:color w:val="000000"/>
      <w:sz w:val="18"/>
      <w:szCs w:val="18"/>
    </w:rPr>
  </w:style>
  <w:style w:type="paragraph" w:styleId="Footer">
    <w:name w:val="footer"/>
    <w:basedOn w:val="Normal"/>
    <w:link w:val="VoettekstChar"/>
    <w:uiPriority w:val="99"/>
    <w:unhideWhenUsed/>
    <w:rsid w:val="00393203"/>
    <w:pPr>
      <w:tabs>
        <w:tab w:val="center" w:pos="4536"/>
        <w:tab w:val="right" w:pos="9072"/>
      </w:tabs>
      <w:spacing w:line="240" w:lineRule="auto"/>
    </w:pPr>
  </w:style>
  <w:style w:type="character" w:customStyle="1" w:styleId="VoettekstChar">
    <w:name w:val="Voettekst Char"/>
    <w:basedOn w:val="DefaultParagraphFont"/>
    <w:link w:val="Footer"/>
    <w:uiPriority w:val="99"/>
    <w:rsid w:val="00393203"/>
    <w:rPr>
      <w:rFonts w:ascii="Verdana" w:hAnsi="Verdana"/>
      <w:color w:val="000000"/>
      <w:sz w:val="18"/>
      <w:szCs w:val="18"/>
    </w:rPr>
  </w:style>
  <w:style w:type="paragraph" w:styleId="FootnoteText">
    <w:name w:val="footnote text"/>
    <w:basedOn w:val="Normal"/>
    <w:link w:val="VoetnoottekstChar"/>
    <w:uiPriority w:val="99"/>
    <w:semiHidden/>
    <w:unhideWhenUsed/>
    <w:rsid w:val="0097659B"/>
    <w:pPr>
      <w:spacing w:line="240" w:lineRule="auto"/>
    </w:pPr>
    <w:rPr>
      <w:sz w:val="20"/>
      <w:szCs w:val="20"/>
    </w:rPr>
  </w:style>
  <w:style w:type="character" w:customStyle="1" w:styleId="VoetnoottekstChar">
    <w:name w:val="Voetnoottekst Char"/>
    <w:basedOn w:val="DefaultParagraphFont"/>
    <w:link w:val="FootnoteText"/>
    <w:uiPriority w:val="99"/>
    <w:semiHidden/>
    <w:rsid w:val="0097659B"/>
    <w:rPr>
      <w:rFonts w:ascii="Verdana" w:hAnsi="Verdana"/>
      <w:color w:val="000000"/>
    </w:rPr>
  </w:style>
  <w:style w:type="character" w:styleId="FootnoteReference">
    <w:name w:val="footnote reference"/>
    <w:basedOn w:val="DefaultParagraphFont"/>
    <w:uiPriority w:val="99"/>
    <w:semiHidden/>
    <w:unhideWhenUsed/>
    <w:rsid w:val="0097659B"/>
    <w:rPr>
      <w:vertAlign w:val="superscript"/>
    </w:rPr>
  </w:style>
  <w:style w:type="table" w:styleId="GridTable4Accent4">
    <w:name w:val="Grid Table 4 Accent 4"/>
    <w:basedOn w:val="TableNormal"/>
    <w:uiPriority w:val="49"/>
    <w:rsid w:val="00DA7B03"/>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Revision">
    <w:name w:val="Revision"/>
    <w:hidden/>
    <w:uiPriority w:val="99"/>
    <w:semiHidden/>
    <w:rsid w:val="004B415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B415E"/>
    <w:rPr>
      <w:sz w:val="16"/>
      <w:szCs w:val="16"/>
    </w:rPr>
  </w:style>
  <w:style w:type="paragraph" w:styleId="CommentText">
    <w:name w:val="annotation text"/>
    <w:basedOn w:val="Normal"/>
    <w:link w:val="TekstopmerkingChar"/>
    <w:uiPriority w:val="99"/>
    <w:unhideWhenUsed/>
    <w:rsid w:val="004B415E"/>
    <w:pPr>
      <w:spacing w:line="240" w:lineRule="auto"/>
    </w:pPr>
    <w:rPr>
      <w:sz w:val="20"/>
      <w:szCs w:val="20"/>
    </w:rPr>
  </w:style>
  <w:style w:type="character" w:customStyle="1" w:styleId="TekstopmerkingChar">
    <w:name w:val="Tekst opmerking Char"/>
    <w:basedOn w:val="DefaultParagraphFont"/>
    <w:link w:val="CommentText"/>
    <w:uiPriority w:val="99"/>
    <w:rsid w:val="004B415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B415E"/>
    <w:rPr>
      <w:b/>
      <w:bCs/>
    </w:rPr>
  </w:style>
  <w:style w:type="character" w:customStyle="1" w:styleId="OnderwerpvanopmerkingChar">
    <w:name w:val="Onderwerp van opmerking Char"/>
    <w:basedOn w:val="TekstopmerkingChar"/>
    <w:link w:val="CommentSubject"/>
    <w:uiPriority w:val="99"/>
    <w:semiHidden/>
    <w:rsid w:val="004B415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chart" Target="charts/chart1.xm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embeddings/OleObject1.bin"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25000"/>
            <a:lumOff val="7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none" spc="50" baseline="0">
                <a:solidFill>
                  <a:schemeClr val="tx1">
                    <a:lumMod val="65000"/>
                    <a:lumOff val="35000"/>
                  </a:schemeClr>
                </a:solidFill>
                <a:latin typeface="+mn-lt"/>
                <a:ea typeface="+mn-ea"/>
                <a:cs typeface="+mn-cs"/>
              </a:defRPr>
            </a:pPr>
            <a:r>
              <a:rPr lang="nl-NL" sz="1200" cap="none" baseline="0"/>
              <a:t>  Aantal verkochte woningen door woningcorporaties per jaar naar type koper</a:t>
            </a:r>
          </a:p>
        </c:rich>
      </c:tx>
      <c:layout>
        <c:manualLayout>
          <c:xMode val="edge"/>
          <c:yMode val="edge"/>
          <c:x val="0.11898538820055582"/>
          <c:y val="0.026809651474530832"/>
        </c:manualLayout>
      </c:layout>
      <c:overlay val="0"/>
      <c:spPr>
        <a:noFill/>
        <a:ln>
          <a:noFill/>
        </a:ln>
        <a:effectLst/>
      </c:spPr>
      <c:txPr>
        <a:bodyPr rot="0" spcFirstLastPara="1" vertOverflow="ellipsis" vert="horz" wrap="square" anchor="ctr" anchorCtr="1"/>
        <a:lstStyle/>
        <a:p>
          <a:pPr>
            <a:defRPr sz="1800" b="1" i="0" u="none" strike="noStrike" kern="1200" cap="none" spc="5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Tabel!$B$3</c:f>
              <c:strCache>
                <c:ptCount val="1"/>
                <c:pt idx="0">
                  <c:v>NP - Eigen gebruik</c:v>
                </c:pt>
              </c:strCache>
            </c:strRef>
          </c:tx>
          <c:spPr>
            <a:solidFill>
              <a:schemeClr val="accent1">
                <a:alpha val="70000"/>
              </a:schemeClr>
            </a:solidFill>
            <a:ln>
              <a:noFill/>
            </a:ln>
            <a:effectLst/>
          </c:spPr>
          <c:invertIfNegative val="0"/>
          <c:cat>
            <c:numRef>
              <c:f>Tabel!$A$4:$A$19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Tabel!$B$4:$B$19</c:f>
              <c:numCache>
                <c:formatCode>General</c:formatCode>
                <c:ptCount val="16"/>
                <c:pt idx="0">
                  <c:v>15804</c:v>
                </c:pt>
                <c:pt idx="1">
                  <c:v>15561</c:v>
                </c:pt>
                <c:pt idx="2">
                  <c:v>15612</c:v>
                </c:pt>
                <c:pt idx="3">
                  <c:v>16056</c:v>
                </c:pt>
                <c:pt idx="4">
                  <c:v>18791</c:v>
                </c:pt>
                <c:pt idx="5">
                  <c:v>17564</c:v>
                </c:pt>
                <c:pt idx="6">
                  <c:v>13293</c:v>
                </c:pt>
                <c:pt idx="7">
                  <c:v>10755</c:v>
                </c:pt>
                <c:pt idx="8">
                  <c:v>8957</c:v>
                </c:pt>
                <c:pt idx="9">
                  <c:v>8113</c:v>
                </c:pt>
                <c:pt idx="10">
                  <c:v>7035</c:v>
                </c:pt>
                <c:pt idx="11">
                  <c:v>7320</c:v>
                </c:pt>
                <c:pt idx="12">
                  <c:v>4851</c:v>
                </c:pt>
                <c:pt idx="13">
                  <c:v>5217</c:v>
                </c:pt>
                <c:pt idx="14">
                  <c:v>4813</c:v>
                </c:pt>
                <c:pt idx="15">
                  <c:v>5174</c:v>
                </c:pt>
              </c:numCache>
            </c:numRef>
          </c:val>
          <c:extLst>
            <c:ext xmlns:c16="http://schemas.microsoft.com/office/drawing/2014/chart" uri="{C3380CC4-5D6E-409C-BE32-E72D297353CC}">
              <c16:uniqueId val="{00000000-3390-42CF-B55A-5A3BD4F02334}"/>
            </c:ext>
          </c:extLst>
        </c:ser>
        <c:ser>
          <c:idx val="1"/>
          <c:order val="1"/>
          <c:tx>
            <c:strRef>
              <c:f>Tabel!$C$3</c:f>
              <c:strCache>
                <c:ptCount val="1"/>
                <c:pt idx="0">
                  <c:v>Investeerder</c:v>
                </c:pt>
              </c:strCache>
            </c:strRef>
          </c:tx>
          <c:spPr>
            <a:solidFill>
              <a:schemeClr val="accent2">
                <a:alpha val="70000"/>
              </a:schemeClr>
            </a:solidFill>
            <a:ln>
              <a:noFill/>
            </a:ln>
            <a:effectLst/>
          </c:spPr>
          <c:invertIfNegative val="0"/>
          <c:cat>
            <c:numRef>
              <c:f>Tabel!$A$4:$A$19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Tabel!$C$4:$C$19</c:f>
              <c:numCache>
                <c:formatCode>General</c:formatCode>
                <c:ptCount val="16"/>
                <c:pt idx="0">
                  <c:v>207</c:v>
                </c:pt>
                <c:pt idx="1">
                  <c:v>361</c:v>
                </c:pt>
                <c:pt idx="2">
                  <c:v>332</c:v>
                </c:pt>
                <c:pt idx="3">
                  <c:v>513</c:v>
                </c:pt>
                <c:pt idx="4">
                  <c:v>705</c:v>
                </c:pt>
                <c:pt idx="5">
                  <c:v>728</c:v>
                </c:pt>
                <c:pt idx="6">
                  <c:v>674</c:v>
                </c:pt>
                <c:pt idx="7">
                  <c:v>474</c:v>
                </c:pt>
                <c:pt idx="8">
                  <c:v>330</c:v>
                </c:pt>
                <c:pt idx="9">
                  <c:v>343</c:v>
                </c:pt>
                <c:pt idx="10">
                  <c:v>271</c:v>
                </c:pt>
                <c:pt idx="11">
                  <c:v>102</c:v>
                </c:pt>
                <c:pt idx="12">
                  <c:v>68</c:v>
                </c:pt>
                <c:pt idx="13">
                  <c:v>71</c:v>
                </c:pt>
                <c:pt idx="14">
                  <c:v>46</c:v>
                </c:pt>
                <c:pt idx="15">
                  <c:v>22</c:v>
                </c:pt>
              </c:numCache>
            </c:numRef>
          </c:val>
          <c:extLst>
            <c:ext xmlns:c16="http://schemas.microsoft.com/office/drawing/2014/chart" uri="{C3380CC4-5D6E-409C-BE32-E72D297353CC}">
              <c16:uniqueId val="{00000001-3390-42CF-B55A-5A3BD4F02334}"/>
            </c:ext>
          </c:extLst>
        </c:ser>
        <c:ser>
          <c:idx val="2"/>
          <c:order val="2"/>
          <c:tx>
            <c:strRef>
              <c:f>Tabel!$D$3</c:f>
              <c:strCache>
                <c:ptCount val="1"/>
                <c:pt idx="0">
                  <c:v>Investeerder (rechtspersoon)</c:v>
                </c:pt>
              </c:strCache>
            </c:strRef>
          </c:tx>
          <c:spPr>
            <a:solidFill>
              <a:schemeClr val="accent3">
                <a:alpha val="70000"/>
              </a:schemeClr>
            </a:solidFill>
            <a:ln>
              <a:noFill/>
            </a:ln>
            <a:effectLst/>
          </c:spPr>
          <c:invertIfNegative val="0"/>
          <c:cat>
            <c:numRef>
              <c:f>Tabel!$A$4:$A$19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Tabel!$D$4:$D$19</c:f>
              <c:numCache>
                <c:formatCode>General</c:formatCode>
                <c:ptCount val="16"/>
                <c:pt idx="0">
                  <c:v>622</c:v>
                </c:pt>
                <c:pt idx="1">
                  <c:v>1628</c:v>
                </c:pt>
                <c:pt idx="2">
                  <c:v>530</c:v>
                </c:pt>
                <c:pt idx="3">
                  <c:v>1524</c:v>
                </c:pt>
                <c:pt idx="4">
                  <c:v>2071</c:v>
                </c:pt>
                <c:pt idx="5">
                  <c:v>6447</c:v>
                </c:pt>
                <c:pt idx="6">
                  <c:v>2713</c:v>
                </c:pt>
                <c:pt idx="7">
                  <c:v>3640</c:v>
                </c:pt>
                <c:pt idx="8">
                  <c:v>1520</c:v>
                </c:pt>
                <c:pt idx="9">
                  <c:v>586</c:v>
                </c:pt>
                <c:pt idx="10">
                  <c:v>1125</c:v>
                </c:pt>
                <c:pt idx="11">
                  <c:v>195</c:v>
                </c:pt>
                <c:pt idx="12">
                  <c:v>818</c:v>
                </c:pt>
                <c:pt idx="13">
                  <c:v>555</c:v>
                </c:pt>
                <c:pt idx="14">
                  <c:v>701</c:v>
                </c:pt>
                <c:pt idx="15">
                  <c:v>730</c:v>
                </c:pt>
              </c:numCache>
            </c:numRef>
          </c:val>
          <c:extLst>
            <c:ext xmlns:c16="http://schemas.microsoft.com/office/drawing/2014/chart" uri="{C3380CC4-5D6E-409C-BE32-E72D297353CC}">
              <c16:uniqueId val="{00000002-3390-42CF-B55A-5A3BD4F02334}"/>
            </c:ext>
          </c:extLst>
        </c:ser>
        <c:ser>
          <c:idx val="3"/>
          <c:order val="3"/>
          <c:tx>
            <c:strRef>
              <c:f>Tabel!$E$3</c:f>
              <c:strCache>
                <c:ptCount val="1"/>
                <c:pt idx="0">
                  <c:v>Woningcorporatie</c:v>
                </c:pt>
              </c:strCache>
            </c:strRef>
          </c:tx>
          <c:spPr>
            <a:solidFill>
              <a:schemeClr val="accent4">
                <a:alpha val="70000"/>
              </a:schemeClr>
            </a:solidFill>
            <a:ln>
              <a:noFill/>
            </a:ln>
            <a:effectLst/>
          </c:spPr>
          <c:invertIfNegative val="0"/>
          <c:cat>
            <c:numRef>
              <c:f>Tabel!$A$4:$A$19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Tabel!$E$4:$E$19</c:f>
              <c:numCache>
                <c:formatCode>General</c:formatCode>
                <c:ptCount val="16"/>
                <c:pt idx="0">
                  <c:v>2642</c:v>
                </c:pt>
                <c:pt idx="1">
                  <c:v>2291</c:v>
                </c:pt>
                <c:pt idx="2">
                  <c:v>9068</c:v>
                </c:pt>
                <c:pt idx="3">
                  <c:v>3951</c:v>
                </c:pt>
                <c:pt idx="4">
                  <c:v>1664</c:v>
                </c:pt>
                <c:pt idx="5">
                  <c:v>4006</c:v>
                </c:pt>
                <c:pt idx="6">
                  <c:v>3067</c:v>
                </c:pt>
                <c:pt idx="7">
                  <c:v>1253</c:v>
                </c:pt>
                <c:pt idx="8">
                  <c:v>3628</c:v>
                </c:pt>
                <c:pt idx="9">
                  <c:v>1973</c:v>
                </c:pt>
                <c:pt idx="10">
                  <c:v>9356</c:v>
                </c:pt>
                <c:pt idx="11">
                  <c:v>839</c:v>
                </c:pt>
                <c:pt idx="12">
                  <c:v>7053</c:v>
                </c:pt>
                <c:pt idx="13">
                  <c:v>2981</c:v>
                </c:pt>
                <c:pt idx="14">
                  <c:v>1791</c:v>
                </c:pt>
                <c:pt idx="15">
                  <c:v>1426</c:v>
                </c:pt>
              </c:numCache>
            </c:numRef>
          </c:val>
          <c:extLst>
            <c:ext xmlns:c16="http://schemas.microsoft.com/office/drawing/2014/chart" uri="{C3380CC4-5D6E-409C-BE32-E72D297353CC}">
              <c16:uniqueId val="{00000003-3390-42CF-B55A-5A3BD4F02334}"/>
            </c:ext>
          </c:extLst>
        </c:ser>
        <c:ser>
          <c:idx val="4"/>
          <c:order val="4"/>
          <c:tx>
            <c:strRef>
              <c:f>Tabel!$F$3</c:f>
              <c:strCache>
                <c:ptCount val="1"/>
                <c:pt idx="0">
                  <c:v>Overig</c:v>
                </c:pt>
              </c:strCache>
            </c:strRef>
          </c:tx>
          <c:spPr>
            <a:solidFill>
              <a:schemeClr val="accent5">
                <a:alpha val="70000"/>
              </a:schemeClr>
            </a:solidFill>
            <a:ln>
              <a:noFill/>
            </a:ln>
            <a:effectLst/>
          </c:spPr>
          <c:invertIfNegative val="0"/>
          <c:cat>
            <c:numRef>
              <c:f>Tabel!$A$4:$A$19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Tabel!$F$4:$F$19</c:f>
              <c:numCache>
                <c:formatCode>General</c:formatCode>
                <c:ptCount val="16"/>
                <c:pt idx="0">
                  <c:v>971</c:v>
                </c:pt>
                <c:pt idx="1">
                  <c:v>1258</c:v>
                </c:pt>
                <c:pt idx="2">
                  <c:v>966</c:v>
                </c:pt>
                <c:pt idx="3">
                  <c:v>813</c:v>
                </c:pt>
                <c:pt idx="4">
                  <c:v>927</c:v>
                </c:pt>
                <c:pt idx="5">
                  <c:v>1046</c:v>
                </c:pt>
                <c:pt idx="6">
                  <c:v>1538</c:v>
                </c:pt>
                <c:pt idx="7">
                  <c:v>670</c:v>
                </c:pt>
                <c:pt idx="8">
                  <c:v>525</c:v>
                </c:pt>
                <c:pt idx="9">
                  <c:v>391</c:v>
                </c:pt>
                <c:pt idx="10">
                  <c:v>694</c:v>
                </c:pt>
                <c:pt idx="11">
                  <c:v>1084</c:v>
                </c:pt>
                <c:pt idx="12">
                  <c:v>875</c:v>
                </c:pt>
                <c:pt idx="13">
                  <c:v>50</c:v>
                </c:pt>
                <c:pt idx="14">
                  <c:v>1010</c:v>
                </c:pt>
                <c:pt idx="15">
                  <c:v>176</c:v>
                </c:pt>
              </c:numCache>
            </c:numRef>
          </c:val>
          <c:extLst>
            <c:ext xmlns:c16="http://schemas.microsoft.com/office/drawing/2014/chart" uri="{C3380CC4-5D6E-409C-BE32-E72D297353CC}">
              <c16:uniqueId val="{00000004-3390-42CF-B55A-5A3BD4F02334}"/>
            </c:ext>
          </c:extLst>
        </c:ser>
        <c:ser>
          <c:idx val="5"/>
          <c:order val="5"/>
          <c:tx>
            <c:strRef>
              <c:f>Tabel!$G$3</c:f>
              <c:strCache>
                <c:ptCount val="1"/>
                <c:pt idx="0">
                  <c:v>Onbekend</c:v>
                </c:pt>
              </c:strCache>
            </c:strRef>
          </c:tx>
          <c:spPr>
            <a:solidFill>
              <a:schemeClr val="accent6">
                <a:alpha val="70000"/>
              </a:schemeClr>
            </a:solidFill>
            <a:ln>
              <a:noFill/>
            </a:ln>
            <a:effectLst/>
          </c:spPr>
          <c:invertIfNegative val="0"/>
          <c:cat>
            <c:numRef>
              <c:f>Tabel!$A$4:$A$19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Tabel!$G$4:$G$19</c:f>
              <c:numCache>
                <c:formatCode>General</c:formatCode>
                <c:ptCount val="16"/>
                <c:pt idx="0">
                  <c:v>117</c:v>
                </c:pt>
                <c:pt idx="1">
                  <c:v>124</c:v>
                </c:pt>
                <c:pt idx="2">
                  <c:v>102</c:v>
                </c:pt>
                <c:pt idx="3">
                  <c:v>100</c:v>
                </c:pt>
                <c:pt idx="4">
                  <c:v>100</c:v>
                </c:pt>
                <c:pt idx="5">
                  <c:v>110</c:v>
                </c:pt>
                <c:pt idx="6">
                  <c:v>93</c:v>
                </c:pt>
                <c:pt idx="7">
                  <c:v>72</c:v>
                </c:pt>
                <c:pt idx="8">
                  <c:v>60</c:v>
                </c:pt>
                <c:pt idx="9">
                  <c:v>24</c:v>
                </c:pt>
                <c:pt idx="10">
                  <c:v>22</c:v>
                </c:pt>
                <c:pt idx="11">
                  <c:v>18</c:v>
                </c:pt>
                <c:pt idx="12">
                  <c:v>21</c:v>
                </c:pt>
                <c:pt idx="13">
                  <c:v>4</c:v>
                </c:pt>
                <c:pt idx="14">
                  <c:v>6</c:v>
                </c:pt>
                <c:pt idx="15">
                  <c:v>3</c:v>
                </c:pt>
              </c:numCache>
            </c:numRef>
          </c:val>
          <c:extLst>
            <c:ext xmlns:c16="http://schemas.microsoft.com/office/drawing/2014/chart" uri="{C3380CC4-5D6E-409C-BE32-E72D297353CC}">
              <c16:uniqueId val="{00000005-3390-42CF-B55A-5A3BD4F02334}"/>
            </c:ext>
          </c:extLst>
        </c:ser>
        <c:dLbls>
          <c:showLegendKey val="0"/>
          <c:showVal val="0"/>
          <c:showCatName val="0"/>
          <c:showSerName val="0"/>
          <c:showPercent val="0"/>
          <c:showBubbleSize val="0"/>
        </c:dLbls>
        <c:gapWidth val="50"/>
        <c:overlap val="100"/>
        <c:axId val="174160911"/>
        <c:axId val="174163311"/>
      </c:barChart>
      <c:catAx>
        <c:axId val="174160911"/>
        <c:scaling>
          <c:orientation val="minMax"/>
        </c:scaling>
        <c:delete val="0"/>
        <c:axPos val="b"/>
        <c:numFmt formatCode="General" sourceLinked="1"/>
        <c:majorTickMark val="none"/>
        <c:minorTickMark val="none"/>
        <c:tickLblPos val="nextTo"/>
        <c:spPr>
          <a:noFill/>
          <a:ln w="9525">
            <a:solidFill>
              <a:schemeClr val="tx1">
                <a:lumMod val="25000"/>
                <a:lumOff val="7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4163311"/>
        <c:crosses val="autoZero"/>
        <c:auto val="1"/>
        <c:lblAlgn val="ctr"/>
        <c:lblOffset val="100"/>
        <c:noMultiLvlLbl val="0"/>
      </c:catAx>
      <c:valAx>
        <c:axId val="174163311"/>
        <c:scaling>
          <c:orientation val="minMax"/>
        </c:scaling>
        <c:delete val="0"/>
        <c:axPos val="l"/>
        <c:majorGridlines>
          <c:spPr>
            <a:ln w="9525">
              <a:gradFill rotWithShape="1">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416091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2109</ap:Words>
  <ap:Characters>11600</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aan Parlement - vereenvoudiging verkoopregels woningcorporaties</vt:lpstr>
    </vt:vector>
  </ap:TitlesOfParts>
  <ap:LinksUpToDate>false</ap:LinksUpToDate>
  <ap:CharactersWithSpaces>13682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2026-07-08T06:31:00.0000000Z</dcterms:created>
  <dcterms:modified xsi:type="dcterms:W3CDTF">2026-07-08T06:32:00.0000000Z</dcterms:modified>
  <dc:creator/>
  <lastModifiedBy/>
  <dc:description>------------------------</dc:description>
  <dc:subject/>
  <keywords/>
  <version/>
  <category/>
</coreProperties>
</file>