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143AE" w:rsidR="00C143AE" w:rsidP="00C143AE" w:rsidRDefault="00C143AE" w14:paraId="6764DD9B" w14:textId="3EAA6976">
      <w:pPr>
        <w:rPr>
          <w:szCs w:val="18"/>
        </w:rPr>
      </w:pPr>
      <w:r w:rsidRPr="00C143AE">
        <w:rPr>
          <w:szCs w:val="18"/>
        </w:rPr>
        <w:t xml:space="preserve">Geachte Voorzitter, </w:t>
      </w:r>
    </w:p>
    <w:p w:rsidRPr="00C143AE" w:rsidR="00C143AE" w:rsidP="00C143AE" w:rsidRDefault="00C143AE" w14:paraId="23967547" w14:textId="77777777">
      <w:pPr>
        <w:rPr>
          <w:szCs w:val="18"/>
        </w:rPr>
      </w:pPr>
    </w:p>
    <w:p w:rsidR="00340ECA" w:rsidP="00C143AE" w:rsidRDefault="00C143AE" w14:paraId="37E8137F" w14:textId="50CC63EB">
      <w:pPr>
        <w:rPr>
          <w:szCs w:val="18"/>
        </w:rPr>
      </w:pPr>
      <w:r w:rsidRPr="00C143AE">
        <w:rPr>
          <w:szCs w:val="18"/>
        </w:rPr>
        <w:t>Middels deze brief informeer ik de Kamer over voorstellen met nieuwe financiële gevolgen (€ 20 miljoen of meer in enig jaar) die zijn opgenomen in de 1e suppletoire begroting 202</w:t>
      </w:r>
      <w:r w:rsidR="00D911FD">
        <w:rPr>
          <w:szCs w:val="18"/>
        </w:rPr>
        <w:t>6</w:t>
      </w:r>
      <w:r w:rsidRPr="00C143AE">
        <w:rPr>
          <w:szCs w:val="18"/>
        </w:rPr>
        <w:t xml:space="preserve"> van LVVN.</w:t>
      </w:r>
      <w:r>
        <w:rPr>
          <w:szCs w:val="18"/>
        </w:rPr>
        <w:t xml:space="preserve"> </w:t>
      </w:r>
      <w:r w:rsidRPr="00C143AE">
        <w:rPr>
          <w:szCs w:val="18"/>
        </w:rPr>
        <w:t>Hierbij wordt conform wetsartikel 3.1 van de Comptabiliteitswet 2016 per voorstel ingegaan op doelen, instrumenten, financiële gevolgen, verwachte doeltreffendheid en doelmatigheid en voorgenomen monitoring en evaluatie. Sinds eind 2021 gebeurt dit Rijksbreed via de werkwijze “Beleidskeuzes uitgelegd”, zie Kamerstuk 31865, nr. 198.</w:t>
      </w:r>
    </w:p>
    <w:p w:rsidR="00C143AE" w:rsidP="00C143AE" w:rsidRDefault="00C143AE" w14:paraId="4CB12645" w14:textId="77777777">
      <w:pPr>
        <w:rPr>
          <w:szCs w:val="18"/>
        </w:rPr>
      </w:pPr>
    </w:p>
    <w:p w:rsidR="00C143AE" w:rsidP="00F86BA9" w:rsidRDefault="00C143AE" w14:paraId="1088A8B0" w14:textId="436C7C06">
      <w:pPr>
        <w:rPr>
          <w:szCs w:val="18"/>
        </w:rPr>
      </w:pPr>
      <w:r w:rsidRPr="00C143AE">
        <w:rPr>
          <w:szCs w:val="18"/>
        </w:rPr>
        <w:t>Voor het ministerie van Landbouw, Visserij, Voedselzekerheid en Natuur gaat het</w:t>
      </w:r>
      <w:r w:rsidR="00F86BA9">
        <w:rPr>
          <w:szCs w:val="18"/>
        </w:rPr>
        <w:t xml:space="preserve"> </w:t>
      </w:r>
      <w:r w:rsidRPr="00C143AE">
        <w:rPr>
          <w:szCs w:val="18"/>
        </w:rPr>
        <w:t xml:space="preserve">om </w:t>
      </w:r>
      <w:r w:rsidR="00F86BA9">
        <w:rPr>
          <w:szCs w:val="18"/>
        </w:rPr>
        <w:t xml:space="preserve">een kader voor het onderwerp </w:t>
      </w:r>
      <w:r w:rsidRPr="00F86BA9" w:rsidR="00F86BA9">
        <w:rPr>
          <w:i/>
          <w:iCs/>
          <w:szCs w:val="18"/>
        </w:rPr>
        <w:t>Natuurherstel.</w:t>
      </w:r>
    </w:p>
    <w:p w:rsidR="00C143AE" w:rsidP="00C143AE" w:rsidRDefault="00C143AE" w14:paraId="0168969C" w14:textId="77777777">
      <w:pPr>
        <w:rPr>
          <w:szCs w:val="18"/>
        </w:rPr>
      </w:pPr>
    </w:p>
    <w:p w:rsidRPr="00F86BA9" w:rsidR="000752D6" w:rsidP="000752D6" w:rsidRDefault="00F86BA9" w14:paraId="34DD50D6" w14:textId="1BAAC6A6">
      <w:pPr>
        <w:rPr>
          <w:szCs w:val="18"/>
        </w:rPr>
      </w:pPr>
      <w:r>
        <w:rPr>
          <w:szCs w:val="18"/>
        </w:rPr>
        <w:t>Hoogachtend,</w:t>
      </w:r>
    </w:p>
    <w:p w:rsidR="000752D6" w:rsidP="000752D6" w:rsidRDefault="000752D6" w14:paraId="297302C7" w14:textId="77777777"/>
    <w:p w:rsidR="005E4CB7" w:rsidP="000752D6" w:rsidRDefault="005E4CB7" w14:paraId="48366B9C" w14:textId="77777777"/>
    <w:p w:rsidR="005E4CB7" w:rsidP="000752D6" w:rsidRDefault="005E4CB7" w14:paraId="50DB31E2" w14:textId="77777777"/>
    <w:p w:rsidRPr="000752D6" w:rsidR="005E4CB7" w:rsidP="000752D6" w:rsidRDefault="005E4CB7" w14:paraId="057E220E" w14:textId="77777777"/>
    <w:p w:rsidRPr="000752D6" w:rsidR="000752D6" w:rsidP="000752D6" w:rsidRDefault="003E3C57" w14:paraId="3C3E4863" w14:textId="77777777">
      <w:r w:rsidRPr="00640234">
        <w:t>Jaimi van Essen</w:t>
      </w:r>
    </w:p>
    <w:p w:rsidRPr="00006C01" w:rsidR="00481085" w:rsidP="00524FB4" w:rsidRDefault="003E3C57" w14:paraId="3C6BCB5E" w14:textId="77777777">
      <w:r w:rsidRPr="000752D6">
        <w:t>Minister van Landbouw, Visserij, Voedselzekerheid en Natuur</w:t>
      </w:r>
    </w:p>
    <w:p w:rsidR="009B4566" w:rsidP="00810C93" w:rsidRDefault="009B4566" w14:paraId="0E65A0FB" w14:textId="77777777"/>
    <w:p w:rsidR="00F86BA9" w:rsidP="00810C93" w:rsidRDefault="00F86BA9" w14:paraId="3CD702BD" w14:textId="77777777"/>
    <w:p w:rsidR="00F86BA9" w:rsidP="00810C93" w:rsidRDefault="00F86BA9" w14:paraId="2C08F5E7" w14:textId="77777777"/>
    <w:p w:rsidR="00F86BA9" w:rsidP="00810C93" w:rsidRDefault="00F86BA9" w14:paraId="036166A6" w14:textId="77777777"/>
    <w:p w:rsidR="00F86BA9" w:rsidP="00810C93" w:rsidRDefault="00F86BA9" w14:paraId="72748C8F" w14:textId="77777777"/>
    <w:p w:rsidR="00F86BA9" w:rsidP="00810C93" w:rsidRDefault="00F86BA9" w14:paraId="413694CD" w14:textId="77777777"/>
    <w:p w:rsidR="00F86BA9" w:rsidP="00810C93" w:rsidRDefault="00F86BA9" w14:paraId="36B056F0" w14:textId="77777777"/>
    <w:p w:rsidR="00F86BA9" w:rsidP="00810C93" w:rsidRDefault="00F86BA9" w14:paraId="65D8E606" w14:textId="77777777"/>
    <w:p w:rsidR="00F86BA9" w:rsidP="00810C93" w:rsidRDefault="00F86BA9" w14:paraId="5887FF4F" w14:textId="77777777"/>
    <w:p w:rsidR="00F86BA9" w:rsidP="00810C93" w:rsidRDefault="00F86BA9" w14:paraId="4C99AAED" w14:textId="77777777"/>
    <w:p w:rsidR="00F86BA9" w:rsidP="00810C93" w:rsidRDefault="00F86BA9" w14:paraId="1A4FEA15" w14:textId="77777777"/>
    <w:p w:rsidR="00F86BA9" w:rsidP="00810C93" w:rsidRDefault="00F86BA9" w14:paraId="4F742B03" w14:textId="77777777"/>
    <w:p w:rsidR="00F86BA9" w:rsidP="00810C93" w:rsidRDefault="00F86BA9" w14:paraId="080C33C7" w14:textId="77777777"/>
    <w:p w:rsidR="00F86BA9" w:rsidP="00810C93" w:rsidRDefault="00F86BA9" w14:paraId="76C5BC5B" w14:textId="77777777"/>
    <w:p w:rsidR="00F86BA9" w:rsidP="00810C93" w:rsidRDefault="00F86BA9" w14:paraId="003DA4C6" w14:textId="77777777"/>
    <w:p w:rsidR="00F86BA9" w:rsidP="00810C93" w:rsidRDefault="00F86BA9" w14:paraId="012CC20C" w14:textId="3F5BD603"/>
    <w:p w:rsidR="00F86BA9" w:rsidP="00810C93" w:rsidRDefault="00F86BA9" w14:paraId="411CE12E" w14:textId="7851CCF4">
      <w:pPr>
        <w:rPr>
          <w:b/>
          <w:bCs/>
        </w:rPr>
      </w:pPr>
      <w:r>
        <w:rPr>
          <w:b/>
          <w:bCs/>
        </w:rPr>
        <w:t xml:space="preserve">  Natuurherstel</w:t>
      </w:r>
    </w:p>
    <w:p w:rsidR="00477849" w:rsidP="00810C93" w:rsidRDefault="00477849" w14:paraId="72ABB5F9" w14:textId="77777777">
      <w:pPr>
        <w:rPr>
          <w:b/>
          <w:bCs/>
        </w:rPr>
      </w:pPr>
    </w:p>
    <w:p w:rsidR="00477849" w:rsidP="00810C93" w:rsidRDefault="00477849" w14:paraId="05D2BAF1" w14:textId="77777777">
      <w:pPr>
        <w:rPr>
          <w:b/>
          <w:bCs/>
        </w:rPr>
      </w:pPr>
    </w:p>
    <w:p w:rsidR="00477849" w:rsidP="00810C93" w:rsidRDefault="00477849" w14:paraId="662FF5E9" w14:textId="77777777">
      <w:pPr>
        <w:rPr>
          <w:b/>
          <w:bCs/>
        </w:rPr>
      </w:pPr>
    </w:p>
    <w:tbl>
      <w:tblPr>
        <w:tblStyle w:val="TableNormal1"/>
        <w:tblW w:w="9308" w:type="dxa"/>
        <w:tblInd w:w="118"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DAEEF3" w:themeFill="accent5" w:themeFillTint="33"/>
        <w:tblLayout w:type="fixed"/>
        <w:tblLook w:val="01E0" w:firstRow="1" w:lastRow="1" w:firstColumn="1" w:lastColumn="1" w:noHBand="0" w:noVBand="0"/>
      </w:tblPr>
      <w:tblGrid>
        <w:gridCol w:w="2150"/>
        <w:gridCol w:w="7158"/>
      </w:tblGrid>
      <w:tr w:rsidRPr="005E3826" w:rsidR="00F86BA9" w:rsidTr="00BA1AEF" w14:paraId="50503BDB" w14:textId="77777777">
        <w:trPr>
          <w:trHeight w:val="1218"/>
        </w:trPr>
        <w:tc>
          <w:tcPr>
            <w:tcW w:w="9308" w:type="dxa"/>
            <w:gridSpan w:val="2"/>
            <w:tcBorders>
              <w:left w:val="nil"/>
            </w:tcBorders>
            <w:shd w:val="clear" w:color="auto" w:fill="0070C0"/>
            <w:vAlign w:val="center"/>
          </w:tcPr>
          <w:p w:rsidRPr="0062369C" w:rsidR="00F86BA9" w:rsidP="00BA1AEF" w:rsidRDefault="00F86BA9" w14:paraId="18EC71B4" w14:textId="77777777">
            <w:pPr>
              <w:pStyle w:val="TableParagraph"/>
              <w:ind w:left="103"/>
              <w:rPr>
                <w:rFonts w:cstheme="minorHAnsi"/>
                <w:b/>
                <w:noProof/>
                <w:color w:val="FFFFFF"/>
                <w:sz w:val="18"/>
                <w:szCs w:val="18"/>
              </w:rPr>
            </w:pPr>
            <w:r w:rsidRPr="0062369C">
              <w:rPr>
                <w:rFonts w:cstheme="minorHAnsi"/>
                <w:b/>
                <w:noProof/>
                <w:color w:val="FFFFFF"/>
                <w:sz w:val="18"/>
                <w:szCs w:val="18"/>
              </w:rPr>
              <w:t>Beleidskeuzes uitgelegd</w:t>
            </w:r>
          </w:p>
          <w:p w:rsidRPr="0062369C" w:rsidR="00F86BA9" w:rsidP="00BA1AEF" w:rsidRDefault="00F86BA9" w14:paraId="41D2D55E" w14:textId="77777777">
            <w:pPr>
              <w:pStyle w:val="TableParagraph"/>
              <w:rPr>
                <w:rFonts w:cstheme="minorHAnsi"/>
                <w:noProof/>
                <w:color w:val="FFFFFF" w:themeColor="background1"/>
                <w:sz w:val="18"/>
                <w:szCs w:val="18"/>
              </w:rPr>
            </w:pPr>
            <w:r w:rsidRPr="0062369C">
              <w:rPr>
                <w:rFonts w:cstheme="minorHAnsi"/>
                <w:b/>
                <w:noProof/>
                <w:color w:val="FFFFFF" w:themeColor="background1"/>
                <w:sz w:val="18"/>
                <w:szCs w:val="18"/>
              </w:rPr>
              <w:t xml:space="preserve"> </w:t>
            </w:r>
            <w:r w:rsidRPr="0062369C">
              <w:rPr>
                <w:rFonts w:cstheme="minorHAnsi"/>
                <w:i/>
                <w:noProof/>
                <w:color w:val="FFFFFF" w:themeColor="background1"/>
                <w:sz w:val="18"/>
                <w:szCs w:val="18"/>
              </w:rPr>
              <w:t>Onderbouwing doeltreffendheid, doelmatigheid en evaluatie (CW 3.1)</w:t>
            </w:r>
          </w:p>
        </w:tc>
      </w:tr>
      <w:tr w:rsidRPr="005E3826" w:rsidR="00F86BA9" w:rsidTr="00BA1AEF" w14:paraId="4D1C9DE0" w14:textId="77777777">
        <w:trPr>
          <w:trHeight w:val="1046"/>
        </w:trPr>
        <w:tc>
          <w:tcPr>
            <w:tcW w:w="2150" w:type="dxa"/>
            <w:tcBorders>
              <w:left w:val="nil"/>
            </w:tcBorders>
            <w:shd w:val="clear" w:color="auto" w:fill="0070C0"/>
          </w:tcPr>
          <w:p w:rsidRPr="0062369C" w:rsidR="00F86BA9" w:rsidP="00BA1AEF" w:rsidRDefault="00F86BA9" w14:paraId="3115300E" w14:textId="77777777">
            <w:pPr>
              <w:pStyle w:val="TableParagraph"/>
              <w:ind w:left="103"/>
              <w:rPr>
                <w:rFonts w:cstheme="minorHAnsi"/>
                <w:b/>
                <w:noProof/>
                <w:color w:val="FFFFFF"/>
                <w:sz w:val="18"/>
                <w:szCs w:val="18"/>
              </w:rPr>
            </w:pPr>
          </w:p>
          <w:p w:rsidRPr="0062369C" w:rsidR="00F86BA9" w:rsidP="00F86BA9" w:rsidRDefault="00F86BA9" w14:paraId="14E1475B" w14:textId="77777777">
            <w:pPr>
              <w:pStyle w:val="TableParagraph"/>
              <w:numPr>
                <w:ilvl w:val="0"/>
                <w:numId w:val="15"/>
              </w:numPr>
              <w:rPr>
                <w:rFonts w:cstheme="minorHAnsi"/>
                <w:b/>
                <w:noProof/>
                <w:sz w:val="18"/>
                <w:szCs w:val="18"/>
              </w:rPr>
            </w:pPr>
            <w:r w:rsidRPr="0062369C">
              <w:rPr>
                <w:rFonts w:cstheme="minorHAnsi"/>
                <w:b/>
                <w:noProof/>
                <w:color w:val="FFFFFF"/>
                <w:sz w:val="18"/>
                <w:szCs w:val="18"/>
              </w:rPr>
              <w:t xml:space="preserve">Doel(en) </w:t>
            </w:r>
          </w:p>
        </w:tc>
        <w:tc>
          <w:tcPr>
            <w:tcW w:w="7158" w:type="dxa"/>
            <w:tcBorders>
              <w:right w:val="nil"/>
            </w:tcBorders>
            <w:shd w:val="clear" w:color="auto" w:fill="DAEEF3" w:themeFill="accent5" w:themeFillTint="33"/>
            <w:vAlign w:val="center"/>
          </w:tcPr>
          <w:p w:rsidR="00F86BA9" w:rsidP="00BA1AEF" w:rsidRDefault="00F86BA9" w14:paraId="217B1F5D" w14:textId="77777777">
            <w:pPr>
              <w:pStyle w:val="TableParagraph"/>
              <w:spacing w:before="10" w:line="218" w:lineRule="exact"/>
              <w:ind w:left="101" w:right="154"/>
              <w:rPr>
                <w:rFonts w:cstheme="minorHAnsi"/>
                <w:b/>
                <w:bCs/>
                <w:noProof/>
                <w:sz w:val="18"/>
                <w:szCs w:val="18"/>
              </w:rPr>
            </w:pPr>
            <w:r w:rsidRPr="0062369C">
              <w:rPr>
                <w:rFonts w:cstheme="minorHAnsi"/>
                <w:b/>
                <w:bCs/>
                <w:noProof/>
                <w:sz w:val="18"/>
                <w:szCs w:val="18"/>
              </w:rPr>
              <w:t>Welke doelen worden nagestreefd? Beschrijf de beoogde prestaties en effecten</w:t>
            </w:r>
          </w:p>
          <w:p w:rsidR="00F86BA9" w:rsidP="00BA1AEF" w:rsidRDefault="00F86BA9" w14:paraId="0B6EFA32" w14:textId="77777777">
            <w:pPr>
              <w:pStyle w:val="TableParagraph"/>
              <w:spacing w:before="10" w:line="218" w:lineRule="exact"/>
              <w:ind w:left="101" w:right="154"/>
              <w:rPr>
                <w:rFonts w:cstheme="minorHAnsi"/>
                <w:b/>
                <w:bCs/>
                <w:noProof/>
                <w:sz w:val="18"/>
                <w:szCs w:val="18"/>
              </w:rPr>
            </w:pPr>
          </w:p>
          <w:p w:rsidRPr="00D77297" w:rsidR="00F86BA9" w:rsidP="00BA1AEF" w:rsidRDefault="00F86BA9" w14:paraId="3B81079D" w14:textId="0E3DD6D0">
            <w:pPr>
              <w:pStyle w:val="TableParagraph"/>
              <w:spacing w:before="10" w:line="218" w:lineRule="exact"/>
              <w:ind w:left="101" w:right="154"/>
              <w:rPr>
                <w:rFonts w:cstheme="minorBidi"/>
                <w:sz w:val="18"/>
                <w:szCs w:val="18"/>
              </w:rPr>
            </w:pPr>
            <w:r w:rsidRPr="4DEB5C80">
              <w:rPr>
                <w:rFonts w:cstheme="minorBidi"/>
                <w:sz w:val="18"/>
                <w:szCs w:val="18"/>
              </w:rPr>
              <w:t>In het Coalitieakkoord van het Kabinet-Jetten is voor natuur in 2026 € 100 mln</w:t>
            </w:r>
            <w:r w:rsidR="003E18A8">
              <w:rPr>
                <w:rFonts w:cstheme="minorBidi"/>
                <w:sz w:val="18"/>
                <w:szCs w:val="18"/>
              </w:rPr>
              <w:t>.</w:t>
            </w:r>
            <w:r w:rsidRPr="4DEB5C80">
              <w:rPr>
                <w:rFonts w:cstheme="minorBidi"/>
                <w:sz w:val="18"/>
                <w:szCs w:val="18"/>
              </w:rPr>
              <w:t xml:space="preserve"> gereserveerd, waarvan </w:t>
            </w:r>
            <w:r w:rsidRPr="4DEB5C80">
              <w:rPr>
                <w:rFonts w:cstheme="minorBidi"/>
                <w:noProof/>
                <w:sz w:val="18"/>
                <w:szCs w:val="18"/>
              </w:rPr>
              <w:t xml:space="preserve">in totaal € 60,0 mln. </w:t>
            </w:r>
            <w:r w:rsidRPr="4DEB5C80">
              <w:rPr>
                <w:rFonts w:cstheme="minorBidi"/>
                <w:sz w:val="18"/>
                <w:szCs w:val="18"/>
              </w:rPr>
              <w:t>wordt ingezet voor een natuu</w:t>
            </w:r>
            <w:r w:rsidR="00477849">
              <w:rPr>
                <w:rFonts w:cstheme="minorBidi"/>
                <w:sz w:val="18"/>
                <w:szCs w:val="18"/>
              </w:rPr>
              <w:t>r</w:t>
            </w:r>
            <w:r w:rsidRPr="4DEB5C80">
              <w:rPr>
                <w:rFonts w:cstheme="minorBidi"/>
                <w:sz w:val="18"/>
                <w:szCs w:val="18"/>
              </w:rPr>
              <w:t>herstelversnellingspakket</w:t>
            </w:r>
            <w:r>
              <w:rPr>
                <w:rFonts w:cstheme="minorBidi"/>
                <w:sz w:val="18"/>
                <w:szCs w:val="18"/>
              </w:rPr>
              <w:t xml:space="preserve">. </w:t>
            </w:r>
            <w:r w:rsidRPr="4DEB5C80">
              <w:rPr>
                <w:rFonts w:cstheme="minorBidi"/>
                <w:sz w:val="18"/>
                <w:szCs w:val="18"/>
              </w:rPr>
              <w:t xml:space="preserve">Met het versnellingspakket zetten we versterkt in op natuuropgaven en financieren we projecten die in 2026 startklaar zijn. </w:t>
            </w:r>
            <w:r w:rsidRPr="4DEB5C80">
              <w:rPr>
                <w:rFonts w:cstheme="minorBidi"/>
                <w:noProof/>
                <w:sz w:val="18"/>
                <w:szCs w:val="18"/>
              </w:rPr>
              <w:t>Het betreft projecten op het terrein van</w:t>
            </w:r>
            <w:r w:rsidRPr="4DEB5C80">
              <w:rPr>
                <w:rFonts w:cstheme="minorBidi"/>
                <w:sz w:val="18"/>
                <w:szCs w:val="18"/>
              </w:rPr>
              <w:t xml:space="preserve"> hydrologisch herstel, de aanpak van invasieve exoten, bosrevitalisatie en natuurherstel in de grote wateren. Tevens zijn </w:t>
            </w:r>
            <w:r w:rsidRPr="4DEB5C80">
              <w:rPr>
                <w:rFonts w:cstheme="minorBidi"/>
                <w:noProof/>
                <w:sz w:val="18"/>
                <w:szCs w:val="18"/>
              </w:rPr>
              <w:t>in het pakket</w:t>
            </w:r>
            <w:r w:rsidRPr="4DEB5C80">
              <w:rPr>
                <w:rFonts w:cstheme="minorBidi"/>
                <w:sz w:val="18"/>
                <w:szCs w:val="18"/>
              </w:rPr>
              <w:t xml:space="preserve"> posten opgenomen uit de NHV waarvoor reeds in 2026 maatregelen kunnen worden getroffen. Het betreft natuurherstel op gronden van Staatsbosbeheer, onder meer via het herstel en de aanleg van Groen Blauwe Dooradering (GBDA) en de aanleg van bijenlandschappen.</w:t>
            </w:r>
          </w:p>
          <w:p w:rsidRPr="003A5CA7" w:rsidR="00F86BA9" w:rsidP="00BA1AEF" w:rsidRDefault="00F86BA9" w14:paraId="600DD565" w14:textId="77777777">
            <w:pPr>
              <w:pStyle w:val="TableParagraph"/>
              <w:spacing w:before="10" w:line="218" w:lineRule="exact"/>
              <w:ind w:left="101" w:right="154"/>
              <w:rPr>
                <w:rFonts w:cstheme="minorHAnsi"/>
                <w:noProof/>
                <w:sz w:val="18"/>
                <w:szCs w:val="18"/>
              </w:rPr>
            </w:pPr>
          </w:p>
          <w:p w:rsidRPr="00EB060B" w:rsidR="00F86BA9" w:rsidP="00BA1AEF" w:rsidRDefault="00F86BA9" w14:paraId="0DC068D9" w14:textId="77777777">
            <w:pPr>
              <w:pStyle w:val="TableParagraph"/>
              <w:spacing w:before="10" w:line="218" w:lineRule="exact"/>
              <w:ind w:left="101" w:right="154"/>
              <w:rPr>
                <w:rFonts w:cstheme="minorBidi"/>
                <w:sz w:val="18"/>
                <w:szCs w:val="18"/>
              </w:rPr>
            </w:pPr>
            <w:r w:rsidRPr="4F840DA4">
              <w:rPr>
                <w:rFonts w:cstheme="minorBidi"/>
                <w:sz w:val="18"/>
                <w:szCs w:val="18"/>
              </w:rPr>
              <w:t xml:space="preserve">Met het natuurherstelversnellingspakket wordt ingezet op natuurherstel binnen en buiten de stikstofgevoelige N2000 gebieden. Hiermee wordt </w:t>
            </w:r>
            <w:r w:rsidRPr="4F840DA4">
              <w:rPr>
                <w:rFonts w:cstheme="minorBidi"/>
                <w:noProof/>
                <w:sz w:val="18"/>
                <w:szCs w:val="18"/>
              </w:rPr>
              <w:t>bijgedragen aan de</w:t>
            </w:r>
            <w:r w:rsidRPr="4F840DA4">
              <w:rPr>
                <w:rFonts w:cstheme="minorBidi"/>
                <w:sz w:val="18"/>
                <w:szCs w:val="18"/>
              </w:rPr>
              <w:t xml:space="preserve"> Vogel- en Habitatrichtlijn, de N</w:t>
            </w:r>
            <w:r w:rsidRPr="4F840DA4">
              <w:rPr>
                <w:rFonts w:cstheme="minorBidi"/>
                <w:noProof/>
                <w:sz w:val="18"/>
                <w:szCs w:val="18"/>
              </w:rPr>
              <w:t>HV</w:t>
            </w:r>
            <w:r w:rsidRPr="4F840DA4">
              <w:rPr>
                <w:rFonts w:cstheme="minorBidi"/>
                <w:sz w:val="18"/>
                <w:szCs w:val="18"/>
              </w:rPr>
              <w:t>, en de klimaat- en waterdoelen. De maatregelen dragen bij aan het landelijk tegengaan van verslechtering van de natuur, wat bevorderlijk is voor de vergunningverlening in het kader van het stikstofslot.</w:t>
            </w:r>
          </w:p>
          <w:p w:rsidR="00F86BA9" w:rsidP="00BA1AEF" w:rsidRDefault="00F86BA9" w14:paraId="2983088D" w14:textId="77777777">
            <w:pPr>
              <w:pStyle w:val="TableParagraph"/>
              <w:spacing w:before="10" w:line="218" w:lineRule="exact"/>
              <w:ind w:left="101" w:right="154"/>
              <w:rPr>
                <w:rFonts w:cstheme="minorHAnsi"/>
                <w:noProof/>
                <w:sz w:val="18"/>
                <w:szCs w:val="18"/>
              </w:rPr>
            </w:pPr>
          </w:p>
          <w:p w:rsidR="00F86BA9" w:rsidP="00BA1AEF" w:rsidRDefault="00F86BA9" w14:paraId="526EC374" w14:textId="77777777">
            <w:pPr>
              <w:pStyle w:val="TableParagraph"/>
              <w:spacing w:before="10" w:line="218" w:lineRule="exact"/>
              <w:ind w:right="154"/>
              <w:rPr>
                <w:rFonts w:cstheme="minorBidi"/>
                <w:sz w:val="18"/>
                <w:szCs w:val="18"/>
              </w:rPr>
            </w:pPr>
            <w:r>
              <w:rPr>
                <w:rFonts w:cstheme="minorBidi"/>
                <w:sz w:val="18"/>
                <w:szCs w:val="18"/>
              </w:rPr>
              <w:t xml:space="preserve"> </w:t>
            </w:r>
            <w:r w:rsidRPr="4F840DA4">
              <w:rPr>
                <w:rFonts w:cstheme="minorBidi"/>
                <w:sz w:val="18"/>
                <w:szCs w:val="18"/>
              </w:rPr>
              <w:t xml:space="preserve">Met dit </w:t>
            </w:r>
            <w:r w:rsidRPr="4F840DA4">
              <w:rPr>
                <w:rFonts w:cstheme="minorBidi"/>
                <w:noProof/>
                <w:sz w:val="18"/>
                <w:szCs w:val="18"/>
              </w:rPr>
              <w:t xml:space="preserve">versnellingspakket </w:t>
            </w:r>
            <w:r w:rsidRPr="4F840DA4">
              <w:rPr>
                <w:rFonts w:cstheme="minorBidi"/>
                <w:sz w:val="18"/>
                <w:szCs w:val="18"/>
              </w:rPr>
              <w:t xml:space="preserve">maken we een </w:t>
            </w:r>
            <w:r w:rsidRPr="4F840DA4">
              <w:rPr>
                <w:rFonts w:cstheme="minorBidi"/>
                <w:noProof/>
                <w:sz w:val="18"/>
                <w:szCs w:val="18"/>
              </w:rPr>
              <w:t>volgende stap in natuurherstel</w:t>
            </w:r>
            <w:r w:rsidRPr="4F840DA4">
              <w:rPr>
                <w:rFonts w:cstheme="minorBidi"/>
                <w:sz w:val="18"/>
                <w:szCs w:val="18"/>
              </w:rPr>
              <w:t xml:space="preserve">. </w:t>
            </w:r>
            <w:r>
              <w:rPr>
                <w:rFonts w:cstheme="minorBidi"/>
                <w:sz w:val="18"/>
                <w:szCs w:val="18"/>
              </w:rPr>
              <w:t xml:space="preserve">    </w:t>
            </w:r>
          </w:p>
          <w:p w:rsidR="00F86BA9" w:rsidP="00BA1AEF" w:rsidRDefault="00F86BA9" w14:paraId="13B64703" w14:textId="77777777">
            <w:pPr>
              <w:pStyle w:val="TableParagraph"/>
              <w:spacing w:before="10" w:line="218" w:lineRule="exact"/>
              <w:ind w:right="154"/>
              <w:rPr>
                <w:rFonts w:cstheme="minorBidi"/>
                <w:sz w:val="18"/>
                <w:szCs w:val="18"/>
              </w:rPr>
            </w:pPr>
            <w:r>
              <w:rPr>
                <w:rFonts w:cstheme="minorBidi"/>
                <w:sz w:val="18"/>
                <w:szCs w:val="18"/>
              </w:rPr>
              <w:t xml:space="preserve"> </w:t>
            </w:r>
            <w:r w:rsidRPr="4F840DA4">
              <w:rPr>
                <w:rFonts w:cstheme="minorBidi"/>
                <w:noProof/>
                <w:sz w:val="18"/>
                <w:szCs w:val="18"/>
              </w:rPr>
              <w:t>Dit pakket heeft een duidelijke relatie met</w:t>
            </w:r>
            <w:r w:rsidRPr="4F840DA4">
              <w:rPr>
                <w:rFonts w:cstheme="minorBidi"/>
                <w:sz w:val="18"/>
                <w:szCs w:val="18"/>
              </w:rPr>
              <w:t xml:space="preserve"> de middelen die het kabinet-</w:t>
            </w:r>
            <w:r>
              <w:rPr>
                <w:rFonts w:cstheme="minorBidi"/>
                <w:sz w:val="18"/>
                <w:szCs w:val="18"/>
              </w:rPr>
              <w:t xml:space="preserve"> </w:t>
            </w:r>
          </w:p>
          <w:p w:rsidR="00F86BA9" w:rsidP="00BA1AEF" w:rsidRDefault="00F86BA9" w14:paraId="13695D6A" w14:textId="77777777">
            <w:pPr>
              <w:pStyle w:val="TableParagraph"/>
              <w:spacing w:before="10" w:line="218" w:lineRule="exact"/>
              <w:ind w:right="154"/>
              <w:rPr>
                <w:rFonts w:cstheme="minorBidi"/>
                <w:sz w:val="18"/>
                <w:szCs w:val="18"/>
              </w:rPr>
            </w:pPr>
            <w:r>
              <w:rPr>
                <w:rFonts w:cstheme="minorBidi"/>
                <w:sz w:val="18"/>
                <w:szCs w:val="18"/>
              </w:rPr>
              <w:t xml:space="preserve"> </w:t>
            </w:r>
            <w:r w:rsidRPr="4F840DA4">
              <w:rPr>
                <w:rFonts w:cstheme="minorBidi"/>
                <w:sz w:val="18"/>
                <w:szCs w:val="18"/>
              </w:rPr>
              <w:t>Jetten heeft gereserveerd, waaronder 2,</w:t>
            </w:r>
            <w:r>
              <w:rPr>
                <w:rFonts w:cstheme="minorBidi"/>
                <w:sz w:val="18"/>
                <w:szCs w:val="18"/>
              </w:rPr>
              <w:t>2</w:t>
            </w:r>
            <w:r w:rsidRPr="4F840DA4">
              <w:rPr>
                <w:rFonts w:cstheme="minorBidi"/>
                <w:sz w:val="18"/>
                <w:szCs w:val="18"/>
              </w:rPr>
              <w:t xml:space="preserve"> miljard euro voor natuurherstel, -</w:t>
            </w:r>
            <w:r>
              <w:rPr>
                <w:rFonts w:cstheme="minorBidi"/>
                <w:sz w:val="18"/>
                <w:szCs w:val="18"/>
              </w:rPr>
              <w:t xml:space="preserve"> </w:t>
            </w:r>
          </w:p>
          <w:p w:rsidRPr="0062369C" w:rsidR="00F86BA9" w:rsidP="00BA1AEF" w:rsidRDefault="00F86BA9" w14:paraId="22EBDA26" w14:textId="0967EB0F">
            <w:pPr>
              <w:pStyle w:val="TableParagraph"/>
              <w:spacing w:before="10" w:line="218" w:lineRule="exact"/>
              <w:ind w:right="154"/>
              <w:rPr>
                <w:rFonts w:cstheme="minorHAnsi"/>
                <w:noProof/>
                <w:sz w:val="18"/>
                <w:szCs w:val="18"/>
              </w:rPr>
            </w:pPr>
            <w:r>
              <w:rPr>
                <w:rFonts w:cstheme="minorBidi"/>
                <w:sz w:val="18"/>
                <w:szCs w:val="18"/>
              </w:rPr>
              <w:t xml:space="preserve"> </w:t>
            </w:r>
            <w:r w:rsidRPr="4F840DA4">
              <w:rPr>
                <w:rFonts w:cstheme="minorBidi"/>
                <w:sz w:val="18"/>
                <w:szCs w:val="18"/>
              </w:rPr>
              <w:t xml:space="preserve">monitoring en -beheer. </w:t>
            </w:r>
          </w:p>
        </w:tc>
      </w:tr>
      <w:tr w:rsidRPr="005E3826" w:rsidR="00F86BA9" w:rsidTr="00BA1AEF" w14:paraId="36125BDF" w14:textId="77777777">
        <w:trPr>
          <w:trHeight w:val="797"/>
        </w:trPr>
        <w:tc>
          <w:tcPr>
            <w:tcW w:w="2150" w:type="dxa"/>
            <w:tcBorders>
              <w:left w:val="nil"/>
            </w:tcBorders>
            <w:shd w:val="clear" w:color="auto" w:fill="0070C0"/>
          </w:tcPr>
          <w:p w:rsidRPr="0062369C" w:rsidR="00F86BA9" w:rsidP="00BA1AEF" w:rsidRDefault="00F86BA9" w14:paraId="5DE16B72" w14:textId="77777777">
            <w:pPr>
              <w:pStyle w:val="TableParagraph"/>
              <w:ind w:left="103" w:right="231"/>
              <w:rPr>
                <w:rFonts w:cstheme="minorHAnsi"/>
                <w:b/>
                <w:noProof/>
                <w:color w:val="FFFFFF"/>
                <w:sz w:val="18"/>
                <w:szCs w:val="18"/>
              </w:rPr>
            </w:pPr>
          </w:p>
          <w:p w:rsidRPr="0062369C" w:rsidR="00F86BA9" w:rsidP="00F86BA9" w:rsidRDefault="00F86BA9" w14:paraId="2BE3E2C9" w14:textId="77777777">
            <w:pPr>
              <w:pStyle w:val="TableParagraph"/>
              <w:numPr>
                <w:ilvl w:val="0"/>
                <w:numId w:val="15"/>
              </w:numPr>
              <w:ind w:right="231"/>
              <w:rPr>
                <w:rFonts w:cstheme="minorHAnsi"/>
                <w:b/>
                <w:noProof/>
                <w:sz w:val="18"/>
                <w:szCs w:val="18"/>
              </w:rPr>
            </w:pPr>
            <w:r w:rsidRPr="0062369C">
              <w:rPr>
                <w:rFonts w:cstheme="minorHAnsi"/>
                <w:b/>
                <w:noProof/>
                <w:color w:val="FFFFFF"/>
                <w:sz w:val="18"/>
                <w:szCs w:val="18"/>
              </w:rPr>
              <w:t>Beleidsinstrument(en)</w:t>
            </w:r>
          </w:p>
        </w:tc>
        <w:tc>
          <w:tcPr>
            <w:tcW w:w="7158" w:type="dxa"/>
            <w:tcBorders>
              <w:right w:val="nil"/>
            </w:tcBorders>
            <w:shd w:val="clear" w:color="auto" w:fill="DAEEF3" w:themeFill="accent5" w:themeFillTint="33"/>
            <w:vAlign w:val="center"/>
          </w:tcPr>
          <w:p w:rsidR="00F86BA9" w:rsidP="00BA1AEF" w:rsidRDefault="00F86BA9" w14:paraId="608001D9" w14:textId="77777777">
            <w:pPr>
              <w:pStyle w:val="TableParagraph"/>
              <w:spacing w:line="218" w:lineRule="exact"/>
              <w:ind w:left="101" w:right="543"/>
              <w:rPr>
                <w:rFonts w:cstheme="minorHAnsi"/>
                <w:b/>
                <w:bCs/>
                <w:noProof/>
                <w:sz w:val="18"/>
                <w:szCs w:val="18"/>
              </w:rPr>
            </w:pPr>
            <w:r w:rsidRPr="0062369C">
              <w:rPr>
                <w:rFonts w:cstheme="minorHAnsi"/>
                <w:b/>
                <w:bCs/>
                <w:noProof/>
                <w:sz w:val="18"/>
                <w:szCs w:val="18"/>
              </w:rPr>
              <w:t>Welke beleidsinstrumenten worden ingezet om deze doelen te realiseren? (subsidies, leningen, een campagne, bijdrage aan een medeoverheid etc.)</w:t>
            </w:r>
          </w:p>
          <w:p w:rsidR="00F86BA9" w:rsidP="00BA1AEF" w:rsidRDefault="00F86BA9" w14:paraId="29D3D0F4" w14:textId="77777777">
            <w:pPr>
              <w:pStyle w:val="TableParagraph"/>
              <w:spacing w:line="218" w:lineRule="exact"/>
              <w:ind w:left="101" w:right="543"/>
              <w:rPr>
                <w:rFonts w:cstheme="minorHAnsi"/>
                <w:b/>
                <w:bCs/>
                <w:noProof/>
                <w:sz w:val="18"/>
                <w:szCs w:val="18"/>
              </w:rPr>
            </w:pPr>
          </w:p>
          <w:p w:rsidR="00F86BA9" w:rsidP="00BA1AEF" w:rsidRDefault="00F86BA9" w14:paraId="7835BF9E" w14:textId="77777777">
            <w:pPr>
              <w:rPr>
                <w:szCs w:val="18"/>
              </w:rPr>
            </w:pPr>
            <w:r>
              <w:rPr>
                <w:szCs w:val="18"/>
              </w:rPr>
              <w:t xml:space="preserve"> </w:t>
            </w:r>
            <w:r w:rsidRPr="002D61A9">
              <w:rPr>
                <w:szCs w:val="18"/>
              </w:rPr>
              <w:t xml:space="preserve">Het natuurherstelversnellingspakket bestaat uit een mix van instrumenten. </w:t>
            </w:r>
            <w:r>
              <w:rPr>
                <w:szCs w:val="18"/>
              </w:rPr>
              <w:t xml:space="preserve">    </w:t>
            </w:r>
          </w:p>
          <w:p w:rsidR="00F86BA9" w:rsidP="00BA1AEF" w:rsidRDefault="00F86BA9" w14:paraId="3671AE50" w14:textId="77777777">
            <w:pPr>
              <w:rPr>
                <w:szCs w:val="18"/>
              </w:rPr>
            </w:pPr>
            <w:r>
              <w:rPr>
                <w:szCs w:val="18"/>
              </w:rPr>
              <w:t xml:space="preserve"> </w:t>
            </w:r>
            <w:r w:rsidRPr="002D61A9">
              <w:rPr>
                <w:szCs w:val="18"/>
              </w:rPr>
              <w:t xml:space="preserve">Afhankelijk van het onderwerp wordt ingezet op een </w:t>
            </w:r>
            <w:r w:rsidRPr="002D61A9">
              <w:rPr>
                <w:noProof/>
                <w:szCs w:val="18"/>
              </w:rPr>
              <w:t>decentralisatie uitkering</w:t>
            </w:r>
            <w:r w:rsidRPr="002D61A9">
              <w:rPr>
                <w:szCs w:val="18"/>
              </w:rPr>
              <w:t xml:space="preserve">, </w:t>
            </w:r>
          </w:p>
          <w:p w:rsidR="00F86BA9" w:rsidP="00BA1AEF" w:rsidRDefault="00F86BA9" w14:paraId="4A7462D0" w14:textId="77777777">
            <w:pPr>
              <w:rPr>
                <w:noProof/>
                <w:szCs w:val="18"/>
              </w:rPr>
            </w:pPr>
            <w:r>
              <w:rPr>
                <w:szCs w:val="18"/>
              </w:rPr>
              <w:t xml:space="preserve"> </w:t>
            </w:r>
            <w:r w:rsidRPr="002D61A9">
              <w:rPr>
                <w:szCs w:val="18"/>
              </w:rPr>
              <w:t xml:space="preserve">een opdracht aan Staatsbosbeheer, </w:t>
            </w:r>
            <w:r w:rsidRPr="002D61A9">
              <w:rPr>
                <w:noProof/>
                <w:szCs w:val="18"/>
              </w:rPr>
              <w:t xml:space="preserve">verhoging van lopende </w:t>
            </w:r>
          </w:p>
          <w:p w:rsidRPr="0062369C" w:rsidR="00F86BA9" w:rsidP="00BA1AEF" w:rsidRDefault="00F86BA9" w14:paraId="3E03E26E" w14:textId="67C44DE5">
            <w:pPr>
              <w:rPr>
                <w:rFonts w:cstheme="minorHAnsi"/>
                <w:noProof/>
                <w:szCs w:val="18"/>
              </w:rPr>
            </w:pPr>
            <w:r>
              <w:rPr>
                <w:noProof/>
                <w:szCs w:val="18"/>
              </w:rPr>
              <w:t xml:space="preserve"> </w:t>
            </w:r>
            <w:r w:rsidRPr="002D61A9">
              <w:rPr>
                <w:noProof/>
                <w:szCs w:val="18"/>
              </w:rPr>
              <w:t xml:space="preserve">subsidieregelingen en </w:t>
            </w:r>
            <w:r w:rsidRPr="002D61A9">
              <w:rPr>
                <w:szCs w:val="18"/>
              </w:rPr>
              <w:t xml:space="preserve">het ophogen van de SPUKs van Programma Natuur. </w:t>
            </w:r>
          </w:p>
        </w:tc>
      </w:tr>
      <w:tr w:rsidRPr="005E3826" w:rsidR="00F86BA9" w:rsidTr="00BA1AEF" w14:paraId="3DCAC60C" w14:textId="77777777">
        <w:trPr>
          <w:trHeight w:val="925"/>
        </w:trPr>
        <w:tc>
          <w:tcPr>
            <w:tcW w:w="2150" w:type="dxa"/>
            <w:tcBorders>
              <w:left w:val="nil"/>
            </w:tcBorders>
            <w:shd w:val="clear" w:color="auto" w:fill="0070C0"/>
          </w:tcPr>
          <w:p w:rsidRPr="0062369C" w:rsidR="00F86BA9" w:rsidP="00BA1AEF" w:rsidRDefault="00F86BA9" w14:paraId="795B3F8B" w14:textId="77777777">
            <w:pPr>
              <w:pStyle w:val="TableParagraph"/>
              <w:ind w:left="463" w:right="231"/>
              <w:rPr>
                <w:rFonts w:cstheme="minorHAnsi"/>
                <w:b/>
                <w:noProof/>
                <w:sz w:val="18"/>
                <w:szCs w:val="18"/>
              </w:rPr>
            </w:pPr>
          </w:p>
          <w:p w:rsidRPr="0062369C" w:rsidR="00F86BA9" w:rsidP="00F86BA9" w:rsidRDefault="00F86BA9" w14:paraId="3CA1A6EA" w14:textId="77777777">
            <w:pPr>
              <w:pStyle w:val="TableParagraph"/>
              <w:numPr>
                <w:ilvl w:val="0"/>
                <w:numId w:val="15"/>
              </w:numPr>
              <w:ind w:right="231"/>
              <w:rPr>
                <w:rFonts w:cstheme="minorHAnsi"/>
                <w:b/>
                <w:noProof/>
                <w:sz w:val="18"/>
                <w:szCs w:val="18"/>
              </w:rPr>
            </w:pPr>
            <w:r w:rsidRPr="0062369C">
              <w:rPr>
                <w:rFonts w:cstheme="minorHAnsi"/>
                <w:b/>
                <w:noProof/>
                <w:color w:val="FFFFFF"/>
                <w:sz w:val="18"/>
                <w:szCs w:val="18"/>
              </w:rPr>
              <w:t>A. Financiële gevolgen voor het Rijk</w:t>
            </w:r>
          </w:p>
        </w:tc>
        <w:tc>
          <w:tcPr>
            <w:tcW w:w="7158" w:type="dxa"/>
            <w:tcBorders>
              <w:right w:val="nil"/>
            </w:tcBorders>
            <w:shd w:val="clear" w:color="auto" w:fill="DAEEF3" w:themeFill="accent5" w:themeFillTint="33"/>
            <w:vAlign w:val="center"/>
          </w:tcPr>
          <w:p w:rsidR="00F86BA9" w:rsidP="00BA1AEF" w:rsidRDefault="00F86BA9" w14:paraId="208D3CBF" w14:textId="77777777">
            <w:pPr>
              <w:pStyle w:val="TableParagraph"/>
              <w:spacing w:before="3" w:line="218" w:lineRule="exact"/>
              <w:ind w:left="101" w:right="945"/>
              <w:rPr>
                <w:rFonts w:cstheme="minorHAnsi"/>
                <w:b/>
                <w:bCs/>
                <w:noProof/>
                <w:sz w:val="18"/>
                <w:szCs w:val="18"/>
              </w:rPr>
            </w:pPr>
            <w:r w:rsidRPr="0062369C">
              <w:rPr>
                <w:rFonts w:cstheme="minorHAnsi"/>
                <w:b/>
                <w:bCs/>
                <w:noProof/>
                <w:sz w:val="18"/>
                <w:szCs w:val="18"/>
              </w:rPr>
              <w:t>Hoeveel budget is er nodig en hoeveel draagt de Rijksoverheid daaraan bij?</w:t>
            </w:r>
          </w:p>
          <w:p w:rsidR="00F86BA9" w:rsidP="00BA1AEF" w:rsidRDefault="00F86BA9" w14:paraId="656027C7" w14:textId="77777777">
            <w:pPr>
              <w:pStyle w:val="TableParagraph"/>
              <w:spacing w:before="3" w:line="218" w:lineRule="exact"/>
              <w:ind w:left="101" w:right="945"/>
              <w:rPr>
                <w:rFonts w:cstheme="minorHAnsi"/>
                <w:b/>
                <w:bCs/>
                <w:noProof/>
                <w:sz w:val="18"/>
                <w:szCs w:val="18"/>
              </w:rPr>
            </w:pPr>
          </w:p>
          <w:p w:rsidR="00F86BA9" w:rsidP="00BA1AEF" w:rsidRDefault="00F86BA9" w14:paraId="34E2E691" w14:textId="77777777">
            <w:pPr>
              <w:pStyle w:val="TableParagraph"/>
              <w:spacing w:before="3" w:line="218" w:lineRule="exact"/>
              <w:ind w:left="101" w:right="945"/>
              <w:rPr>
                <w:noProof/>
                <w:sz w:val="18"/>
                <w:szCs w:val="18"/>
              </w:rPr>
            </w:pPr>
            <w:r w:rsidRPr="00B957A3">
              <w:rPr>
                <w:sz w:val="18"/>
                <w:szCs w:val="18"/>
              </w:rPr>
              <w:t xml:space="preserve">De financiële gevolgen voor de Rijksbegroting </w:t>
            </w:r>
            <w:r w:rsidRPr="00B957A3">
              <w:rPr>
                <w:noProof/>
                <w:sz w:val="18"/>
                <w:szCs w:val="18"/>
              </w:rPr>
              <w:t>betreffen € 60 mln., waarvan € 43,5 mln. in 2026 en € 16,5 mln in 2027. De middelen in 2027 worden voor dezelfde doelen ingezet</w:t>
            </w:r>
            <w:r>
              <w:rPr>
                <w:noProof/>
                <w:sz w:val="18"/>
                <w:szCs w:val="18"/>
              </w:rPr>
              <w:t xml:space="preserve">. </w:t>
            </w:r>
          </w:p>
          <w:p w:rsidRPr="005E3826" w:rsidR="00F86BA9" w:rsidP="00BA1AEF" w:rsidRDefault="00F86BA9" w14:paraId="7FB42A61" w14:textId="77777777">
            <w:pPr>
              <w:pStyle w:val="TableParagraph"/>
              <w:spacing w:before="3" w:line="218" w:lineRule="exact"/>
              <w:ind w:left="101" w:right="945"/>
              <w:rPr>
                <w:rFonts w:cstheme="minorBidi"/>
                <w:noProof/>
                <w:sz w:val="18"/>
                <w:szCs w:val="18"/>
              </w:rPr>
            </w:pPr>
            <w:r w:rsidRPr="00B957A3">
              <w:rPr>
                <w:noProof/>
                <w:sz w:val="18"/>
                <w:szCs w:val="18"/>
              </w:rPr>
              <w:t xml:space="preserve"> </w:t>
            </w:r>
          </w:p>
        </w:tc>
      </w:tr>
      <w:tr w:rsidRPr="005E3826" w:rsidR="00F86BA9" w:rsidTr="00BA1AEF" w14:paraId="660D413C" w14:textId="77777777">
        <w:trPr>
          <w:trHeight w:val="1098"/>
        </w:trPr>
        <w:tc>
          <w:tcPr>
            <w:tcW w:w="2150" w:type="dxa"/>
            <w:tcBorders>
              <w:left w:val="nil"/>
            </w:tcBorders>
            <w:shd w:val="clear" w:color="auto" w:fill="0070C0"/>
          </w:tcPr>
          <w:p w:rsidRPr="0062369C" w:rsidR="00F86BA9" w:rsidP="00BA1AEF" w:rsidRDefault="00F86BA9" w14:paraId="271C891C" w14:textId="77777777">
            <w:pPr>
              <w:pStyle w:val="TableParagraph"/>
              <w:ind w:left="463" w:right="231"/>
              <w:rPr>
                <w:rFonts w:cstheme="minorHAnsi"/>
                <w:b/>
                <w:noProof/>
                <w:sz w:val="18"/>
                <w:szCs w:val="18"/>
              </w:rPr>
            </w:pPr>
          </w:p>
          <w:p w:rsidRPr="0062369C" w:rsidR="00F86BA9" w:rsidP="00F86BA9" w:rsidRDefault="00F86BA9" w14:paraId="0CC4CD58" w14:textId="77777777">
            <w:pPr>
              <w:pStyle w:val="TableParagraph"/>
              <w:numPr>
                <w:ilvl w:val="0"/>
                <w:numId w:val="15"/>
              </w:numPr>
              <w:ind w:right="231"/>
              <w:rPr>
                <w:rFonts w:cstheme="minorHAnsi"/>
                <w:b/>
                <w:noProof/>
                <w:sz w:val="18"/>
                <w:szCs w:val="18"/>
              </w:rPr>
            </w:pPr>
            <w:r w:rsidRPr="0062369C">
              <w:rPr>
                <w:rFonts w:cstheme="minorHAnsi"/>
                <w:b/>
                <w:noProof/>
                <w:color w:val="FFFFFF"/>
                <w:sz w:val="18"/>
                <w:szCs w:val="18"/>
              </w:rPr>
              <w:t>Nagestreefde doeltreffendheid</w:t>
            </w:r>
          </w:p>
        </w:tc>
        <w:tc>
          <w:tcPr>
            <w:tcW w:w="7158" w:type="dxa"/>
            <w:tcBorders>
              <w:right w:val="nil"/>
            </w:tcBorders>
            <w:shd w:val="clear" w:color="auto" w:fill="DAEEF3" w:themeFill="accent5" w:themeFillTint="33"/>
            <w:vAlign w:val="center"/>
          </w:tcPr>
          <w:p w:rsidR="00F86BA9" w:rsidP="00BA1AEF" w:rsidRDefault="00F86BA9" w14:paraId="75065819" w14:textId="77777777">
            <w:pPr>
              <w:pStyle w:val="TableParagraph"/>
              <w:spacing w:before="4" w:line="218" w:lineRule="exact"/>
              <w:ind w:left="101" w:right="166"/>
              <w:rPr>
                <w:rFonts w:cstheme="minorHAnsi"/>
                <w:b/>
                <w:bCs/>
                <w:noProof/>
                <w:sz w:val="18"/>
                <w:szCs w:val="18"/>
              </w:rPr>
            </w:pPr>
            <w:r w:rsidRPr="0062369C">
              <w:rPr>
                <w:rFonts w:cstheme="minorHAnsi"/>
                <w:b/>
                <w:bCs/>
                <w:noProof/>
                <w:sz w:val="18"/>
                <w:szCs w:val="18"/>
              </w:rPr>
              <w:t>Op welke wijze en in welke mate wordt verwacht dat het beleidsinstrumentarium gaat bijdragen aan de beoogde prestaties en effecten? (beknopte beleidstheorie)</w:t>
            </w:r>
          </w:p>
          <w:p w:rsidR="00F86BA9" w:rsidP="00BA1AEF" w:rsidRDefault="00F86BA9" w14:paraId="0F6E9A97" w14:textId="77777777">
            <w:pPr>
              <w:pStyle w:val="TableParagraph"/>
              <w:spacing w:before="4" w:line="218" w:lineRule="exact"/>
              <w:ind w:left="101" w:right="166"/>
              <w:rPr>
                <w:rFonts w:cstheme="minorHAnsi"/>
                <w:b/>
                <w:bCs/>
                <w:noProof/>
                <w:sz w:val="18"/>
                <w:szCs w:val="18"/>
              </w:rPr>
            </w:pPr>
          </w:p>
          <w:p w:rsidR="00F86BA9" w:rsidP="00BA1AEF" w:rsidRDefault="00F86BA9" w14:paraId="444CC02C" w14:textId="77777777">
            <w:pPr>
              <w:rPr>
                <w:szCs w:val="18"/>
              </w:rPr>
            </w:pPr>
            <w:r>
              <w:rPr>
                <w:szCs w:val="18"/>
              </w:rPr>
              <w:t xml:space="preserve"> Per onderwerp wordt kort aangegeven hoe inzet bijdraagt aan de </w:t>
            </w:r>
          </w:p>
          <w:p w:rsidR="00F86BA9" w:rsidP="00BA1AEF" w:rsidRDefault="00F86BA9" w14:paraId="212D4EBA" w14:textId="5DE8F34A">
            <w:pPr>
              <w:rPr>
                <w:szCs w:val="18"/>
              </w:rPr>
            </w:pPr>
            <w:r>
              <w:rPr>
                <w:szCs w:val="18"/>
              </w:rPr>
              <w:t xml:space="preserve"> natuurdoelen: </w:t>
            </w:r>
          </w:p>
          <w:p w:rsidRPr="00657B96" w:rsidR="00F86BA9" w:rsidP="00F86BA9" w:rsidRDefault="00F86BA9" w14:paraId="6231EE11" w14:textId="77777777">
            <w:pPr>
              <w:pStyle w:val="Lijstalinea"/>
              <w:numPr>
                <w:ilvl w:val="0"/>
                <w:numId w:val="16"/>
              </w:numPr>
              <w:rPr>
                <w:rFonts w:ascii="Verdana" w:hAnsi="Verdana"/>
                <w:sz w:val="18"/>
                <w:szCs w:val="18"/>
                <w:lang w:val="nl-NL"/>
              </w:rPr>
            </w:pPr>
            <w:r w:rsidRPr="00657B96">
              <w:rPr>
                <w:rFonts w:ascii="Verdana" w:hAnsi="Verdana"/>
                <w:sz w:val="18"/>
                <w:szCs w:val="18"/>
                <w:lang w:val="nl-NL"/>
              </w:rPr>
              <w:t xml:space="preserve">Natuurherstelmaatregelen met focus op hydrologie: betreft maatregelen </w:t>
            </w:r>
            <w:r w:rsidRPr="007E4D26">
              <w:rPr>
                <w:rFonts w:ascii="Verdana" w:hAnsi="Verdana"/>
                <w:sz w:val="18"/>
                <w:szCs w:val="18"/>
                <w:lang w:val="nl-NL"/>
              </w:rPr>
              <w:t>ten behoeve van</w:t>
            </w:r>
            <w:r w:rsidRPr="00657B96">
              <w:rPr>
                <w:rFonts w:ascii="Verdana" w:hAnsi="Verdana"/>
                <w:sz w:val="18"/>
                <w:szCs w:val="18"/>
                <w:lang w:val="nl-NL"/>
              </w:rPr>
              <w:t> de 133 gebieden met stikstofgevoelige habitats, te prioriteren op de meest urgente gebieden om maatregelen uit te voeren om verslechtering te stoppen. Daarbij zal gestuurd worden op een effectieve aanpak, met een aantoonbaar geborgd pakket aan natuurmaatregelen per gebied waar er samenhang is met de bronaanpak stikstof. Er kan hiermee een belangrijke stap gezet worden om verslechtering in de meest urgente gebieden te stoppen. </w:t>
            </w:r>
          </w:p>
          <w:p w:rsidRPr="00657B96" w:rsidR="00F86BA9" w:rsidP="00F86BA9" w:rsidRDefault="00F86BA9" w14:paraId="3086DA5E" w14:textId="77777777">
            <w:pPr>
              <w:pStyle w:val="Lijstalinea"/>
              <w:numPr>
                <w:ilvl w:val="0"/>
                <w:numId w:val="16"/>
              </w:numPr>
              <w:rPr>
                <w:rFonts w:ascii="Verdana" w:hAnsi="Verdana"/>
                <w:sz w:val="18"/>
                <w:szCs w:val="18"/>
                <w:lang w:val="nl-NL"/>
              </w:rPr>
            </w:pPr>
            <w:r w:rsidRPr="00657B96">
              <w:rPr>
                <w:rFonts w:ascii="Verdana" w:hAnsi="Verdana"/>
                <w:sz w:val="18"/>
                <w:szCs w:val="18"/>
                <w:lang w:val="nl-NL"/>
              </w:rPr>
              <w:t>Bosrevita</w:t>
            </w:r>
            <w:r>
              <w:rPr>
                <w:rFonts w:ascii="Verdana" w:hAnsi="Verdana"/>
                <w:sz w:val="18"/>
                <w:szCs w:val="18"/>
                <w:lang w:val="nl-NL"/>
              </w:rPr>
              <w:t>li</w:t>
            </w:r>
            <w:r w:rsidRPr="00657B96">
              <w:rPr>
                <w:rFonts w:ascii="Verdana" w:hAnsi="Verdana"/>
                <w:sz w:val="18"/>
                <w:szCs w:val="18"/>
                <w:lang w:val="nl-NL"/>
              </w:rPr>
              <w:t xml:space="preserve">sering: </w:t>
            </w:r>
            <w:r w:rsidRPr="4F840DA4">
              <w:rPr>
                <w:rFonts w:ascii="Verdana" w:hAnsi="Verdana"/>
                <w:sz w:val="18"/>
                <w:szCs w:val="18"/>
                <w:lang w:val="nl-NL"/>
              </w:rPr>
              <w:t xml:space="preserve">betreft maatregelen in het kader van de bossenstrategie </w:t>
            </w:r>
            <w:r w:rsidRPr="00657B96">
              <w:rPr>
                <w:rFonts w:ascii="Verdana" w:hAnsi="Verdana"/>
                <w:sz w:val="18"/>
                <w:szCs w:val="18"/>
                <w:lang w:val="nl-NL"/>
              </w:rPr>
              <w:t xml:space="preserve">om zowel natuur- als klimaatdoelen </w:t>
            </w:r>
            <w:r w:rsidRPr="4F840DA4">
              <w:rPr>
                <w:rFonts w:ascii="Verdana" w:hAnsi="Verdana"/>
                <w:sz w:val="18"/>
                <w:szCs w:val="18"/>
                <w:lang w:val="nl-NL"/>
              </w:rPr>
              <w:t xml:space="preserve">te behalen </w:t>
            </w:r>
            <w:r w:rsidRPr="00657B96">
              <w:rPr>
                <w:rFonts w:ascii="Verdana" w:hAnsi="Verdana"/>
                <w:sz w:val="18"/>
                <w:szCs w:val="18"/>
                <w:lang w:val="nl-NL"/>
              </w:rPr>
              <w:t>door de kwaliteit en veerkracht van bestaande bossen te versterken.</w:t>
            </w:r>
          </w:p>
          <w:p w:rsidRPr="00657B96" w:rsidR="00F86BA9" w:rsidP="00F86BA9" w:rsidRDefault="00F86BA9" w14:paraId="407419F8" w14:textId="77777777">
            <w:pPr>
              <w:pStyle w:val="Lijstalinea"/>
              <w:numPr>
                <w:ilvl w:val="0"/>
                <w:numId w:val="16"/>
              </w:numPr>
              <w:rPr>
                <w:rFonts w:ascii="Verdana" w:hAnsi="Verdana"/>
                <w:sz w:val="18"/>
                <w:szCs w:val="18"/>
                <w:lang w:val="nl-NL"/>
              </w:rPr>
            </w:pPr>
            <w:r w:rsidRPr="00657B96">
              <w:rPr>
                <w:rFonts w:ascii="Verdana" w:hAnsi="Verdana"/>
                <w:sz w:val="18"/>
                <w:szCs w:val="18"/>
                <w:lang w:val="nl-NL"/>
              </w:rPr>
              <w:t>Aanpak Invasieve exoten: betreft maatregelen van het Landelijk Aanvalsplan Invasieve Exoten. Dit plan richt zich op de preventie en vroege eliminatie van deze soorten om schade aan de biodiversiteit en ecosysteemdiensten te voorkomen.</w:t>
            </w:r>
          </w:p>
          <w:p w:rsidRPr="00657B96" w:rsidR="00F86BA9" w:rsidP="00F86BA9" w:rsidRDefault="00F86BA9" w14:paraId="4115266C" w14:textId="77777777">
            <w:pPr>
              <w:pStyle w:val="Lijstalinea"/>
              <w:numPr>
                <w:ilvl w:val="0"/>
                <w:numId w:val="16"/>
              </w:numPr>
              <w:rPr>
                <w:rFonts w:ascii="Verdana" w:hAnsi="Verdana"/>
                <w:sz w:val="18"/>
                <w:szCs w:val="18"/>
                <w:lang w:val="nl-NL"/>
              </w:rPr>
            </w:pPr>
            <w:r w:rsidRPr="00657B96">
              <w:rPr>
                <w:rFonts w:ascii="Verdana" w:hAnsi="Verdana"/>
                <w:sz w:val="18"/>
                <w:szCs w:val="18"/>
                <w:lang w:val="nl-NL"/>
              </w:rPr>
              <w:t>Natuurherstel Grote Wateren: De middelen zorgen voor een groter natuur doelbereik bij lopende projecten die worden gefinancierd vanuit het Deltafonds. Hiermee wordt een integrale aanpak geborgd, waarbij naast waterveiligheid ook synergie met natuurdoelen wordt gerealiseerd.</w:t>
            </w:r>
          </w:p>
          <w:p w:rsidRPr="00657B96" w:rsidR="00F86BA9" w:rsidP="00F86BA9" w:rsidRDefault="00F86BA9" w14:paraId="636FC337" w14:textId="77777777">
            <w:pPr>
              <w:pStyle w:val="Lijstalinea"/>
              <w:numPr>
                <w:ilvl w:val="0"/>
                <w:numId w:val="16"/>
              </w:numPr>
              <w:rPr>
                <w:rFonts w:ascii="Verdana" w:hAnsi="Verdana"/>
                <w:sz w:val="18"/>
                <w:szCs w:val="18"/>
                <w:lang w:val="nl-NL"/>
              </w:rPr>
            </w:pPr>
            <w:r w:rsidRPr="00657B96">
              <w:rPr>
                <w:rFonts w:ascii="Verdana" w:hAnsi="Verdana"/>
                <w:sz w:val="18"/>
                <w:szCs w:val="18"/>
                <w:lang w:val="nl-NL"/>
              </w:rPr>
              <w:t xml:space="preserve">GBDA SBB-gronden: maatregelen </w:t>
            </w:r>
            <w:r w:rsidRPr="4F840DA4">
              <w:rPr>
                <w:rFonts w:ascii="Verdana" w:hAnsi="Verdana"/>
                <w:sz w:val="18"/>
                <w:szCs w:val="18"/>
                <w:lang w:val="nl-NL"/>
              </w:rPr>
              <w:t>ten behoeve van een netwerk van landschapselementen waarbij wordt ingezet op</w:t>
            </w:r>
            <w:r w:rsidRPr="00657B96">
              <w:rPr>
                <w:rFonts w:ascii="Verdana" w:hAnsi="Verdana"/>
                <w:sz w:val="18"/>
                <w:szCs w:val="18"/>
                <w:lang w:val="nl-NL"/>
              </w:rPr>
              <w:t xml:space="preserve"> 30% herstel van bestaande </w:t>
            </w:r>
            <w:r w:rsidRPr="4F840DA4">
              <w:rPr>
                <w:rFonts w:ascii="Verdana" w:hAnsi="Verdana"/>
                <w:sz w:val="18"/>
                <w:szCs w:val="18"/>
                <w:lang w:val="nl-NL"/>
              </w:rPr>
              <w:t>landschapselementen</w:t>
            </w:r>
            <w:r w:rsidRPr="00657B96">
              <w:rPr>
                <w:rFonts w:ascii="Verdana" w:hAnsi="Verdana"/>
                <w:sz w:val="18"/>
                <w:szCs w:val="18"/>
                <w:lang w:val="nl-NL"/>
              </w:rPr>
              <w:t xml:space="preserve"> en 70% </w:t>
            </w:r>
            <w:r w:rsidRPr="4F840DA4">
              <w:rPr>
                <w:rFonts w:ascii="Verdana" w:hAnsi="Verdana"/>
                <w:sz w:val="18"/>
                <w:szCs w:val="18"/>
                <w:lang w:val="nl-NL"/>
              </w:rPr>
              <w:t>nieuwe aanleg.</w:t>
            </w:r>
            <w:r w:rsidRPr="00657B96">
              <w:rPr>
                <w:rFonts w:ascii="Verdana" w:hAnsi="Verdana"/>
                <w:sz w:val="18"/>
                <w:szCs w:val="18"/>
                <w:lang w:val="nl-NL"/>
              </w:rPr>
              <w:t xml:space="preserve"> GBDA draagt bij aan zowel natuur-, klimaat- als waterdoelen. </w:t>
            </w:r>
          </w:p>
          <w:p w:rsidRPr="00657B96" w:rsidR="00F86BA9" w:rsidP="00F86BA9" w:rsidRDefault="00F86BA9" w14:paraId="51A107D8" w14:textId="77777777">
            <w:pPr>
              <w:pStyle w:val="Lijstalinea"/>
              <w:numPr>
                <w:ilvl w:val="0"/>
                <w:numId w:val="16"/>
              </w:numPr>
              <w:rPr>
                <w:rFonts w:ascii="Verdana" w:hAnsi="Verdana"/>
                <w:sz w:val="18"/>
                <w:szCs w:val="18"/>
                <w:lang w:val="nl-NL"/>
              </w:rPr>
            </w:pPr>
            <w:r w:rsidRPr="00657B96">
              <w:rPr>
                <w:rFonts w:ascii="Verdana" w:hAnsi="Verdana"/>
                <w:sz w:val="18"/>
                <w:szCs w:val="18"/>
                <w:lang w:val="nl-NL"/>
              </w:rPr>
              <w:t>Aanleg Bijenlandschap: betreft maatregelen voor het versterken van leefgebieden en zorgen voor voedsel en nestgelegenheid voor bestuivers. Eerdere projecten tonen aan dat dit al binnen twee jaar kan leiden tot een toename van het aantal bestuivers en sluiten aan bij de Natuurherstelverordening.</w:t>
            </w:r>
          </w:p>
          <w:p w:rsidRPr="0062369C" w:rsidR="00F86BA9" w:rsidP="00BA1AEF" w:rsidRDefault="00F86BA9" w14:paraId="29B6D4C5" w14:textId="77777777">
            <w:pPr>
              <w:pStyle w:val="TableParagraph"/>
              <w:spacing w:before="3" w:line="218" w:lineRule="exact"/>
              <w:ind w:right="945"/>
              <w:rPr>
                <w:rFonts w:cstheme="minorHAnsi"/>
                <w:b/>
                <w:bCs/>
                <w:noProof/>
                <w:sz w:val="18"/>
                <w:szCs w:val="18"/>
              </w:rPr>
            </w:pPr>
          </w:p>
        </w:tc>
      </w:tr>
      <w:tr w:rsidRPr="005E3826" w:rsidR="00F86BA9" w:rsidTr="00BA1AEF" w14:paraId="02CA6802" w14:textId="77777777">
        <w:trPr>
          <w:trHeight w:val="1130"/>
        </w:trPr>
        <w:tc>
          <w:tcPr>
            <w:tcW w:w="2150" w:type="dxa"/>
            <w:tcBorders>
              <w:left w:val="nil"/>
            </w:tcBorders>
            <w:shd w:val="clear" w:color="auto" w:fill="0070C0"/>
          </w:tcPr>
          <w:p w:rsidRPr="0062369C" w:rsidR="00F86BA9" w:rsidP="00BA1AEF" w:rsidRDefault="00F86BA9" w14:paraId="258C996D" w14:textId="77777777">
            <w:pPr>
              <w:pStyle w:val="TableParagraph"/>
              <w:rPr>
                <w:rFonts w:cstheme="minorHAnsi"/>
                <w:i/>
                <w:noProof/>
                <w:sz w:val="18"/>
                <w:szCs w:val="18"/>
              </w:rPr>
            </w:pPr>
          </w:p>
          <w:p w:rsidRPr="0062369C" w:rsidR="00F86BA9" w:rsidP="00F86BA9" w:rsidRDefault="00F86BA9" w14:paraId="1DE6C364" w14:textId="77777777">
            <w:pPr>
              <w:pStyle w:val="TableParagraph"/>
              <w:numPr>
                <w:ilvl w:val="0"/>
                <w:numId w:val="15"/>
              </w:numPr>
              <w:ind w:right="231"/>
              <w:rPr>
                <w:rFonts w:cstheme="minorHAnsi"/>
                <w:b/>
                <w:noProof/>
                <w:sz w:val="18"/>
                <w:szCs w:val="18"/>
              </w:rPr>
            </w:pPr>
            <w:r w:rsidRPr="0062369C">
              <w:rPr>
                <w:rFonts w:cstheme="minorHAnsi"/>
                <w:b/>
                <w:noProof/>
                <w:color w:val="FFFFFF"/>
                <w:sz w:val="18"/>
                <w:szCs w:val="18"/>
              </w:rPr>
              <w:t>Nagestreefde doelmatigheid</w:t>
            </w:r>
          </w:p>
        </w:tc>
        <w:tc>
          <w:tcPr>
            <w:tcW w:w="7158" w:type="dxa"/>
            <w:tcBorders>
              <w:right w:val="nil"/>
            </w:tcBorders>
            <w:shd w:val="clear" w:color="auto" w:fill="DAEEF3" w:themeFill="accent5" w:themeFillTint="33"/>
            <w:vAlign w:val="center"/>
          </w:tcPr>
          <w:p w:rsidR="00F86BA9" w:rsidP="00BA1AEF" w:rsidRDefault="00F86BA9" w14:paraId="38E2902C" w14:textId="77777777">
            <w:pPr>
              <w:pStyle w:val="TableParagraph"/>
              <w:spacing w:line="213" w:lineRule="exact"/>
              <w:ind w:left="101"/>
              <w:rPr>
                <w:rFonts w:cstheme="minorHAnsi"/>
                <w:b/>
                <w:bCs/>
                <w:noProof/>
                <w:sz w:val="18"/>
                <w:szCs w:val="18"/>
              </w:rPr>
            </w:pPr>
            <w:r w:rsidRPr="0062369C">
              <w:rPr>
                <w:rFonts w:cstheme="minorHAnsi"/>
                <w:b/>
                <w:bCs/>
                <w:noProof/>
                <w:sz w:val="18"/>
                <w:szCs w:val="18"/>
              </w:rPr>
              <w:t>Waarom is het voorgestelde instrumentarium een efficiënte manier om de beoogde prestaties en effecten te bereiken?</w:t>
            </w:r>
          </w:p>
          <w:p w:rsidR="00F86BA9" w:rsidP="00BA1AEF" w:rsidRDefault="00F86BA9" w14:paraId="66C1AE57" w14:textId="77777777">
            <w:pPr>
              <w:pStyle w:val="TableParagraph"/>
              <w:spacing w:line="213" w:lineRule="exact"/>
              <w:ind w:left="101"/>
              <w:rPr>
                <w:rFonts w:cstheme="minorHAnsi"/>
                <w:b/>
                <w:bCs/>
                <w:noProof/>
                <w:sz w:val="18"/>
                <w:szCs w:val="18"/>
              </w:rPr>
            </w:pPr>
          </w:p>
          <w:p w:rsidRPr="002A048B" w:rsidR="00F86BA9" w:rsidP="00BA1AEF" w:rsidRDefault="00F86BA9" w14:paraId="2F4A2EF3" w14:textId="77777777">
            <w:pPr>
              <w:pStyle w:val="TableParagraph"/>
              <w:spacing w:line="213" w:lineRule="exact"/>
              <w:ind w:left="101"/>
              <w:rPr>
                <w:rFonts w:cstheme="minorBidi"/>
                <w:b/>
                <w:sz w:val="18"/>
                <w:szCs w:val="18"/>
              </w:rPr>
            </w:pPr>
            <w:r w:rsidRPr="4DEB5C80">
              <w:rPr>
                <w:rFonts w:cstheme="minorBidi"/>
                <w:sz w:val="18"/>
                <w:szCs w:val="18"/>
              </w:rPr>
              <w:t>Het versnellingspakket zet breed in op verschillende urgente natuuropgaven, met als belangrijkste voorwaarde dat plannen en projecten startklaar zijn en kunnen worden gerealiseerd in 2026</w:t>
            </w:r>
            <w:r w:rsidRPr="4DEB5C80">
              <w:rPr>
                <w:rFonts w:cstheme="minorBidi"/>
                <w:noProof/>
                <w:sz w:val="18"/>
                <w:szCs w:val="18"/>
              </w:rPr>
              <w:t xml:space="preserve"> en 2027. Hierbij</w:t>
            </w:r>
            <w:r w:rsidRPr="4DEB5C80">
              <w:rPr>
                <w:rFonts w:cstheme="minorBidi"/>
                <w:sz w:val="18"/>
                <w:szCs w:val="18"/>
              </w:rPr>
              <w:t xml:space="preserve"> wordt de inzet over de uitvoerende partners verspreid, zodat een gebrek aan capaciteit bij bijvoorbeeld </w:t>
            </w:r>
            <w:r w:rsidRPr="4DEB5C80">
              <w:rPr>
                <w:rFonts w:cstheme="minorBidi"/>
                <w:noProof/>
                <w:sz w:val="18"/>
                <w:szCs w:val="18"/>
              </w:rPr>
              <w:t>terreinbeherende organisaties</w:t>
            </w:r>
            <w:r w:rsidRPr="4DEB5C80">
              <w:rPr>
                <w:rFonts w:cstheme="minorBidi"/>
                <w:sz w:val="18"/>
                <w:szCs w:val="18"/>
              </w:rPr>
              <w:t xml:space="preserve"> zo min mogelijk een knelpunt vormt. Ook zijn de projecten van incidentele aard, aangezien bij de augustusbesluitvorming wordt besloten over de </w:t>
            </w:r>
            <w:r w:rsidRPr="4DEB5C80">
              <w:rPr>
                <w:rFonts w:cstheme="minorBidi"/>
                <w:noProof/>
                <w:sz w:val="18"/>
                <w:szCs w:val="18"/>
              </w:rPr>
              <w:t>langjarige</w:t>
            </w:r>
            <w:r w:rsidRPr="4DEB5C80">
              <w:rPr>
                <w:rFonts w:cstheme="minorBidi"/>
                <w:sz w:val="18"/>
                <w:szCs w:val="18"/>
              </w:rPr>
              <w:t xml:space="preserve"> inzet van de natuur middelen </w:t>
            </w:r>
            <w:r w:rsidRPr="4DEB5C80">
              <w:rPr>
                <w:rFonts w:cstheme="minorBidi"/>
                <w:noProof/>
                <w:sz w:val="18"/>
                <w:szCs w:val="18"/>
              </w:rPr>
              <w:t xml:space="preserve">uit het Coalitieakkoord </w:t>
            </w:r>
            <w:r w:rsidRPr="4DEB5C80">
              <w:rPr>
                <w:rFonts w:cstheme="minorBidi"/>
                <w:sz w:val="18"/>
                <w:szCs w:val="18"/>
              </w:rPr>
              <w:t xml:space="preserve">vanaf 2027.  </w:t>
            </w:r>
          </w:p>
          <w:p w:rsidRPr="0062369C" w:rsidR="00F86BA9" w:rsidP="00BA1AEF" w:rsidRDefault="00F86BA9" w14:paraId="4BF7F6F8" w14:textId="77777777">
            <w:pPr>
              <w:pStyle w:val="TableParagraph"/>
              <w:spacing w:line="213" w:lineRule="exact"/>
              <w:rPr>
                <w:rFonts w:cstheme="minorHAnsi"/>
                <w:noProof/>
                <w:sz w:val="18"/>
                <w:szCs w:val="18"/>
              </w:rPr>
            </w:pPr>
          </w:p>
        </w:tc>
      </w:tr>
      <w:tr w:rsidRPr="005E3826" w:rsidR="00F86BA9" w:rsidTr="00BA1AEF" w14:paraId="68615E1A" w14:textId="77777777">
        <w:trPr>
          <w:trHeight w:val="1130"/>
        </w:trPr>
        <w:tc>
          <w:tcPr>
            <w:tcW w:w="2150" w:type="dxa"/>
            <w:tcBorders>
              <w:left w:val="nil"/>
            </w:tcBorders>
            <w:shd w:val="clear" w:color="auto" w:fill="0070C0"/>
          </w:tcPr>
          <w:p w:rsidRPr="0062369C" w:rsidR="00F86BA9" w:rsidP="00BA1AEF" w:rsidRDefault="00F86BA9" w14:paraId="2A04B506" w14:textId="77777777">
            <w:pPr>
              <w:pStyle w:val="TableParagraph"/>
              <w:ind w:left="103" w:right="1066"/>
              <w:rPr>
                <w:rFonts w:cstheme="minorHAnsi"/>
                <w:b/>
                <w:noProof/>
                <w:color w:val="FFFFFF"/>
                <w:sz w:val="18"/>
                <w:szCs w:val="18"/>
              </w:rPr>
            </w:pPr>
          </w:p>
          <w:p w:rsidRPr="0062369C" w:rsidR="00F86BA9" w:rsidP="00F86BA9" w:rsidRDefault="00F86BA9" w14:paraId="11A165AD" w14:textId="77777777">
            <w:pPr>
              <w:pStyle w:val="TableParagraph"/>
              <w:numPr>
                <w:ilvl w:val="0"/>
                <w:numId w:val="15"/>
              </w:numPr>
              <w:ind w:right="231"/>
              <w:rPr>
                <w:rFonts w:cstheme="minorHAnsi"/>
                <w:noProof/>
                <w:sz w:val="18"/>
                <w:szCs w:val="18"/>
              </w:rPr>
            </w:pPr>
            <w:r w:rsidRPr="0062369C">
              <w:rPr>
                <w:rFonts w:cstheme="minorHAnsi"/>
                <w:b/>
                <w:noProof/>
                <w:color w:val="FFFFFF"/>
                <w:sz w:val="18"/>
                <w:szCs w:val="18"/>
              </w:rPr>
              <w:t>Evaluatieparagraaf</w:t>
            </w:r>
          </w:p>
        </w:tc>
        <w:tc>
          <w:tcPr>
            <w:tcW w:w="7158" w:type="dxa"/>
            <w:tcBorders>
              <w:right w:val="nil"/>
            </w:tcBorders>
            <w:shd w:val="clear" w:color="auto" w:fill="DAEEF3" w:themeFill="accent5" w:themeFillTint="33"/>
            <w:vAlign w:val="center"/>
          </w:tcPr>
          <w:p w:rsidR="00F86BA9" w:rsidP="00BA1AEF" w:rsidRDefault="00F86BA9" w14:paraId="77C654B1" w14:textId="77777777">
            <w:pPr>
              <w:pStyle w:val="TableParagraph"/>
              <w:spacing w:line="213" w:lineRule="exact"/>
              <w:ind w:left="101"/>
              <w:rPr>
                <w:rFonts w:cstheme="minorHAnsi"/>
                <w:b/>
                <w:bCs/>
                <w:noProof/>
                <w:sz w:val="18"/>
                <w:szCs w:val="18"/>
              </w:rPr>
            </w:pPr>
            <w:r w:rsidRPr="0062369C">
              <w:rPr>
                <w:rFonts w:cstheme="minorHAnsi"/>
                <w:b/>
                <w:bCs/>
                <w:noProof/>
                <w:sz w:val="18"/>
                <w:szCs w:val="18"/>
              </w:rPr>
              <w:t>Hoe wordt het voorstel gemonitord en geëvalueerd?</w:t>
            </w:r>
          </w:p>
          <w:p w:rsidR="00F86BA9" w:rsidP="00BA1AEF" w:rsidRDefault="00F86BA9" w14:paraId="0EAC0902" w14:textId="77777777">
            <w:pPr>
              <w:pStyle w:val="TableParagraph"/>
              <w:spacing w:line="213" w:lineRule="exact"/>
              <w:ind w:left="101"/>
              <w:rPr>
                <w:rFonts w:cstheme="minorHAnsi"/>
                <w:b/>
                <w:bCs/>
                <w:noProof/>
                <w:sz w:val="18"/>
                <w:szCs w:val="18"/>
              </w:rPr>
            </w:pPr>
          </w:p>
          <w:p w:rsidRPr="0062369C" w:rsidR="00F86BA9" w:rsidP="00BA1AEF" w:rsidRDefault="00F86BA9" w14:paraId="78E24B32" w14:textId="77777777">
            <w:pPr>
              <w:pStyle w:val="TableParagraph"/>
              <w:spacing w:line="213" w:lineRule="exact"/>
              <w:ind w:left="101"/>
              <w:rPr>
                <w:rFonts w:cstheme="minorHAnsi"/>
                <w:noProof/>
                <w:sz w:val="18"/>
                <w:szCs w:val="18"/>
              </w:rPr>
            </w:pPr>
            <w:r>
              <w:rPr>
                <w:rFonts w:cstheme="minorHAnsi"/>
                <w:noProof/>
                <w:sz w:val="18"/>
                <w:szCs w:val="18"/>
              </w:rPr>
              <w:t xml:space="preserve">Dit is afhankelijk per onderwerp en inzet van beleidsinstrument. Waar monitoring en evaluatie niet is geborgd middels het beleidsinstrument, zullen afspraken worden gemaakt met de uitvoerende partners over monitoring als onderdeel van de plan-do-check-act cycle van Rijksbeleid. </w:t>
            </w:r>
          </w:p>
          <w:p w:rsidRPr="0062369C" w:rsidR="00F86BA9" w:rsidP="00BA1AEF" w:rsidRDefault="00F86BA9" w14:paraId="1C6BA338" w14:textId="77777777">
            <w:pPr>
              <w:pStyle w:val="TableParagraph"/>
              <w:spacing w:line="213" w:lineRule="exact"/>
              <w:rPr>
                <w:rFonts w:cstheme="minorHAnsi"/>
                <w:b/>
                <w:bCs/>
                <w:noProof/>
                <w:sz w:val="18"/>
                <w:szCs w:val="18"/>
              </w:rPr>
            </w:pPr>
          </w:p>
        </w:tc>
      </w:tr>
    </w:tbl>
    <w:p w:rsidRPr="00F86BA9" w:rsidR="00F86BA9" w:rsidP="00810C93" w:rsidRDefault="00F86BA9" w14:paraId="76F7666F" w14:textId="77777777">
      <w:pPr>
        <w:rPr>
          <w:b/>
          <w:bCs/>
        </w:rPr>
      </w:pPr>
    </w:p>
    <w:p w:rsidR="00144B73" w:rsidP="00810C93" w:rsidRDefault="00144B73" w14:paraId="6BDD69C3" w14:textId="77777777"/>
    <w:p w:rsidRPr="00144B73" w:rsidR="00144B73" w:rsidP="00810C93" w:rsidRDefault="00144B73" w14:paraId="282F60F7" w14:textId="77777777">
      <w:pPr>
        <w:rPr>
          <w:i/>
          <w:iCs/>
        </w:rPr>
      </w:pPr>
    </w:p>
    <w:sectPr w:rsidRPr="00144B73" w:rsidR="00144B73"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6CF2C" w14:textId="77777777" w:rsidR="005B7E69" w:rsidRDefault="005B7E69">
      <w:r>
        <w:separator/>
      </w:r>
    </w:p>
    <w:p w14:paraId="10A6CD23" w14:textId="77777777" w:rsidR="005B7E69" w:rsidRDefault="005B7E69"/>
  </w:endnote>
  <w:endnote w:type="continuationSeparator" w:id="0">
    <w:p w14:paraId="48C62697" w14:textId="77777777" w:rsidR="005B7E69" w:rsidRDefault="005B7E69">
      <w:r>
        <w:continuationSeparator/>
      </w:r>
    </w:p>
    <w:p w14:paraId="74C342B3" w14:textId="77777777" w:rsidR="005B7E69" w:rsidRDefault="005B7E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860F" w14:textId="77777777" w:rsidR="00D911FD" w:rsidRDefault="00D911F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724A1"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CB3DE1" w14:paraId="5A2065C4" w14:textId="77777777" w:rsidTr="00CA6A25">
      <w:trPr>
        <w:trHeight w:hRule="exact" w:val="240"/>
      </w:trPr>
      <w:tc>
        <w:tcPr>
          <w:tcW w:w="7601" w:type="dxa"/>
        </w:tcPr>
        <w:p w14:paraId="0D65106E" w14:textId="77777777" w:rsidR="00527BD4" w:rsidRDefault="00527BD4" w:rsidP="003F1F6B">
          <w:pPr>
            <w:pStyle w:val="Huisstijl-Rubricering"/>
          </w:pPr>
        </w:p>
      </w:tc>
      <w:tc>
        <w:tcPr>
          <w:tcW w:w="2156" w:type="dxa"/>
        </w:tcPr>
        <w:p w14:paraId="7933FA90" w14:textId="33A04B8C" w:rsidR="00527BD4" w:rsidRPr="00645414" w:rsidRDefault="003E3C57"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D911FD">
            <w:t>4</w:t>
          </w:r>
          <w:r w:rsidR="00144B73">
            <w:fldChar w:fldCharType="end"/>
          </w:r>
        </w:p>
      </w:tc>
    </w:tr>
  </w:tbl>
  <w:p w14:paraId="27ECE8FF"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CB3DE1" w14:paraId="10D1EB4B" w14:textId="77777777" w:rsidTr="00CA6A25">
      <w:trPr>
        <w:trHeight w:hRule="exact" w:val="240"/>
      </w:trPr>
      <w:tc>
        <w:tcPr>
          <w:tcW w:w="7601" w:type="dxa"/>
        </w:tcPr>
        <w:p w14:paraId="5AAB3AEE" w14:textId="77777777" w:rsidR="00527BD4" w:rsidRDefault="00527BD4" w:rsidP="008C356D">
          <w:pPr>
            <w:pStyle w:val="Huisstijl-Rubricering"/>
          </w:pPr>
        </w:p>
      </w:tc>
      <w:tc>
        <w:tcPr>
          <w:tcW w:w="2170" w:type="dxa"/>
        </w:tcPr>
        <w:p w14:paraId="76009E9D" w14:textId="201B0C6D" w:rsidR="00527BD4" w:rsidRPr="00ED539E" w:rsidRDefault="003E3C57"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3F2647">
            <w:fldChar w:fldCharType="begin"/>
          </w:r>
          <w:r>
            <w:instrText xml:space="preserve"> SECTIONPAGES   \* MERGEFORMAT </w:instrText>
          </w:r>
          <w:r w:rsidR="003F2647">
            <w:fldChar w:fldCharType="separate"/>
          </w:r>
          <w:r w:rsidR="005B7E69">
            <w:t>1</w:t>
          </w:r>
          <w:r w:rsidR="003F2647">
            <w:fldChar w:fldCharType="end"/>
          </w:r>
        </w:p>
      </w:tc>
    </w:tr>
  </w:tbl>
  <w:p w14:paraId="603C5245" w14:textId="77777777" w:rsidR="00527BD4" w:rsidRPr="00BC3B53" w:rsidRDefault="00527BD4" w:rsidP="008C356D">
    <w:pPr>
      <w:pStyle w:val="Voettekst"/>
      <w:spacing w:line="240" w:lineRule="auto"/>
      <w:rPr>
        <w:sz w:val="2"/>
        <w:szCs w:val="2"/>
      </w:rPr>
    </w:pPr>
  </w:p>
  <w:p w14:paraId="052CF97C"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F90AB" w14:textId="77777777" w:rsidR="005B7E69" w:rsidRDefault="005B7E69">
      <w:r>
        <w:separator/>
      </w:r>
    </w:p>
    <w:p w14:paraId="5E1DDF3D" w14:textId="77777777" w:rsidR="005B7E69" w:rsidRDefault="005B7E69"/>
  </w:footnote>
  <w:footnote w:type="continuationSeparator" w:id="0">
    <w:p w14:paraId="0BFA35F9" w14:textId="77777777" w:rsidR="005B7E69" w:rsidRDefault="005B7E69">
      <w:r>
        <w:continuationSeparator/>
      </w:r>
    </w:p>
    <w:p w14:paraId="18F556FE" w14:textId="77777777" w:rsidR="005B7E69" w:rsidRDefault="005B7E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46300" w14:textId="77777777" w:rsidR="00D911FD" w:rsidRDefault="00D911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CB3DE1" w14:paraId="7CE070FB" w14:textId="77777777" w:rsidTr="00A50CF6">
      <w:tc>
        <w:tcPr>
          <w:tcW w:w="2156" w:type="dxa"/>
        </w:tcPr>
        <w:p w14:paraId="0BCAC47C" w14:textId="77777777" w:rsidR="00527BD4" w:rsidRPr="005819CE" w:rsidRDefault="003E3C57" w:rsidP="00A50CF6">
          <w:pPr>
            <w:pStyle w:val="Huisstijl-Adres"/>
            <w:rPr>
              <w:b/>
            </w:rPr>
          </w:pPr>
          <w:r>
            <w:rPr>
              <w:b/>
            </w:rPr>
            <w:t>Directie Financieel Economische Zaken</w:t>
          </w:r>
          <w:r w:rsidRPr="005819CE">
            <w:rPr>
              <w:b/>
            </w:rPr>
            <w:br/>
          </w:r>
        </w:p>
      </w:tc>
    </w:tr>
    <w:tr w:rsidR="00CB3DE1" w14:paraId="4DA38CEC" w14:textId="77777777" w:rsidTr="00A50CF6">
      <w:trPr>
        <w:trHeight w:hRule="exact" w:val="200"/>
      </w:trPr>
      <w:tc>
        <w:tcPr>
          <w:tcW w:w="2156" w:type="dxa"/>
        </w:tcPr>
        <w:p w14:paraId="495B4644" w14:textId="77777777" w:rsidR="00527BD4" w:rsidRPr="005819CE" w:rsidRDefault="00527BD4" w:rsidP="00A50CF6"/>
      </w:tc>
    </w:tr>
    <w:tr w:rsidR="00CB3DE1" w14:paraId="70316577" w14:textId="77777777" w:rsidTr="00502512">
      <w:trPr>
        <w:trHeight w:hRule="exact" w:val="774"/>
      </w:trPr>
      <w:tc>
        <w:tcPr>
          <w:tcW w:w="2156" w:type="dxa"/>
        </w:tcPr>
        <w:p w14:paraId="16621AFF" w14:textId="77777777" w:rsidR="00527BD4" w:rsidRDefault="003E3C57" w:rsidP="003A5290">
          <w:pPr>
            <w:pStyle w:val="Huisstijl-Kopje"/>
          </w:pPr>
          <w:r>
            <w:t>Ons kenmerk</w:t>
          </w:r>
        </w:p>
        <w:p w14:paraId="4CB25345" w14:textId="22B435CF" w:rsidR="00527BD4" w:rsidRPr="005819CE" w:rsidRDefault="003E3C57" w:rsidP="001E6117">
          <w:pPr>
            <w:pStyle w:val="Huisstijl-Kopje"/>
          </w:pPr>
          <w:r>
            <w:rPr>
              <w:b w:val="0"/>
            </w:rPr>
            <w:t>FEZ</w:t>
          </w:r>
          <w:r w:rsidRPr="00502512">
            <w:rPr>
              <w:b w:val="0"/>
            </w:rPr>
            <w:t xml:space="preserve"> / </w:t>
          </w:r>
          <w:r w:rsidR="00C147C7" w:rsidRPr="00C147C7">
            <w:rPr>
              <w:b w:val="0"/>
              <w:bCs/>
            </w:rPr>
            <w:t>106806117</w:t>
          </w:r>
        </w:p>
      </w:tc>
    </w:tr>
  </w:tbl>
  <w:p w14:paraId="320E798C" w14:textId="77777777" w:rsidR="00527BD4" w:rsidRDefault="00527BD4" w:rsidP="008C356D"/>
  <w:p w14:paraId="7059B850" w14:textId="77777777" w:rsidR="00527BD4" w:rsidRPr="00740712" w:rsidRDefault="00527BD4" w:rsidP="008C356D"/>
  <w:p w14:paraId="3D00C7B4" w14:textId="77777777" w:rsidR="00527BD4" w:rsidRPr="00217880" w:rsidRDefault="00527BD4" w:rsidP="008C356D">
    <w:pPr>
      <w:spacing w:line="0" w:lineRule="atLeast"/>
      <w:rPr>
        <w:sz w:val="2"/>
        <w:szCs w:val="2"/>
      </w:rPr>
    </w:pPr>
  </w:p>
  <w:p w14:paraId="61FA1AEE" w14:textId="77777777" w:rsidR="00527BD4" w:rsidRDefault="00527BD4" w:rsidP="004F44C2">
    <w:pPr>
      <w:pStyle w:val="Koptekst"/>
      <w:rPr>
        <w:rFonts w:cs="Verdana-Bold"/>
        <w:b/>
        <w:bCs/>
        <w:smallCaps/>
        <w:szCs w:val="18"/>
      </w:rPr>
    </w:pPr>
  </w:p>
  <w:p w14:paraId="52E814CC" w14:textId="77777777" w:rsidR="00527BD4" w:rsidRDefault="00527BD4" w:rsidP="004F44C2"/>
  <w:p w14:paraId="2C72A503" w14:textId="77777777" w:rsidR="00527BD4" w:rsidRPr="00740712" w:rsidRDefault="00527BD4" w:rsidP="004F44C2"/>
  <w:p w14:paraId="453121D5"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B3DE1" w14:paraId="7CFE0782" w14:textId="77777777" w:rsidTr="00751A6A">
      <w:trPr>
        <w:trHeight w:val="2636"/>
      </w:trPr>
      <w:tc>
        <w:tcPr>
          <w:tcW w:w="737" w:type="dxa"/>
        </w:tcPr>
        <w:p w14:paraId="64FDA40A" w14:textId="77777777" w:rsidR="00527BD4" w:rsidRDefault="00527BD4" w:rsidP="00D0609E">
          <w:pPr>
            <w:framePr w:w="6340" w:h="2750" w:hRule="exact" w:hSpace="180" w:wrap="around" w:vAnchor="page" w:hAnchor="text" w:x="3873" w:y="-140"/>
            <w:spacing w:line="240" w:lineRule="auto"/>
          </w:pPr>
        </w:p>
      </w:tc>
      <w:tc>
        <w:tcPr>
          <w:tcW w:w="5156" w:type="dxa"/>
        </w:tcPr>
        <w:p w14:paraId="718B02F9" w14:textId="77777777" w:rsidR="00527BD4" w:rsidRDefault="003E3C57"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02A16E48" wp14:editId="06108219">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38730C93" w14:textId="77777777" w:rsidR="00527BD4" w:rsidRDefault="00527BD4" w:rsidP="00D0609E">
    <w:pPr>
      <w:framePr w:w="6340" w:h="2750" w:hRule="exact" w:hSpace="180" w:wrap="around" w:vAnchor="page" w:hAnchor="text" w:x="3873" w:y="-140"/>
    </w:pPr>
  </w:p>
  <w:p w14:paraId="30B6311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CB3DE1" w:rsidRPr="005E4CB7" w14:paraId="39647D5F" w14:textId="77777777" w:rsidTr="00A50CF6">
      <w:tc>
        <w:tcPr>
          <w:tcW w:w="2160" w:type="dxa"/>
        </w:tcPr>
        <w:p w14:paraId="58869A25" w14:textId="77777777" w:rsidR="00527BD4" w:rsidRPr="005819CE" w:rsidRDefault="003E3C57" w:rsidP="00A50CF6">
          <w:pPr>
            <w:pStyle w:val="Huisstijl-Adres"/>
            <w:rPr>
              <w:b/>
            </w:rPr>
          </w:pPr>
          <w:r>
            <w:rPr>
              <w:b/>
            </w:rPr>
            <w:t>Directie Financieel Economische Zaken</w:t>
          </w:r>
          <w:r w:rsidRPr="005819CE">
            <w:rPr>
              <w:b/>
            </w:rPr>
            <w:br/>
          </w:r>
        </w:p>
        <w:p w14:paraId="3ED46644" w14:textId="77777777" w:rsidR="00527BD4" w:rsidRPr="00BE5ED9" w:rsidRDefault="003E3C57" w:rsidP="00A50CF6">
          <w:pPr>
            <w:pStyle w:val="Huisstijl-Adres"/>
          </w:pPr>
          <w:r>
            <w:rPr>
              <w:b/>
            </w:rPr>
            <w:t>Bezoekadres</w:t>
          </w:r>
          <w:r>
            <w:rPr>
              <w:b/>
            </w:rPr>
            <w:br/>
          </w:r>
          <w:r>
            <w:t>Bezuidenhoutseweg 73</w:t>
          </w:r>
          <w:r w:rsidRPr="005819CE">
            <w:br/>
          </w:r>
          <w:r>
            <w:t>2594 AC Den Haag</w:t>
          </w:r>
        </w:p>
        <w:p w14:paraId="75641CF6" w14:textId="77777777" w:rsidR="00EF495B" w:rsidRDefault="003E3C57" w:rsidP="0098788A">
          <w:pPr>
            <w:pStyle w:val="Huisstijl-Adres"/>
          </w:pPr>
          <w:r>
            <w:rPr>
              <w:b/>
            </w:rPr>
            <w:t>Postadres</w:t>
          </w:r>
          <w:r>
            <w:rPr>
              <w:b/>
            </w:rPr>
            <w:br/>
          </w:r>
          <w:r>
            <w:t>Postbus 20401</w:t>
          </w:r>
          <w:r w:rsidRPr="005819CE">
            <w:br/>
            <w:t>2500 E</w:t>
          </w:r>
          <w:r>
            <w:t>K</w:t>
          </w:r>
          <w:r w:rsidRPr="005819CE">
            <w:t xml:space="preserve"> Den Haag</w:t>
          </w:r>
        </w:p>
        <w:p w14:paraId="1CB7F68A" w14:textId="77777777" w:rsidR="00556BEE" w:rsidRPr="005B3814" w:rsidRDefault="003E3C57" w:rsidP="0098788A">
          <w:pPr>
            <w:pStyle w:val="Huisstijl-Adres"/>
          </w:pPr>
          <w:r>
            <w:rPr>
              <w:b/>
            </w:rPr>
            <w:t>Overheidsidentificatienr</w:t>
          </w:r>
          <w:r>
            <w:rPr>
              <w:b/>
            </w:rPr>
            <w:br/>
          </w:r>
          <w:r w:rsidR="00BA129E">
            <w:rPr>
              <w:rFonts w:cs="Agrofont"/>
              <w:iCs/>
            </w:rPr>
            <w:t>00000001858272854000</w:t>
          </w:r>
        </w:p>
        <w:p w14:paraId="112451D8" w14:textId="116B714C" w:rsidR="00527BD4" w:rsidRPr="005E4CB7" w:rsidRDefault="003E3C57"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CB3DE1" w:rsidRPr="005E4CB7" w14:paraId="7C3C332D" w14:textId="77777777" w:rsidTr="00A50CF6">
      <w:trPr>
        <w:trHeight w:hRule="exact" w:val="200"/>
      </w:trPr>
      <w:tc>
        <w:tcPr>
          <w:tcW w:w="2160" w:type="dxa"/>
        </w:tcPr>
        <w:p w14:paraId="5F2A7E4D" w14:textId="77777777" w:rsidR="00527BD4" w:rsidRPr="00633229" w:rsidRDefault="00527BD4" w:rsidP="00A50CF6"/>
      </w:tc>
    </w:tr>
    <w:tr w:rsidR="00CB3DE1" w14:paraId="42D47DC3" w14:textId="77777777" w:rsidTr="00A50CF6">
      <w:tc>
        <w:tcPr>
          <w:tcW w:w="2160" w:type="dxa"/>
        </w:tcPr>
        <w:p w14:paraId="2C843212" w14:textId="5E605974" w:rsidR="000C0163" w:rsidRPr="005819CE" w:rsidRDefault="003E3C57" w:rsidP="000C0163">
          <w:pPr>
            <w:pStyle w:val="Huisstijl-Kopje"/>
          </w:pPr>
          <w:r>
            <w:t xml:space="preserve">Ons </w:t>
          </w:r>
          <w:r w:rsidR="005E4CB7">
            <w:t>k</w:t>
          </w:r>
          <w:r>
            <w:t>enmerk</w:t>
          </w:r>
          <w:r w:rsidRPr="005819CE">
            <w:t xml:space="preserve"> </w:t>
          </w:r>
        </w:p>
        <w:p w14:paraId="2ECCE3D8" w14:textId="341FEF9D" w:rsidR="005E4CB7" w:rsidRPr="005E4CB7" w:rsidRDefault="003E3C57" w:rsidP="005E4CB7">
          <w:pPr>
            <w:pStyle w:val="Huisstijl-Gegeven"/>
          </w:pPr>
          <w:r>
            <w:t>FEZ /</w:t>
          </w:r>
          <w:r w:rsidR="00486354">
            <w:t xml:space="preserve"> </w:t>
          </w:r>
          <w:r w:rsidR="005E4CB7" w:rsidRPr="005E4CB7">
            <w:t>106806117</w:t>
          </w:r>
        </w:p>
        <w:p w14:paraId="487EC83C" w14:textId="77777777" w:rsidR="00527BD4" w:rsidRPr="005819CE" w:rsidRDefault="00527BD4" w:rsidP="005E4CB7">
          <w:pPr>
            <w:pStyle w:val="Huisstijl-Kopje"/>
          </w:pPr>
        </w:p>
      </w:tc>
    </w:tr>
  </w:tbl>
  <w:p w14:paraId="6CE9851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CB3DE1" w14:paraId="2CF03CB7" w14:textId="77777777" w:rsidTr="009E2051">
      <w:trPr>
        <w:trHeight w:val="400"/>
      </w:trPr>
      <w:tc>
        <w:tcPr>
          <w:tcW w:w="7520" w:type="dxa"/>
          <w:gridSpan w:val="2"/>
        </w:tcPr>
        <w:p w14:paraId="55A4C396" w14:textId="77777777" w:rsidR="00527BD4" w:rsidRPr="00BC3B53" w:rsidRDefault="003E3C57" w:rsidP="00A50CF6">
          <w:pPr>
            <w:pStyle w:val="Huisstijl-Retouradres"/>
          </w:pPr>
          <w:r>
            <w:t>&gt; Retouradres Postbus 20401 2500 EK Den Haag</w:t>
          </w:r>
        </w:p>
      </w:tc>
    </w:tr>
    <w:tr w:rsidR="00CB3DE1" w14:paraId="5B9F4A3F" w14:textId="77777777" w:rsidTr="009E2051">
      <w:tc>
        <w:tcPr>
          <w:tcW w:w="7520" w:type="dxa"/>
          <w:gridSpan w:val="2"/>
        </w:tcPr>
        <w:p w14:paraId="17560F8D" w14:textId="77777777" w:rsidR="00527BD4" w:rsidRPr="00983E8F" w:rsidRDefault="00527BD4" w:rsidP="00A50CF6">
          <w:pPr>
            <w:pStyle w:val="Huisstijl-Rubricering"/>
          </w:pPr>
        </w:p>
      </w:tc>
    </w:tr>
    <w:tr w:rsidR="00CB3DE1" w14:paraId="74B7B826" w14:textId="77777777" w:rsidTr="009E2051">
      <w:trPr>
        <w:trHeight w:hRule="exact" w:val="2440"/>
      </w:trPr>
      <w:tc>
        <w:tcPr>
          <w:tcW w:w="7520" w:type="dxa"/>
          <w:gridSpan w:val="2"/>
        </w:tcPr>
        <w:p w14:paraId="08F02B4E" w14:textId="77777777" w:rsidR="00527BD4" w:rsidRDefault="003E3C57" w:rsidP="00A50CF6">
          <w:pPr>
            <w:pStyle w:val="Huisstijl-NAW"/>
          </w:pPr>
          <w:r>
            <w:t xml:space="preserve">De Voorzitter van de Tweede Kamer </w:t>
          </w:r>
        </w:p>
        <w:p w14:paraId="00BA0FB4" w14:textId="77777777" w:rsidR="00CB3DE1" w:rsidRDefault="003E3C57">
          <w:pPr>
            <w:pStyle w:val="Huisstijl-NAW"/>
          </w:pPr>
          <w:r>
            <w:t>der Staten-Generaal</w:t>
          </w:r>
        </w:p>
        <w:p w14:paraId="7CF920FD" w14:textId="77777777" w:rsidR="00CB3DE1" w:rsidRDefault="003E3C57">
          <w:pPr>
            <w:pStyle w:val="Huisstijl-NAW"/>
          </w:pPr>
          <w:r>
            <w:t>Prinses Irenestraat 6</w:t>
          </w:r>
        </w:p>
        <w:p w14:paraId="7C737761" w14:textId="39EB64D8" w:rsidR="00CB3DE1" w:rsidRDefault="003E3C57">
          <w:pPr>
            <w:pStyle w:val="Huisstijl-NAW"/>
          </w:pPr>
          <w:r>
            <w:t xml:space="preserve">2595 BD </w:t>
          </w:r>
          <w:r w:rsidR="00D911FD">
            <w:t xml:space="preserve"> </w:t>
          </w:r>
          <w:r>
            <w:t>DEN HAAG</w:t>
          </w:r>
          <w:r w:rsidR="00486354">
            <w:t xml:space="preserve"> </w:t>
          </w:r>
        </w:p>
      </w:tc>
    </w:tr>
    <w:tr w:rsidR="00CB3DE1" w14:paraId="465B4079" w14:textId="77777777" w:rsidTr="009E2051">
      <w:trPr>
        <w:trHeight w:hRule="exact" w:val="400"/>
      </w:trPr>
      <w:tc>
        <w:tcPr>
          <w:tcW w:w="7520" w:type="dxa"/>
          <w:gridSpan w:val="2"/>
        </w:tcPr>
        <w:p w14:paraId="47208A02"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CB3DE1" w14:paraId="3DF81889" w14:textId="77777777" w:rsidTr="009E2051">
      <w:trPr>
        <w:trHeight w:val="240"/>
      </w:trPr>
      <w:tc>
        <w:tcPr>
          <w:tcW w:w="900" w:type="dxa"/>
        </w:tcPr>
        <w:p w14:paraId="35C54251" w14:textId="77777777" w:rsidR="00527BD4" w:rsidRPr="007709EF" w:rsidRDefault="003E3C57" w:rsidP="00A50CF6">
          <w:pPr>
            <w:rPr>
              <w:szCs w:val="18"/>
            </w:rPr>
          </w:pPr>
          <w:r>
            <w:rPr>
              <w:szCs w:val="18"/>
            </w:rPr>
            <w:t>Datum</w:t>
          </w:r>
        </w:p>
      </w:tc>
      <w:tc>
        <w:tcPr>
          <w:tcW w:w="6620" w:type="dxa"/>
        </w:tcPr>
        <w:p w14:paraId="6B8DE787" w14:textId="5629AF41" w:rsidR="00527BD4" w:rsidRPr="007709EF" w:rsidRDefault="00633229" w:rsidP="00A50CF6">
          <w:r>
            <w:t>7 juli 2026</w:t>
          </w:r>
        </w:p>
      </w:tc>
    </w:tr>
    <w:tr w:rsidR="00CB3DE1" w14:paraId="1172A13C" w14:textId="77777777" w:rsidTr="009E2051">
      <w:trPr>
        <w:trHeight w:val="240"/>
      </w:trPr>
      <w:tc>
        <w:tcPr>
          <w:tcW w:w="900" w:type="dxa"/>
        </w:tcPr>
        <w:p w14:paraId="71D20839" w14:textId="77777777" w:rsidR="00527BD4" w:rsidRPr="007709EF" w:rsidRDefault="003E3C57" w:rsidP="00A50CF6">
          <w:pPr>
            <w:rPr>
              <w:szCs w:val="18"/>
            </w:rPr>
          </w:pPr>
          <w:r>
            <w:rPr>
              <w:szCs w:val="18"/>
            </w:rPr>
            <w:t>Betreft</w:t>
          </w:r>
        </w:p>
      </w:tc>
      <w:tc>
        <w:tcPr>
          <w:tcW w:w="6620" w:type="dxa"/>
        </w:tcPr>
        <w:p w14:paraId="21BAAC59" w14:textId="41D1C8B5" w:rsidR="00CB3DE1" w:rsidRDefault="003E3C57" w:rsidP="005E4CB7">
          <w:r>
            <w:t>CW 3.1 kaders (Beleidskeuzes Uitgelegd) bij</w:t>
          </w:r>
          <w:r w:rsidR="005E4CB7">
            <w:t xml:space="preserve"> </w:t>
          </w:r>
          <w:r>
            <w:t>maatregelen uit 1e suppletoire</w:t>
          </w:r>
          <w:r w:rsidR="00633229">
            <w:t xml:space="preserve"> begroting 202</w:t>
          </w:r>
          <w:r w:rsidR="00D911FD">
            <w:t>6</w:t>
          </w:r>
        </w:p>
      </w:tc>
    </w:tr>
  </w:tbl>
  <w:p w14:paraId="75A0388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9761720">
      <w:start w:val="1"/>
      <w:numFmt w:val="bullet"/>
      <w:pStyle w:val="Lijstopsomteken"/>
      <w:lvlText w:val="•"/>
      <w:lvlJc w:val="left"/>
      <w:pPr>
        <w:tabs>
          <w:tab w:val="num" w:pos="227"/>
        </w:tabs>
        <w:ind w:left="227" w:hanging="227"/>
      </w:pPr>
      <w:rPr>
        <w:rFonts w:ascii="Verdana" w:hAnsi="Verdana" w:hint="default"/>
        <w:sz w:val="18"/>
        <w:szCs w:val="18"/>
      </w:rPr>
    </w:lvl>
    <w:lvl w:ilvl="1" w:tplc="6694D1A6" w:tentative="1">
      <w:start w:val="1"/>
      <w:numFmt w:val="bullet"/>
      <w:lvlText w:val="o"/>
      <w:lvlJc w:val="left"/>
      <w:pPr>
        <w:tabs>
          <w:tab w:val="num" w:pos="1440"/>
        </w:tabs>
        <w:ind w:left="1440" w:hanging="360"/>
      </w:pPr>
      <w:rPr>
        <w:rFonts w:ascii="Courier New" w:hAnsi="Courier New" w:cs="Courier New" w:hint="default"/>
      </w:rPr>
    </w:lvl>
    <w:lvl w:ilvl="2" w:tplc="74CC1160" w:tentative="1">
      <w:start w:val="1"/>
      <w:numFmt w:val="bullet"/>
      <w:lvlText w:val=""/>
      <w:lvlJc w:val="left"/>
      <w:pPr>
        <w:tabs>
          <w:tab w:val="num" w:pos="2160"/>
        </w:tabs>
        <w:ind w:left="2160" w:hanging="360"/>
      </w:pPr>
      <w:rPr>
        <w:rFonts w:ascii="Wingdings" w:hAnsi="Wingdings" w:hint="default"/>
      </w:rPr>
    </w:lvl>
    <w:lvl w:ilvl="3" w:tplc="0D62B762" w:tentative="1">
      <w:start w:val="1"/>
      <w:numFmt w:val="bullet"/>
      <w:lvlText w:val=""/>
      <w:lvlJc w:val="left"/>
      <w:pPr>
        <w:tabs>
          <w:tab w:val="num" w:pos="2880"/>
        </w:tabs>
        <w:ind w:left="2880" w:hanging="360"/>
      </w:pPr>
      <w:rPr>
        <w:rFonts w:ascii="Symbol" w:hAnsi="Symbol" w:hint="default"/>
      </w:rPr>
    </w:lvl>
    <w:lvl w:ilvl="4" w:tplc="D0BC5602" w:tentative="1">
      <w:start w:val="1"/>
      <w:numFmt w:val="bullet"/>
      <w:lvlText w:val="o"/>
      <w:lvlJc w:val="left"/>
      <w:pPr>
        <w:tabs>
          <w:tab w:val="num" w:pos="3600"/>
        </w:tabs>
        <w:ind w:left="3600" w:hanging="360"/>
      </w:pPr>
      <w:rPr>
        <w:rFonts w:ascii="Courier New" w:hAnsi="Courier New" w:cs="Courier New" w:hint="default"/>
      </w:rPr>
    </w:lvl>
    <w:lvl w:ilvl="5" w:tplc="DB9EBAFC" w:tentative="1">
      <w:start w:val="1"/>
      <w:numFmt w:val="bullet"/>
      <w:lvlText w:val=""/>
      <w:lvlJc w:val="left"/>
      <w:pPr>
        <w:tabs>
          <w:tab w:val="num" w:pos="4320"/>
        </w:tabs>
        <w:ind w:left="4320" w:hanging="360"/>
      </w:pPr>
      <w:rPr>
        <w:rFonts w:ascii="Wingdings" w:hAnsi="Wingdings" w:hint="default"/>
      </w:rPr>
    </w:lvl>
    <w:lvl w:ilvl="6" w:tplc="DBC22FF0" w:tentative="1">
      <w:start w:val="1"/>
      <w:numFmt w:val="bullet"/>
      <w:lvlText w:val=""/>
      <w:lvlJc w:val="left"/>
      <w:pPr>
        <w:tabs>
          <w:tab w:val="num" w:pos="5040"/>
        </w:tabs>
        <w:ind w:left="5040" w:hanging="360"/>
      </w:pPr>
      <w:rPr>
        <w:rFonts w:ascii="Symbol" w:hAnsi="Symbol" w:hint="default"/>
      </w:rPr>
    </w:lvl>
    <w:lvl w:ilvl="7" w:tplc="54F0EC1E" w:tentative="1">
      <w:start w:val="1"/>
      <w:numFmt w:val="bullet"/>
      <w:lvlText w:val="o"/>
      <w:lvlJc w:val="left"/>
      <w:pPr>
        <w:tabs>
          <w:tab w:val="num" w:pos="5760"/>
        </w:tabs>
        <w:ind w:left="5760" w:hanging="360"/>
      </w:pPr>
      <w:rPr>
        <w:rFonts w:ascii="Courier New" w:hAnsi="Courier New" w:cs="Courier New" w:hint="default"/>
      </w:rPr>
    </w:lvl>
    <w:lvl w:ilvl="8" w:tplc="BC78E11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0DE28EA">
      <w:start w:val="1"/>
      <w:numFmt w:val="bullet"/>
      <w:pStyle w:val="Lijstopsomteken2"/>
      <w:lvlText w:val="–"/>
      <w:lvlJc w:val="left"/>
      <w:pPr>
        <w:tabs>
          <w:tab w:val="num" w:pos="227"/>
        </w:tabs>
        <w:ind w:left="227" w:firstLine="0"/>
      </w:pPr>
      <w:rPr>
        <w:rFonts w:ascii="Verdana" w:hAnsi="Verdana" w:hint="default"/>
      </w:rPr>
    </w:lvl>
    <w:lvl w:ilvl="1" w:tplc="1BF27A14" w:tentative="1">
      <w:start w:val="1"/>
      <w:numFmt w:val="bullet"/>
      <w:lvlText w:val="o"/>
      <w:lvlJc w:val="left"/>
      <w:pPr>
        <w:tabs>
          <w:tab w:val="num" w:pos="1440"/>
        </w:tabs>
        <w:ind w:left="1440" w:hanging="360"/>
      </w:pPr>
      <w:rPr>
        <w:rFonts w:ascii="Courier New" w:hAnsi="Courier New" w:cs="Courier New" w:hint="default"/>
      </w:rPr>
    </w:lvl>
    <w:lvl w:ilvl="2" w:tplc="F8265262" w:tentative="1">
      <w:start w:val="1"/>
      <w:numFmt w:val="bullet"/>
      <w:lvlText w:val=""/>
      <w:lvlJc w:val="left"/>
      <w:pPr>
        <w:tabs>
          <w:tab w:val="num" w:pos="2160"/>
        </w:tabs>
        <w:ind w:left="2160" w:hanging="360"/>
      </w:pPr>
      <w:rPr>
        <w:rFonts w:ascii="Wingdings" w:hAnsi="Wingdings" w:hint="default"/>
      </w:rPr>
    </w:lvl>
    <w:lvl w:ilvl="3" w:tplc="0902DCA8" w:tentative="1">
      <w:start w:val="1"/>
      <w:numFmt w:val="bullet"/>
      <w:lvlText w:val=""/>
      <w:lvlJc w:val="left"/>
      <w:pPr>
        <w:tabs>
          <w:tab w:val="num" w:pos="2880"/>
        </w:tabs>
        <w:ind w:left="2880" w:hanging="360"/>
      </w:pPr>
      <w:rPr>
        <w:rFonts w:ascii="Symbol" w:hAnsi="Symbol" w:hint="default"/>
      </w:rPr>
    </w:lvl>
    <w:lvl w:ilvl="4" w:tplc="D8968038" w:tentative="1">
      <w:start w:val="1"/>
      <w:numFmt w:val="bullet"/>
      <w:lvlText w:val="o"/>
      <w:lvlJc w:val="left"/>
      <w:pPr>
        <w:tabs>
          <w:tab w:val="num" w:pos="3600"/>
        </w:tabs>
        <w:ind w:left="3600" w:hanging="360"/>
      </w:pPr>
      <w:rPr>
        <w:rFonts w:ascii="Courier New" w:hAnsi="Courier New" w:cs="Courier New" w:hint="default"/>
      </w:rPr>
    </w:lvl>
    <w:lvl w:ilvl="5" w:tplc="527A6272" w:tentative="1">
      <w:start w:val="1"/>
      <w:numFmt w:val="bullet"/>
      <w:lvlText w:val=""/>
      <w:lvlJc w:val="left"/>
      <w:pPr>
        <w:tabs>
          <w:tab w:val="num" w:pos="4320"/>
        </w:tabs>
        <w:ind w:left="4320" w:hanging="360"/>
      </w:pPr>
      <w:rPr>
        <w:rFonts w:ascii="Wingdings" w:hAnsi="Wingdings" w:hint="default"/>
      </w:rPr>
    </w:lvl>
    <w:lvl w:ilvl="6" w:tplc="07326100" w:tentative="1">
      <w:start w:val="1"/>
      <w:numFmt w:val="bullet"/>
      <w:lvlText w:val=""/>
      <w:lvlJc w:val="left"/>
      <w:pPr>
        <w:tabs>
          <w:tab w:val="num" w:pos="5040"/>
        </w:tabs>
        <w:ind w:left="5040" w:hanging="360"/>
      </w:pPr>
      <w:rPr>
        <w:rFonts w:ascii="Symbol" w:hAnsi="Symbol" w:hint="default"/>
      </w:rPr>
    </w:lvl>
    <w:lvl w:ilvl="7" w:tplc="C6927928" w:tentative="1">
      <w:start w:val="1"/>
      <w:numFmt w:val="bullet"/>
      <w:lvlText w:val="o"/>
      <w:lvlJc w:val="left"/>
      <w:pPr>
        <w:tabs>
          <w:tab w:val="num" w:pos="5760"/>
        </w:tabs>
        <w:ind w:left="5760" w:hanging="360"/>
      </w:pPr>
      <w:rPr>
        <w:rFonts w:ascii="Courier New" w:hAnsi="Courier New" w:cs="Courier New" w:hint="default"/>
      </w:rPr>
    </w:lvl>
    <w:lvl w:ilvl="8" w:tplc="8726346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0365E7"/>
    <w:multiLevelType w:val="hybridMultilevel"/>
    <w:tmpl w:val="730C3674"/>
    <w:lvl w:ilvl="0" w:tplc="57D4BBC8">
      <w:start w:val="1"/>
      <w:numFmt w:val="decimal"/>
      <w:lvlText w:val="%1."/>
      <w:lvlJc w:val="left"/>
      <w:pPr>
        <w:ind w:left="463" w:hanging="360"/>
      </w:pPr>
      <w:rPr>
        <w:rFonts w:hint="default"/>
        <w:color w:val="FFFFFF"/>
      </w:rPr>
    </w:lvl>
    <w:lvl w:ilvl="1" w:tplc="04130019" w:tentative="1">
      <w:start w:val="1"/>
      <w:numFmt w:val="lowerLetter"/>
      <w:lvlText w:val="%2."/>
      <w:lvlJc w:val="left"/>
      <w:pPr>
        <w:ind w:left="1183" w:hanging="360"/>
      </w:pPr>
    </w:lvl>
    <w:lvl w:ilvl="2" w:tplc="0413001B" w:tentative="1">
      <w:start w:val="1"/>
      <w:numFmt w:val="lowerRoman"/>
      <w:lvlText w:val="%3."/>
      <w:lvlJc w:val="right"/>
      <w:pPr>
        <w:ind w:left="1903" w:hanging="180"/>
      </w:pPr>
    </w:lvl>
    <w:lvl w:ilvl="3" w:tplc="0413000F" w:tentative="1">
      <w:start w:val="1"/>
      <w:numFmt w:val="decimal"/>
      <w:lvlText w:val="%4."/>
      <w:lvlJc w:val="left"/>
      <w:pPr>
        <w:ind w:left="2623" w:hanging="360"/>
      </w:pPr>
    </w:lvl>
    <w:lvl w:ilvl="4" w:tplc="04130019" w:tentative="1">
      <w:start w:val="1"/>
      <w:numFmt w:val="lowerLetter"/>
      <w:lvlText w:val="%5."/>
      <w:lvlJc w:val="left"/>
      <w:pPr>
        <w:ind w:left="3343" w:hanging="360"/>
      </w:pPr>
    </w:lvl>
    <w:lvl w:ilvl="5" w:tplc="0413001B" w:tentative="1">
      <w:start w:val="1"/>
      <w:numFmt w:val="lowerRoman"/>
      <w:lvlText w:val="%6."/>
      <w:lvlJc w:val="right"/>
      <w:pPr>
        <w:ind w:left="4063" w:hanging="180"/>
      </w:pPr>
    </w:lvl>
    <w:lvl w:ilvl="6" w:tplc="0413000F" w:tentative="1">
      <w:start w:val="1"/>
      <w:numFmt w:val="decimal"/>
      <w:lvlText w:val="%7."/>
      <w:lvlJc w:val="left"/>
      <w:pPr>
        <w:ind w:left="4783" w:hanging="360"/>
      </w:pPr>
    </w:lvl>
    <w:lvl w:ilvl="7" w:tplc="04130019" w:tentative="1">
      <w:start w:val="1"/>
      <w:numFmt w:val="lowerLetter"/>
      <w:lvlText w:val="%8."/>
      <w:lvlJc w:val="left"/>
      <w:pPr>
        <w:ind w:left="5503" w:hanging="360"/>
      </w:pPr>
    </w:lvl>
    <w:lvl w:ilvl="8" w:tplc="0413001B" w:tentative="1">
      <w:start w:val="1"/>
      <w:numFmt w:val="lowerRoman"/>
      <w:lvlText w:val="%9."/>
      <w:lvlJc w:val="right"/>
      <w:pPr>
        <w:ind w:left="6223" w:hanging="180"/>
      </w:pPr>
    </w:lvl>
  </w:abstractNum>
  <w:abstractNum w:abstractNumId="15" w15:restartNumberingAfterBreak="0">
    <w:nsid w:val="7D4C1958"/>
    <w:multiLevelType w:val="hybridMultilevel"/>
    <w:tmpl w:val="FF7244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1307791">
    <w:abstractNumId w:val="10"/>
  </w:num>
  <w:num w:numId="2" w16cid:durableId="126432148">
    <w:abstractNumId w:val="7"/>
  </w:num>
  <w:num w:numId="3" w16cid:durableId="210390809">
    <w:abstractNumId w:val="6"/>
  </w:num>
  <w:num w:numId="4" w16cid:durableId="2065519227">
    <w:abstractNumId w:val="5"/>
  </w:num>
  <w:num w:numId="5" w16cid:durableId="1094280010">
    <w:abstractNumId w:val="4"/>
  </w:num>
  <w:num w:numId="6" w16cid:durableId="822087596">
    <w:abstractNumId w:val="8"/>
  </w:num>
  <w:num w:numId="7" w16cid:durableId="2056468816">
    <w:abstractNumId w:val="3"/>
  </w:num>
  <w:num w:numId="8" w16cid:durableId="1522010348">
    <w:abstractNumId w:val="2"/>
  </w:num>
  <w:num w:numId="9" w16cid:durableId="1638560242">
    <w:abstractNumId w:val="1"/>
  </w:num>
  <w:num w:numId="10" w16cid:durableId="1142580881">
    <w:abstractNumId w:val="0"/>
  </w:num>
  <w:num w:numId="11" w16cid:durableId="526917807">
    <w:abstractNumId w:val="9"/>
  </w:num>
  <w:num w:numId="12" w16cid:durableId="2071728827">
    <w:abstractNumId w:val="11"/>
  </w:num>
  <w:num w:numId="13" w16cid:durableId="1782413541">
    <w:abstractNumId w:val="13"/>
  </w:num>
  <w:num w:numId="14" w16cid:durableId="970206908">
    <w:abstractNumId w:val="12"/>
  </w:num>
  <w:num w:numId="15" w16cid:durableId="546378870">
    <w:abstractNumId w:val="14"/>
  </w:num>
  <w:num w:numId="16" w16cid:durableId="1233127513">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301C7"/>
    <w:rsid w:val="00033CDD"/>
    <w:rsid w:val="00034A84"/>
    <w:rsid w:val="00035E67"/>
    <w:rsid w:val="000366F3"/>
    <w:rsid w:val="000403E6"/>
    <w:rsid w:val="00046A48"/>
    <w:rsid w:val="0006024D"/>
    <w:rsid w:val="00064021"/>
    <w:rsid w:val="00071F28"/>
    <w:rsid w:val="00074079"/>
    <w:rsid w:val="000752D6"/>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7895"/>
    <w:rsid w:val="000F1558"/>
    <w:rsid w:val="000F161D"/>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04D35"/>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18A8"/>
    <w:rsid w:val="003E3C57"/>
    <w:rsid w:val="003E3DD5"/>
    <w:rsid w:val="003F07C6"/>
    <w:rsid w:val="003F1F6B"/>
    <w:rsid w:val="003F2647"/>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77849"/>
    <w:rsid w:val="00481085"/>
    <w:rsid w:val="00483984"/>
    <w:rsid w:val="00483F0B"/>
    <w:rsid w:val="00486354"/>
    <w:rsid w:val="00494237"/>
    <w:rsid w:val="00496319"/>
    <w:rsid w:val="00497279"/>
    <w:rsid w:val="004A670A"/>
    <w:rsid w:val="004B5465"/>
    <w:rsid w:val="004B70F0"/>
    <w:rsid w:val="004D505E"/>
    <w:rsid w:val="004D72CA"/>
    <w:rsid w:val="004E2242"/>
    <w:rsid w:val="004F42FF"/>
    <w:rsid w:val="004F44C2"/>
    <w:rsid w:val="00502512"/>
    <w:rsid w:val="00505262"/>
    <w:rsid w:val="0051132F"/>
    <w:rsid w:val="00516022"/>
    <w:rsid w:val="00521CEE"/>
    <w:rsid w:val="00524FB4"/>
    <w:rsid w:val="00527BD4"/>
    <w:rsid w:val="005403C8"/>
    <w:rsid w:val="005429DC"/>
    <w:rsid w:val="005565F9"/>
    <w:rsid w:val="00556BEE"/>
    <w:rsid w:val="005619AB"/>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B7E69"/>
    <w:rsid w:val="005C34E1"/>
    <w:rsid w:val="005C3FE0"/>
    <w:rsid w:val="005C740C"/>
    <w:rsid w:val="005D625B"/>
    <w:rsid w:val="005E4CB7"/>
    <w:rsid w:val="005F62D3"/>
    <w:rsid w:val="005F6D11"/>
    <w:rsid w:val="00600CF0"/>
    <w:rsid w:val="006048F4"/>
    <w:rsid w:val="0060660A"/>
    <w:rsid w:val="00613B1D"/>
    <w:rsid w:val="00617A44"/>
    <w:rsid w:val="006202B6"/>
    <w:rsid w:val="006247BE"/>
    <w:rsid w:val="00625CD0"/>
    <w:rsid w:val="0062627D"/>
    <w:rsid w:val="00627432"/>
    <w:rsid w:val="00633229"/>
    <w:rsid w:val="00640234"/>
    <w:rsid w:val="006448E4"/>
    <w:rsid w:val="00645414"/>
    <w:rsid w:val="00653606"/>
    <w:rsid w:val="006610E9"/>
    <w:rsid w:val="00661591"/>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23B5"/>
    <w:rsid w:val="007C406E"/>
    <w:rsid w:val="007C5183"/>
    <w:rsid w:val="007C7573"/>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C6424"/>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66831"/>
    <w:rsid w:val="009716D8"/>
    <w:rsid w:val="009718F9"/>
    <w:rsid w:val="00972FB9"/>
    <w:rsid w:val="00975112"/>
    <w:rsid w:val="00981768"/>
    <w:rsid w:val="00983E8F"/>
    <w:rsid w:val="0098788A"/>
    <w:rsid w:val="00994FDA"/>
    <w:rsid w:val="009A31BF"/>
    <w:rsid w:val="009A3B71"/>
    <w:rsid w:val="009A61BC"/>
    <w:rsid w:val="009A7E90"/>
    <w:rsid w:val="009B0138"/>
    <w:rsid w:val="009B0EC1"/>
    <w:rsid w:val="009B0FE9"/>
    <w:rsid w:val="009B173A"/>
    <w:rsid w:val="009B4566"/>
    <w:rsid w:val="009C3F20"/>
    <w:rsid w:val="009C7CA1"/>
    <w:rsid w:val="009D043D"/>
    <w:rsid w:val="009E2051"/>
    <w:rsid w:val="009F3259"/>
    <w:rsid w:val="00A056DE"/>
    <w:rsid w:val="00A06370"/>
    <w:rsid w:val="00A128AD"/>
    <w:rsid w:val="00A165D5"/>
    <w:rsid w:val="00A21E76"/>
    <w:rsid w:val="00A23BC8"/>
    <w:rsid w:val="00A2487A"/>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6E8F"/>
    <w:rsid w:val="00A77F6F"/>
    <w:rsid w:val="00A831FD"/>
    <w:rsid w:val="00A83352"/>
    <w:rsid w:val="00A850A2"/>
    <w:rsid w:val="00A902D1"/>
    <w:rsid w:val="00A91FA3"/>
    <w:rsid w:val="00A927D3"/>
    <w:rsid w:val="00A957CA"/>
    <w:rsid w:val="00AA7FC9"/>
    <w:rsid w:val="00AB237D"/>
    <w:rsid w:val="00AB5933"/>
    <w:rsid w:val="00AE013D"/>
    <w:rsid w:val="00AE11B7"/>
    <w:rsid w:val="00AE7F68"/>
    <w:rsid w:val="00AF2321"/>
    <w:rsid w:val="00AF263E"/>
    <w:rsid w:val="00AF52F6"/>
    <w:rsid w:val="00AF52FD"/>
    <w:rsid w:val="00AF54A8"/>
    <w:rsid w:val="00AF7237"/>
    <w:rsid w:val="00B0043A"/>
    <w:rsid w:val="00B00D75"/>
    <w:rsid w:val="00B070CB"/>
    <w:rsid w:val="00B11257"/>
    <w:rsid w:val="00B12456"/>
    <w:rsid w:val="00B145F0"/>
    <w:rsid w:val="00B259C8"/>
    <w:rsid w:val="00B26CCF"/>
    <w:rsid w:val="00B30FC2"/>
    <w:rsid w:val="00B331A2"/>
    <w:rsid w:val="00B425F0"/>
    <w:rsid w:val="00B42DFA"/>
    <w:rsid w:val="00B531DD"/>
    <w:rsid w:val="00B55014"/>
    <w:rsid w:val="00B62232"/>
    <w:rsid w:val="00B70BF3"/>
    <w:rsid w:val="00B71DC2"/>
    <w:rsid w:val="00B829A1"/>
    <w:rsid w:val="00B91CFC"/>
    <w:rsid w:val="00B9300F"/>
    <w:rsid w:val="00B93893"/>
    <w:rsid w:val="00BA11F9"/>
    <w:rsid w:val="00BA129E"/>
    <w:rsid w:val="00BA6EB2"/>
    <w:rsid w:val="00BA7E0A"/>
    <w:rsid w:val="00BB6F7C"/>
    <w:rsid w:val="00BC3B53"/>
    <w:rsid w:val="00BC3B96"/>
    <w:rsid w:val="00BC4AE3"/>
    <w:rsid w:val="00BC5B28"/>
    <w:rsid w:val="00BE3F88"/>
    <w:rsid w:val="00BE4756"/>
    <w:rsid w:val="00BE5ED9"/>
    <w:rsid w:val="00BE7B41"/>
    <w:rsid w:val="00C143AE"/>
    <w:rsid w:val="00C147C7"/>
    <w:rsid w:val="00C15A91"/>
    <w:rsid w:val="00C206F1"/>
    <w:rsid w:val="00C217E1"/>
    <w:rsid w:val="00C219B1"/>
    <w:rsid w:val="00C4015B"/>
    <w:rsid w:val="00C40C60"/>
    <w:rsid w:val="00C5258E"/>
    <w:rsid w:val="00C530C9"/>
    <w:rsid w:val="00C619A7"/>
    <w:rsid w:val="00C73D5F"/>
    <w:rsid w:val="00C8584E"/>
    <w:rsid w:val="00C97C80"/>
    <w:rsid w:val="00CA47D3"/>
    <w:rsid w:val="00CA6533"/>
    <w:rsid w:val="00CA6A25"/>
    <w:rsid w:val="00CA6A3F"/>
    <w:rsid w:val="00CA7C99"/>
    <w:rsid w:val="00CB3DE1"/>
    <w:rsid w:val="00CC6290"/>
    <w:rsid w:val="00CC7BA8"/>
    <w:rsid w:val="00CD233D"/>
    <w:rsid w:val="00CD362D"/>
    <w:rsid w:val="00CE101D"/>
    <w:rsid w:val="00CE1814"/>
    <w:rsid w:val="00CE1C84"/>
    <w:rsid w:val="00CE5055"/>
    <w:rsid w:val="00CE7C63"/>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11FD"/>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D072A"/>
    <w:rsid w:val="00ED406F"/>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4073"/>
    <w:rsid w:val="00F75603"/>
    <w:rsid w:val="00F845B4"/>
    <w:rsid w:val="00F86BA9"/>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 w:val="00FF2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11D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customStyle="1" w:styleId="TableParagraph">
    <w:name w:val="Table Paragraph"/>
    <w:basedOn w:val="Standaard"/>
    <w:uiPriority w:val="1"/>
    <w:qFormat/>
    <w:rsid w:val="00C143AE"/>
    <w:pPr>
      <w:widowControl w:val="0"/>
      <w:autoSpaceDE w:val="0"/>
      <w:autoSpaceDN w:val="0"/>
      <w:spacing w:line="240" w:lineRule="auto"/>
    </w:pPr>
    <w:rPr>
      <w:rFonts w:eastAsia="Verdana" w:cs="Verdana"/>
      <w:sz w:val="22"/>
      <w:szCs w:val="22"/>
      <w:lang w:eastAsia="en-US"/>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C143AE"/>
    <w:pPr>
      <w:overflowPunct w:val="0"/>
      <w:autoSpaceDE w:val="0"/>
      <w:autoSpaceDN w:val="0"/>
      <w:adjustRightInd w:val="0"/>
      <w:spacing w:line="240" w:lineRule="auto"/>
      <w:ind w:left="720"/>
      <w:contextualSpacing/>
      <w:textAlignment w:val="baseline"/>
    </w:pPr>
    <w:rPr>
      <w:rFonts w:ascii="Times New Roman" w:hAnsi="Times New Roman"/>
      <w:sz w:val="20"/>
      <w:szCs w:val="20"/>
      <w:lang w:val="nl"/>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C143AE"/>
    <w:rPr>
      <w:lang w:val="nl" w:eastAsia="nl-NL"/>
    </w:rPr>
  </w:style>
  <w:style w:type="table" w:customStyle="1" w:styleId="TableNormal1">
    <w:name w:val="Table Normal1"/>
    <w:uiPriority w:val="2"/>
    <w:semiHidden/>
    <w:unhideWhenUsed/>
    <w:qFormat/>
    <w:rsid w:val="00C143AE"/>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955</ap:Words>
  <ap:Characters>5257</ap:Characters>
  <ap:DocSecurity>0</ap:DocSecurity>
  <ap:Lines>43</ap:Lines>
  <ap:Paragraphs>12</ap:Paragraphs>
  <ap:ScaleCrop>false</ap:ScaleCrop>
  <ap:LinksUpToDate>false</ap:LinksUpToDate>
  <ap:CharactersWithSpaces>6200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2026-07-07T14:43:00.0000000Z</dcterms:created>
  <dcterms:modified xsi:type="dcterms:W3CDTF">2026-07-07T15:01:00.0000000Z</dcterms:modified>
  <dc:description>------------------------</dc:description>
  <dc:subject/>
  <keywords/>
  <version/>
  <category/>
</coreProperties>
</file>