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0"/>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3309"/>
        <w:gridCol w:w="5640"/>
      </w:tblGrid>
      <w:tr w:rsidRPr="004D16CE" w:rsidR="00B31398" w:rsidTr="00F86814" w14:paraId="4D78DE07" w14:textId="77777777">
        <w:trPr>
          <w:trHeight w:val="1059"/>
        </w:trPr>
        <w:tc>
          <w:tcPr>
            <w:tcW w:w="8970" w:type="dxa"/>
            <w:gridSpan w:val="2"/>
            <w:tcBorders>
              <w:top w:val="single" w:color="FFFFFF" w:sz="4" w:space="0"/>
              <w:left w:val="nil"/>
              <w:bottom w:val="single" w:color="FFFFFF" w:sz="4" w:space="0"/>
              <w:right w:val="single" w:color="FFFFFF" w:sz="4" w:space="0"/>
            </w:tcBorders>
            <w:shd w:val="clear" w:color="auto" w:fill="7A7A7A"/>
            <w:vAlign w:val="center"/>
            <w:hideMark/>
          </w:tcPr>
          <w:p w:rsidRPr="004D16CE" w:rsidR="00B31398" w:rsidP="00F86814" w:rsidRDefault="00B31398" w14:paraId="749B3417" w14:textId="77777777">
            <w:pPr>
              <w:pStyle w:val="TableParagraph"/>
              <w:spacing w:line="240" w:lineRule="atLeast"/>
              <w:ind w:left="103"/>
              <w:contextualSpacing/>
              <w:rPr>
                <w:rFonts w:cstheme="minorHAnsi"/>
                <w:b/>
                <w:color w:val="FFFFFF"/>
                <w:sz w:val="20"/>
                <w:szCs w:val="20"/>
                <w:lang w:val="nl-NL"/>
              </w:rPr>
            </w:pPr>
            <w:bookmarkStart w:name="_Hlk87624695" w:id="0"/>
            <w:r w:rsidRPr="004D16CE">
              <w:rPr>
                <w:rFonts w:cstheme="minorHAnsi"/>
                <w:b/>
                <w:color w:val="FFFFFF"/>
                <w:sz w:val="20"/>
                <w:szCs w:val="20"/>
                <w:lang w:val="nl-NL"/>
              </w:rPr>
              <w:t>Beleidskeuzes uitgelegd</w:t>
            </w:r>
          </w:p>
          <w:p w:rsidRPr="004D16CE" w:rsidR="00B31398" w:rsidP="00F86814" w:rsidRDefault="00B31398" w14:paraId="012A43D4" w14:textId="77777777">
            <w:pPr>
              <w:pStyle w:val="TableParagraph"/>
              <w:spacing w:line="240" w:lineRule="atLeast"/>
              <w:contextualSpacing/>
              <w:rPr>
                <w:rFonts w:cstheme="minorHAnsi"/>
                <w:color w:val="FFFFFF" w:themeColor="background1"/>
                <w:sz w:val="20"/>
                <w:szCs w:val="20"/>
                <w:lang w:val="nl-NL"/>
              </w:rPr>
            </w:pPr>
            <w:r w:rsidRPr="004D16CE">
              <w:rPr>
                <w:rFonts w:cstheme="minorHAnsi"/>
                <w:b/>
                <w:color w:val="FFFFFF" w:themeColor="background1"/>
                <w:sz w:val="20"/>
                <w:szCs w:val="20"/>
                <w:lang w:val="nl-NL"/>
              </w:rPr>
              <w:t xml:space="preserve"> </w:t>
            </w:r>
            <w:r w:rsidRPr="004D16CE">
              <w:rPr>
                <w:rFonts w:cstheme="minorHAnsi"/>
                <w:i/>
                <w:color w:val="FFFFFF" w:themeColor="background1"/>
                <w:sz w:val="20"/>
                <w:szCs w:val="20"/>
                <w:lang w:val="nl-NL"/>
              </w:rPr>
              <w:t>Onderbouwing doeltreffendheid, doelmatigheid en evaluatie (CW 3.1)</w:t>
            </w:r>
          </w:p>
        </w:tc>
      </w:tr>
      <w:tr w:rsidRPr="004D16CE" w:rsidR="00B31398" w:rsidTr="00F86814" w14:paraId="2A533787" w14:textId="77777777">
        <w:trPr>
          <w:trHeight w:val="666"/>
        </w:trPr>
        <w:tc>
          <w:tcPr>
            <w:tcW w:w="2640" w:type="dxa"/>
            <w:tcBorders>
              <w:top w:val="single" w:color="FFFFFF" w:sz="4" w:space="0"/>
              <w:left w:val="nil"/>
              <w:bottom w:val="single" w:color="FFFFFF" w:sz="4" w:space="0"/>
              <w:right w:val="single" w:color="FFFFFF" w:sz="4" w:space="0"/>
            </w:tcBorders>
            <w:shd w:val="clear" w:color="auto" w:fill="7A7A7A"/>
          </w:tcPr>
          <w:p w:rsidRPr="004D16CE" w:rsidR="00B31398" w:rsidP="00F86814" w:rsidRDefault="00B31398" w14:paraId="30EA8D5C" w14:textId="77777777">
            <w:pPr>
              <w:pStyle w:val="TableParagraph"/>
              <w:spacing w:line="240" w:lineRule="atLeast"/>
              <w:ind w:left="103"/>
              <w:contextualSpacing/>
              <w:rPr>
                <w:rFonts w:cstheme="minorHAnsi"/>
                <w:b/>
                <w:color w:val="FFFFFF"/>
                <w:sz w:val="20"/>
                <w:szCs w:val="20"/>
                <w:lang w:val="nl-NL"/>
              </w:rPr>
            </w:pPr>
          </w:p>
          <w:p w:rsidRPr="004D16CE" w:rsidR="00B31398" w:rsidP="00F86814" w:rsidRDefault="00B31398" w14:paraId="313DC70F" w14:textId="77777777">
            <w:pPr>
              <w:pStyle w:val="TableParagraph"/>
              <w:spacing w:line="240" w:lineRule="atLeast"/>
              <w:ind w:left="103"/>
              <w:contextualSpacing/>
              <w:rPr>
                <w:rFonts w:cstheme="minorHAnsi"/>
                <w:b/>
                <w:sz w:val="20"/>
                <w:szCs w:val="20"/>
              </w:rPr>
            </w:pPr>
            <w:r w:rsidRPr="004D16CE">
              <w:rPr>
                <w:rFonts w:cstheme="minorHAnsi"/>
                <w:b/>
                <w:color w:val="FFFFFF"/>
                <w:sz w:val="20"/>
                <w:szCs w:val="20"/>
              </w:rPr>
              <w:t xml:space="preserve">Doel(en) </w:t>
            </w:r>
          </w:p>
        </w:tc>
        <w:tc>
          <w:tcPr>
            <w:tcW w:w="6330" w:type="dxa"/>
            <w:tcBorders>
              <w:top w:val="single" w:color="FFFFFF" w:sz="4" w:space="0"/>
              <w:left w:val="single" w:color="FFFFFF" w:sz="4" w:space="0"/>
              <w:bottom w:val="single" w:color="FFFFFF" w:sz="4" w:space="0"/>
              <w:right w:val="nil"/>
            </w:tcBorders>
            <w:shd w:val="clear" w:color="auto" w:fill="DBDBDB"/>
            <w:vAlign w:val="center"/>
          </w:tcPr>
          <w:p w:rsidRPr="00BA6FD1" w:rsidR="007F781B" w:rsidP="007F781B" w:rsidRDefault="0007490C" w14:paraId="3653710C" w14:textId="13A0E461">
            <w:pPr>
              <w:pStyle w:val="TableParagraph"/>
              <w:spacing w:line="240" w:lineRule="atLeast"/>
              <w:ind w:right="154"/>
              <w:contextualSpacing/>
              <w:rPr>
                <w:rFonts w:cstheme="minorHAnsi"/>
                <w:sz w:val="18"/>
                <w:szCs w:val="18"/>
                <w:lang w:val="nl-NL"/>
              </w:rPr>
            </w:pPr>
            <w:r w:rsidRPr="00BA6FD1">
              <w:rPr>
                <w:rFonts w:cstheme="minorHAnsi"/>
                <w:sz w:val="18"/>
                <w:szCs w:val="18"/>
                <w:lang w:val="nl-NL"/>
              </w:rPr>
              <w:t>De belangrijkste doelen zijn:</w:t>
            </w:r>
          </w:p>
          <w:p w:rsidRPr="00BA6FD1" w:rsidR="0007490C" w:rsidP="007F781B" w:rsidRDefault="007F781B" w14:paraId="0F4E2752" w14:textId="1525874A">
            <w:pPr>
              <w:pStyle w:val="TableParagraph"/>
              <w:numPr>
                <w:ilvl w:val="0"/>
                <w:numId w:val="1"/>
              </w:numPr>
              <w:spacing w:line="240" w:lineRule="atLeast"/>
              <w:ind w:right="154"/>
              <w:contextualSpacing/>
              <w:rPr>
                <w:rFonts w:cstheme="minorHAnsi"/>
                <w:sz w:val="18"/>
                <w:szCs w:val="18"/>
                <w:lang w:val="nl-NL"/>
              </w:rPr>
            </w:pPr>
            <w:r w:rsidRPr="00BA6FD1">
              <w:rPr>
                <w:rFonts w:cstheme="minorHAnsi"/>
                <w:sz w:val="18"/>
                <w:szCs w:val="18"/>
                <w:lang w:val="nl-NL"/>
              </w:rPr>
              <w:t>het mbo in regio’s met fors dalende studentaantallen structureel beter toe te rusten om mbo-onderwijs te verzorgen, zodat studenten in heel Nederland kwalitatief goed, arbeidsmarktrelevant, divers en toegankelijk mbo onderwijs kunnen volgen. </w:t>
            </w:r>
          </w:p>
          <w:p w:rsidRPr="00BA6FD1" w:rsidR="007F781B" w:rsidP="007F781B" w:rsidRDefault="007F781B" w14:paraId="17431323" w14:textId="60CE7BB5">
            <w:pPr>
              <w:pStyle w:val="TableParagraph"/>
              <w:numPr>
                <w:ilvl w:val="0"/>
                <w:numId w:val="1"/>
              </w:numPr>
              <w:spacing w:line="240" w:lineRule="atLeast"/>
              <w:ind w:right="154"/>
              <w:contextualSpacing/>
              <w:rPr>
                <w:rFonts w:cstheme="minorHAnsi"/>
                <w:sz w:val="18"/>
                <w:szCs w:val="18"/>
                <w:lang w:val="nl-NL"/>
              </w:rPr>
            </w:pPr>
            <w:r w:rsidRPr="00BA6FD1">
              <w:rPr>
                <w:rFonts w:cstheme="minorHAnsi"/>
                <w:sz w:val="18"/>
                <w:szCs w:val="18"/>
                <w:lang w:val="nl-NL"/>
              </w:rPr>
              <w:t>de stabiliteit van de financiering voor mbo- scholen te vergroten.</w:t>
            </w:r>
          </w:p>
          <w:p w:rsidRPr="00BA6FD1" w:rsidR="007F781B" w:rsidP="007F781B" w:rsidRDefault="007F781B" w14:paraId="74C7553B" w14:textId="3597725D">
            <w:pPr>
              <w:pStyle w:val="TableParagraph"/>
              <w:numPr>
                <w:ilvl w:val="0"/>
                <w:numId w:val="1"/>
              </w:numPr>
              <w:spacing w:line="240" w:lineRule="atLeast"/>
              <w:ind w:right="154"/>
              <w:contextualSpacing/>
              <w:rPr>
                <w:rFonts w:cstheme="minorHAnsi"/>
                <w:sz w:val="18"/>
                <w:szCs w:val="18"/>
                <w:lang w:val="nl-NL"/>
              </w:rPr>
            </w:pPr>
            <w:r w:rsidRPr="00BA6FD1">
              <w:rPr>
                <w:rFonts w:cstheme="minorHAnsi"/>
                <w:sz w:val="18"/>
                <w:szCs w:val="18"/>
                <w:lang w:val="nl-NL"/>
              </w:rPr>
              <w:t>de concurrentieprikkel in het mbo-stelsel te verkleinen en samenwerking te faciliteren.</w:t>
            </w:r>
          </w:p>
          <w:p w:rsidRPr="00BA6FD1" w:rsidR="007F781B" w:rsidP="007F781B" w:rsidRDefault="007F781B" w14:paraId="5630C921" w14:textId="77777777">
            <w:pPr>
              <w:pStyle w:val="TableParagraph"/>
              <w:numPr>
                <w:ilvl w:val="0"/>
                <w:numId w:val="1"/>
              </w:numPr>
              <w:spacing w:line="240" w:lineRule="atLeast"/>
              <w:ind w:right="154"/>
              <w:contextualSpacing/>
              <w:rPr>
                <w:rFonts w:cstheme="minorHAnsi"/>
                <w:sz w:val="18"/>
                <w:szCs w:val="18"/>
                <w:lang w:val="nl-NL"/>
              </w:rPr>
            </w:pPr>
            <w:r w:rsidRPr="00BA6FD1">
              <w:rPr>
                <w:rFonts w:cstheme="minorHAnsi"/>
                <w:sz w:val="18"/>
                <w:szCs w:val="18"/>
                <w:lang w:val="nl-NL"/>
              </w:rPr>
              <w:t>de bijdrage van het mbo aan het opleiden voor de arbeidsmarkt van de toekomst te vergroten.</w:t>
            </w:r>
          </w:p>
          <w:p w:rsidRPr="00BA6FD1" w:rsidR="007F781B" w:rsidP="007F781B" w:rsidRDefault="007F781B" w14:paraId="4B6B63E4" w14:textId="3284A897">
            <w:pPr>
              <w:pStyle w:val="TableParagraph"/>
              <w:numPr>
                <w:ilvl w:val="0"/>
                <w:numId w:val="1"/>
              </w:numPr>
              <w:spacing w:line="240" w:lineRule="atLeast"/>
              <w:ind w:right="154"/>
              <w:contextualSpacing/>
              <w:rPr>
                <w:rFonts w:cstheme="minorHAnsi"/>
                <w:sz w:val="18"/>
                <w:szCs w:val="18"/>
                <w:lang w:val="nl-NL"/>
              </w:rPr>
            </w:pPr>
            <w:r w:rsidRPr="00BA6FD1">
              <w:rPr>
                <w:rFonts w:cstheme="minorHAnsi"/>
                <w:sz w:val="18"/>
                <w:szCs w:val="18"/>
                <w:lang w:val="nl-NL"/>
              </w:rPr>
              <w:t>financiële drempels voor minderjarige mbo-studenten te verlagen en elke jongere, ongeacht de financiële situatie van de ouders, in staat te stellen een startkwalificatie te behalen.</w:t>
            </w:r>
          </w:p>
          <w:p w:rsidRPr="00BA6FD1" w:rsidR="007F781B" w:rsidP="007F781B" w:rsidRDefault="007F781B" w14:paraId="6829E56B" w14:textId="337C8B4F">
            <w:pPr>
              <w:pStyle w:val="TableParagraph"/>
              <w:numPr>
                <w:ilvl w:val="0"/>
                <w:numId w:val="1"/>
              </w:numPr>
              <w:ind w:right="154"/>
              <w:contextualSpacing/>
              <w:rPr>
                <w:rFonts w:cstheme="minorHAnsi"/>
                <w:sz w:val="18"/>
                <w:szCs w:val="18"/>
                <w:lang w:val="nl-NL"/>
              </w:rPr>
            </w:pPr>
            <w:r w:rsidRPr="00BA6FD1">
              <w:rPr>
                <w:rFonts w:cstheme="minorHAnsi"/>
                <w:sz w:val="18"/>
                <w:szCs w:val="18"/>
                <w:lang w:val="nl-NL"/>
              </w:rPr>
              <w:t xml:space="preserve">de onderwijskwaliteit te verhogen door te zorgen voor aantrekkelijk werken in het mbo en investeringen in innovatie en kennisbenutting. </w:t>
            </w:r>
          </w:p>
        </w:tc>
      </w:tr>
      <w:tr w:rsidRPr="004D16CE" w:rsidR="00B31398" w:rsidTr="00F86814" w14:paraId="5D27C2AA" w14:textId="77777777">
        <w:trPr>
          <w:trHeight w:val="694"/>
        </w:trPr>
        <w:tc>
          <w:tcPr>
            <w:tcW w:w="2640" w:type="dxa"/>
            <w:tcBorders>
              <w:top w:val="single" w:color="FFFFFF" w:sz="4" w:space="0"/>
              <w:left w:val="nil"/>
              <w:bottom w:val="single" w:color="FFFFFF" w:sz="4" w:space="0"/>
              <w:right w:val="single" w:color="FFFFFF" w:sz="4" w:space="0"/>
            </w:tcBorders>
            <w:shd w:val="clear" w:color="auto" w:fill="7A7A7A"/>
          </w:tcPr>
          <w:p w:rsidRPr="004D16CE" w:rsidR="00B31398" w:rsidP="00F86814" w:rsidRDefault="00B31398" w14:paraId="558600F8" w14:textId="77777777">
            <w:pPr>
              <w:pStyle w:val="TableParagraph"/>
              <w:spacing w:line="240" w:lineRule="atLeast"/>
              <w:ind w:left="103" w:right="231"/>
              <w:contextualSpacing/>
              <w:rPr>
                <w:rFonts w:cstheme="minorHAnsi"/>
                <w:b/>
                <w:color w:val="FFFFFF"/>
                <w:sz w:val="20"/>
                <w:szCs w:val="20"/>
                <w:lang w:val="nl-NL"/>
              </w:rPr>
            </w:pPr>
          </w:p>
          <w:p w:rsidRPr="004D16CE" w:rsidR="00B31398" w:rsidP="00F86814" w:rsidRDefault="00B31398" w14:paraId="10E01C83" w14:textId="77777777">
            <w:pPr>
              <w:pStyle w:val="TableParagraph"/>
              <w:spacing w:line="240" w:lineRule="atLeast"/>
              <w:ind w:left="103" w:right="231"/>
              <w:contextualSpacing/>
              <w:rPr>
                <w:rFonts w:cstheme="minorHAnsi"/>
                <w:b/>
                <w:sz w:val="20"/>
                <w:szCs w:val="20"/>
              </w:rPr>
            </w:pPr>
            <w:proofErr w:type="spellStart"/>
            <w:r w:rsidRPr="004D16CE">
              <w:rPr>
                <w:rFonts w:cstheme="minorHAnsi"/>
                <w:b/>
                <w:color w:val="FFFFFF"/>
                <w:sz w:val="20"/>
                <w:szCs w:val="20"/>
              </w:rPr>
              <w:t>Beleidsinstrument</w:t>
            </w:r>
            <w:proofErr w:type="spellEnd"/>
            <w:r w:rsidRPr="004D16CE">
              <w:rPr>
                <w:rFonts w:cstheme="minorHAnsi"/>
                <w:b/>
                <w:color w:val="FFFFFF"/>
                <w:sz w:val="20"/>
                <w:szCs w:val="20"/>
              </w:rPr>
              <w:t>(en)</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BA6FD1" w:rsidR="00B31398" w:rsidP="00605C75" w:rsidRDefault="007F781B" w14:paraId="00B28F15" w14:textId="4CF28BA0">
            <w:pPr>
              <w:pStyle w:val="TableParagraph"/>
              <w:ind w:right="543"/>
              <w:contextualSpacing/>
              <w:rPr>
                <w:rFonts w:cstheme="minorHAnsi"/>
                <w:sz w:val="18"/>
                <w:szCs w:val="18"/>
                <w:lang w:val="nl-NL"/>
              </w:rPr>
            </w:pPr>
            <w:r w:rsidRPr="00BA6FD1">
              <w:rPr>
                <w:rFonts w:cstheme="minorHAnsi"/>
                <w:sz w:val="18"/>
                <w:szCs w:val="18"/>
                <w:lang w:val="nl-NL"/>
              </w:rPr>
              <w:t xml:space="preserve">In deze brief worden de financiële keuzes toegelicht. Er wordt gekozen voor wijzigingen in het verdeelmodel van de lumpsum, de huidige kwaliteitsmiddelen en subsidies. </w:t>
            </w:r>
            <w:r w:rsidRPr="00BA6FD1">
              <w:rPr>
                <w:rFonts w:cstheme="minorHAnsi"/>
                <w:sz w:val="18"/>
                <w:szCs w:val="18"/>
                <w:lang w:val="nl-NL"/>
              </w:rPr>
              <w:br/>
            </w:r>
            <w:r w:rsidRPr="00BA6FD1">
              <w:rPr>
                <w:rFonts w:cstheme="minorHAnsi"/>
                <w:sz w:val="18"/>
                <w:szCs w:val="18"/>
                <w:lang w:val="nl-NL"/>
              </w:rPr>
              <w:br/>
              <w:t>Daarvoor moet de wet worden aangepast. Daarin wordt de nieuwe wettelijke taak voor het kosteloos beschikbaar stellen van leermiddelen aan minderjarige mbo-</w:t>
            </w:r>
            <w:r w:rsidRPr="00BA6FD1" w:rsidR="00605C75">
              <w:rPr>
                <w:rFonts w:cstheme="minorHAnsi"/>
                <w:sz w:val="18"/>
                <w:szCs w:val="18"/>
                <w:lang w:val="nl-NL"/>
              </w:rPr>
              <w:t>s</w:t>
            </w:r>
            <w:r w:rsidRPr="00BA6FD1">
              <w:rPr>
                <w:rFonts w:cstheme="minorHAnsi"/>
                <w:sz w:val="18"/>
                <w:szCs w:val="18"/>
                <w:lang w:val="nl-NL"/>
              </w:rPr>
              <w:t xml:space="preserve">tudenten meegenomen. </w:t>
            </w:r>
            <w:r w:rsidRPr="00BA6FD1">
              <w:rPr>
                <w:rFonts w:cstheme="minorHAnsi"/>
                <w:sz w:val="18"/>
                <w:szCs w:val="18"/>
                <w:lang w:val="nl-NL"/>
              </w:rPr>
              <w:br/>
            </w:r>
            <w:r w:rsidRPr="00BA6FD1">
              <w:rPr>
                <w:rFonts w:cstheme="minorHAnsi"/>
                <w:sz w:val="18"/>
                <w:szCs w:val="18"/>
                <w:lang w:val="nl-NL"/>
              </w:rPr>
              <w:br/>
              <w:t xml:space="preserve">De komende periode worden de voorgestelde maatregelen verder uitgewerkt in overleg met mbo-scholen, studenten, docenten, werkgevers, de uitvoering en andere betrokken partijen. Zo wordt voorafgaand aan de uitwerking van de regioplannen wordt een pact gesloten tussen overheid, mbo en werkgevers. </w:t>
            </w:r>
            <w:r w:rsidRPr="00BA6FD1" w:rsidR="0007490C">
              <w:rPr>
                <w:rFonts w:cstheme="minorHAnsi"/>
                <w:sz w:val="18"/>
                <w:szCs w:val="18"/>
                <w:lang w:val="nl-NL"/>
              </w:rPr>
              <w:br/>
            </w:r>
          </w:p>
        </w:tc>
      </w:tr>
      <w:tr w:rsidRPr="004D16CE" w:rsidR="00B31398" w:rsidTr="00F86814" w14:paraId="1FD2A2CB" w14:textId="77777777">
        <w:trPr>
          <w:trHeight w:val="805"/>
        </w:trPr>
        <w:tc>
          <w:tcPr>
            <w:tcW w:w="2640" w:type="dxa"/>
            <w:tcBorders>
              <w:top w:val="single" w:color="FFFFFF" w:sz="4" w:space="0"/>
              <w:left w:val="nil"/>
              <w:bottom w:val="single" w:color="FFFFFF" w:sz="4" w:space="0"/>
              <w:right w:val="single" w:color="FFFFFF" w:sz="4" w:space="0"/>
            </w:tcBorders>
            <w:shd w:val="clear" w:color="auto" w:fill="7A7A7A"/>
            <w:hideMark/>
          </w:tcPr>
          <w:p w:rsidRPr="004D16CE" w:rsidR="00B31398" w:rsidP="00F86814" w:rsidRDefault="00B31398" w14:paraId="5963C9C7" w14:textId="77777777">
            <w:pPr>
              <w:pStyle w:val="TableParagraph"/>
              <w:spacing w:line="240" w:lineRule="atLeast"/>
              <w:ind w:left="103" w:right="506"/>
              <w:contextualSpacing/>
              <w:rPr>
                <w:rFonts w:cstheme="minorHAnsi"/>
                <w:b/>
                <w:sz w:val="20"/>
                <w:szCs w:val="20"/>
                <w:lang w:val="nl-NL"/>
              </w:rPr>
            </w:pPr>
            <w:r w:rsidRPr="004D16CE">
              <w:rPr>
                <w:rFonts w:cstheme="minorHAnsi"/>
                <w:b/>
                <w:color w:val="FFFFFF"/>
                <w:sz w:val="20"/>
                <w:szCs w:val="20"/>
                <w:lang w:val="nl-NL"/>
              </w:rPr>
              <w:t>Financiële gevolgen voor het Rijk</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4A3B67" w:rsidR="004A3B67" w:rsidP="004A3B67" w:rsidRDefault="0007490C" w14:paraId="08C0E9D2" w14:textId="1FE708BB">
            <w:pPr>
              <w:pStyle w:val="TableParagraph"/>
              <w:ind w:right="945"/>
              <w:contextualSpacing/>
              <w:rPr>
                <w:rFonts w:cstheme="minorHAnsi"/>
                <w:sz w:val="18"/>
                <w:szCs w:val="18"/>
                <w:lang w:val="nl-NL"/>
              </w:rPr>
            </w:pPr>
            <w:r w:rsidRPr="00BA6FD1">
              <w:rPr>
                <w:rFonts w:cstheme="minorHAnsi"/>
                <w:sz w:val="18"/>
                <w:szCs w:val="18"/>
                <w:lang w:val="nl-NL"/>
              </w:rPr>
              <w:t xml:space="preserve">Er wordt vanuit het </w:t>
            </w:r>
            <w:r w:rsidR="00C05736">
              <w:rPr>
                <w:rFonts w:cstheme="minorHAnsi"/>
                <w:sz w:val="18"/>
                <w:szCs w:val="18"/>
                <w:lang w:val="nl-NL"/>
              </w:rPr>
              <w:t>C</w:t>
            </w:r>
            <w:r w:rsidRPr="00BA6FD1">
              <w:rPr>
                <w:rFonts w:cstheme="minorHAnsi"/>
                <w:sz w:val="18"/>
                <w:szCs w:val="18"/>
                <w:lang w:val="nl-NL"/>
              </w:rPr>
              <w:t xml:space="preserve">oalitieakkoord geïnvesteerd </w:t>
            </w:r>
            <w:r w:rsidRPr="00BA6FD1" w:rsidR="007F781B">
              <w:rPr>
                <w:rFonts w:cstheme="minorHAnsi"/>
                <w:sz w:val="18"/>
                <w:szCs w:val="18"/>
                <w:lang w:val="nl-NL"/>
              </w:rPr>
              <w:t xml:space="preserve">in het mbo en </w:t>
            </w:r>
            <w:r w:rsidRPr="00BA6FD1" w:rsidR="00755A7E">
              <w:rPr>
                <w:rFonts w:cstheme="minorHAnsi"/>
                <w:sz w:val="18"/>
                <w:szCs w:val="18"/>
                <w:lang w:val="nl-NL"/>
              </w:rPr>
              <w:t xml:space="preserve">bestaande middelen worden </w:t>
            </w:r>
            <w:r w:rsidRPr="00BA6FD1" w:rsidR="00F407A7">
              <w:rPr>
                <w:rFonts w:cstheme="minorHAnsi"/>
                <w:sz w:val="18"/>
                <w:szCs w:val="18"/>
                <w:lang w:val="nl-NL"/>
              </w:rPr>
              <w:t>anders ingevuld</w:t>
            </w:r>
            <w:r w:rsidRPr="00BA6FD1" w:rsidR="00755A7E">
              <w:rPr>
                <w:rFonts w:cstheme="minorHAnsi"/>
                <w:sz w:val="18"/>
                <w:szCs w:val="18"/>
                <w:lang w:val="nl-NL"/>
              </w:rPr>
              <w:t xml:space="preserve">. </w:t>
            </w:r>
            <w:r w:rsidRPr="00BA6FD1">
              <w:rPr>
                <w:rFonts w:cstheme="minorHAnsi"/>
                <w:sz w:val="18"/>
                <w:szCs w:val="18"/>
                <w:lang w:val="nl-NL"/>
              </w:rPr>
              <w:t>Zie bijlage</w:t>
            </w:r>
            <w:r w:rsidRPr="00BA6FD1" w:rsidR="00755A7E">
              <w:rPr>
                <w:rFonts w:cstheme="minorHAnsi"/>
                <w:sz w:val="18"/>
                <w:szCs w:val="18"/>
                <w:lang w:val="nl-NL"/>
              </w:rPr>
              <w:t xml:space="preserve"> </w:t>
            </w:r>
            <w:r w:rsidR="00BA6FD1">
              <w:rPr>
                <w:rFonts w:cstheme="minorHAnsi"/>
                <w:sz w:val="18"/>
                <w:szCs w:val="18"/>
                <w:lang w:val="nl-NL"/>
              </w:rPr>
              <w:t xml:space="preserve">1 </w:t>
            </w:r>
            <w:r w:rsidRPr="00BA6FD1" w:rsidR="00755A7E">
              <w:rPr>
                <w:rFonts w:cstheme="minorHAnsi"/>
                <w:sz w:val="18"/>
                <w:szCs w:val="18"/>
                <w:lang w:val="nl-NL"/>
              </w:rPr>
              <w:t>voor de</w:t>
            </w:r>
            <w:r w:rsidRPr="00BA6FD1">
              <w:rPr>
                <w:rFonts w:cstheme="minorHAnsi"/>
                <w:sz w:val="18"/>
                <w:szCs w:val="18"/>
                <w:lang w:val="nl-NL"/>
              </w:rPr>
              <w:t xml:space="preserve"> financiële tabel.  </w:t>
            </w:r>
            <w:r w:rsidRPr="00BA6FD1" w:rsidR="00755A7E">
              <w:rPr>
                <w:rFonts w:cstheme="minorHAnsi"/>
                <w:sz w:val="18"/>
                <w:szCs w:val="18"/>
                <w:lang w:val="nl-NL"/>
              </w:rPr>
              <w:br/>
            </w:r>
            <w:r w:rsidRPr="00BA6FD1" w:rsidR="00755A7E">
              <w:rPr>
                <w:rFonts w:cstheme="minorHAnsi"/>
                <w:sz w:val="18"/>
                <w:szCs w:val="18"/>
                <w:lang w:val="nl-NL"/>
              </w:rPr>
              <w:br/>
            </w:r>
            <w:r w:rsidRPr="00BA6FD1">
              <w:rPr>
                <w:rFonts w:cstheme="minorHAnsi"/>
                <w:sz w:val="18"/>
                <w:szCs w:val="18"/>
                <w:lang w:val="nl-NL"/>
              </w:rPr>
              <w:t>De herziening</w:t>
            </w:r>
            <w:r w:rsidRPr="00BA6FD1" w:rsidR="00605C75">
              <w:rPr>
                <w:rFonts w:cstheme="minorHAnsi"/>
                <w:sz w:val="18"/>
                <w:szCs w:val="18"/>
                <w:lang w:val="nl-NL"/>
              </w:rPr>
              <w:t xml:space="preserve"> van de bekostiging</w:t>
            </w:r>
            <w:r w:rsidRPr="00BA6FD1">
              <w:rPr>
                <w:rFonts w:cstheme="minorHAnsi"/>
                <w:sz w:val="18"/>
                <w:szCs w:val="18"/>
                <w:lang w:val="nl-NL"/>
              </w:rPr>
              <w:t xml:space="preserve"> vindt </w:t>
            </w:r>
            <w:r w:rsidR="004A3B67">
              <w:rPr>
                <w:rFonts w:cstheme="minorHAnsi"/>
                <w:sz w:val="18"/>
                <w:szCs w:val="18"/>
                <w:lang w:val="nl-NL"/>
              </w:rPr>
              <w:t xml:space="preserve">grotendeels </w:t>
            </w:r>
            <w:r w:rsidRPr="00BA6FD1">
              <w:rPr>
                <w:rFonts w:cstheme="minorHAnsi"/>
                <w:sz w:val="18"/>
                <w:szCs w:val="18"/>
                <w:lang w:val="nl-NL"/>
              </w:rPr>
              <w:t>budgetneutraal plaats.</w:t>
            </w:r>
            <w:r w:rsidR="004A3B67">
              <w:rPr>
                <w:rFonts w:cstheme="minorHAnsi"/>
                <w:sz w:val="18"/>
                <w:szCs w:val="18"/>
                <w:lang w:val="nl-NL"/>
              </w:rPr>
              <w:t xml:space="preserve"> </w:t>
            </w:r>
            <w:r w:rsidRPr="004A3B67" w:rsidR="004A3B67">
              <w:rPr>
                <w:rFonts w:cstheme="minorHAnsi"/>
                <w:sz w:val="18"/>
                <w:szCs w:val="18"/>
                <w:lang w:val="nl-NL"/>
              </w:rPr>
              <w:t>Dit betekent dat er herverdeeleffecten tussen mbo-instellingen ontstaan</w:t>
            </w:r>
            <w:r w:rsidR="004A3B67">
              <w:rPr>
                <w:rFonts w:cstheme="minorHAnsi"/>
                <w:sz w:val="18"/>
                <w:szCs w:val="18"/>
                <w:lang w:val="nl-NL"/>
              </w:rPr>
              <w:t xml:space="preserve"> (zie Financiële gevolgen voor maatschappelijke sectoren)</w:t>
            </w:r>
            <w:r w:rsidRPr="004A3B67" w:rsidR="004A3B67">
              <w:rPr>
                <w:rFonts w:cstheme="minorHAnsi"/>
                <w:sz w:val="18"/>
                <w:szCs w:val="18"/>
                <w:lang w:val="nl-NL"/>
              </w:rPr>
              <w:t xml:space="preserve">. Wel wordt er vanaf 2029 structureel €12,2 miljoen beschikbaar gesteld voor het compenseren van de negatieve herverdeeleffecten als gevolg van de vereenvoudiging van de prijsfactoren. </w:t>
            </w:r>
          </w:p>
          <w:p w:rsidRPr="004A3B67" w:rsidR="004A3B67" w:rsidP="004A3B67" w:rsidRDefault="004A3B67" w14:paraId="6BD6CFCA" w14:textId="77777777">
            <w:pPr>
              <w:pStyle w:val="TableParagraph"/>
              <w:ind w:right="945"/>
              <w:contextualSpacing/>
              <w:rPr>
                <w:rFonts w:cstheme="minorHAnsi"/>
                <w:sz w:val="18"/>
                <w:szCs w:val="18"/>
                <w:lang w:val="nl-NL"/>
              </w:rPr>
            </w:pPr>
          </w:p>
          <w:p w:rsidRPr="00BA6FD1" w:rsidR="00B31398" w:rsidP="004A3B67" w:rsidRDefault="004A3B67" w14:paraId="6440AA50" w14:textId="7D46B1E4">
            <w:pPr>
              <w:pStyle w:val="TableParagraph"/>
              <w:spacing w:line="240" w:lineRule="atLeast"/>
              <w:ind w:right="945"/>
              <w:contextualSpacing/>
              <w:rPr>
                <w:rFonts w:cstheme="minorHAnsi"/>
                <w:sz w:val="18"/>
                <w:szCs w:val="18"/>
                <w:lang w:val="nl-NL"/>
              </w:rPr>
            </w:pPr>
            <w:r w:rsidRPr="004A3B67">
              <w:rPr>
                <w:rFonts w:cstheme="minorHAnsi"/>
                <w:sz w:val="18"/>
                <w:szCs w:val="18"/>
                <w:lang w:val="nl-NL"/>
              </w:rPr>
              <w:t xml:space="preserve">Daarnaast worden instellingen die een toegankelijkheidsopslag ontvangen gecompenseerd voor de overgangseffecten. Hiervoor wordt € 48 miljoen beschikbaar gesteld. </w:t>
            </w:r>
          </w:p>
        </w:tc>
      </w:tr>
      <w:tr w:rsidRPr="004D16CE" w:rsidR="00B31398" w:rsidTr="00F86814" w14:paraId="0A7D0AF5" w14:textId="77777777">
        <w:trPr>
          <w:trHeight w:val="891"/>
        </w:trPr>
        <w:tc>
          <w:tcPr>
            <w:tcW w:w="2640" w:type="dxa"/>
            <w:tcBorders>
              <w:top w:val="single" w:color="FFFFFF" w:sz="4" w:space="0"/>
              <w:left w:val="nil"/>
              <w:bottom w:val="single" w:color="FFFFFF" w:sz="4" w:space="0"/>
              <w:right w:val="single" w:color="FFFFFF" w:sz="4" w:space="0"/>
            </w:tcBorders>
            <w:shd w:val="clear" w:color="auto" w:fill="7A7A7A"/>
            <w:hideMark/>
          </w:tcPr>
          <w:p w:rsidRPr="004D16CE" w:rsidR="00B31398" w:rsidP="00F86814" w:rsidRDefault="00B31398" w14:paraId="6EBC1684" w14:textId="77777777">
            <w:pPr>
              <w:pStyle w:val="TableParagraph"/>
              <w:spacing w:line="240" w:lineRule="atLeast"/>
              <w:ind w:left="103" w:right="92"/>
              <w:contextualSpacing/>
              <w:rPr>
                <w:rFonts w:cstheme="minorHAnsi"/>
                <w:b/>
                <w:sz w:val="20"/>
                <w:szCs w:val="20"/>
                <w:lang w:val="nl-NL"/>
              </w:rPr>
            </w:pPr>
            <w:r w:rsidRPr="004D16CE">
              <w:rPr>
                <w:rFonts w:cstheme="minorHAnsi"/>
                <w:b/>
                <w:color w:val="FFFFFF"/>
                <w:sz w:val="20"/>
                <w:szCs w:val="20"/>
                <w:lang w:val="nl-NL"/>
              </w:rPr>
              <w:lastRenderedPageBreak/>
              <w:t xml:space="preserve">Financiële gevolgen voor maatschappelijke sectoren </w:t>
            </w:r>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BA6FD1" w:rsidR="004A3B67" w:rsidP="00605C75" w:rsidRDefault="00605C75" w14:paraId="40B8BED0" w14:textId="33EBBD6A">
            <w:pPr>
              <w:pStyle w:val="TableParagraph"/>
              <w:spacing w:line="240" w:lineRule="atLeast"/>
              <w:ind w:right="308"/>
              <w:contextualSpacing/>
              <w:rPr>
                <w:rFonts w:cstheme="minorHAnsi"/>
                <w:sz w:val="18"/>
                <w:szCs w:val="18"/>
                <w:lang w:val="nl-NL"/>
              </w:rPr>
            </w:pPr>
            <w:r w:rsidRPr="00BA6FD1">
              <w:rPr>
                <w:rFonts w:cstheme="minorHAnsi"/>
                <w:sz w:val="18"/>
                <w:szCs w:val="18"/>
                <w:lang w:val="nl-NL"/>
              </w:rPr>
              <w:t xml:space="preserve">De herziening van de mbo-bekostiging vindt </w:t>
            </w:r>
            <w:r w:rsidR="004A3B67">
              <w:rPr>
                <w:rFonts w:cstheme="minorHAnsi"/>
                <w:sz w:val="18"/>
                <w:szCs w:val="18"/>
                <w:lang w:val="nl-NL"/>
              </w:rPr>
              <w:t xml:space="preserve">grotendeels </w:t>
            </w:r>
            <w:r w:rsidRPr="00BA6FD1">
              <w:rPr>
                <w:rFonts w:cstheme="minorHAnsi"/>
                <w:sz w:val="18"/>
                <w:szCs w:val="18"/>
                <w:lang w:val="nl-NL"/>
              </w:rPr>
              <w:t>budgetneutraal plaats. Het kabinet kiest er bewust voor om de toegankelijkheid van het mbo in heel Nederland. Dat betekent dat er herverdeeleffecten tussen mbo-scholen ontstaan. Het herverdeeleffect komt vooral mbo-scholen met dalende studentenaantallen ten goede. Voor mbo-scholen met een aanhoudende groei van studentenaantallen zal de bekostiging minder hard stijgen dan in de huidige situatie of beperkt afnemen.</w:t>
            </w:r>
            <w:r w:rsidRPr="00BA6FD1">
              <w:rPr>
                <w:rFonts w:eastAsia="Times New Roman" w:cs="Times New Roman"/>
                <w:kern w:val="2"/>
                <w:sz w:val="18"/>
                <w:szCs w:val="18"/>
                <w:lang w:val="nl-NL" w:eastAsia="nl-NL"/>
                <w14:ligatures w14:val="standardContextual"/>
              </w:rPr>
              <w:t xml:space="preserve"> Het is </w:t>
            </w:r>
            <w:r w:rsidRPr="00BA6FD1">
              <w:rPr>
                <w:rFonts w:cstheme="minorHAnsi"/>
                <w:sz w:val="18"/>
                <w:szCs w:val="18"/>
                <w:lang w:val="nl-NL"/>
              </w:rPr>
              <w:t>van belang dat de herverdeeleffecten die nodig zijn voor het op peil houden van de toegankelijkheid te dragen zijn voor de andere instellingen. Om het risico op kwaliteitsverlies te voorkomen worden mogelijke negatieve herverdeeleffect per instelling beperkt op ca. - 4%. Ook wordt er voorzien in een overgangsregeling.</w:t>
            </w:r>
          </w:p>
        </w:tc>
      </w:tr>
      <w:tr w:rsidRPr="004D16CE" w:rsidR="00B31398" w:rsidTr="00F86814" w14:paraId="61A20B78" w14:textId="77777777">
        <w:trPr>
          <w:trHeight w:val="955"/>
        </w:trPr>
        <w:tc>
          <w:tcPr>
            <w:tcW w:w="2640" w:type="dxa"/>
            <w:tcBorders>
              <w:top w:val="single" w:color="FFFFFF" w:sz="4" w:space="0"/>
              <w:left w:val="nil"/>
              <w:bottom w:val="single" w:color="FFFFFF" w:sz="4" w:space="0"/>
              <w:right w:val="single" w:color="FFFFFF" w:sz="4" w:space="0"/>
            </w:tcBorders>
            <w:shd w:val="clear" w:color="auto" w:fill="7A7A7A"/>
            <w:hideMark/>
          </w:tcPr>
          <w:p w:rsidRPr="004D16CE" w:rsidR="00B31398" w:rsidP="00F86814" w:rsidRDefault="00B31398" w14:paraId="7A1A00DD" w14:textId="77777777">
            <w:pPr>
              <w:pStyle w:val="TableParagraph"/>
              <w:spacing w:line="240" w:lineRule="atLeast"/>
              <w:ind w:left="103" w:right="829"/>
              <w:contextualSpacing/>
              <w:rPr>
                <w:rFonts w:cstheme="minorHAnsi"/>
                <w:b/>
                <w:sz w:val="20"/>
                <w:szCs w:val="20"/>
              </w:rPr>
            </w:pPr>
            <w:proofErr w:type="spellStart"/>
            <w:r w:rsidRPr="004D16CE">
              <w:rPr>
                <w:rFonts w:cstheme="minorHAnsi"/>
                <w:b/>
                <w:color w:val="FFFFFF"/>
                <w:sz w:val="20"/>
                <w:szCs w:val="20"/>
              </w:rPr>
              <w:t>Nagestreefde</w:t>
            </w:r>
            <w:proofErr w:type="spellEnd"/>
            <w:r w:rsidRPr="004D16CE">
              <w:rPr>
                <w:rFonts w:cstheme="minorHAnsi"/>
                <w:b/>
                <w:color w:val="FFFFFF"/>
                <w:sz w:val="20"/>
                <w:szCs w:val="20"/>
              </w:rPr>
              <w:t xml:space="preserve"> </w:t>
            </w:r>
            <w:proofErr w:type="spellStart"/>
            <w:r w:rsidRPr="004D16CE">
              <w:rPr>
                <w:rFonts w:cstheme="minorHAnsi"/>
                <w:b/>
                <w:color w:val="FFFFFF"/>
                <w:sz w:val="20"/>
                <w:szCs w:val="20"/>
              </w:rPr>
              <w:t>doeltreffendheid</w:t>
            </w:r>
            <w:proofErr w:type="spellEnd"/>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BA6FD1" w:rsidR="00EE28C3" w:rsidP="006F22E7" w:rsidRDefault="00EE28C3" w14:paraId="52A01066" w14:textId="68581E52">
            <w:pPr>
              <w:pStyle w:val="TableParagraph"/>
              <w:spacing w:line="240" w:lineRule="atLeast"/>
              <w:ind w:right="154"/>
              <w:contextualSpacing/>
              <w:rPr>
                <w:rFonts w:cstheme="minorHAnsi"/>
                <w:sz w:val="18"/>
                <w:szCs w:val="18"/>
                <w:lang w:val="nl-NL"/>
              </w:rPr>
            </w:pPr>
            <w:r w:rsidRPr="00BA6FD1">
              <w:rPr>
                <w:sz w:val="18"/>
                <w:szCs w:val="18"/>
                <w:lang w:val="nl-NL"/>
              </w:rPr>
              <w:t xml:space="preserve">De </w:t>
            </w:r>
            <w:proofErr w:type="spellStart"/>
            <w:r w:rsidRPr="00BA6FD1">
              <w:rPr>
                <w:sz w:val="18"/>
                <w:szCs w:val="18"/>
                <w:lang w:val="nl-NL"/>
              </w:rPr>
              <w:t>roc’s</w:t>
            </w:r>
            <w:proofErr w:type="spellEnd"/>
            <w:r w:rsidRPr="00BA6FD1">
              <w:rPr>
                <w:sz w:val="18"/>
                <w:szCs w:val="18"/>
                <w:lang w:val="nl-NL"/>
              </w:rPr>
              <w:t xml:space="preserve"> in de regio’s met fors dalende studentenaantallen gaan er door de herziening van de bekostiging financieel op vooruit op een wijze die toereikend is om een breed toegankelijk aanbod in de regio overeind te houden.</w:t>
            </w:r>
            <w:r w:rsidRPr="00BA6FD1">
              <w:rPr>
                <w:sz w:val="18"/>
                <w:szCs w:val="18"/>
                <w:lang w:val="nl-NL"/>
              </w:rPr>
              <w:br/>
              <w:t xml:space="preserve">Met de invoering van de vaste voet voor mbo-instellingen en </w:t>
            </w:r>
            <w:r w:rsidR="00DB6D85">
              <w:rPr>
                <w:sz w:val="18"/>
                <w:szCs w:val="18"/>
                <w:lang w:val="nl-NL"/>
              </w:rPr>
              <w:t xml:space="preserve">de verhoging van de vaste voet </w:t>
            </w:r>
            <w:r w:rsidRPr="00BA6FD1">
              <w:rPr>
                <w:sz w:val="18"/>
                <w:szCs w:val="18"/>
                <w:lang w:val="nl-NL"/>
              </w:rPr>
              <w:t>in het macrokader wordt de stabiliteit van de financiering vergroot, doordat de financiering studentonafhankelijker wordt verge</w:t>
            </w:r>
            <w:r w:rsidRPr="00BA6FD1" w:rsidR="006F22E7">
              <w:rPr>
                <w:sz w:val="18"/>
                <w:szCs w:val="18"/>
                <w:lang w:val="nl-NL"/>
              </w:rPr>
              <w:t>le</w:t>
            </w:r>
            <w:r w:rsidRPr="00BA6FD1">
              <w:rPr>
                <w:sz w:val="18"/>
                <w:szCs w:val="18"/>
                <w:lang w:val="nl-NL"/>
              </w:rPr>
              <w:t xml:space="preserve">ken met de huidige situatie. </w:t>
            </w:r>
            <w:r w:rsidRPr="00BA6FD1">
              <w:rPr>
                <w:sz w:val="18"/>
                <w:szCs w:val="18"/>
                <w:lang w:val="nl-NL"/>
              </w:rPr>
              <w:br/>
              <w:t>Door de wettelijke taak aan scholen voor verstrekking van gratis leermiddelen aan minderjarigen worden financiële drempels voor deelname aan het mbo verlaagd. Mbo-scholen worden verplicht zorg te dragen voor een volledige vergoeding. Het werken met bijvoorbeeld kortingsvouchers is niet toegestaan. </w:t>
            </w:r>
          </w:p>
        </w:tc>
      </w:tr>
      <w:tr w:rsidRPr="004D16CE" w:rsidR="00B31398" w:rsidTr="00F86814" w14:paraId="4379AFB0" w14:textId="77777777">
        <w:trPr>
          <w:trHeight w:val="983"/>
        </w:trPr>
        <w:tc>
          <w:tcPr>
            <w:tcW w:w="2640" w:type="dxa"/>
            <w:tcBorders>
              <w:top w:val="single" w:color="FFFFFF" w:sz="4" w:space="0"/>
              <w:left w:val="nil"/>
              <w:bottom w:val="single" w:color="FFFFFF" w:sz="4" w:space="0"/>
              <w:right w:val="single" w:color="FFFFFF" w:sz="4" w:space="0"/>
            </w:tcBorders>
            <w:shd w:val="clear" w:color="auto" w:fill="7A7A7A"/>
          </w:tcPr>
          <w:p w:rsidRPr="00EE28C3" w:rsidR="00B31398" w:rsidP="00F86814" w:rsidRDefault="00B31398" w14:paraId="209EE272" w14:textId="77777777">
            <w:pPr>
              <w:pStyle w:val="TableParagraph"/>
              <w:spacing w:line="240" w:lineRule="atLeast"/>
              <w:contextualSpacing/>
              <w:rPr>
                <w:rFonts w:cstheme="minorHAnsi"/>
                <w:i/>
                <w:sz w:val="20"/>
                <w:szCs w:val="20"/>
                <w:lang w:val="nl-NL"/>
              </w:rPr>
            </w:pPr>
          </w:p>
          <w:p w:rsidRPr="004D16CE" w:rsidR="00B31398" w:rsidP="00F86814" w:rsidRDefault="00B31398" w14:paraId="0A61FFD1" w14:textId="77777777">
            <w:pPr>
              <w:pStyle w:val="TableParagraph"/>
              <w:spacing w:line="240" w:lineRule="atLeast"/>
              <w:ind w:left="103" w:right="1066"/>
              <w:contextualSpacing/>
              <w:rPr>
                <w:rFonts w:cstheme="minorHAnsi"/>
                <w:b/>
                <w:sz w:val="20"/>
                <w:szCs w:val="20"/>
              </w:rPr>
            </w:pPr>
            <w:proofErr w:type="spellStart"/>
            <w:r w:rsidRPr="004D16CE">
              <w:rPr>
                <w:rFonts w:cstheme="minorHAnsi"/>
                <w:b/>
                <w:color w:val="FFFFFF"/>
                <w:sz w:val="20"/>
                <w:szCs w:val="20"/>
              </w:rPr>
              <w:t>Nagestreefde</w:t>
            </w:r>
            <w:proofErr w:type="spellEnd"/>
            <w:r w:rsidRPr="004D16CE">
              <w:rPr>
                <w:rFonts w:cstheme="minorHAnsi"/>
                <w:b/>
                <w:color w:val="FFFFFF"/>
                <w:sz w:val="20"/>
                <w:szCs w:val="20"/>
              </w:rPr>
              <w:t xml:space="preserve"> </w:t>
            </w:r>
            <w:proofErr w:type="spellStart"/>
            <w:r w:rsidRPr="004D16CE">
              <w:rPr>
                <w:rFonts w:cstheme="minorHAnsi"/>
                <w:b/>
                <w:color w:val="FFFFFF"/>
                <w:sz w:val="20"/>
                <w:szCs w:val="20"/>
              </w:rPr>
              <w:t>doelmatigheid</w:t>
            </w:r>
            <w:proofErr w:type="spellEnd"/>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00477374" w:rsidP="00477374" w:rsidRDefault="00EE28C3" w14:paraId="0830AD10" w14:textId="77777777">
            <w:pPr>
              <w:pStyle w:val="TableParagraph"/>
              <w:spacing w:line="240" w:lineRule="atLeast"/>
              <w:contextualSpacing/>
              <w:rPr>
                <w:rFonts w:cstheme="minorHAnsi"/>
                <w:sz w:val="18"/>
                <w:szCs w:val="18"/>
                <w:lang w:val="nl-NL"/>
              </w:rPr>
            </w:pPr>
            <w:r w:rsidRPr="00BA6FD1">
              <w:rPr>
                <w:rFonts w:cstheme="minorHAnsi"/>
                <w:sz w:val="18"/>
                <w:szCs w:val="18"/>
                <w:lang w:val="nl-NL"/>
              </w:rPr>
              <w:t xml:space="preserve">De overheidsfinanciering van het mbo hoort de toegankelijkheid en kwaliteit van onderwijs voor alle studenten te verzekeren. Daarom wordt gekozen voor gerichte aanpassingen in de financiering om de doelen te bereiken. Mbo-instellingen worden zo in staat gesteld de doelen in de praktijk vorm te geven. </w:t>
            </w:r>
          </w:p>
          <w:p w:rsidR="00477374" w:rsidP="00F86814" w:rsidRDefault="00477374" w14:paraId="1DE1B691" w14:textId="77777777">
            <w:pPr>
              <w:pStyle w:val="TableParagraph"/>
              <w:spacing w:line="240" w:lineRule="atLeast"/>
              <w:ind w:left="101"/>
              <w:contextualSpacing/>
              <w:rPr>
                <w:sz w:val="18"/>
                <w:szCs w:val="18"/>
                <w:lang w:val="nl-NL"/>
              </w:rPr>
            </w:pPr>
          </w:p>
          <w:p w:rsidRPr="00477374" w:rsidR="00B31398" w:rsidP="00477374" w:rsidRDefault="00477374" w14:paraId="6C9FA494" w14:textId="5AD48F91">
            <w:pPr>
              <w:pStyle w:val="Voetnoottekst"/>
              <w:spacing w:line="240" w:lineRule="atLeast"/>
              <w:contextualSpacing/>
              <w:rPr>
                <w:szCs w:val="18"/>
                <w:lang w:val="nl-NL"/>
              </w:rPr>
            </w:pPr>
            <w:r w:rsidRPr="00477374">
              <w:rPr>
                <w:sz w:val="18"/>
                <w:szCs w:val="18"/>
                <w:lang w:val="nl-NL"/>
              </w:rPr>
              <w:t>Er wordt een toegankelijkheidsopslag ingevoerd voor instellingen in regio’s met sterk dalende studentenaantallen.</w:t>
            </w:r>
            <w:r>
              <w:rPr>
                <w:sz w:val="18"/>
                <w:szCs w:val="18"/>
                <w:lang w:val="nl-NL"/>
              </w:rPr>
              <w:t xml:space="preserve"> </w:t>
            </w:r>
            <w:r w:rsidRPr="00477374">
              <w:rPr>
                <w:sz w:val="18"/>
                <w:szCs w:val="18"/>
                <w:lang w:val="nl-NL"/>
              </w:rPr>
              <w:t>Met deze aanpak is er bewust voor gekozen om daar te investeren waar de impact het grootst is en niet op alle plekken in Nederland die te maken hebben met dalende studentenaantallen.</w:t>
            </w:r>
            <w:r w:rsidR="000102E3">
              <w:rPr>
                <w:sz w:val="18"/>
                <w:szCs w:val="18"/>
                <w:lang w:val="nl-NL"/>
              </w:rPr>
              <w:t xml:space="preserve"> </w:t>
            </w:r>
            <w:r>
              <w:rPr>
                <w:szCs w:val="18"/>
                <w:lang w:val="nl-NL"/>
              </w:rPr>
              <w:t xml:space="preserve"> </w:t>
            </w:r>
          </w:p>
        </w:tc>
      </w:tr>
      <w:tr w:rsidRPr="004D16CE" w:rsidR="00B31398" w:rsidTr="00F86814" w14:paraId="133FB9CD" w14:textId="77777777">
        <w:trPr>
          <w:trHeight w:val="983"/>
        </w:trPr>
        <w:tc>
          <w:tcPr>
            <w:tcW w:w="2640" w:type="dxa"/>
            <w:tcBorders>
              <w:top w:val="single" w:color="FFFFFF" w:sz="4" w:space="0"/>
              <w:left w:val="nil"/>
              <w:bottom w:val="single" w:color="FFFFFF" w:sz="4" w:space="0"/>
              <w:right w:val="single" w:color="FFFFFF" w:sz="4" w:space="0"/>
            </w:tcBorders>
            <w:shd w:val="clear" w:color="auto" w:fill="7A7A7A"/>
          </w:tcPr>
          <w:p w:rsidRPr="004D16CE" w:rsidR="00B31398" w:rsidP="00F86814" w:rsidRDefault="00B31398" w14:paraId="2E55B866" w14:textId="77777777">
            <w:pPr>
              <w:pStyle w:val="TableParagraph"/>
              <w:spacing w:line="240" w:lineRule="atLeast"/>
              <w:ind w:left="103" w:right="1066"/>
              <w:contextualSpacing/>
              <w:rPr>
                <w:rFonts w:cstheme="minorHAnsi"/>
                <w:b/>
                <w:color w:val="FFFFFF"/>
                <w:sz w:val="20"/>
                <w:szCs w:val="20"/>
                <w:lang w:val="nl-NL"/>
              </w:rPr>
            </w:pPr>
          </w:p>
          <w:p w:rsidRPr="004D16CE" w:rsidR="00B31398" w:rsidP="00F86814" w:rsidRDefault="00B31398" w14:paraId="298FE325" w14:textId="77777777">
            <w:pPr>
              <w:pStyle w:val="TableParagraph"/>
              <w:spacing w:line="240" w:lineRule="atLeast"/>
              <w:ind w:left="103" w:right="1066"/>
              <w:contextualSpacing/>
              <w:rPr>
                <w:rFonts w:cstheme="minorHAnsi"/>
                <w:i/>
                <w:sz w:val="20"/>
                <w:szCs w:val="20"/>
              </w:rPr>
            </w:pPr>
            <w:proofErr w:type="spellStart"/>
            <w:r w:rsidRPr="004D16CE">
              <w:rPr>
                <w:rFonts w:cstheme="minorHAnsi"/>
                <w:b/>
                <w:color w:val="FFFFFF"/>
                <w:sz w:val="20"/>
                <w:szCs w:val="20"/>
              </w:rPr>
              <w:t>Evaluatieparagraaf</w:t>
            </w:r>
            <w:proofErr w:type="spellEnd"/>
          </w:p>
        </w:tc>
        <w:tc>
          <w:tcPr>
            <w:tcW w:w="6330" w:type="dxa"/>
            <w:tcBorders>
              <w:top w:val="single" w:color="FFFFFF" w:sz="4" w:space="0"/>
              <w:left w:val="single" w:color="FFFFFF" w:sz="4" w:space="0"/>
              <w:bottom w:val="single" w:color="FFFFFF" w:sz="4" w:space="0"/>
              <w:right w:val="nil"/>
            </w:tcBorders>
            <w:shd w:val="clear" w:color="auto" w:fill="DBDBDB"/>
            <w:vAlign w:val="center"/>
            <w:hideMark/>
          </w:tcPr>
          <w:p w:rsidRPr="00BA6FD1" w:rsidR="0007490C" w:rsidP="00F86814" w:rsidRDefault="00B31398" w14:paraId="60C57C55" w14:textId="37E6D70F">
            <w:pPr>
              <w:rPr>
                <w:lang w:val="nl-NL"/>
              </w:rPr>
            </w:pPr>
            <w:r w:rsidRPr="00BA6FD1">
              <w:rPr>
                <w:lang w:val="nl-NL"/>
              </w:rPr>
              <w:t>De effecten van de herziening worden de komende jaren gemonitord, onder meer op regionale toegankelijkheid, behoud van cruciaal aanbod in de regio, samenwerking en de financiële stabiliteit van instellingen. Onder andere op basis van jaarverslagen van instellingen, data over inschrijvingen en reistijd van studenten en de beoordeling van de regioplannen houdt het ministerie van OCW continue vinger aan de pols. Vijf jaar na inwerkingtreding wordt de wet formeel geëvalueerd.</w:t>
            </w:r>
            <w:r w:rsidRPr="00BA6FD1" w:rsidR="0007490C">
              <w:rPr>
                <w:lang w:val="nl-NL"/>
              </w:rPr>
              <w:t xml:space="preserve"> De inhoudelijke evaluatie van de gekozen beleidsdoelstellingen in de opgavegerichte middelen vindt separaat plaats. </w:t>
            </w:r>
          </w:p>
        </w:tc>
        <w:bookmarkEnd w:id="0"/>
      </w:tr>
    </w:tbl>
    <w:p w:rsidRPr="004D16CE" w:rsidR="00B31398" w:rsidP="00B31398" w:rsidRDefault="00B31398" w14:paraId="0EC796B0" w14:textId="77777777">
      <w:pPr>
        <w:contextualSpacing/>
      </w:pPr>
    </w:p>
    <w:p w:rsidR="006371FE" w:rsidRDefault="006371FE" w14:paraId="5AC7E73F" w14:textId="77777777"/>
    <w:sectPr w:rsidR="006371F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AAD8" w14:textId="77777777" w:rsidR="00BA6C05" w:rsidRDefault="00BA6C05" w:rsidP="00E07078">
      <w:pPr>
        <w:spacing w:line="240" w:lineRule="auto"/>
      </w:pPr>
      <w:r>
        <w:separator/>
      </w:r>
    </w:p>
  </w:endnote>
  <w:endnote w:type="continuationSeparator" w:id="0">
    <w:p w14:paraId="28C6A3C2" w14:textId="77777777" w:rsidR="00BA6C05" w:rsidRDefault="00BA6C05" w:rsidP="00E07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14460"/>
      <w:docPartObj>
        <w:docPartGallery w:val="Page Numbers (Bottom of Page)"/>
        <w:docPartUnique/>
      </w:docPartObj>
    </w:sdtPr>
    <w:sdtEndPr/>
    <w:sdtContent>
      <w:p w14:paraId="445FD3FF" w14:textId="6E092ACA" w:rsidR="00E07078" w:rsidRDefault="00E07078">
        <w:pPr>
          <w:pStyle w:val="Voettekst"/>
          <w:jc w:val="right"/>
        </w:pPr>
        <w:r>
          <w:fldChar w:fldCharType="begin"/>
        </w:r>
        <w:r>
          <w:instrText>PAGE   \* MERGEFORMAT</w:instrText>
        </w:r>
        <w:r>
          <w:fldChar w:fldCharType="separate"/>
        </w:r>
        <w:r>
          <w:t>2</w:t>
        </w:r>
        <w:r>
          <w:fldChar w:fldCharType="end"/>
        </w:r>
      </w:p>
    </w:sdtContent>
  </w:sdt>
  <w:p w14:paraId="2D76EA79" w14:textId="77777777" w:rsidR="00E07078" w:rsidRDefault="00E07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F82D" w14:textId="77777777" w:rsidR="00BA6C05" w:rsidRDefault="00BA6C05" w:rsidP="00E07078">
      <w:pPr>
        <w:spacing w:line="240" w:lineRule="auto"/>
      </w:pPr>
      <w:r>
        <w:separator/>
      </w:r>
    </w:p>
  </w:footnote>
  <w:footnote w:type="continuationSeparator" w:id="0">
    <w:p w14:paraId="16319D04" w14:textId="77777777" w:rsidR="00BA6C05" w:rsidRDefault="00BA6C05" w:rsidP="00E070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C574F"/>
    <w:multiLevelType w:val="hybridMultilevel"/>
    <w:tmpl w:val="8BDA8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474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98"/>
    <w:rsid w:val="000102E3"/>
    <w:rsid w:val="0007490C"/>
    <w:rsid w:val="000B6BF3"/>
    <w:rsid w:val="000C27E7"/>
    <w:rsid w:val="00103D84"/>
    <w:rsid w:val="00115472"/>
    <w:rsid w:val="002E01A0"/>
    <w:rsid w:val="002F05A9"/>
    <w:rsid w:val="00300A74"/>
    <w:rsid w:val="003371F3"/>
    <w:rsid w:val="003A2A84"/>
    <w:rsid w:val="003E2AC4"/>
    <w:rsid w:val="00405DA6"/>
    <w:rsid w:val="00477374"/>
    <w:rsid w:val="004A3B67"/>
    <w:rsid w:val="00566C02"/>
    <w:rsid w:val="00605C75"/>
    <w:rsid w:val="006371FE"/>
    <w:rsid w:val="00660455"/>
    <w:rsid w:val="006B4F7D"/>
    <w:rsid w:val="006C04B1"/>
    <w:rsid w:val="006F22E7"/>
    <w:rsid w:val="00712A29"/>
    <w:rsid w:val="00755A7E"/>
    <w:rsid w:val="007F781B"/>
    <w:rsid w:val="0091400D"/>
    <w:rsid w:val="00B31398"/>
    <w:rsid w:val="00B71004"/>
    <w:rsid w:val="00BA6C05"/>
    <w:rsid w:val="00BA6FD1"/>
    <w:rsid w:val="00BC73A3"/>
    <w:rsid w:val="00C05736"/>
    <w:rsid w:val="00D70314"/>
    <w:rsid w:val="00DB6D85"/>
    <w:rsid w:val="00E07078"/>
    <w:rsid w:val="00EE28C3"/>
    <w:rsid w:val="00F40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4903"/>
  <w15:chartTrackingRefBased/>
  <w15:docId w15:val="{135EEFD6-84EB-4CD5-BCA9-DF0C4FCF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1398"/>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B313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B31398"/>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B3139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3139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3139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3139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semiHidden/>
    <w:rsid w:val="00B31398"/>
    <w:rPr>
      <w:rFonts w:eastAsiaTheme="majorEastAsia" w:cstheme="majorBidi"/>
      <w:i/>
      <w:iCs/>
      <w:color w:val="365F91" w:themeColor="accent1" w:themeShade="BF"/>
      <w:sz w:val="18"/>
      <w:szCs w:val="24"/>
      <w:lang w:eastAsia="nl-NL"/>
    </w:rPr>
  </w:style>
  <w:style w:type="character" w:customStyle="1" w:styleId="Kop5Char">
    <w:name w:val="Kop 5 Char"/>
    <w:basedOn w:val="Standaardalinea-lettertype"/>
    <w:link w:val="Kop5"/>
    <w:uiPriority w:val="9"/>
    <w:semiHidden/>
    <w:rsid w:val="00B31398"/>
    <w:rPr>
      <w:rFonts w:eastAsiaTheme="majorEastAsia" w:cstheme="majorBidi"/>
      <w:color w:val="365F91" w:themeColor="accent1" w:themeShade="BF"/>
      <w:sz w:val="18"/>
      <w:szCs w:val="24"/>
      <w:lang w:eastAsia="nl-NL"/>
    </w:rPr>
  </w:style>
  <w:style w:type="character" w:customStyle="1" w:styleId="Kop6Char">
    <w:name w:val="Kop 6 Char"/>
    <w:basedOn w:val="Standaardalinea-lettertype"/>
    <w:link w:val="Kop6"/>
    <w:uiPriority w:val="9"/>
    <w:semiHidden/>
    <w:rsid w:val="00B31398"/>
    <w:rPr>
      <w:rFonts w:eastAsiaTheme="majorEastAsia" w:cstheme="majorBidi"/>
      <w:i/>
      <w:iCs/>
      <w:color w:val="595959" w:themeColor="text1" w:themeTint="A6"/>
      <w:sz w:val="18"/>
      <w:szCs w:val="24"/>
      <w:lang w:eastAsia="nl-NL"/>
    </w:rPr>
  </w:style>
  <w:style w:type="character" w:customStyle="1" w:styleId="Kop7Char">
    <w:name w:val="Kop 7 Char"/>
    <w:basedOn w:val="Standaardalinea-lettertype"/>
    <w:link w:val="Kop7"/>
    <w:uiPriority w:val="9"/>
    <w:semiHidden/>
    <w:rsid w:val="00B31398"/>
    <w:rPr>
      <w:rFonts w:eastAsiaTheme="majorEastAsia" w:cstheme="majorBidi"/>
      <w:color w:val="595959" w:themeColor="text1" w:themeTint="A6"/>
      <w:sz w:val="18"/>
      <w:szCs w:val="24"/>
      <w:lang w:eastAsia="nl-NL"/>
    </w:rPr>
  </w:style>
  <w:style w:type="character" w:customStyle="1" w:styleId="Kop8Char">
    <w:name w:val="Kop 8 Char"/>
    <w:basedOn w:val="Standaardalinea-lettertype"/>
    <w:link w:val="Kop8"/>
    <w:uiPriority w:val="9"/>
    <w:semiHidden/>
    <w:rsid w:val="00B31398"/>
    <w:rPr>
      <w:rFonts w:eastAsiaTheme="majorEastAsia" w:cstheme="majorBidi"/>
      <w:i/>
      <w:iCs/>
      <w:color w:val="272727" w:themeColor="text1" w:themeTint="D8"/>
      <w:sz w:val="18"/>
      <w:szCs w:val="24"/>
      <w:lang w:eastAsia="nl-NL"/>
    </w:rPr>
  </w:style>
  <w:style w:type="character" w:customStyle="1" w:styleId="Kop9Char">
    <w:name w:val="Kop 9 Char"/>
    <w:basedOn w:val="Standaardalinea-lettertype"/>
    <w:link w:val="Kop9"/>
    <w:uiPriority w:val="9"/>
    <w:semiHidden/>
    <w:rsid w:val="00B31398"/>
    <w:rPr>
      <w:rFonts w:eastAsiaTheme="majorEastAsia" w:cstheme="majorBidi"/>
      <w:color w:val="272727" w:themeColor="text1" w:themeTint="D8"/>
      <w:sz w:val="18"/>
      <w:szCs w:val="24"/>
      <w:lang w:eastAsia="nl-NL"/>
    </w:rPr>
  </w:style>
  <w:style w:type="paragraph" w:styleId="Titel">
    <w:name w:val="Title"/>
    <w:basedOn w:val="Standaard"/>
    <w:next w:val="Standaard"/>
    <w:link w:val="TitelChar"/>
    <w:uiPriority w:val="10"/>
    <w:qFormat/>
    <w:rsid w:val="00B3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398"/>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B313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1398"/>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B3139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31398"/>
    <w:rPr>
      <w:rFonts w:ascii="Verdana" w:hAnsi="Verdana" w:cs="Times New Roman"/>
      <w:i/>
      <w:iCs/>
      <w:color w:val="404040" w:themeColor="text1" w:themeTint="BF"/>
      <w:sz w:val="18"/>
      <w:szCs w:val="24"/>
      <w:lang w:eastAsia="nl-NL"/>
    </w:rPr>
  </w:style>
  <w:style w:type="paragraph" w:styleId="Lijstalinea">
    <w:name w:val="List Paragraph"/>
    <w:basedOn w:val="Standaard"/>
    <w:uiPriority w:val="34"/>
    <w:qFormat/>
    <w:rsid w:val="00B31398"/>
    <w:pPr>
      <w:ind w:left="720"/>
      <w:contextualSpacing/>
    </w:pPr>
  </w:style>
  <w:style w:type="character" w:styleId="Intensievebenadrukking">
    <w:name w:val="Intense Emphasis"/>
    <w:basedOn w:val="Standaardalinea-lettertype"/>
    <w:uiPriority w:val="21"/>
    <w:qFormat/>
    <w:rsid w:val="00B31398"/>
    <w:rPr>
      <w:i/>
      <w:iCs/>
      <w:color w:val="365F91" w:themeColor="accent1" w:themeShade="BF"/>
    </w:rPr>
  </w:style>
  <w:style w:type="paragraph" w:styleId="Duidelijkcitaat">
    <w:name w:val="Intense Quote"/>
    <w:basedOn w:val="Standaard"/>
    <w:next w:val="Standaard"/>
    <w:link w:val="DuidelijkcitaatChar"/>
    <w:uiPriority w:val="30"/>
    <w:qFormat/>
    <w:rsid w:val="00B31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31398"/>
    <w:rPr>
      <w:rFonts w:ascii="Verdana" w:hAnsi="Verdana" w:cs="Times New Roman"/>
      <w:i/>
      <w:iCs/>
      <w:color w:val="365F91" w:themeColor="accent1" w:themeShade="BF"/>
      <w:sz w:val="18"/>
      <w:szCs w:val="24"/>
      <w:lang w:eastAsia="nl-NL"/>
    </w:rPr>
  </w:style>
  <w:style w:type="character" w:styleId="Intensieveverwijzing">
    <w:name w:val="Intense Reference"/>
    <w:basedOn w:val="Standaardalinea-lettertype"/>
    <w:uiPriority w:val="32"/>
    <w:qFormat/>
    <w:rsid w:val="00B31398"/>
    <w:rPr>
      <w:b/>
      <w:bCs/>
      <w:smallCaps/>
      <w:color w:val="365F91" w:themeColor="accent1" w:themeShade="BF"/>
      <w:spacing w:val="5"/>
    </w:rPr>
  </w:style>
  <w:style w:type="paragraph" w:customStyle="1" w:styleId="TableParagraph">
    <w:name w:val="Table Paragraph"/>
    <w:basedOn w:val="Standaard"/>
    <w:uiPriority w:val="1"/>
    <w:qFormat/>
    <w:rsid w:val="00B31398"/>
    <w:pPr>
      <w:widowControl w:val="0"/>
      <w:autoSpaceDE w:val="0"/>
      <w:autoSpaceDN w:val="0"/>
      <w:spacing w:line="240" w:lineRule="auto"/>
    </w:pPr>
    <w:rPr>
      <w:rFonts w:eastAsia="Verdana" w:cs="Verdana"/>
      <w:kern w:val="0"/>
      <w:sz w:val="22"/>
      <w:szCs w:val="22"/>
      <w:lang w:eastAsia="en-US"/>
      <w14:ligatures w14:val="none"/>
    </w:rPr>
  </w:style>
  <w:style w:type="table" w:customStyle="1" w:styleId="TableNormal0">
    <w:name w:val="Table Normal_0"/>
    <w:uiPriority w:val="2"/>
    <w:semiHidden/>
    <w:qFormat/>
    <w:rsid w:val="00B31398"/>
    <w:pPr>
      <w:widowControl w:val="0"/>
      <w:autoSpaceDE w:val="0"/>
      <w:autoSpaceDN w:val="0"/>
      <w:spacing w:after="0" w:line="240" w:lineRule="auto"/>
    </w:pPr>
    <w:rPr>
      <w:rFonts w:ascii="Times New Roman" w:hAnsi="Times New Roman" w:cs="Times New Roman"/>
      <w:kern w:val="0"/>
      <w:lang w:val="en-US"/>
      <w14:ligatures w14:val="none"/>
    </w:rPr>
    <w:tblPr>
      <w:tblCellMar>
        <w:top w:w="0" w:type="dxa"/>
        <w:left w:w="0" w:type="dxa"/>
        <w:bottom w:w="0" w:type="dxa"/>
        <w:right w:w="0" w:type="dxa"/>
      </w:tblCellMar>
    </w:tblPr>
  </w:style>
  <w:style w:type="paragraph" w:styleId="Revisie">
    <w:name w:val="Revision"/>
    <w:hidden/>
    <w:uiPriority w:val="99"/>
    <w:semiHidden/>
    <w:rsid w:val="00103D84"/>
    <w:pPr>
      <w:spacing w:after="0" w:line="240" w:lineRule="auto"/>
    </w:pPr>
    <w:rPr>
      <w:rFonts w:ascii="Verdana" w:hAnsi="Verdana" w:cs="Times New Roman"/>
      <w:sz w:val="18"/>
      <w:szCs w:val="24"/>
      <w:lang w:eastAsia="nl-NL"/>
    </w:rPr>
  </w:style>
  <w:style w:type="paragraph" w:styleId="Voetnoottekst">
    <w:name w:val="footnote text"/>
    <w:basedOn w:val="Standaard"/>
    <w:link w:val="VoetnoottekstChar"/>
    <w:uiPriority w:val="99"/>
    <w:unhideWhenUsed/>
    <w:rsid w:val="00477374"/>
    <w:pPr>
      <w:spacing w:line="240" w:lineRule="auto"/>
    </w:pPr>
    <w:rPr>
      <w:sz w:val="20"/>
      <w:szCs w:val="20"/>
    </w:rPr>
  </w:style>
  <w:style w:type="character" w:customStyle="1" w:styleId="VoetnoottekstChar">
    <w:name w:val="Voetnoottekst Char"/>
    <w:basedOn w:val="Standaardalinea-lettertype"/>
    <w:link w:val="Voetnoottekst"/>
    <w:uiPriority w:val="99"/>
    <w:rsid w:val="00477374"/>
    <w:rPr>
      <w:rFonts w:ascii="Verdana" w:hAnsi="Verdana" w:cs="Times New Roman"/>
      <w:sz w:val="20"/>
      <w:szCs w:val="20"/>
      <w:lang w:eastAsia="nl-NL"/>
    </w:rPr>
  </w:style>
  <w:style w:type="paragraph" w:styleId="Koptekst">
    <w:name w:val="header"/>
    <w:basedOn w:val="Standaard"/>
    <w:link w:val="KoptekstChar"/>
    <w:uiPriority w:val="99"/>
    <w:unhideWhenUsed/>
    <w:rsid w:val="00E070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7078"/>
    <w:rPr>
      <w:rFonts w:ascii="Verdana" w:hAnsi="Verdana" w:cs="Times New Roman"/>
      <w:sz w:val="18"/>
      <w:szCs w:val="24"/>
      <w:lang w:eastAsia="nl-NL"/>
    </w:rPr>
  </w:style>
  <w:style w:type="paragraph" w:styleId="Voettekst">
    <w:name w:val="footer"/>
    <w:basedOn w:val="Standaard"/>
    <w:link w:val="VoettekstChar"/>
    <w:uiPriority w:val="99"/>
    <w:unhideWhenUsed/>
    <w:rsid w:val="00E070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7078"/>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808</ap:Words>
  <ap:Characters>4448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2026-06-16T13:49:00.0000000Z</lastPrinted>
  <dcterms:created xsi:type="dcterms:W3CDTF">2026-07-07T12:39:00.0000000Z</dcterms:created>
  <dcterms:modified xsi:type="dcterms:W3CDTF">2026-07-07T12:39:00.0000000Z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63907215</vt:lpwstr>
  </property>
</Properties>
</file>