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41" w:rsidRDefault="00E27541" w14:paraId="66D95468" w14:textId="77777777">
      <w:bookmarkStart w:name="_GoBack" w:id="0"/>
      <w:bookmarkEnd w:id="0"/>
      <w:r>
        <w:t xml:space="preserve">Geachte voorzitter, </w:t>
      </w:r>
    </w:p>
    <w:p w:rsidR="00E27541" w:rsidRDefault="00E27541" w14:paraId="12008E3B" w14:textId="77777777"/>
    <w:p w:rsidRPr="00737594" w:rsidR="00DF7EC2" w:rsidRDefault="00DF7EC2" w14:paraId="68B39525" w14:textId="3A8817A9">
      <w:r w:rsidRPr="00737594">
        <w:t xml:space="preserve">Op 22 april 2026 vond een Kamerdebat plaats </w:t>
      </w:r>
      <w:r w:rsidRPr="00737594" w:rsidR="00F10D23">
        <w:t xml:space="preserve">over de maatregelen </w:t>
      </w:r>
      <w:r w:rsidRPr="00737594">
        <w:t>tegen</w:t>
      </w:r>
      <w:r w:rsidRPr="00737594" w:rsidR="00F10D23">
        <w:t xml:space="preserve"> de hoge energie-</w:t>
      </w:r>
      <w:r w:rsidRPr="00737594" w:rsidR="00B44276">
        <w:t xml:space="preserve"> </w:t>
      </w:r>
      <w:r w:rsidRPr="00737594" w:rsidR="00F10D23">
        <w:t>en brandstofprijzen</w:t>
      </w:r>
      <w:r w:rsidRPr="00737594" w:rsidR="00951CBB">
        <w:t>,</w:t>
      </w:r>
      <w:r w:rsidRPr="00737594">
        <w:t xml:space="preserve"> naar aanleiding van de situatie in het Midden-Oosten.</w:t>
      </w:r>
      <w:r w:rsidRPr="00737594" w:rsidR="00F10D23">
        <w:t xml:space="preserve"> </w:t>
      </w:r>
      <w:r w:rsidRPr="00737594">
        <w:t xml:space="preserve">Aan het lid Bontenbal is toegezegd </w:t>
      </w:r>
      <w:r w:rsidRPr="00737594" w:rsidR="006D459C">
        <w:t xml:space="preserve">om te bekijken </w:t>
      </w:r>
      <w:r w:rsidRPr="00737594">
        <w:t>of</w:t>
      </w:r>
      <w:r w:rsidRPr="00737594" w:rsidR="00F10D23">
        <w:t xml:space="preserve"> handelingskader</w:t>
      </w:r>
      <w:r w:rsidRPr="00737594">
        <w:t>s kunnen worden opgesteld voor sectoren die worden geraakt door de huidige prijsstijgingen.</w:t>
      </w:r>
      <w:r w:rsidRPr="00737594" w:rsidR="00F10D23">
        <w:t xml:space="preserve"> </w:t>
      </w:r>
      <w:r w:rsidRPr="00737594" w:rsidR="006D459C">
        <w:t xml:space="preserve">De minister van EZK </w:t>
      </w:r>
      <w:r w:rsidRPr="00737594" w:rsidR="00823706">
        <w:t>ze</w:t>
      </w:r>
      <w:r w:rsidRPr="00737594" w:rsidR="00FD51DA">
        <w:t>gde</w:t>
      </w:r>
      <w:r w:rsidRPr="00737594" w:rsidR="003A6104">
        <w:t xml:space="preserve"> toe dat </w:t>
      </w:r>
      <w:r w:rsidRPr="00737594" w:rsidR="004E254D">
        <w:t xml:space="preserve">IenW </w:t>
      </w:r>
      <w:r w:rsidRPr="00737594" w:rsidR="006D459C">
        <w:t xml:space="preserve">in gesprek </w:t>
      </w:r>
      <w:r w:rsidRPr="00737594" w:rsidR="003A6104">
        <w:t>zou gaan</w:t>
      </w:r>
      <w:r w:rsidRPr="00737594" w:rsidR="004E254D">
        <w:t xml:space="preserve"> </w:t>
      </w:r>
      <w:r w:rsidRPr="00737594" w:rsidR="006D459C">
        <w:t xml:space="preserve">met de </w:t>
      </w:r>
      <w:r w:rsidRPr="00737594" w:rsidR="00F10D23">
        <w:t xml:space="preserve">sectoren </w:t>
      </w:r>
      <w:r w:rsidRPr="00737594" w:rsidR="00FF1714">
        <w:t>die werken i</w:t>
      </w:r>
      <w:r w:rsidRPr="00737594">
        <w:t>n</w:t>
      </w:r>
      <w:r w:rsidRPr="00737594" w:rsidR="00FF1714">
        <w:t xml:space="preserve"> overheidsopdracht. Hierbij zijn </w:t>
      </w:r>
      <w:r w:rsidRPr="00737594" w:rsidR="00F10D23">
        <w:t>de bouw, grondverzet, doelgroepenvervoer en provinciaal personenvervoer</w:t>
      </w:r>
      <w:r w:rsidRPr="00737594" w:rsidR="00FF1714">
        <w:t xml:space="preserve"> als voorbeeld genoemd</w:t>
      </w:r>
      <w:r w:rsidRPr="00737594" w:rsidR="00F10D23">
        <w:t>.</w:t>
      </w:r>
      <w:r w:rsidRPr="00737594" w:rsidR="006D459C">
        <w:t xml:space="preserve"> </w:t>
      </w:r>
      <w:r w:rsidRPr="00737594" w:rsidR="00FF1714">
        <w:t xml:space="preserve">Met deze brief informeer ik u, conform de toezegging, </w:t>
      </w:r>
      <w:r w:rsidRPr="00737594" w:rsidR="00F10D23">
        <w:t>over de voortgang.</w:t>
      </w:r>
    </w:p>
    <w:p w:rsidRPr="00737594" w:rsidR="004E254D" w:rsidRDefault="004E254D" w14:paraId="7C595130" w14:textId="77777777"/>
    <w:p w:rsidRPr="00737594" w:rsidR="004E254D" w:rsidRDefault="00FD51DA" w14:paraId="70A0C2EA" w14:textId="6A89DECF">
      <w:pPr>
        <w:rPr>
          <w:b/>
          <w:bCs/>
        </w:rPr>
      </w:pPr>
      <w:r w:rsidRPr="00737594">
        <w:rPr>
          <w:b/>
          <w:bCs/>
        </w:rPr>
        <w:t>Sectoren ervaren</w:t>
      </w:r>
      <w:r w:rsidRPr="00737594" w:rsidR="00866DC7">
        <w:rPr>
          <w:b/>
          <w:bCs/>
        </w:rPr>
        <w:t xml:space="preserve"> prijsstijgingen</w:t>
      </w:r>
    </w:p>
    <w:p w:rsidRPr="00737594" w:rsidR="00FD51DA" w:rsidRDefault="00CC24AB" w14:paraId="04EC9D7D" w14:textId="2E0314F1">
      <w:r w:rsidRPr="00737594">
        <w:t xml:space="preserve">Verschillende sectoren </w:t>
      </w:r>
      <w:r w:rsidRPr="00737594" w:rsidR="000260CD">
        <w:t xml:space="preserve">die werken in overheidsopdracht </w:t>
      </w:r>
      <w:r w:rsidRPr="00737594">
        <w:t xml:space="preserve">vragen om duidelijkheid over de voorwaarden bij </w:t>
      </w:r>
      <w:r w:rsidRPr="00737594" w:rsidR="000260CD">
        <w:t>de uitvoering</w:t>
      </w:r>
      <w:r w:rsidRPr="00737594">
        <w:t xml:space="preserve">, nu zij geconfronteerd worden met </w:t>
      </w:r>
      <w:r w:rsidRPr="00737594" w:rsidR="00E063DF">
        <w:t>hogere brandstofprijzen</w:t>
      </w:r>
      <w:r w:rsidRPr="00737594">
        <w:t xml:space="preserve">. Het Rijk ontvangt </w:t>
      </w:r>
      <w:r w:rsidRPr="00737594" w:rsidR="005E456A">
        <w:t xml:space="preserve">(contractuele) </w:t>
      </w:r>
      <w:r w:rsidRPr="00737594">
        <w:t>waarschuwings</w:t>
      </w:r>
      <w:r w:rsidRPr="00737594" w:rsidR="005E456A">
        <w:t>brieven</w:t>
      </w:r>
      <w:r w:rsidRPr="00737594">
        <w:t xml:space="preserve"> van opdrachtnemers. </w:t>
      </w:r>
      <w:r w:rsidRPr="00737594" w:rsidR="000260CD">
        <w:t>Daarnaast wijst me</w:t>
      </w:r>
      <w:r w:rsidRPr="00737594">
        <w:t>t name het mkb op een toenemende liquiditeitsdruk door de situatie in het Midden-Oosten. De bedrijven benadrukken dat dit niet op zichzelf staat, want geopolitieke ontwikkelingen zorgen al langer voor aanhoudende onzekerheid, schommelende energieprijzen en mogelijke materiaalschaarste.</w:t>
      </w:r>
    </w:p>
    <w:p w:rsidRPr="00737594" w:rsidR="00CC24AB" w:rsidRDefault="00CC24AB" w14:paraId="17174CC7" w14:textId="77777777"/>
    <w:p w:rsidRPr="00737594" w:rsidR="00E25F1F" w:rsidRDefault="003A6104" w14:paraId="227339D8" w14:textId="6E2D22B7">
      <w:pPr>
        <w:rPr>
          <w:b/>
          <w:bCs/>
        </w:rPr>
      </w:pPr>
      <w:r w:rsidRPr="00737594" w:rsidDel="00AE64E7">
        <w:rPr>
          <w:b/>
        </w:rPr>
        <w:t>Een handelingskader</w:t>
      </w:r>
      <w:r w:rsidRPr="00737594" w:rsidDel="00AE64E7" w:rsidR="00F90239">
        <w:rPr>
          <w:b/>
        </w:rPr>
        <w:t xml:space="preserve"> </w:t>
      </w:r>
      <w:r w:rsidRPr="00737594" w:rsidR="00A061E3">
        <w:rPr>
          <w:b/>
          <w:bCs/>
        </w:rPr>
        <w:t xml:space="preserve">als instrument om </w:t>
      </w:r>
      <w:r w:rsidRPr="00737594" w:rsidR="00CD3EA8">
        <w:rPr>
          <w:b/>
          <w:bCs/>
        </w:rPr>
        <w:t xml:space="preserve">door te blijven werken </w:t>
      </w:r>
      <w:r w:rsidRPr="00737594" w:rsidR="005E456A">
        <w:rPr>
          <w:b/>
          <w:bCs/>
        </w:rPr>
        <w:t>en bouwen</w:t>
      </w:r>
    </w:p>
    <w:p w:rsidRPr="00737594" w:rsidR="00DA2C21" w:rsidP="00AE64E7" w:rsidRDefault="000260CD" w14:paraId="02A87897" w14:textId="123DBCD2">
      <w:r w:rsidRPr="00737594">
        <w:t xml:space="preserve">Sectoren roepen opdrachtgevers op tot tijdige en voorspelbare besluitvorming om projecten door te kunnen laten gaan. Een handelingskader kan hiervoor een middel zijn. </w:t>
      </w:r>
      <w:r w:rsidRPr="00737594" w:rsidR="00AE64E7">
        <w:t>H</w:t>
      </w:r>
      <w:r w:rsidRPr="00737594" w:rsidR="00F90239">
        <w:t xml:space="preserve">et kabinet </w:t>
      </w:r>
      <w:r w:rsidRPr="00737594" w:rsidR="00AE64E7">
        <w:t xml:space="preserve">ziet een handelingskader </w:t>
      </w:r>
      <w:r w:rsidRPr="00737594" w:rsidR="00F90239">
        <w:t>als</w:t>
      </w:r>
      <w:r w:rsidRPr="00737594" w:rsidR="003A6104">
        <w:t xml:space="preserve"> een </w:t>
      </w:r>
      <w:r w:rsidRPr="00737594" w:rsidR="00866DC7">
        <w:t xml:space="preserve">gezamenlijk vastgesteld </w:t>
      </w:r>
      <w:r w:rsidRPr="00737594" w:rsidR="005E456A">
        <w:t xml:space="preserve">kader </w:t>
      </w:r>
      <w:r w:rsidRPr="00737594" w:rsidR="00F90239">
        <w:t xml:space="preserve">met </w:t>
      </w:r>
      <w:r w:rsidRPr="00737594" w:rsidR="00866DC7">
        <w:t xml:space="preserve">praktische </w:t>
      </w:r>
      <w:r w:rsidRPr="00737594" w:rsidR="00F90239">
        <w:t>handvatten</w:t>
      </w:r>
      <w:r w:rsidRPr="00737594" w:rsidR="00866DC7">
        <w:t xml:space="preserve">, dat </w:t>
      </w:r>
      <w:r w:rsidRPr="00737594" w:rsidR="00527732">
        <w:t>overheden, uitvoeringsorganisaties</w:t>
      </w:r>
      <w:r w:rsidRPr="00737594" w:rsidR="00866DC7">
        <w:t xml:space="preserve"> en marktpartijen houvast biedt tijdens majeure veranderingen om onvoorziene</w:t>
      </w:r>
      <w:r w:rsidRPr="00737594" w:rsidR="005E456A">
        <w:t xml:space="preserve"> excessieve</w:t>
      </w:r>
      <w:r w:rsidRPr="00737594" w:rsidR="00866DC7">
        <w:t xml:space="preserve"> risico's te </w:t>
      </w:r>
      <w:r w:rsidRPr="00737594" w:rsidR="005E456A">
        <w:t>adresseren</w:t>
      </w:r>
      <w:r w:rsidRPr="00737594" w:rsidR="00866DC7">
        <w:t>.</w:t>
      </w:r>
      <w:r w:rsidRPr="00737594" w:rsidR="00F90239">
        <w:t xml:space="preserve"> </w:t>
      </w:r>
      <w:r w:rsidRPr="00737594" w:rsidR="00354863">
        <w:t>Een handelings</w:t>
      </w:r>
      <w:r w:rsidRPr="00737594" w:rsidR="00FD51DA">
        <w:t xml:space="preserve">kader </w:t>
      </w:r>
      <w:r w:rsidRPr="00737594" w:rsidR="003A6104">
        <w:t>helpt om bestaande afspraken te verduidelijken</w:t>
      </w:r>
      <w:r w:rsidRPr="00737594" w:rsidR="00354863">
        <w:t>. Het biedt</w:t>
      </w:r>
      <w:r w:rsidRPr="00737594" w:rsidR="00A061E3">
        <w:t xml:space="preserve"> zo een startpunt voor verdere uitwerking en/of toepassing </w:t>
      </w:r>
      <w:r w:rsidRPr="00737594" w:rsidR="00354863">
        <w:t>in een specifieke situatie</w:t>
      </w:r>
      <w:r w:rsidRPr="00737594" w:rsidR="00DA2C21">
        <w:t>, zonder dat opdrachtgever en opdrachtnemer voor elk contract de voorwaarden uit moeten zoeken.</w:t>
      </w:r>
    </w:p>
    <w:p w:rsidRPr="00737594" w:rsidR="00DA2C21" w:rsidP="00AE64E7" w:rsidRDefault="00DA2C21" w14:paraId="35399F90" w14:textId="77777777"/>
    <w:p w:rsidRPr="00737594" w:rsidR="004E254D" w:rsidRDefault="00AE64E7" w14:paraId="1E898DBA" w14:textId="6F8CB329">
      <w:r w:rsidRPr="00737594">
        <w:t>Het doel</w:t>
      </w:r>
      <w:r w:rsidRPr="00737594" w:rsidR="001B4640">
        <w:t xml:space="preserve"> </w:t>
      </w:r>
      <w:r w:rsidRPr="00737594" w:rsidR="00FD51DA">
        <w:t>van het kader</w:t>
      </w:r>
      <w:r w:rsidRPr="00737594" w:rsidR="001B4640">
        <w:t xml:space="preserve"> is</w:t>
      </w:r>
      <w:r w:rsidRPr="00737594" w:rsidR="00693A62">
        <w:t xml:space="preserve"> dat gezonde bedrijven </w:t>
      </w:r>
      <w:r w:rsidRPr="00737594" w:rsidR="001B4640">
        <w:t xml:space="preserve">niet onnodig </w:t>
      </w:r>
      <w:r w:rsidRPr="00737594" w:rsidR="00693A62">
        <w:t>in de problemen komen</w:t>
      </w:r>
      <w:r w:rsidRPr="00737594" w:rsidR="001B4640">
        <w:t xml:space="preserve">. </w:t>
      </w:r>
      <w:r w:rsidRPr="00737594" w:rsidR="00E947A9">
        <w:t>Dit voorkomt</w:t>
      </w:r>
      <w:r w:rsidRPr="00737594" w:rsidR="001B4640">
        <w:t xml:space="preserve"> </w:t>
      </w:r>
      <w:r w:rsidRPr="00737594" w:rsidR="00E947A9">
        <w:t>een</w:t>
      </w:r>
      <w:r w:rsidRPr="00737594" w:rsidDel="00E947A9" w:rsidR="001B4640">
        <w:t xml:space="preserve"> </w:t>
      </w:r>
      <w:r w:rsidRPr="00737594" w:rsidR="00693A62">
        <w:t>verstoring van projecten, dienstverlening en de markt</w:t>
      </w:r>
      <w:r w:rsidRPr="00737594" w:rsidR="00354863">
        <w:t>. We kunnen zo</w:t>
      </w:r>
      <w:r w:rsidRPr="00737594" w:rsidDel="00E947A9" w:rsidR="001B4640">
        <w:t xml:space="preserve"> </w:t>
      </w:r>
      <w:r w:rsidRPr="00737594" w:rsidR="00E947A9">
        <w:t xml:space="preserve">verder </w:t>
      </w:r>
      <w:r w:rsidRPr="00737594" w:rsidR="001B4640">
        <w:t>blijven bouwen en werken aan de belangrijke opgaven waar Nederland op dit moment voor staat.</w:t>
      </w:r>
    </w:p>
    <w:p w:rsidRPr="00737594" w:rsidR="001B4640" w:rsidRDefault="001B4640" w14:paraId="10431712" w14:textId="77777777"/>
    <w:p w:rsidRPr="00737594" w:rsidR="006B4D80" w:rsidRDefault="006B4D80" w14:paraId="16CD9106" w14:textId="162F4140">
      <w:pPr>
        <w:rPr>
          <w:b/>
          <w:bCs/>
        </w:rPr>
      </w:pPr>
      <w:r w:rsidRPr="00737594">
        <w:rPr>
          <w:b/>
          <w:bCs/>
        </w:rPr>
        <w:t xml:space="preserve">Financiële </w:t>
      </w:r>
      <w:r w:rsidRPr="00737594" w:rsidR="00A34CB9">
        <w:rPr>
          <w:b/>
          <w:bCs/>
        </w:rPr>
        <w:t>gevolgen</w:t>
      </w:r>
    </w:p>
    <w:p w:rsidRPr="00737594" w:rsidR="006B4D80" w:rsidP="006B4D80" w:rsidRDefault="008B771C" w14:paraId="23744C6E" w14:textId="2EEF3EA8">
      <w:r w:rsidRPr="00737594">
        <w:t>H</w:t>
      </w:r>
      <w:r w:rsidRPr="00737594" w:rsidR="006B4D80">
        <w:t>et handelingskader</w:t>
      </w:r>
      <w:r w:rsidRPr="00737594" w:rsidR="00A34CB9">
        <w:t xml:space="preserve"> is, zoals hiervoor beschreven,</w:t>
      </w:r>
      <w:r w:rsidRPr="00737594" w:rsidR="006B4D80">
        <w:t xml:space="preserve"> </w:t>
      </w:r>
      <w:r w:rsidRPr="00737594" w:rsidR="00A34CB9">
        <w:t>e</w:t>
      </w:r>
      <w:r w:rsidRPr="00737594" w:rsidR="006B4D80">
        <w:t>en verduidelijkend instrument</w:t>
      </w:r>
      <w:r w:rsidRPr="00737594" w:rsidR="00A34CB9">
        <w:t xml:space="preserve"> en</w:t>
      </w:r>
      <w:r w:rsidRPr="00737594" w:rsidR="006B4D80">
        <w:t xml:space="preserve"> </w:t>
      </w:r>
      <w:r w:rsidRPr="00737594">
        <w:t>heeft geen directe financiële impact</w:t>
      </w:r>
      <w:r w:rsidRPr="00737594" w:rsidR="006B4D80">
        <w:t xml:space="preserve">. Ook zonder handelingskader </w:t>
      </w:r>
      <w:r w:rsidRPr="00737594">
        <w:t xml:space="preserve">zijn er </w:t>
      </w:r>
      <w:r w:rsidRPr="00737594" w:rsidR="006B4D80">
        <w:t>namelijk verplichtingen naar opdrachtnemers bij onvoorziene</w:t>
      </w:r>
      <w:r w:rsidRPr="00737594">
        <w:t>, excessieve</w:t>
      </w:r>
      <w:r w:rsidRPr="00737594" w:rsidR="006B4D80">
        <w:t xml:space="preserve"> kostenstijgingen</w:t>
      </w:r>
      <w:r w:rsidRPr="00737594">
        <w:t xml:space="preserve">. Veel contracten bevatten clausules over </w:t>
      </w:r>
      <w:r w:rsidRPr="00737594" w:rsidR="00667C1A">
        <w:t>hoe</w:t>
      </w:r>
      <w:r w:rsidRPr="00737594">
        <w:t xml:space="preserve"> </w:t>
      </w:r>
      <w:r w:rsidRPr="00737594" w:rsidR="00667C1A">
        <w:t xml:space="preserve">om te gaan met excessieve </w:t>
      </w:r>
      <w:r w:rsidRPr="00737594">
        <w:t>kostenstijgingen</w:t>
      </w:r>
      <w:r w:rsidRPr="00737594" w:rsidR="006B4D80">
        <w:t>.</w:t>
      </w:r>
      <w:r w:rsidRPr="00737594">
        <w:t xml:space="preserve"> Voor eventuele claims die hieruit volgen</w:t>
      </w:r>
      <w:r w:rsidRPr="00737594" w:rsidR="006B4D80">
        <w:t xml:space="preserve"> is nog géén financiële dekking voorzien. Het kabinet </w:t>
      </w:r>
      <w:r w:rsidRPr="00737594" w:rsidR="00A34CB9">
        <w:t>blijft</w:t>
      </w:r>
      <w:r w:rsidRPr="00737594" w:rsidR="006B4D80">
        <w:t xml:space="preserve"> in gesprek met de sector over de omvang en impact van de prijsstijgingen als gevolg van de situatie in het Midden-Oosten.</w:t>
      </w:r>
    </w:p>
    <w:p w:rsidRPr="00737594" w:rsidR="008C5C63" w:rsidRDefault="008C5C63" w14:paraId="14B176C6" w14:textId="77777777"/>
    <w:p w:rsidRPr="00737594" w:rsidR="00E25F1F" w:rsidRDefault="00E25F1F" w14:paraId="66DFB019" w14:textId="48942B01">
      <w:pPr>
        <w:rPr>
          <w:b/>
          <w:bCs/>
        </w:rPr>
      </w:pPr>
      <w:r w:rsidRPr="00737594">
        <w:rPr>
          <w:b/>
          <w:bCs/>
        </w:rPr>
        <w:t>Proces</w:t>
      </w:r>
    </w:p>
    <w:p w:rsidRPr="00737594" w:rsidR="006B4D80" w:rsidP="00E25F1F" w:rsidRDefault="00775A8D" w14:paraId="73C9B14D" w14:textId="5C3B549C">
      <w:r w:rsidRPr="00737594">
        <w:t xml:space="preserve">IenW </w:t>
      </w:r>
      <w:r w:rsidRPr="00737594" w:rsidR="006B4D80">
        <w:t xml:space="preserve">zal </w:t>
      </w:r>
      <w:r w:rsidRPr="00737594" w:rsidR="00E25F1F">
        <w:t xml:space="preserve">deze zomer samen met andere departementen, uitvoering en sectorpartijen een handelingskader </w:t>
      </w:r>
      <w:r w:rsidRPr="00737594" w:rsidR="006B4D80">
        <w:t>opstellen</w:t>
      </w:r>
      <w:r w:rsidRPr="00737594" w:rsidR="00FC0ABB">
        <w:t xml:space="preserve"> voor</w:t>
      </w:r>
      <w:r w:rsidRPr="00737594" w:rsidR="00E25F1F">
        <w:t xml:space="preserve"> de bouw, infra, grondverzet en (een deel van)</w:t>
      </w:r>
      <w:r w:rsidRPr="00737594" w:rsidR="00B44276">
        <w:t xml:space="preserve"> het</w:t>
      </w:r>
      <w:r w:rsidRPr="00737594" w:rsidR="00E25F1F">
        <w:t xml:space="preserve"> personenvervoer</w:t>
      </w:r>
      <w:r w:rsidRPr="00737594" w:rsidR="008C5C63">
        <w:t xml:space="preserve"> die in opdracht van de overheid werken</w:t>
      </w:r>
      <w:r w:rsidRPr="00737594" w:rsidR="00E25F1F">
        <w:t xml:space="preserve">. </w:t>
      </w:r>
      <w:r w:rsidRPr="00737594" w:rsidR="006B4D80">
        <w:t xml:space="preserve">Het streven is om een integraal handelingskader op te stellen dat per branche kan worden toegepast, </w:t>
      </w:r>
      <w:r w:rsidRPr="00737594" w:rsidR="00E25F1F">
        <w:t>met respect voor de verschillen tussen sectoren</w:t>
      </w:r>
      <w:r w:rsidRPr="00737594" w:rsidR="00C127F9">
        <w:t xml:space="preserve"> en de verantwoordelijkheden van de individuele stakeholders</w:t>
      </w:r>
      <w:r w:rsidRPr="00737594" w:rsidR="00E25F1F">
        <w:t xml:space="preserve">. </w:t>
      </w:r>
      <w:r w:rsidRPr="00737594" w:rsidR="00FC0ABB">
        <w:t xml:space="preserve">De </w:t>
      </w:r>
      <w:r w:rsidRPr="00737594" w:rsidR="00053F56">
        <w:t xml:space="preserve">inzet </w:t>
      </w:r>
      <w:r w:rsidRPr="00737594" w:rsidR="00FC0ABB">
        <w:t>is</w:t>
      </w:r>
      <w:r w:rsidRPr="00737594" w:rsidR="00291508">
        <w:t xml:space="preserve"> </w:t>
      </w:r>
      <w:r w:rsidRPr="00737594" w:rsidR="006B4D80">
        <w:t>om dit</w:t>
      </w:r>
      <w:r w:rsidRPr="00737594" w:rsidR="005E456A">
        <w:t xml:space="preserve"> </w:t>
      </w:r>
      <w:r w:rsidRPr="00737594" w:rsidR="00291508">
        <w:t xml:space="preserve">handelingskader </w:t>
      </w:r>
      <w:r w:rsidRPr="00737594" w:rsidR="006B4D80">
        <w:t xml:space="preserve">uiterlijk </w:t>
      </w:r>
      <w:r w:rsidRPr="00737594" w:rsidR="00FC0ABB">
        <w:t>in het najaar</w:t>
      </w:r>
      <w:r w:rsidRPr="00737594" w:rsidR="006B4D80">
        <w:t xml:space="preserve"> van 2026</w:t>
      </w:r>
      <w:r w:rsidRPr="00737594" w:rsidR="00291508">
        <w:t xml:space="preserve"> </w:t>
      </w:r>
      <w:r w:rsidRPr="00737594" w:rsidR="006B4D80">
        <w:t>vast te stellen</w:t>
      </w:r>
      <w:r w:rsidRPr="00737594" w:rsidR="00291508">
        <w:t xml:space="preserve">. </w:t>
      </w:r>
    </w:p>
    <w:p w:rsidRPr="00737594" w:rsidR="00E8414A" w:rsidP="00E25F1F" w:rsidRDefault="00E8414A" w14:paraId="04D69E5F" w14:textId="77777777">
      <w:pPr>
        <w:rPr>
          <w:b/>
          <w:bCs/>
        </w:rPr>
      </w:pPr>
    </w:p>
    <w:p w:rsidRPr="00737594" w:rsidR="00534905" w:rsidP="00E25F1F" w:rsidRDefault="00E8414A" w14:paraId="5F591683" w14:textId="0A96F4D5">
      <w:pPr>
        <w:rPr>
          <w:b/>
          <w:bCs/>
        </w:rPr>
      </w:pPr>
      <w:r w:rsidRPr="00737594">
        <w:rPr>
          <w:b/>
          <w:bCs/>
        </w:rPr>
        <w:t>Tot s</w:t>
      </w:r>
      <w:r w:rsidRPr="00737594" w:rsidR="00534905">
        <w:rPr>
          <w:b/>
          <w:bCs/>
        </w:rPr>
        <w:t>lot</w:t>
      </w:r>
    </w:p>
    <w:p w:rsidR="00E25F1F" w:rsidP="00E25F1F" w:rsidRDefault="00CD3EA8" w14:paraId="64472810" w14:textId="009E98D0">
      <w:r w:rsidRPr="00737594">
        <w:t xml:space="preserve">Het opvangen van </w:t>
      </w:r>
      <w:r w:rsidRPr="00737594" w:rsidR="005E456A">
        <w:t xml:space="preserve">onvoorziene </w:t>
      </w:r>
      <w:r w:rsidRPr="00737594">
        <w:t>excessieve prijsstijgingen geldt als een</w:t>
      </w:r>
      <w:r w:rsidRPr="00737594" w:rsidR="00775A8D">
        <w:t xml:space="preserve"> </w:t>
      </w:r>
      <w:r w:rsidRPr="00737594" w:rsidR="0064250A">
        <w:t>kortetermijnoplossing</w:t>
      </w:r>
      <w:r w:rsidRPr="00737594" w:rsidR="00775A8D">
        <w:t xml:space="preserve">. </w:t>
      </w:r>
      <w:r w:rsidRPr="00737594" w:rsidR="00291508">
        <w:t xml:space="preserve">Het </w:t>
      </w:r>
      <w:r w:rsidRPr="00737594" w:rsidR="00E25F1F">
        <w:t>gebruik van fossiele brandstoffen</w:t>
      </w:r>
      <w:r w:rsidRPr="00737594" w:rsidR="00291508">
        <w:t xml:space="preserve"> brengt </w:t>
      </w:r>
      <w:r w:rsidRPr="00737594" w:rsidR="00E25F1F">
        <w:t>een grote gevoeligheid voor prijsstijgingen met zich mee</w:t>
      </w:r>
      <w:r w:rsidRPr="00737594" w:rsidR="00291508">
        <w:t>.</w:t>
      </w:r>
      <w:r w:rsidRPr="00737594" w:rsidR="00E25F1F">
        <w:t xml:space="preserve"> </w:t>
      </w:r>
      <w:r w:rsidRPr="00737594" w:rsidR="00775A8D">
        <w:t xml:space="preserve">Zoals beschreven in de </w:t>
      </w:r>
      <w:r w:rsidRPr="00737594" w:rsidR="00B44276">
        <w:t>K</w:t>
      </w:r>
      <w:r w:rsidRPr="00737594" w:rsidR="00775A8D">
        <w:t>amerbrief van 20 april jl.</w:t>
      </w:r>
      <w:r w:rsidRPr="00737594" w:rsidR="001E559A">
        <w:rPr>
          <w:rStyle w:val="FootnoteReference"/>
        </w:rPr>
        <w:footnoteReference w:id="1"/>
      </w:r>
      <w:r w:rsidRPr="00737594" w:rsidR="00775A8D">
        <w:t>, ziet het kabinet als lange</w:t>
      </w:r>
      <w:r w:rsidRPr="00737594" w:rsidR="002A2987">
        <w:t>termijnperspectief</w:t>
      </w:r>
      <w:r w:rsidRPr="00737594" w:rsidR="00775A8D">
        <w:t xml:space="preserve"> om</w:t>
      </w:r>
      <w:r w:rsidRPr="00737594" w:rsidR="00E25F1F">
        <w:t xml:space="preserve"> weerbaarder te worden</w:t>
      </w:r>
      <w:r w:rsidRPr="00737594" w:rsidR="00775A8D">
        <w:t xml:space="preserve"> </w:t>
      </w:r>
      <w:r w:rsidRPr="00737594" w:rsidR="00E25F1F">
        <w:t>door de afbouw van de afhankelijkheid van fossiele brandstoffen</w:t>
      </w:r>
      <w:r w:rsidRPr="00737594" w:rsidR="00775A8D">
        <w:t>. Deze aanpak zet het kabinet onverminderd voort.</w:t>
      </w:r>
      <w:r w:rsidR="00775A8D">
        <w:t xml:space="preserve"> </w:t>
      </w:r>
    </w:p>
    <w:p w:rsidR="000429AA" w:rsidRDefault="000429AA" w14:paraId="2BFB7AE5" w14:textId="77777777"/>
    <w:p w:rsidR="00F10D23" w:rsidRDefault="00F10D23" w14:paraId="0AE59E7F" w14:textId="77777777"/>
    <w:p w:rsidR="006C691B" w:rsidRDefault="006C691B" w14:paraId="32805B1F" w14:textId="3BAEA3EA">
      <w:pPr>
        <w:pStyle w:val="WitregelW1bodytekst"/>
      </w:pPr>
    </w:p>
    <w:p w:rsidR="006C691B" w:rsidRDefault="008E6A81" w14:paraId="013492C0" w14:textId="77777777">
      <w:pPr>
        <w:pStyle w:val="Slotzin"/>
      </w:pPr>
      <w:r>
        <w:t>Hoogachtend,</w:t>
      </w:r>
    </w:p>
    <w:p w:rsidR="006C691B" w:rsidRDefault="008E6A81" w14:paraId="58EE8519" w14:textId="77777777">
      <w:pPr>
        <w:pStyle w:val="OndertekeningArea1"/>
      </w:pPr>
      <w:r>
        <w:t>DE MINISTER VAN INFRASTRUCTUUR EN WATERSTAAT,</w:t>
      </w:r>
    </w:p>
    <w:p w:rsidR="006C691B" w:rsidRDefault="006C691B" w14:paraId="5174F682" w14:textId="77777777"/>
    <w:p w:rsidR="006C691B" w:rsidRDefault="006C691B" w14:paraId="0F21CA26" w14:textId="77777777"/>
    <w:p w:rsidR="006C691B" w:rsidRDefault="006C691B" w14:paraId="1E54BD05" w14:textId="77777777"/>
    <w:p w:rsidR="006C691B" w:rsidRDefault="006C691B" w14:paraId="33E4188C" w14:textId="77777777"/>
    <w:p w:rsidR="006C691B" w:rsidRDefault="008E6A81" w14:paraId="508E8162" w14:textId="77777777">
      <w:r>
        <w:t>Vincent Karremans</w:t>
      </w:r>
    </w:p>
    <w:sectPr w:rsidR="006C69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8B4F1" w14:textId="77777777" w:rsidR="00D538A7" w:rsidRDefault="00D538A7">
      <w:pPr>
        <w:spacing w:line="240" w:lineRule="auto"/>
      </w:pPr>
      <w:r>
        <w:separator/>
      </w:r>
    </w:p>
  </w:endnote>
  <w:endnote w:type="continuationSeparator" w:id="0">
    <w:p w14:paraId="6B7BC92C" w14:textId="77777777" w:rsidR="00D538A7" w:rsidRDefault="00D53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DD147" w14:textId="77777777" w:rsidR="00FF1714" w:rsidRDefault="00FF1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CC4C" w14:textId="77777777" w:rsidR="00FF1714" w:rsidRDefault="00FF1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85711" w14:textId="77777777" w:rsidR="00FF1714" w:rsidRDefault="00FF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70EB" w14:textId="77777777" w:rsidR="00D538A7" w:rsidRDefault="00D538A7">
      <w:pPr>
        <w:spacing w:line="240" w:lineRule="auto"/>
      </w:pPr>
      <w:r>
        <w:separator/>
      </w:r>
    </w:p>
  </w:footnote>
  <w:footnote w:type="continuationSeparator" w:id="0">
    <w:p w14:paraId="6D30D8A7" w14:textId="77777777" w:rsidR="00D538A7" w:rsidRDefault="00D538A7">
      <w:pPr>
        <w:spacing w:line="240" w:lineRule="auto"/>
      </w:pPr>
      <w:r>
        <w:continuationSeparator/>
      </w:r>
    </w:p>
  </w:footnote>
  <w:footnote w:id="1">
    <w:p w14:paraId="62A07D5C" w14:textId="3F51FAE3" w:rsidR="001E559A" w:rsidRDefault="001E559A">
      <w:pPr>
        <w:pStyle w:val="FootnoteText"/>
      </w:pPr>
      <w:r w:rsidRPr="001E559A">
        <w:rPr>
          <w:rStyle w:val="FootnoteReference"/>
          <w:sz w:val="16"/>
          <w:szCs w:val="16"/>
        </w:rPr>
        <w:footnoteRef/>
      </w:r>
      <w:r w:rsidRPr="001E559A">
        <w:rPr>
          <w:sz w:val="16"/>
          <w:szCs w:val="16"/>
        </w:rPr>
        <w:t xml:space="preserve"> Kamerstukken II, 2025-2026, 36 933 nr.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B813" w14:textId="77777777" w:rsidR="00FF1714" w:rsidRDefault="00FF1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87F5D" w14:textId="77777777" w:rsidR="006C691B" w:rsidRDefault="008E6A8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06571B" wp14:editId="0E485737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22D94" w14:textId="77777777" w:rsidR="006C691B" w:rsidRDefault="008E6A8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249C3C6" w14:textId="77777777" w:rsidR="00151EC7" w:rsidRPr="00151EC7" w:rsidRDefault="00151EC7" w:rsidP="00151EC7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2E86562" w14:textId="77777777" w:rsidR="00151EC7" w:rsidRPr="00151EC7" w:rsidRDefault="00151EC7" w:rsidP="00151EC7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51EC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886545D" w14:textId="77777777" w:rsidR="00151EC7" w:rsidRPr="00151EC7" w:rsidRDefault="00151EC7" w:rsidP="00151EC7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151EC7">
                            <w:rPr>
                              <w:sz w:val="13"/>
                              <w:szCs w:val="13"/>
                            </w:rPr>
                            <w:t>IENW/BSK-2026/110452</w:t>
                          </w:r>
                        </w:p>
                        <w:p w14:paraId="500105D6" w14:textId="77777777" w:rsidR="00151EC7" w:rsidRPr="00151EC7" w:rsidRDefault="00151EC7" w:rsidP="00151E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06571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3022D94" w14:textId="77777777" w:rsidR="006C691B" w:rsidRDefault="008E6A8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249C3C6" w14:textId="77777777" w:rsidR="00151EC7" w:rsidRPr="00151EC7" w:rsidRDefault="00151EC7" w:rsidP="00151EC7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72E86562" w14:textId="77777777" w:rsidR="00151EC7" w:rsidRPr="00151EC7" w:rsidRDefault="00151EC7" w:rsidP="00151EC7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51EC7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5886545D" w14:textId="77777777" w:rsidR="00151EC7" w:rsidRPr="00151EC7" w:rsidRDefault="00151EC7" w:rsidP="00151EC7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151EC7">
                      <w:rPr>
                        <w:sz w:val="13"/>
                        <w:szCs w:val="13"/>
                      </w:rPr>
                      <w:t>IENW/BSK-2026/110452</w:t>
                    </w:r>
                  </w:p>
                  <w:p w14:paraId="500105D6" w14:textId="77777777" w:rsidR="00151EC7" w:rsidRPr="00151EC7" w:rsidRDefault="00151EC7" w:rsidP="00151EC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8469980" wp14:editId="177B6D55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C4D75" w14:textId="77777777" w:rsidR="006C691B" w:rsidRDefault="008E6A8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4B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4B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69980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77C4D75" w14:textId="77777777" w:rsidR="006C691B" w:rsidRDefault="008E6A8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4B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4B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51E0F24" wp14:editId="1D37C7B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A268F" w14:textId="77777777" w:rsidR="009945EE" w:rsidRDefault="009945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1E0F24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3CA268F" w14:textId="77777777" w:rsidR="009945EE" w:rsidRDefault="009945E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FF6886E" wp14:editId="2FDCDDF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0F302F" w14:textId="77777777" w:rsidR="009945EE" w:rsidRDefault="009945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6886E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A0F302F" w14:textId="77777777" w:rsidR="009945EE" w:rsidRDefault="009945E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56A1" w14:textId="77777777" w:rsidR="006C691B" w:rsidRDefault="008E6A8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73B5BAA" wp14:editId="4B385EE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F808B" w14:textId="77777777" w:rsidR="009945EE" w:rsidRDefault="009945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3B5BA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F5F808B" w14:textId="77777777" w:rsidR="009945EE" w:rsidRDefault="009945E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C9E7F97" wp14:editId="7791A75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D0B9E" w14:textId="274A5149" w:rsidR="006C691B" w:rsidRDefault="008E6A8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19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19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E7F97" id="7268d813-823c-11ee-8554-0242ac120003" o:spid="_x0000_s1031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C5D0B9E" w14:textId="274A5149" w:rsidR="006C691B" w:rsidRDefault="008E6A8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19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19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29CE56A8" wp14:editId="6BDF239A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62459" w14:textId="77777777" w:rsidR="006C691B" w:rsidRDefault="008E6A8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B2D545C" w14:textId="77777777" w:rsidR="006C691B" w:rsidRDefault="006C691B">
                          <w:pPr>
                            <w:pStyle w:val="WitregelW1"/>
                          </w:pPr>
                        </w:p>
                        <w:p w14:paraId="650A01B8" w14:textId="77777777" w:rsidR="006C691B" w:rsidRDefault="008E6A8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BF0E7CE" w14:textId="6415002A" w:rsidR="006C691B" w:rsidRPr="00D34BB3" w:rsidRDefault="008E6A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4BB3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73F99C41" w14:textId="77777777" w:rsidR="006C691B" w:rsidRPr="00D34BB3" w:rsidRDefault="008E6A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4BB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9EC6253" w14:textId="77777777" w:rsidR="006C691B" w:rsidRPr="00D34BB3" w:rsidRDefault="008E6A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4BB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C84D59C" w14:textId="77777777" w:rsidR="006C691B" w:rsidRPr="00D34BB3" w:rsidRDefault="006C691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F0371C6" w14:textId="77777777" w:rsidR="006C691B" w:rsidRPr="00D34BB3" w:rsidRDefault="008E6A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4BB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230AA4C" w14:textId="77777777" w:rsidR="006C691B" w:rsidRDefault="008E6A8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001F8A1" w14:textId="77777777" w:rsidR="006C691B" w:rsidRPr="00151EC7" w:rsidRDefault="006C691B" w:rsidP="00151EC7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97C16C2" w14:textId="4DC549BD" w:rsidR="00151EC7" w:rsidRPr="00151EC7" w:rsidRDefault="00151EC7" w:rsidP="00151EC7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51EC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45C3F203" w14:textId="4B1CC01F" w:rsidR="00151EC7" w:rsidRPr="00151EC7" w:rsidRDefault="00151EC7" w:rsidP="00151EC7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151EC7">
                            <w:rPr>
                              <w:sz w:val="13"/>
                              <w:szCs w:val="13"/>
                            </w:rPr>
                            <w:t>IENW/BSK-2026/110452</w:t>
                          </w:r>
                        </w:p>
                        <w:p w14:paraId="0669F16B" w14:textId="77777777" w:rsidR="00151EC7" w:rsidRPr="00151EC7" w:rsidRDefault="00151EC7" w:rsidP="00151EC7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6AC1C38" w14:textId="77777777" w:rsidR="006C691B" w:rsidRDefault="008E6A81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33C3611E" w14:textId="77777777" w:rsidR="006C691B" w:rsidRDefault="008E6A8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CE56A8" id="7268d739-823c-11ee-8554-0242ac120003" o:spid="_x0000_s1032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E862459" w14:textId="77777777" w:rsidR="006C691B" w:rsidRDefault="008E6A8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B2D545C" w14:textId="77777777" w:rsidR="006C691B" w:rsidRDefault="006C691B">
                    <w:pPr>
                      <w:pStyle w:val="WitregelW1"/>
                    </w:pPr>
                  </w:p>
                  <w:p w14:paraId="650A01B8" w14:textId="77777777" w:rsidR="006C691B" w:rsidRDefault="008E6A81">
                    <w:pPr>
                      <w:pStyle w:val="Afzendgegevens"/>
                    </w:pPr>
                    <w:r>
                      <w:t>Rijnstraat 8</w:t>
                    </w:r>
                  </w:p>
                  <w:p w14:paraId="4BF0E7CE" w14:textId="6415002A" w:rsidR="006C691B" w:rsidRPr="00D34BB3" w:rsidRDefault="008E6A81">
                    <w:pPr>
                      <w:pStyle w:val="Afzendgegevens"/>
                      <w:rPr>
                        <w:lang w:val="de-DE"/>
                      </w:rPr>
                    </w:pPr>
                    <w:r w:rsidRPr="00D34BB3">
                      <w:rPr>
                        <w:lang w:val="de-DE"/>
                      </w:rPr>
                      <w:t>2515 XP Den Haag</w:t>
                    </w:r>
                  </w:p>
                  <w:p w14:paraId="73F99C41" w14:textId="77777777" w:rsidR="006C691B" w:rsidRPr="00D34BB3" w:rsidRDefault="008E6A81">
                    <w:pPr>
                      <w:pStyle w:val="Afzendgegevens"/>
                      <w:rPr>
                        <w:lang w:val="de-DE"/>
                      </w:rPr>
                    </w:pPr>
                    <w:r w:rsidRPr="00D34BB3">
                      <w:rPr>
                        <w:lang w:val="de-DE"/>
                      </w:rPr>
                      <w:t>Postbus 20901</w:t>
                    </w:r>
                  </w:p>
                  <w:p w14:paraId="49EC6253" w14:textId="77777777" w:rsidR="006C691B" w:rsidRPr="00D34BB3" w:rsidRDefault="008E6A81">
                    <w:pPr>
                      <w:pStyle w:val="Afzendgegevens"/>
                      <w:rPr>
                        <w:lang w:val="de-DE"/>
                      </w:rPr>
                    </w:pPr>
                    <w:r w:rsidRPr="00D34BB3">
                      <w:rPr>
                        <w:lang w:val="de-DE"/>
                      </w:rPr>
                      <w:t>2500 EX Den Haag</w:t>
                    </w:r>
                  </w:p>
                  <w:p w14:paraId="0C84D59C" w14:textId="77777777" w:rsidR="006C691B" w:rsidRPr="00D34BB3" w:rsidRDefault="006C691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F0371C6" w14:textId="77777777" w:rsidR="006C691B" w:rsidRPr="00D34BB3" w:rsidRDefault="008E6A81">
                    <w:pPr>
                      <w:pStyle w:val="Afzendgegevens"/>
                      <w:rPr>
                        <w:lang w:val="de-DE"/>
                      </w:rPr>
                    </w:pPr>
                    <w:r w:rsidRPr="00D34BB3">
                      <w:rPr>
                        <w:lang w:val="de-DE"/>
                      </w:rPr>
                      <w:t>T   070-456 0000</w:t>
                    </w:r>
                  </w:p>
                  <w:p w14:paraId="2230AA4C" w14:textId="77777777" w:rsidR="006C691B" w:rsidRDefault="008E6A8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001F8A1" w14:textId="77777777" w:rsidR="006C691B" w:rsidRPr="00151EC7" w:rsidRDefault="006C691B" w:rsidP="00151EC7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497C16C2" w14:textId="4DC549BD" w:rsidR="00151EC7" w:rsidRPr="00151EC7" w:rsidRDefault="00151EC7" w:rsidP="00151EC7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51EC7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45C3F203" w14:textId="4B1CC01F" w:rsidR="00151EC7" w:rsidRPr="00151EC7" w:rsidRDefault="00151EC7" w:rsidP="00151EC7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151EC7">
                      <w:rPr>
                        <w:sz w:val="13"/>
                        <w:szCs w:val="13"/>
                      </w:rPr>
                      <w:t>IENW/BSK-2026/110452</w:t>
                    </w:r>
                  </w:p>
                  <w:p w14:paraId="0669F16B" w14:textId="77777777" w:rsidR="00151EC7" w:rsidRPr="00151EC7" w:rsidRDefault="00151EC7" w:rsidP="00151EC7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26AC1C38" w14:textId="77777777" w:rsidR="006C691B" w:rsidRDefault="008E6A81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33C3611E" w14:textId="77777777" w:rsidR="006C691B" w:rsidRDefault="008E6A8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6A65AA1A" wp14:editId="593B9BA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09202" w14:textId="77777777" w:rsidR="006C691B" w:rsidRDefault="008E6A8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7D980B4" wp14:editId="1E2B613E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5AA1A" id="7268d758-823c-11ee-8554-0242ac120003" o:spid="_x0000_s1033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4709202" w14:textId="77777777" w:rsidR="006C691B" w:rsidRDefault="008E6A8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7D980B4" wp14:editId="1E2B613E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ECF71AB" wp14:editId="57488DB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1C6C" w14:textId="77777777" w:rsidR="006C691B" w:rsidRDefault="008E6A8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3E57ED" wp14:editId="4FBFCEC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F71AB" id="7268d778-823c-11ee-8554-0242ac120003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5F11C6C" w14:textId="77777777" w:rsidR="006C691B" w:rsidRDefault="008E6A8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13E57ED" wp14:editId="4FBFCEC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5711167" wp14:editId="2DB55C2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AC425" w14:textId="77777777" w:rsidR="006C691B" w:rsidRDefault="008E6A8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11167" id="7268d797-823c-11ee-8554-0242ac120003" o:spid="_x0000_s1035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1CAC425" w14:textId="77777777" w:rsidR="006C691B" w:rsidRDefault="008E6A8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219E40A8" wp14:editId="4F232EB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69685" w14:textId="77777777" w:rsidR="006C691B" w:rsidRDefault="008E6A8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E40A8" id="7268d7b6-823c-11ee-8554-0242ac120003" o:spid="_x0000_s1036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4F69685" w14:textId="77777777" w:rsidR="006C691B" w:rsidRDefault="008E6A8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13C51454" wp14:editId="0AA9A42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C691B" w14:paraId="536CB8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7DCD6A" w14:textId="77777777" w:rsidR="006C691B" w:rsidRDefault="006C691B"/>
                            </w:tc>
                            <w:tc>
                              <w:tcPr>
                                <w:tcW w:w="5400" w:type="dxa"/>
                              </w:tcPr>
                              <w:p w14:paraId="723E19B2" w14:textId="77777777" w:rsidR="006C691B" w:rsidRDefault="006C691B"/>
                            </w:tc>
                          </w:tr>
                          <w:tr w:rsidR="006C691B" w14:paraId="7CA4A6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F7832D" w14:textId="77777777" w:rsidR="006C691B" w:rsidRDefault="008E6A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701364" w14:textId="1C357382" w:rsidR="006C691B" w:rsidRDefault="005613AC">
                                <w:r>
                                  <w:t>7 juli 2026</w:t>
                                </w:r>
                              </w:p>
                            </w:tc>
                          </w:tr>
                          <w:tr w:rsidR="006C691B" w14:paraId="6FD4C6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849420" w14:textId="77777777" w:rsidR="006C691B" w:rsidRDefault="008E6A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336C77" w14:textId="4129E3F6" w:rsidR="006C691B" w:rsidRDefault="001111F7">
                                <w:r>
                                  <w:t>Voortgang toezegging handelingskader</w:t>
                                </w:r>
                              </w:p>
                            </w:tc>
                          </w:tr>
                          <w:tr w:rsidR="006C691B" w14:paraId="3540D0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D8C1EF" w14:textId="77777777" w:rsidR="006C691B" w:rsidRDefault="006C691B"/>
                            </w:tc>
                            <w:tc>
                              <w:tcPr>
                                <w:tcW w:w="5400" w:type="dxa"/>
                              </w:tcPr>
                              <w:p w14:paraId="2694CB1D" w14:textId="77777777" w:rsidR="006C691B" w:rsidRDefault="006C691B"/>
                            </w:tc>
                          </w:tr>
                        </w:tbl>
                        <w:p w14:paraId="128ADA53" w14:textId="77777777" w:rsidR="009945EE" w:rsidRDefault="009945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C51454" id="7266255e-823c-11ee-8554-0242ac120003" o:spid="_x0000_s1037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C691B" w14:paraId="536CB8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7DCD6A" w14:textId="77777777" w:rsidR="006C691B" w:rsidRDefault="006C691B"/>
                      </w:tc>
                      <w:tc>
                        <w:tcPr>
                          <w:tcW w:w="5400" w:type="dxa"/>
                        </w:tcPr>
                        <w:p w14:paraId="723E19B2" w14:textId="77777777" w:rsidR="006C691B" w:rsidRDefault="006C691B"/>
                      </w:tc>
                    </w:tr>
                    <w:tr w:rsidR="006C691B" w14:paraId="7CA4A6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F7832D" w14:textId="77777777" w:rsidR="006C691B" w:rsidRDefault="008E6A8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701364" w14:textId="1C357382" w:rsidR="006C691B" w:rsidRDefault="005613AC">
                          <w:r>
                            <w:t>7 juli 2026</w:t>
                          </w:r>
                        </w:p>
                      </w:tc>
                    </w:tr>
                    <w:tr w:rsidR="006C691B" w14:paraId="6FD4C6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849420" w14:textId="77777777" w:rsidR="006C691B" w:rsidRDefault="008E6A8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336C77" w14:textId="4129E3F6" w:rsidR="006C691B" w:rsidRDefault="001111F7">
                          <w:r>
                            <w:t>Voortgang toezegging handelingskader</w:t>
                          </w:r>
                        </w:p>
                      </w:tc>
                    </w:tr>
                    <w:tr w:rsidR="006C691B" w14:paraId="3540D0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D8C1EF" w14:textId="77777777" w:rsidR="006C691B" w:rsidRDefault="006C691B"/>
                      </w:tc>
                      <w:tc>
                        <w:tcPr>
                          <w:tcW w:w="5400" w:type="dxa"/>
                        </w:tcPr>
                        <w:p w14:paraId="2694CB1D" w14:textId="77777777" w:rsidR="006C691B" w:rsidRDefault="006C691B"/>
                      </w:tc>
                    </w:tr>
                  </w:tbl>
                  <w:p w14:paraId="128ADA53" w14:textId="77777777" w:rsidR="009945EE" w:rsidRDefault="009945E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290BF4AB" wp14:editId="4AB5FEF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76975" w14:textId="77777777" w:rsidR="009945EE" w:rsidRDefault="009945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BF4AB" id="726e24d6-823c-11ee-8554-0242ac120003" o:spid="_x0000_s1038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7476975" w14:textId="77777777" w:rsidR="009945EE" w:rsidRDefault="009945E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98692E"/>
    <w:multiLevelType w:val="multilevel"/>
    <w:tmpl w:val="7345239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CF84EA"/>
    <w:multiLevelType w:val="multilevel"/>
    <w:tmpl w:val="816B470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E85924"/>
    <w:multiLevelType w:val="multilevel"/>
    <w:tmpl w:val="E6CF2DB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CFC327C"/>
    <w:multiLevelType w:val="multilevel"/>
    <w:tmpl w:val="31141A0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D469789"/>
    <w:multiLevelType w:val="multilevel"/>
    <w:tmpl w:val="C1D192FF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AADD137"/>
    <w:multiLevelType w:val="multilevel"/>
    <w:tmpl w:val="1177339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2FBF39B"/>
    <w:multiLevelType w:val="multilevel"/>
    <w:tmpl w:val="EBE1D34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0FA9EE"/>
    <w:multiLevelType w:val="multilevel"/>
    <w:tmpl w:val="F32622C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6856EEB"/>
    <w:multiLevelType w:val="multilevel"/>
    <w:tmpl w:val="6CECC8C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BC175C"/>
    <w:multiLevelType w:val="multilevel"/>
    <w:tmpl w:val="D6A367E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AC9FAA1"/>
    <w:multiLevelType w:val="multilevel"/>
    <w:tmpl w:val="6324E8A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EC27506"/>
    <w:multiLevelType w:val="multilevel"/>
    <w:tmpl w:val="2E4C3E4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818423F"/>
    <w:multiLevelType w:val="multilevel"/>
    <w:tmpl w:val="905EF9E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BED85AD"/>
    <w:multiLevelType w:val="multilevel"/>
    <w:tmpl w:val="820FA81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79128E"/>
    <w:multiLevelType w:val="multilevel"/>
    <w:tmpl w:val="3877A4F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17F2F241"/>
    <w:multiLevelType w:val="multilevel"/>
    <w:tmpl w:val="04B4D2C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9B2D16A"/>
    <w:multiLevelType w:val="multilevel"/>
    <w:tmpl w:val="771514F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43E0CF"/>
    <w:multiLevelType w:val="multilevel"/>
    <w:tmpl w:val="24C9CBE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B9D590"/>
    <w:multiLevelType w:val="multilevel"/>
    <w:tmpl w:val="8DD37C8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F1383"/>
    <w:multiLevelType w:val="multilevel"/>
    <w:tmpl w:val="5FCE8DE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7D7A7A"/>
    <w:multiLevelType w:val="multilevel"/>
    <w:tmpl w:val="3AC968A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582F0F"/>
    <w:multiLevelType w:val="multilevel"/>
    <w:tmpl w:val="7BFD7CC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950374"/>
    <w:multiLevelType w:val="multilevel"/>
    <w:tmpl w:val="94C83BD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5"/>
  </w:num>
  <w:num w:numId="5">
    <w:abstractNumId w:val="14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18"/>
  </w:num>
  <w:num w:numId="12">
    <w:abstractNumId w:val="15"/>
  </w:num>
  <w:num w:numId="13">
    <w:abstractNumId w:val="13"/>
  </w:num>
  <w:num w:numId="14">
    <w:abstractNumId w:val="19"/>
  </w:num>
  <w:num w:numId="15">
    <w:abstractNumId w:val="2"/>
  </w:num>
  <w:num w:numId="16">
    <w:abstractNumId w:val="1"/>
  </w:num>
  <w:num w:numId="17">
    <w:abstractNumId w:val="10"/>
  </w:num>
  <w:num w:numId="18">
    <w:abstractNumId w:val="7"/>
  </w:num>
  <w:num w:numId="19">
    <w:abstractNumId w:val="16"/>
  </w:num>
  <w:num w:numId="20">
    <w:abstractNumId w:val="17"/>
  </w:num>
  <w:num w:numId="21">
    <w:abstractNumId w:val="20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B3"/>
    <w:rsid w:val="0001676D"/>
    <w:rsid w:val="000260CD"/>
    <w:rsid w:val="000429AA"/>
    <w:rsid w:val="00044938"/>
    <w:rsid w:val="00053F56"/>
    <w:rsid w:val="00081211"/>
    <w:rsid w:val="000A297A"/>
    <w:rsid w:val="000A6328"/>
    <w:rsid w:val="000C664C"/>
    <w:rsid w:val="000F0DFB"/>
    <w:rsid w:val="001111F7"/>
    <w:rsid w:val="0011336D"/>
    <w:rsid w:val="00116863"/>
    <w:rsid w:val="00117192"/>
    <w:rsid w:val="0012224C"/>
    <w:rsid w:val="00130F6A"/>
    <w:rsid w:val="001513B1"/>
    <w:rsid w:val="00151EC7"/>
    <w:rsid w:val="001B4640"/>
    <w:rsid w:val="001C51F0"/>
    <w:rsid w:val="001D2272"/>
    <w:rsid w:val="001E559A"/>
    <w:rsid w:val="001F3CEB"/>
    <w:rsid w:val="00221BE7"/>
    <w:rsid w:val="0022482F"/>
    <w:rsid w:val="00230380"/>
    <w:rsid w:val="00233E44"/>
    <w:rsid w:val="002619AD"/>
    <w:rsid w:val="00262948"/>
    <w:rsid w:val="00291508"/>
    <w:rsid w:val="002A2987"/>
    <w:rsid w:val="002C006B"/>
    <w:rsid w:val="002C511C"/>
    <w:rsid w:val="002F3143"/>
    <w:rsid w:val="00311086"/>
    <w:rsid w:val="0031207F"/>
    <w:rsid w:val="00316F41"/>
    <w:rsid w:val="00354863"/>
    <w:rsid w:val="003743E7"/>
    <w:rsid w:val="00384D37"/>
    <w:rsid w:val="003917DC"/>
    <w:rsid w:val="003A1F68"/>
    <w:rsid w:val="003A6104"/>
    <w:rsid w:val="003B4C50"/>
    <w:rsid w:val="00414C19"/>
    <w:rsid w:val="0042298C"/>
    <w:rsid w:val="004B52D8"/>
    <w:rsid w:val="004D2422"/>
    <w:rsid w:val="004D765C"/>
    <w:rsid w:val="004E254D"/>
    <w:rsid w:val="00510C72"/>
    <w:rsid w:val="00527732"/>
    <w:rsid w:val="00534905"/>
    <w:rsid w:val="00545412"/>
    <w:rsid w:val="005613AC"/>
    <w:rsid w:val="00564FB8"/>
    <w:rsid w:val="00584A06"/>
    <w:rsid w:val="00586AB1"/>
    <w:rsid w:val="00591FC2"/>
    <w:rsid w:val="00593BA4"/>
    <w:rsid w:val="005E456A"/>
    <w:rsid w:val="005E5547"/>
    <w:rsid w:val="005E61C1"/>
    <w:rsid w:val="0062291F"/>
    <w:rsid w:val="006245F1"/>
    <w:rsid w:val="0064250A"/>
    <w:rsid w:val="00667C1A"/>
    <w:rsid w:val="00693A62"/>
    <w:rsid w:val="006B4D80"/>
    <w:rsid w:val="006B5877"/>
    <w:rsid w:val="006C691B"/>
    <w:rsid w:val="006D459C"/>
    <w:rsid w:val="0071073C"/>
    <w:rsid w:val="0071332A"/>
    <w:rsid w:val="00737594"/>
    <w:rsid w:val="007536B0"/>
    <w:rsid w:val="00775A8D"/>
    <w:rsid w:val="007A68B3"/>
    <w:rsid w:val="007D1ACB"/>
    <w:rsid w:val="0082169C"/>
    <w:rsid w:val="00823706"/>
    <w:rsid w:val="00827779"/>
    <w:rsid w:val="00843249"/>
    <w:rsid w:val="00856D59"/>
    <w:rsid w:val="00866DC7"/>
    <w:rsid w:val="008B4289"/>
    <w:rsid w:val="008B5767"/>
    <w:rsid w:val="008B771C"/>
    <w:rsid w:val="008C5C63"/>
    <w:rsid w:val="008E6A81"/>
    <w:rsid w:val="008F708A"/>
    <w:rsid w:val="008F7A75"/>
    <w:rsid w:val="00946035"/>
    <w:rsid w:val="00951CBB"/>
    <w:rsid w:val="009945EE"/>
    <w:rsid w:val="009A06A5"/>
    <w:rsid w:val="009A7345"/>
    <w:rsid w:val="009D4080"/>
    <w:rsid w:val="00A061E3"/>
    <w:rsid w:val="00A12D08"/>
    <w:rsid w:val="00A16C26"/>
    <w:rsid w:val="00A2350A"/>
    <w:rsid w:val="00A3213A"/>
    <w:rsid w:val="00A334B8"/>
    <w:rsid w:val="00A34CB9"/>
    <w:rsid w:val="00A52F72"/>
    <w:rsid w:val="00A5431E"/>
    <w:rsid w:val="00A77F57"/>
    <w:rsid w:val="00AA216F"/>
    <w:rsid w:val="00AE64E7"/>
    <w:rsid w:val="00AF0F4C"/>
    <w:rsid w:val="00AF74EF"/>
    <w:rsid w:val="00B44276"/>
    <w:rsid w:val="00B66D2A"/>
    <w:rsid w:val="00B80849"/>
    <w:rsid w:val="00B84159"/>
    <w:rsid w:val="00BC5724"/>
    <w:rsid w:val="00C127F9"/>
    <w:rsid w:val="00C208F0"/>
    <w:rsid w:val="00C36F6E"/>
    <w:rsid w:val="00C509FE"/>
    <w:rsid w:val="00C513E3"/>
    <w:rsid w:val="00C525BE"/>
    <w:rsid w:val="00C56FA9"/>
    <w:rsid w:val="00C94D8C"/>
    <w:rsid w:val="00CC24AB"/>
    <w:rsid w:val="00CD3EA8"/>
    <w:rsid w:val="00D20F5C"/>
    <w:rsid w:val="00D334FE"/>
    <w:rsid w:val="00D34BB3"/>
    <w:rsid w:val="00D45E29"/>
    <w:rsid w:val="00D538A7"/>
    <w:rsid w:val="00D601F2"/>
    <w:rsid w:val="00D63C25"/>
    <w:rsid w:val="00D81DAE"/>
    <w:rsid w:val="00D83761"/>
    <w:rsid w:val="00DA2C21"/>
    <w:rsid w:val="00DB7C1C"/>
    <w:rsid w:val="00DC3438"/>
    <w:rsid w:val="00DF0F82"/>
    <w:rsid w:val="00DF34C1"/>
    <w:rsid w:val="00DF7EC2"/>
    <w:rsid w:val="00E063DF"/>
    <w:rsid w:val="00E1130E"/>
    <w:rsid w:val="00E25F1F"/>
    <w:rsid w:val="00E27541"/>
    <w:rsid w:val="00E8414A"/>
    <w:rsid w:val="00E947A9"/>
    <w:rsid w:val="00EA429D"/>
    <w:rsid w:val="00F00F88"/>
    <w:rsid w:val="00F10D23"/>
    <w:rsid w:val="00F90239"/>
    <w:rsid w:val="00F95D5D"/>
    <w:rsid w:val="00F95EDD"/>
    <w:rsid w:val="00FC0ABB"/>
    <w:rsid w:val="00FD51DA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C0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34BB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B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4BB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B3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45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2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54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54D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FF171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59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59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E5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6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578</ap:Words>
  <ap:Characters>3295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Proces handelingskaders</vt:lpstr>
    </vt:vector>
  </ap:TitlesOfParts>
  <ap:LinksUpToDate>false</ap:LinksUpToDate>
  <ap:CharactersWithSpaces>3866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2026-07-07T13:33:00.0000000Z</dcterms:created>
  <dcterms:modified xsi:type="dcterms:W3CDTF">2026-07-07T13:33:00.0000000Z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Proces handelingskaders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Algemeen Bereikbaarheidsbeleid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R.J. Keijser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0x0101004A8A441A2534314FA17F8BAC2808A597</vt:lpwstr>
  </property>
</Properties>
</file>