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D5A" w:rsidP="00EF4D5A" w:rsidRDefault="00EF4D5A" w14:paraId="1A13795D" w14:textId="5E799D0C">
      <w:pPr>
        <w:spacing w:line="240" w:lineRule="auto"/>
      </w:pPr>
      <w:r>
        <w:t>AH 2492</w:t>
      </w:r>
    </w:p>
    <w:p w:rsidR="00EF4D5A" w:rsidP="00EF4D5A" w:rsidRDefault="00EF4D5A" w14:paraId="373ED461" w14:textId="522F1D5D">
      <w:pPr>
        <w:spacing w:line="240" w:lineRule="auto"/>
      </w:pPr>
      <w:r>
        <w:t>2026Z13082</w:t>
      </w:r>
    </w:p>
    <w:p w:rsidRPr="00E368FA" w:rsidR="00EF4D5A" w:rsidP="00EF4D5A" w:rsidRDefault="00EF4D5A" w14:paraId="63166A87" w14:textId="37BD8555">
      <w:pPr>
        <w:spacing w:line="240" w:lineRule="auto"/>
      </w:pPr>
      <w:r w:rsidRPr="00D25B3E">
        <w:rPr>
          <w:sz w:val="24"/>
          <w:szCs w:val="24"/>
        </w:rPr>
        <w:t>Antwoord van staatssecretaris Bertram (Infrastructuur en Waterstaat) (ontvangen</w:t>
      </w:r>
      <w:r>
        <w:rPr>
          <w:sz w:val="24"/>
          <w:szCs w:val="24"/>
        </w:rPr>
        <w:t xml:space="preserve">  7 juli 2026)</w:t>
      </w:r>
    </w:p>
    <w:p w:rsidR="00EF4D5A" w:rsidP="00EF4D5A" w:rsidRDefault="00EF4D5A" w14:paraId="7823B601" w14:textId="77777777">
      <w:pPr>
        <w:numPr>
          <w:ilvl w:val="0"/>
          <w:numId w:val="1"/>
        </w:numPr>
        <w:tabs>
          <w:tab w:val="clear" w:pos="720"/>
          <w:tab w:val="num" w:pos="360"/>
        </w:tabs>
        <w:spacing w:after="0" w:line="240" w:lineRule="auto"/>
        <w:ind w:left="360"/>
      </w:pPr>
      <w:r w:rsidRPr="00E368FA">
        <w:t xml:space="preserve">Welke informatie heeft u ontvangen over de illegale verspreiding van circa vijf miljoen kilogram afvalzout nabij de Nederlands-Belgische grens, waaronder de periode waarin dit heeft plaatsgevonden, de betrokken locaties en de mogelijke gevolgen voor bodem, grond- en oppervlaktewater? </w:t>
      </w:r>
    </w:p>
    <w:p w:rsidRPr="00E368FA" w:rsidR="00EF4D5A" w:rsidP="00EF4D5A" w:rsidRDefault="00EF4D5A" w14:paraId="0D0A40AC" w14:textId="77777777">
      <w:pPr>
        <w:spacing w:line="240" w:lineRule="auto"/>
        <w:ind w:left="360"/>
      </w:pPr>
    </w:p>
    <w:p w:rsidRPr="000F528B" w:rsidR="00EF4D5A" w:rsidP="00EF4D5A" w:rsidRDefault="00EF4D5A" w14:paraId="5D5FC725" w14:textId="77777777">
      <w:pPr>
        <w:spacing w:line="240" w:lineRule="auto"/>
        <w:ind w:left="360"/>
      </w:pPr>
      <w:r w:rsidRPr="00E368FA">
        <w:t xml:space="preserve">Vanuit de Inspectie Leefomgeving en Transport (ILT) is in kader van toezicht en handhaving onderzoek gedaan. De ILT heeft in 2025 een melding ontvangen van de Nederlandse Voedsel- en Warenautoriteit (NVWA). </w:t>
      </w:r>
      <w:r w:rsidRPr="000F528B">
        <w:t>Het Openbaar Ministerie (OM) is een strafrechtelijk onderzoek gestart naar het handelen van het bedrijf. Zolang er een strafrechtelijk onderzoek loopt, kan er verder niet in detail op de zaak worden ingegaan. </w:t>
      </w:r>
    </w:p>
    <w:p w:rsidRPr="00E368FA" w:rsidR="00EF4D5A" w:rsidP="00EF4D5A" w:rsidRDefault="00EF4D5A" w14:paraId="3E67CD47" w14:textId="77777777">
      <w:pPr>
        <w:spacing w:line="240" w:lineRule="auto"/>
        <w:ind w:left="360"/>
        <w:rPr>
          <w:rFonts w:eastAsia="Times New Roman"/>
        </w:rPr>
      </w:pPr>
    </w:p>
    <w:p w:rsidRPr="0032113A" w:rsidR="00EF4D5A" w:rsidP="00EF4D5A" w:rsidRDefault="00EF4D5A" w14:paraId="2F3AF9C8" w14:textId="77777777">
      <w:pPr>
        <w:numPr>
          <w:ilvl w:val="0"/>
          <w:numId w:val="1"/>
        </w:numPr>
        <w:tabs>
          <w:tab w:val="clear" w:pos="720"/>
          <w:tab w:val="num" w:pos="360"/>
        </w:tabs>
        <w:spacing w:after="0" w:line="240" w:lineRule="auto"/>
        <w:ind w:left="360"/>
        <w:rPr>
          <w:rFonts w:eastAsia="Times New Roman"/>
        </w:rPr>
      </w:pPr>
      <w:r w:rsidRPr="00E368FA">
        <w:t xml:space="preserve">Heeft onderzoek plaatsgevonden naar de mogelijke gevolgen van deze afvaldumpingen voor Nederlandse KRW-oppervlaktewaterlichamen? Zo nee, bent u bereid dit alsnog uit te laten voeren? </w:t>
      </w:r>
    </w:p>
    <w:p w:rsidRPr="00E368FA" w:rsidR="00EF4D5A" w:rsidP="00EF4D5A" w:rsidRDefault="00EF4D5A" w14:paraId="048D3118" w14:textId="77777777">
      <w:pPr>
        <w:spacing w:line="240" w:lineRule="auto"/>
        <w:ind w:left="360"/>
        <w:rPr>
          <w:rFonts w:eastAsia="Times New Roman"/>
        </w:rPr>
      </w:pPr>
    </w:p>
    <w:p w:rsidRPr="00E368FA" w:rsidR="00EF4D5A" w:rsidP="00EF4D5A" w:rsidRDefault="00EF4D5A" w14:paraId="37A12B7A" w14:textId="77777777">
      <w:pPr>
        <w:spacing w:line="240" w:lineRule="auto"/>
        <w:ind w:left="360"/>
        <w:rPr>
          <w:rFonts w:eastAsia="Times New Roman"/>
        </w:rPr>
      </w:pPr>
      <w:r w:rsidRPr="00E368FA">
        <w:rPr>
          <w:rFonts w:eastAsia="Times New Roman"/>
        </w:rPr>
        <w:t>Dit ligt bij het bevoegd gezag. Voor Nederlandse regionale oppervlaktewateren is dit het waterschap, niet het Rijk.</w:t>
      </w:r>
    </w:p>
    <w:p w:rsidRPr="00E368FA" w:rsidR="00EF4D5A" w:rsidP="00EF4D5A" w:rsidRDefault="00EF4D5A" w14:paraId="3D0DC548" w14:textId="77777777">
      <w:pPr>
        <w:spacing w:line="240" w:lineRule="auto"/>
        <w:ind w:left="360"/>
        <w:rPr>
          <w:rFonts w:eastAsia="Times New Roman"/>
        </w:rPr>
      </w:pPr>
    </w:p>
    <w:p w:rsidRPr="0032113A" w:rsidR="00EF4D5A" w:rsidP="00EF4D5A" w:rsidRDefault="00EF4D5A" w14:paraId="54562C74" w14:textId="77777777">
      <w:pPr>
        <w:numPr>
          <w:ilvl w:val="0"/>
          <w:numId w:val="1"/>
        </w:numPr>
        <w:tabs>
          <w:tab w:val="clear" w:pos="720"/>
          <w:tab w:val="num" w:pos="360"/>
        </w:tabs>
        <w:spacing w:after="0" w:line="240" w:lineRule="auto"/>
        <w:ind w:left="360"/>
        <w:rPr>
          <w:rFonts w:eastAsia="Times New Roman"/>
        </w:rPr>
      </w:pPr>
      <w:r w:rsidRPr="00E368FA">
        <w:t xml:space="preserve">Op welke wijze wordt momenteel in beeld gebracht welke gevolgen de verhoogde zoutbelasting kan hebben voor de kwaliteit en het gebruik van landbouwgronden, natuurgebieden en waterlichamen in het grensgebied? </w:t>
      </w:r>
    </w:p>
    <w:p w:rsidRPr="00E368FA" w:rsidR="00EF4D5A" w:rsidP="00EF4D5A" w:rsidRDefault="00EF4D5A" w14:paraId="08F43B0E" w14:textId="77777777">
      <w:pPr>
        <w:spacing w:line="240" w:lineRule="auto"/>
        <w:ind w:left="360"/>
        <w:rPr>
          <w:rFonts w:eastAsia="Times New Roman"/>
        </w:rPr>
      </w:pPr>
    </w:p>
    <w:p w:rsidR="00EF4D5A" w:rsidP="00EF4D5A" w:rsidRDefault="00EF4D5A" w14:paraId="1C8A448E" w14:textId="77777777">
      <w:pPr>
        <w:spacing w:line="240" w:lineRule="auto"/>
        <w:ind w:left="360"/>
        <w:rPr>
          <w:rFonts w:eastAsia="Times New Roman"/>
        </w:rPr>
      </w:pPr>
      <w:r w:rsidRPr="00E368FA">
        <w:rPr>
          <w:rFonts w:eastAsia="Times New Roman"/>
        </w:rPr>
        <w:t>Ook dit ligt bij de bevoegde gezagen. In Nederland is dat voor oppervlaktewaterkwaliteit het waterschap, voor grondwater de provincie.</w:t>
      </w:r>
    </w:p>
    <w:p w:rsidRPr="00E368FA" w:rsidR="00EF4D5A" w:rsidP="00EF4D5A" w:rsidRDefault="00EF4D5A" w14:paraId="7F74C576" w14:textId="77777777">
      <w:pPr>
        <w:spacing w:line="240" w:lineRule="auto"/>
        <w:ind w:left="360"/>
        <w:rPr>
          <w:rFonts w:eastAsia="Times New Roman"/>
        </w:rPr>
      </w:pPr>
    </w:p>
    <w:p w:rsidRPr="0032113A" w:rsidR="00EF4D5A" w:rsidP="00EF4D5A" w:rsidRDefault="00EF4D5A" w14:paraId="3DC843D1" w14:textId="77777777">
      <w:pPr>
        <w:numPr>
          <w:ilvl w:val="0"/>
          <w:numId w:val="1"/>
        </w:numPr>
        <w:tabs>
          <w:tab w:val="clear" w:pos="720"/>
          <w:tab w:val="num" w:pos="360"/>
        </w:tabs>
        <w:spacing w:after="0" w:line="240" w:lineRule="auto"/>
        <w:ind w:left="360"/>
        <w:rPr>
          <w:rFonts w:eastAsia="Times New Roman"/>
        </w:rPr>
      </w:pPr>
      <w:r w:rsidRPr="00E368FA">
        <w:t xml:space="preserve">Hoe beoordeelt u de mogelijke gevolgen van deze verontreiniging voor het behalen van de KRW-doelen en voor reeds gedane investeringen in de verbetering van de waterkwaliteit in grensoverschrijdende stroomgebieden? </w:t>
      </w:r>
    </w:p>
    <w:p w:rsidRPr="00E368FA" w:rsidR="00EF4D5A" w:rsidP="00EF4D5A" w:rsidRDefault="00EF4D5A" w14:paraId="46DE7DD2" w14:textId="77777777">
      <w:pPr>
        <w:spacing w:line="240" w:lineRule="auto"/>
        <w:ind w:left="360"/>
        <w:rPr>
          <w:rFonts w:eastAsia="Times New Roman"/>
        </w:rPr>
      </w:pPr>
    </w:p>
    <w:p w:rsidRPr="00E368FA" w:rsidR="00EF4D5A" w:rsidP="00EF4D5A" w:rsidRDefault="00EF4D5A" w14:paraId="608DB369" w14:textId="77777777">
      <w:pPr>
        <w:spacing w:line="240" w:lineRule="auto"/>
        <w:ind w:left="360"/>
        <w:rPr>
          <w:rFonts w:eastAsia="Times New Roman"/>
        </w:rPr>
      </w:pPr>
      <w:r w:rsidRPr="00E368FA">
        <w:rPr>
          <w:rFonts w:eastAsia="Times New Roman"/>
        </w:rPr>
        <w:t>Voor de KRW wordt gemonitord en getoetst volgens het voorgeschreven protocol. Indien nodig zou het bevoegd gezag aanvullend hierop extra metingen kunnen doen om mogelijke effecten te kunnen bepalen.</w:t>
      </w:r>
    </w:p>
    <w:p w:rsidRPr="00E368FA" w:rsidR="00EF4D5A" w:rsidP="00EF4D5A" w:rsidRDefault="00EF4D5A" w14:paraId="37289FFB" w14:textId="77777777">
      <w:pPr>
        <w:spacing w:line="240" w:lineRule="auto"/>
        <w:ind w:left="360"/>
      </w:pPr>
    </w:p>
    <w:p w:rsidR="00EF4D5A" w:rsidP="00EF4D5A" w:rsidRDefault="00EF4D5A" w14:paraId="2C8E3C0C" w14:textId="77777777">
      <w:pPr>
        <w:numPr>
          <w:ilvl w:val="0"/>
          <w:numId w:val="1"/>
        </w:numPr>
        <w:tabs>
          <w:tab w:val="clear" w:pos="720"/>
          <w:tab w:val="num" w:pos="360"/>
        </w:tabs>
        <w:spacing w:after="0" w:line="240" w:lineRule="auto"/>
        <w:ind w:left="360"/>
      </w:pPr>
      <w:r w:rsidRPr="00E368FA">
        <w:t xml:space="preserve">Hoe beoordeelt u het feit dat een stof die mogelijk als afvalstof had moeten worden aangemerkt gedurende meerdere jaren als product of bodemverbeteraar kon worden verhandeld en toegepast? Welke lessen worden hieruit gehaald voor het verbeteren van het toezicht op dergelijke reststromen? </w:t>
      </w:r>
    </w:p>
    <w:p w:rsidRPr="00E368FA" w:rsidR="00EF4D5A" w:rsidP="00EF4D5A" w:rsidRDefault="00EF4D5A" w14:paraId="67A2665C" w14:textId="77777777">
      <w:pPr>
        <w:spacing w:line="240" w:lineRule="auto"/>
        <w:ind w:left="360"/>
      </w:pPr>
    </w:p>
    <w:p w:rsidR="00EF4D5A" w:rsidP="00EF4D5A" w:rsidRDefault="00EF4D5A" w14:paraId="5C3DB4A2" w14:textId="77777777">
      <w:pPr>
        <w:spacing w:line="240" w:lineRule="auto"/>
        <w:ind w:left="360"/>
      </w:pPr>
      <w:r w:rsidRPr="00EC60E8">
        <w:lastRenderedPageBreak/>
        <w:t xml:space="preserve">In zijn algemeenheid is het onwenselijk wanneer materialen worden toegepast die ongunstige effecten voor mens en milieu hebben. Ik kan echter niet ingaan op of hiervan sprake is in deze specifieke casus, aangezien er een strafrechtelijk onderzoek loopt. </w:t>
      </w:r>
    </w:p>
    <w:p w:rsidRPr="00EC60E8" w:rsidR="00EF4D5A" w:rsidP="00EF4D5A" w:rsidRDefault="00EF4D5A" w14:paraId="46478331" w14:textId="77777777">
      <w:pPr>
        <w:spacing w:line="240" w:lineRule="auto"/>
        <w:ind w:left="360"/>
      </w:pPr>
    </w:p>
    <w:p w:rsidR="00EF4D5A" w:rsidP="00EF4D5A" w:rsidRDefault="00EF4D5A" w14:paraId="4080CE8F" w14:textId="77777777">
      <w:pPr>
        <w:numPr>
          <w:ilvl w:val="0"/>
          <w:numId w:val="1"/>
        </w:numPr>
        <w:tabs>
          <w:tab w:val="clear" w:pos="720"/>
          <w:tab w:val="num" w:pos="360"/>
        </w:tabs>
        <w:spacing w:after="0" w:line="240" w:lineRule="auto"/>
        <w:ind w:left="360"/>
      </w:pPr>
      <w:r w:rsidRPr="00E368FA">
        <w:t>Welke maatregelen worden genomen om te voorkomen dat afvalstoffen onder het mom van een product of grondstof worden verspreid? En welke maatregelen worden genomen om het toezicht op industriële afvalstromen en grensoverschrijdende afvalverwerking te verbeteren?</w:t>
      </w:r>
    </w:p>
    <w:p w:rsidRPr="00E368FA" w:rsidR="00EF4D5A" w:rsidP="00EF4D5A" w:rsidRDefault="00EF4D5A" w14:paraId="28812309" w14:textId="77777777">
      <w:pPr>
        <w:spacing w:line="240" w:lineRule="auto"/>
        <w:ind w:left="360"/>
      </w:pPr>
    </w:p>
    <w:p w:rsidRPr="00EC60E8" w:rsidR="00EF4D5A" w:rsidP="00EF4D5A" w:rsidRDefault="00EF4D5A" w14:paraId="7D29D700" w14:textId="77777777">
      <w:pPr>
        <w:spacing w:line="240" w:lineRule="auto"/>
        <w:ind w:left="360"/>
      </w:pPr>
      <w:r w:rsidRPr="00EC60E8">
        <w:t xml:space="preserve">In Nederland geldt dat de verantwoordelijkheid voor het beoordelen of een materiaal een product/grondstof is of afval (de afvalstatus), in eerste instantie bij de bedrijven zelf ligt. Het is aan de omgevingsdiensten om die beoordeling te toetsen en erop toe te zien dat bedrijven handelen conform wet- en regelgeving. Het ministerie biedt diverse ondersteuning voor bedrijven en bevoegde gezagen bij de afvalstatusbeoordeling. </w:t>
      </w:r>
    </w:p>
    <w:p w:rsidRPr="00EC60E8" w:rsidR="00EF4D5A" w:rsidP="00EF4D5A" w:rsidRDefault="00EF4D5A" w14:paraId="492A06D2" w14:textId="77777777">
      <w:pPr>
        <w:spacing w:line="240" w:lineRule="auto"/>
        <w:ind w:left="360"/>
      </w:pPr>
    </w:p>
    <w:p w:rsidRPr="00EC60E8" w:rsidR="00EF4D5A" w:rsidP="00EF4D5A" w:rsidRDefault="00EF4D5A" w14:paraId="6C548ED0" w14:textId="77777777">
      <w:pPr>
        <w:spacing w:line="240" w:lineRule="auto"/>
        <w:ind w:left="360"/>
      </w:pPr>
      <w:r w:rsidRPr="00EC60E8">
        <w:t>Een juiste afvalstatusbeoordeling is van belang voor de toepassing van afvalstoffenwetgeving in het geval van afvalstoffen, waaronder de Europese Verordening Overbrenging Afvalstoffen (EVOA) wanneer sprake is van grensoverschrijdend transport. Dan kan de Inspectie Leefomgeving en Transport, als toezichthouder voor de EVOA, toezien op het transport en controleren of de voorgestelde toepassing of verwerking van de afvalstoffen in het land van ontvangst zijn toegestaan.</w:t>
      </w:r>
    </w:p>
    <w:p w:rsidRPr="00EC60E8" w:rsidR="00EF4D5A" w:rsidP="00EF4D5A" w:rsidRDefault="00EF4D5A" w14:paraId="02F7AA51" w14:textId="77777777">
      <w:pPr>
        <w:spacing w:line="240" w:lineRule="auto"/>
        <w:ind w:left="360"/>
      </w:pPr>
    </w:p>
    <w:p w:rsidRPr="00EC60E8" w:rsidR="00EF4D5A" w:rsidP="00EF4D5A" w:rsidRDefault="00EF4D5A" w14:paraId="724D9680" w14:textId="77777777">
      <w:pPr>
        <w:spacing w:line="240" w:lineRule="auto"/>
        <w:ind w:left="360"/>
      </w:pPr>
      <w:r w:rsidRPr="00EC60E8">
        <w:t>Het ministerie neemt op dit moment verschillende maatregelen om de uitvoeringspraktijk nog verder te versterken. De beschikbare ondersteuning vanuit het Rijk is getoetst bij stakeholders en wordt aangescherpt om beter aan te sluiten bij wensen en behoeften van bedrijven en bevoegde gezagen. Daarnaast zorgt kennisplatform ‘Afval of niet’ voor meer kennisopbouw en -deling tussen omgevingsdiensten.</w:t>
      </w:r>
    </w:p>
    <w:p w:rsidRPr="00EC60E8" w:rsidR="00EF4D5A" w:rsidP="00EF4D5A" w:rsidRDefault="00EF4D5A" w14:paraId="2593ABBC" w14:textId="77777777">
      <w:pPr>
        <w:spacing w:line="240" w:lineRule="auto"/>
        <w:ind w:left="360"/>
      </w:pPr>
    </w:p>
    <w:p w:rsidRPr="00E368FA" w:rsidR="00EF4D5A" w:rsidP="00EF4D5A" w:rsidRDefault="00EF4D5A" w14:paraId="2D2FFFD3" w14:textId="77777777">
      <w:pPr>
        <w:spacing w:line="240" w:lineRule="auto"/>
        <w:ind w:left="360"/>
      </w:pPr>
      <w:r w:rsidRPr="00EC60E8">
        <w:t>Op 21 mei jl. is de nieuwe Europese Verordening Overbrenging Afvalstoffen (EVOA 2024) in werking getreden. Onder deze nieuwe EVOA vinden een aantal wijzigingen en aanscherpingen plaats t.a.v. afvaltransport, waardoor het toezicht wordt verbeterd. Dankzij een centraal EU digitaal systeem (DIWASS) kan er beter toezicht worden gehouden op afvalstromen. Dankzij dit systeem krijgen de ILT en inspecteurs van omgevingsdiensten een compleet beeld van de aan- en afvoer van afvalstoffen bij (afval-)bedrijven waarop zij toezicht houden. De ILT zal ervoor zorgen dat Douane en politie direct toegang tot dit systeem kunnen krijgen en betrokkenen opleiden voor gebruik ervan. Bij hun (transport-)controles kunnen zij dan nagaan of aan alle vereisten wordt voldaan.</w:t>
      </w:r>
    </w:p>
    <w:p w:rsidRPr="00E368FA" w:rsidR="00EF4D5A" w:rsidP="00EF4D5A" w:rsidRDefault="00EF4D5A" w14:paraId="257601CB" w14:textId="77777777">
      <w:pPr>
        <w:pStyle w:val="Lijstalinea"/>
        <w:spacing w:after="0" w:line="240" w:lineRule="auto"/>
        <w:ind w:left="360"/>
        <w:rPr>
          <w:rFonts w:ascii="Verdana" w:hAnsi="Verdana"/>
          <w:sz w:val="18"/>
          <w:szCs w:val="18"/>
        </w:rPr>
      </w:pPr>
    </w:p>
    <w:p w:rsidRPr="00E368FA" w:rsidR="00EF4D5A" w:rsidP="00EF4D5A" w:rsidRDefault="00EF4D5A" w14:paraId="3B2F8ECE" w14:textId="77777777">
      <w:pPr>
        <w:pStyle w:val="Lijstalinea"/>
        <w:numPr>
          <w:ilvl w:val="0"/>
          <w:numId w:val="1"/>
        </w:numPr>
        <w:tabs>
          <w:tab w:val="clear" w:pos="720"/>
          <w:tab w:val="num" w:pos="360"/>
        </w:tabs>
        <w:spacing w:after="0" w:line="240" w:lineRule="auto"/>
        <w:ind w:left="360"/>
        <w:rPr>
          <w:rFonts w:ascii="Verdana" w:hAnsi="Verdana"/>
          <w:sz w:val="18"/>
          <w:szCs w:val="18"/>
        </w:rPr>
      </w:pPr>
      <w:r w:rsidRPr="00E368FA">
        <w:rPr>
          <w:rFonts w:ascii="Verdana" w:hAnsi="Verdana"/>
          <w:sz w:val="18"/>
          <w:szCs w:val="18"/>
        </w:rPr>
        <w:t>Is bekend of vergelijkbare afvalstromen van dit bedrijf ook op andere locaties in Nederland of andere Europese landen zijn toegepast of verspreid? Zo ja, welke risico’s brengt dit met zich mee en welke maatregelen worden genomen om eventuele verdere milieuschade te voorkomen?</w:t>
      </w:r>
    </w:p>
    <w:p w:rsidRPr="00E368FA" w:rsidR="00EF4D5A" w:rsidP="00EF4D5A" w:rsidRDefault="00EF4D5A" w14:paraId="2A86484F" w14:textId="77777777">
      <w:pPr>
        <w:spacing w:line="240" w:lineRule="auto"/>
        <w:ind w:left="360"/>
      </w:pPr>
      <w:r w:rsidRPr="00E368FA">
        <w:t xml:space="preserve">Bij de Inspectie Leefomgeving en Transport (ILT) zijn alleen gevallen van de illegale overbrenging van afvalzout naar België, Polen en Duitsland bekend. ILT heeft met de buitenlandse autoriteiten contact hierover opgenomen. Vanuit België en Polen ligt er een verzoek om het afval terug te halen. Afvalstoffen die illegaal zijn overgebracht moeten namelijk terug naar het land van herkomst (in dit geval Nederland). Daar is het betrokken bedrijf verantwoordelijk voor en de ILT houdt daar toezicht op. </w:t>
      </w:r>
    </w:p>
    <w:p w:rsidR="00EF4D5A" w:rsidP="00EF4D5A" w:rsidRDefault="00EF4D5A" w14:paraId="7C90BF82" w14:textId="77777777">
      <w:pPr>
        <w:spacing w:line="240" w:lineRule="auto"/>
        <w:ind w:left="360"/>
      </w:pPr>
    </w:p>
    <w:p w:rsidRPr="00E368FA" w:rsidR="00EF4D5A" w:rsidP="00EF4D5A" w:rsidRDefault="00EF4D5A" w14:paraId="580FE300" w14:textId="77777777">
      <w:pPr>
        <w:spacing w:line="240" w:lineRule="auto"/>
        <w:ind w:left="360"/>
      </w:pPr>
      <w:r w:rsidRPr="00E368FA">
        <w:t xml:space="preserve">Voor de afvalstoffen die reeds (voorlopig) zijn toegepast of verwerkt, bestaat niet meer de plicht van artikel 25 EVOA om het terug te halen. De ILT heeft hierover contact gehad met de Duitse en Belgische autoriteiten. In Duitsland is het zout gemengd met grit, wat gebruikt wordt om bij gladheid op de wegen te strooien. Het zout is dan zodanig gemengd, dat het niet meer als afvalzout aangemerkt kan worden. </w:t>
      </w:r>
    </w:p>
    <w:p w:rsidRPr="00E368FA" w:rsidR="00EF4D5A" w:rsidP="00EF4D5A" w:rsidRDefault="00EF4D5A" w14:paraId="74844BBE" w14:textId="77777777">
      <w:pPr>
        <w:pStyle w:val="WitregelW1bodytekst"/>
      </w:pPr>
      <w:r w:rsidRPr="00E368FA">
        <w:t xml:space="preserve">  </w:t>
      </w:r>
    </w:p>
    <w:p w:rsidRPr="00E368FA" w:rsidR="00EF4D5A" w:rsidP="00EF4D5A" w:rsidRDefault="00EF4D5A" w14:paraId="125AA293" w14:textId="77777777">
      <w:pPr>
        <w:pStyle w:val="Slotzin"/>
      </w:pPr>
      <w:r w:rsidRPr="00E368FA">
        <w:t>Hoogachtend,</w:t>
      </w:r>
    </w:p>
    <w:p w:rsidRPr="00E368FA" w:rsidR="00EF4D5A" w:rsidP="00EF4D5A" w:rsidRDefault="00EF4D5A" w14:paraId="3A1BA045" w14:textId="77777777">
      <w:pPr>
        <w:pStyle w:val="OndertekeningArea1"/>
      </w:pPr>
      <w:r w:rsidRPr="00E368FA">
        <w:t>DE STAATSSECRETARIS VAN INFRASTRUCTUUR EN WATERSTAAT,</w:t>
      </w:r>
    </w:p>
    <w:p w:rsidRPr="00E368FA" w:rsidR="00EF4D5A" w:rsidP="00EF4D5A" w:rsidRDefault="00EF4D5A" w14:paraId="50E039C0" w14:textId="77777777"/>
    <w:p w:rsidRPr="00E368FA" w:rsidR="00EF4D5A" w:rsidP="00EF4D5A" w:rsidRDefault="00EF4D5A" w14:paraId="45146DEA" w14:textId="77777777"/>
    <w:p w:rsidRPr="00E368FA" w:rsidR="00EF4D5A" w:rsidP="00EF4D5A" w:rsidRDefault="00EF4D5A" w14:paraId="3BC98AD1" w14:textId="77777777"/>
    <w:p w:rsidRPr="00E368FA" w:rsidR="00EF4D5A" w:rsidP="00EF4D5A" w:rsidRDefault="00EF4D5A" w14:paraId="3DDF417A" w14:textId="77777777"/>
    <w:p w:rsidRPr="00E368FA" w:rsidR="00EF4D5A" w:rsidP="00EF4D5A" w:rsidRDefault="00EF4D5A" w14:paraId="38DFBF16" w14:textId="77777777">
      <w:r w:rsidRPr="00E368FA">
        <w:t>Annet Bertram</w:t>
      </w:r>
    </w:p>
    <w:p w:rsidR="005660EE" w:rsidRDefault="005660EE" w14:paraId="7AB279B1" w14:textId="77777777"/>
    <w:sectPr w:rsidR="005660E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0D68E" w14:textId="77777777" w:rsidR="00DD6101" w:rsidRDefault="00DD6101" w:rsidP="00EF4D5A">
      <w:pPr>
        <w:spacing w:after="0" w:line="240" w:lineRule="auto"/>
      </w:pPr>
      <w:r>
        <w:separator/>
      </w:r>
    </w:p>
  </w:endnote>
  <w:endnote w:type="continuationSeparator" w:id="0">
    <w:p w14:paraId="4B896647" w14:textId="77777777" w:rsidR="00DD6101" w:rsidRDefault="00DD6101" w:rsidP="00EF4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816FC" w14:textId="77777777" w:rsidR="00EF4D5A" w:rsidRPr="00EF4D5A" w:rsidRDefault="00EF4D5A" w:rsidP="00EF4D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6BA9" w14:textId="77777777" w:rsidR="00EF4D5A" w:rsidRPr="00EF4D5A" w:rsidRDefault="00EF4D5A" w:rsidP="00EF4D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5C04" w14:textId="77777777" w:rsidR="00EF4D5A" w:rsidRPr="00EF4D5A" w:rsidRDefault="00EF4D5A" w:rsidP="00EF4D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4F9DC" w14:textId="77777777" w:rsidR="00DD6101" w:rsidRDefault="00DD6101" w:rsidP="00EF4D5A">
      <w:pPr>
        <w:spacing w:after="0" w:line="240" w:lineRule="auto"/>
      </w:pPr>
      <w:r>
        <w:separator/>
      </w:r>
    </w:p>
  </w:footnote>
  <w:footnote w:type="continuationSeparator" w:id="0">
    <w:p w14:paraId="3146609B" w14:textId="77777777" w:rsidR="00DD6101" w:rsidRDefault="00DD6101" w:rsidP="00EF4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79CB" w14:textId="77777777" w:rsidR="00EF4D5A" w:rsidRPr="00EF4D5A" w:rsidRDefault="00EF4D5A" w:rsidP="00EF4D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2E76" w14:textId="77777777" w:rsidR="00EF4D5A" w:rsidRPr="00EF4D5A" w:rsidRDefault="00EF4D5A" w:rsidP="00EF4D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2966" w14:textId="77777777" w:rsidR="00EF4D5A" w:rsidRPr="00EF4D5A" w:rsidRDefault="00EF4D5A" w:rsidP="00EF4D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427D7"/>
    <w:multiLevelType w:val="multilevel"/>
    <w:tmpl w:val="A83EEF8C"/>
    <w:lvl w:ilvl="0">
      <w:start w:val="1"/>
      <w:numFmt w:val="decimal"/>
      <w:lvlText w:val="%1."/>
      <w:lvlJc w:val="left"/>
      <w:pPr>
        <w:tabs>
          <w:tab w:val="num" w:pos="720"/>
        </w:tabs>
        <w:ind w:left="720" w:hanging="360"/>
      </w:pPr>
      <w:rPr>
        <w:rFonts w:ascii="Verdana" w:hAnsi="Verdana" w:hint="default"/>
        <w:b w:val="0"/>
        <w:bCs w:val="0"/>
        <w:sz w:val="18"/>
        <w:szCs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142026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D5A"/>
    <w:rsid w:val="00236687"/>
    <w:rsid w:val="005660EE"/>
    <w:rsid w:val="00DD6101"/>
    <w:rsid w:val="00EF4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06CD3"/>
  <w15:chartTrackingRefBased/>
  <w15:docId w15:val="{704E10CF-8CA0-493E-A28D-ACD01046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D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4D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4D5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4D5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4D5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4D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D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D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D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D5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4D5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4D5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4D5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4D5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4D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D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D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D5A"/>
    <w:rPr>
      <w:rFonts w:eastAsiaTheme="majorEastAsia" w:cstheme="majorBidi"/>
      <w:color w:val="272727" w:themeColor="text1" w:themeTint="D8"/>
    </w:rPr>
  </w:style>
  <w:style w:type="paragraph" w:styleId="Titel">
    <w:name w:val="Title"/>
    <w:basedOn w:val="Standaard"/>
    <w:next w:val="Standaard"/>
    <w:link w:val="TitelChar"/>
    <w:uiPriority w:val="10"/>
    <w:qFormat/>
    <w:rsid w:val="00EF4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D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D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D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D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D5A"/>
    <w:rPr>
      <w:i/>
      <w:iCs/>
      <w:color w:val="404040" w:themeColor="text1" w:themeTint="BF"/>
    </w:rPr>
  </w:style>
  <w:style w:type="paragraph" w:styleId="Lijstalinea">
    <w:name w:val="List Paragraph"/>
    <w:basedOn w:val="Standaard"/>
    <w:uiPriority w:val="34"/>
    <w:qFormat/>
    <w:rsid w:val="00EF4D5A"/>
    <w:pPr>
      <w:ind w:left="720"/>
      <w:contextualSpacing/>
    </w:pPr>
  </w:style>
  <w:style w:type="character" w:styleId="Intensievebenadrukking">
    <w:name w:val="Intense Emphasis"/>
    <w:basedOn w:val="Standaardalinea-lettertype"/>
    <w:uiPriority w:val="21"/>
    <w:qFormat/>
    <w:rsid w:val="00EF4D5A"/>
    <w:rPr>
      <w:i/>
      <w:iCs/>
      <w:color w:val="2F5496" w:themeColor="accent1" w:themeShade="BF"/>
    </w:rPr>
  </w:style>
  <w:style w:type="paragraph" w:styleId="Duidelijkcitaat">
    <w:name w:val="Intense Quote"/>
    <w:basedOn w:val="Standaard"/>
    <w:next w:val="Standaard"/>
    <w:link w:val="DuidelijkcitaatChar"/>
    <w:uiPriority w:val="30"/>
    <w:qFormat/>
    <w:rsid w:val="00EF4D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4D5A"/>
    <w:rPr>
      <w:i/>
      <w:iCs/>
      <w:color w:val="2F5496" w:themeColor="accent1" w:themeShade="BF"/>
    </w:rPr>
  </w:style>
  <w:style w:type="character" w:styleId="Intensieveverwijzing">
    <w:name w:val="Intense Reference"/>
    <w:basedOn w:val="Standaardalinea-lettertype"/>
    <w:uiPriority w:val="32"/>
    <w:qFormat/>
    <w:rsid w:val="00EF4D5A"/>
    <w:rPr>
      <w:b/>
      <w:bCs/>
      <w:smallCaps/>
      <w:color w:val="2F5496" w:themeColor="accent1" w:themeShade="BF"/>
      <w:spacing w:val="5"/>
    </w:rPr>
  </w:style>
  <w:style w:type="paragraph" w:customStyle="1" w:styleId="OndertekeningArea1">
    <w:name w:val="Ondertekening_Area1"/>
    <w:basedOn w:val="Standaard"/>
    <w:next w:val="Standaard"/>
    <w:rsid w:val="00EF4D5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F4D5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EF4D5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F4D5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4D5A"/>
  </w:style>
  <w:style w:type="paragraph" w:styleId="Voettekst">
    <w:name w:val="footer"/>
    <w:basedOn w:val="Standaard"/>
    <w:link w:val="VoettekstChar"/>
    <w:uiPriority w:val="99"/>
    <w:unhideWhenUsed/>
    <w:rsid w:val="00EF4D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928</ap:Words>
  <ap:Characters>5104</ap:Characters>
  <ap:DocSecurity>0</ap:DocSecurity>
  <ap:Lines>42</ap:Lines>
  <ap:Paragraphs>12</ap:Paragraphs>
  <ap:ScaleCrop>false</ap:ScaleCrop>
  <ap:LinksUpToDate>false</ap:LinksUpToDate>
  <ap:CharactersWithSpaces>6020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2026-07-07T14:18:00.0000000Z</dcterms:created>
  <dcterms:modified xsi:type="dcterms:W3CDTF">2026-07-07T14:18:00.0000000Z</dcterms:modified>
  <version/>
  <category/>
</coreProperties>
</file>