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524B" w:rsidR="0003728B" w:rsidP="0010530A" w:rsidRDefault="0003728B" w14:paraId="51E779D0" w14:textId="77777777">
      <w:pPr>
        <w:pStyle w:val="Geenafstand"/>
        <w:rPr>
          <w:sz w:val="28"/>
          <w:szCs w:val="28"/>
        </w:rPr>
      </w:pPr>
    </w:p>
    <w:p w:rsidRPr="004D7019" w:rsidR="005D3355" w:rsidP="0010530A" w:rsidRDefault="00C1430D" w14:paraId="45908862" w14:textId="44D45373">
      <w:pPr>
        <w:pStyle w:val="Geenafstand"/>
        <w:rPr>
          <w:b/>
          <w:bCs/>
          <w:sz w:val="28"/>
          <w:szCs w:val="28"/>
        </w:rPr>
      </w:pPr>
      <w:r w:rsidRPr="004D7019">
        <w:rPr>
          <w:b/>
          <w:bCs/>
          <w:sz w:val="28"/>
          <w:szCs w:val="28"/>
        </w:rPr>
        <w:t>Beleids</w:t>
      </w:r>
      <w:r w:rsidRPr="004D7019" w:rsidR="005D3355">
        <w:rPr>
          <w:b/>
          <w:bCs/>
          <w:sz w:val="28"/>
          <w:szCs w:val="28"/>
        </w:rPr>
        <w:t>agenda Circulariteit van kritieke grondstoffen</w:t>
      </w:r>
    </w:p>
    <w:p w:rsidR="00883EC5" w:rsidP="0010530A" w:rsidRDefault="00883EC5" w14:paraId="229728D1" w14:textId="77777777">
      <w:pPr>
        <w:pStyle w:val="Geenafstand"/>
        <w:rPr>
          <w:b/>
          <w:bCs/>
        </w:rPr>
      </w:pPr>
    </w:p>
    <w:p w:rsidRPr="0010530A" w:rsidR="00EE100B" w:rsidP="0010530A" w:rsidRDefault="01FEADA8" w14:paraId="4A384716" w14:textId="20922B63">
      <w:pPr>
        <w:pStyle w:val="Geenafstand"/>
        <w:rPr>
          <w:b/>
          <w:bCs/>
        </w:rPr>
      </w:pPr>
      <w:r w:rsidRPr="0010530A">
        <w:rPr>
          <w:b/>
          <w:bCs/>
        </w:rPr>
        <w:t xml:space="preserve">Aanleiding </w:t>
      </w:r>
      <w:r w:rsidRPr="0010530A" w:rsidR="00D24530">
        <w:rPr>
          <w:b/>
          <w:bCs/>
        </w:rPr>
        <w:tab/>
      </w:r>
    </w:p>
    <w:p w:rsidRPr="00BB29BE" w:rsidR="00901068" w:rsidP="00901068" w:rsidRDefault="00901068" w14:paraId="410454B5" w14:textId="63EDFF85">
      <w:pPr>
        <w:rPr>
          <w:rFonts w:cstheme="minorHAnsi"/>
        </w:rPr>
      </w:pPr>
      <w:r w:rsidRPr="00BB29BE">
        <w:rPr>
          <w:rFonts w:cstheme="minorHAnsi"/>
        </w:rPr>
        <w:t xml:space="preserve">Van smartphones en laptops tot elektrische fietsen, zonnepanelen en zelfs medische apparatuur: vrijwel alles wat we dagelijks gebruiken </w:t>
      </w:r>
      <w:r w:rsidRPr="00BB29BE" w:rsidR="00873049">
        <w:rPr>
          <w:rFonts w:cstheme="minorHAnsi"/>
        </w:rPr>
        <w:t>zit vol met</w:t>
      </w:r>
      <w:r w:rsidRPr="00BB29BE">
        <w:rPr>
          <w:rFonts w:cstheme="minorHAnsi"/>
        </w:rPr>
        <w:t xml:space="preserve"> kritieke grondstoffen. Deze grondstoffen — zoals koper, lithium en nikkel — zitten vaak in kleine hoeveelheden in producten, maar zijn onmisbaar voor hun werking.</w:t>
      </w:r>
      <w:r w:rsidR="002533A7">
        <w:rPr>
          <w:rFonts w:cstheme="minorHAnsi"/>
        </w:rPr>
        <w:t xml:space="preserve"> </w:t>
      </w:r>
      <w:r w:rsidRPr="00BB29BE">
        <w:rPr>
          <w:rFonts w:cstheme="minorHAnsi"/>
        </w:rPr>
        <w:t>Nederland en Europa zijn daarbij sterk afhankelijk van de import van kritieke en strategische grondstoffen, halffabricaten en componenten uit een klein aantal landen</w:t>
      </w:r>
      <w:r w:rsidRPr="00BB29BE">
        <w:rPr>
          <w:rStyle w:val="Voetnootmarkering"/>
          <w:rFonts w:cstheme="minorHAnsi"/>
        </w:rPr>
        <w:footnoteReference w:id="2"/>
      </w:r>
      <w:r w:rsidRPr="00BB29BE">
        <w:rPr>
          <w:rFonts w:cstheme="minorHAnsi"/>
        </w:rPr>
        <w:t xml:space="preserve">, die deze afhankelijkheid als geopolitiek drukmiddel kunnen inzetten. </w:t>
      </w:r>
      <w:r w:rsidRPr="00BB29BE" w:rsidR="00EE100B">
        <w:rPr>
          <w:rFonts w:cstheme="minorHAnsi"/>
        </w:rPr>
        <w:t>De</w:t>
      </w:r>
      <w:r w:rsidRPr="00BB29BE">
        <w:rPr>
          <w:rFonts w:cstheme="minorHAnsi"/>
        </w:rPr>
        <w:t xml:space="preserve"> Chinese exportrestricties op zeldzame aardmetalen in 2025 lieten dat duidelijk zien</w:t>
      </w:r>
      <w:r w:rsidR="008B5A05">
        <w:rPr>
          <w:rFonts w:cstheme="minorHAnsi"/>
        </w:rPr>
        <w:t>.</w:t>
      </w:r>
      <w:r w:rsidR="00E77753">
        <w:rPr>
          <w:rStyle w:val="Voetnootmarkering"/>
          <w:rFonts w:cstheme="minorHAnsi"/>
        </w:rPr>
        <w:footnoteReference w:id="3"/>
      </w:r>
    </w:p>
    <w:p w:rsidRPr="00BB29BE" w:rsidR="00901068" w:rsidP="00901068" w:rsidRDefault="00901068" w14:paraId="543988AC" w14:textId="7D36814F">
      <w:r w:rsidRPr="4556D3C5">
        <w:t>Door de grote transities in energie, mobiliteit, digitalisering en defensie zal de vraag naar deze materialen de komende decennia sterk blijven stijgen. Traditionele mijnbouw kan dat tempo niet bijbenen en brengt bovendien aanzienlijke milieuschade en sociale risico’s met zich mee</w:t>
      </w:r>
      <w:r w:rsidRPr="4556D3C5" w:rsidR="00C263C7">
        <w:t xml:space="preserve">. </w:t>
      </w:r>
      <w:r w:rsidRPr="4556D3C5">
        <w:t xml:space="preserve">Deze afhankelijkheid vormt een strategisch risico, maar biedt ook kansen: secundaire grondstoffen kunnen de leveringszekerheid versterken en </w:t>
      </w:r>
      <w:r w:rsidRPr="4556D3C5" w:rsidR="00A3369A">
        <w:t>het milieu</w:t>
      </w:r>
      <w:r w:rsidRPr="4556D3C5">
        <w:noBreakHyphen/>
        <w:t xml:space="preserve">impact </w:t>
      </w:r>
      <w:r w:rsidRPr="4556D3C5" w:rsidR="003806C6">
        <w:t xml:space="preserve">van primaire kritieke grondstoffen </w:t>
      </w:r>
      <w:r w:rsidRPr="4556D3C5">
        <w:t>met 40–90% reduceren.</w:t>
      </w:r>
      <w:r w:rsidRPr="4556D3C5">
        <w:rPr>
          <w:rStyle w:val="Voetnootmarkering"/>
          <w:rFonts w:eastAsia="Calibri"/>
        </w:rPr>
        <w:footnoteReference w:id="4"/>
      </w:r>
      <w:r w:rsidRPr="4556D3C5">
        <w:t xml:space="preserve"> </w:t>
      </w:r>
      <w:r w:rsidRPr="00A3369A">
        <w:t xml:space="preserve">In Nederland is er potentie om jaarlijks </w:t>
      </w:r>
      <w:r w:rsidRPr="00A3369A" w:rsidR="00A3369A">
        <w:t>ca 5,9kt</w:t>
      </w:r>
      <w:r w:rsidRPr="00A3369A">
        <w:t xml:space="preserve"> kritieke grondstoffen terug te winnen uit afgedankte batterijen en elektrische en elektronische apparatuur</w:t>
      </w:r>
      <w:r w:rsidRPr="00A3369A" w:rsidR="00A3369A">
        <w:rPr>
          <w:rStyle w:val="Voetnootmarkering"/>
        </w:rPr>
        <w:footnoteReference w:id="5"/>
      </w:r>
      <w:r w:rsidRPr="00A3369A">
        <w:t>—</w:t>
      </w:r>
      <w:r w:rsidRPr="4556D3C5">
        <w:t xml:space="preserve"> een stroom die snel zal groeien door de toename van afgedankte voertuigen, zonnepanelen, en</w:t>
      </w:r>
      <w:r w:rsidR="003C15D0">
        <w:t xml:space="preserve"> elektrische</w:t>
      </w:r>
      <w:r w:rsidRPr="4556D3C5">
        <w:t xml:space="preserve"> apparaten.</w:t>
      </w:r>
    </w:p>
    <w:p w:rsidRPr="009F3678" w:rsidR="003B3DE5" w:rsidRDefault="003B3DE5" w14:paraId="146AD5A2" w14:textId="68B539CA">
      <w:pPr>
        <w:rPr>
          <w:rFonts w:eastAsia="Calibri"/>
        </w:rPr>
      </w:pPr>
      <w:r w:rsidRPr="009F3678">
        <w:t xml:space="preserve">Circulariteit van kritieke grondstoffen vormt hierbij een essentieel onderdeel. </w:t>
      </w:r>
      <w:r w:rsidRPr="009F3678" w:rsidR="00726CC3">
        <w:t>In een circulaire economie gaan we zuinig en slim om met grondstoffen en producten. We gebruiken minder grondstoffen doordat we producten langer gebruiken</w:t>
      </w:r>
      <w:r w:rsidRPr="009F3678" w:rsidR="004A1714">
        <w:t xml:space="preserve">, </w:t>
      </w:r>
      <w:r w:rsidRPr="009F3678">
        <w:t>g</w:t>
      </w:r>
      <w:r w:rsidRPr="009F3678" w:rsidR="00726CC3">
        <w:t xml:space="preserve">ebruikte grondstoffen </w:t>
      </w:r>
      <w:r w:rsidRPr="009F3678" w:rsidR="00237072">
        <w:t>weer</w:t>
      </w:r>
      <w:r w:rsidRPr="009F3678" w:rsidR="00D76594">
        <w:t xml:space="preserve"> in</w:t>
      </w:r>
      <w:r w:rsidRPr="009F3678" w:rsidR="00726CC3">
        <w:t>zetten voor nieuwe producten</w:t>
      </w:r>
      <w:r w:rsidRPr="009F3678" w:rsidR="004A1714">
        <w:t xml:space="preserve"> en </w:t>
      </w:r>
      <w:r w:rsidRPr="009F3678" w:rsidR="00E84AAD">
        <w:t>minder</w:t>
      </w:r>
      <w:r w:rsidR="00E84AAD">
        <w:t xml:space="preserve"> primaire</w:t>
      </w:r>
      <w:r w:rsidRPr="009F3678" w:rsidR="00E84AAD">
        <w:t xml:space="preserve"> grondstoffen gebruiken</w:t>
      </w:r>
      <w:r w:rsidRPr="009F3678" w:rsidR="00726CC3">
        <w:t xml:space="preserve">. </w:t>
      </w:r>
      <w:r w:rsidRPr="009F3678" w:rsidR="00C263C7">
        <w:t xml:space="preserve">Ook kiezen we grondstoffen die steeds weer aan te vullen zijn. </w:t>
      </w:r>
      <w:r w:rsidRPr="009F3678" w:rsidR="00726CC3">
        <w:t xml:space="preserve">In de toekomst worden secundaire </w:t>
      </w:r>
      <w:r w:rsidR="00C263C7">
        <w:t xml:space="preserve">en hernieuwbare </w:t>
      </w:r>
      <w:r w:rsidRPr="009F3678" w:rsidR="00726CC3">
        <w:t>bronnen van kritieke grondstoffen niet alleen een milieuvriendelijke</w:t>
      </w:r>
      <w:r w:rsidRPr="009F3678" w:rsidR="004A1714">
        <w:t>re</w:t>
      </w:r>
      <w:r w:rsidRPr="009F3678" w:rsidR="00726CC3">
        <w:t xml:space="preserve"> optie, maar een harde economische noodzaak om productieprocessen draaiende te houden. Dit helpt ons de leveringszekerheid van kritieke grondstoffen te verhogen en de milieudruk van onze consumptie te verlagen</w:t>
      </w:r>
      <w:r w:rsidRPr="009F3678" w:rsidR="00726CC3">
        <w:rPr>
          <w:rFonts w:eastAsia="Calibri"/>
        </w:rPr>
        <w:t>.</w:t>
      </w:r>
      <w:r w:rsidR="00C464B1">
        <w:rPr>
          <w:rStyle w:val="Voetnootmarkering"/>
          <w:rFonts w:eastAsia="Calibri"/>
        </w:rPr>
        <w:footnoteReference w:id="6"/>
      </w:r>
      <w:r w:rsidRPr="009326AA" w:rsidR="00C263C7">
        <w:rPr>
          <w:rFonts w:eastAsia="Calibri"/>
          <w:vertAlign w:val="superscript"/>
        </w:rPr>
        <w:t>,</w:t>
      </w:r>
      <w:r w:rsidRPr="009F3678" w:rsidR="00726CC3">
        <w:rPr>
          <w:rStyle w:val="Voetnootmarkering"/>
          <w:rFonts w:eastAsia="Calibri"/>
        </w:rPr>
        <w:footnoteReference w:id="7"/>
      </w:r>
      <w:r w:rsidRPr="009F3678" w:rsidR="002E62C3">
        <w:rPr>
          <w:rFonts w:eastAsia="Calibri"/>
        </w:rPr>
        <w:t xml:space="preserve"> </w:t>
      </w:r>
    </w:p>
    <w:p w:rsidR="00B60645" w:rsidP="00C263C7" w:rsidRDefault="002E62C3" w14:paraId="6A665B0D" w14:textId="77777777">
      <w:pPr>
        <w:rPr>
          <w:rFonts w:eastAsia="Calibri"/>
        </w:rPr>
      </w:pPr>
      <w:r w:rsidRPr="4556D3C5">
        <w:t xml:space="preserve">Het kabinet </w:t>
      </w:r>
      <w:r w:rsidRPr="4556D3C5" w:rsidR="00C1430D">
        <w:t xml:space="preserve">wil met circulariteit een bijdrage leveren aan </w:t>
      </w:r>
      <w:r w:rsidRPr="4556D3C5">
        <w:t>de leveringszekerheid van kritieke</w:t>
      </w:r>
      <w:r w:rsidRPr="4556D3C5" w:rsidR="00F44834">
        <w:t xml:space="preserve"> en strategische</w:t>
      </w:r>
      <w:r w:rsidRPr="4556D3C5">
        <w:t xml:space="preserve"> </w:t>
      </w:r>
      <w:r w:rsidRPr="4556D3C5" w:rsidR="00F44834">
        <w:t>grondstoffen</w:t>
      </w:r>
      <w:r w:rsidRPr="4556D3C5" w:rsidR="00C1430D">
        <w:t>.</w:t>
      </w:r>
      <w:r w:rsidRPr="4556D3C5" w:rsidR="00F44834">
        <w:rPr>
          <w:rStyle w:val="Voetnootmarkering"/>
        </w:rPr>
        <w:footnoteReference w:id="8"/>
      </w:r>
      <w:r w:rsidRPr="4556D3C5">
        <w:t xml:space="preserve"> Dit gebeurt</w:t>
      </w:r>
      <w:r w:rsidRPr="4556D3C5" w:rsidR="00C1430D">
        <w:t xml:space="preserve"> met deze beleidsagenda,</w:t>
      </w:r>
      <w:r w:rsidRPr="00C263C7" w:rsidR="00C263C7">
        <w:t xml:space="preserve"> </w:t>
      </w:r>
      <w:r w:rsidR="00C263C7">
        <w:t xml:space="preserve">die ook </w:t>
      </w:r>
      <w:r w:rsidRPr="4556D3C5" w:rsidR="00C263C7">
        <w:t>het handelingsperspectief Circulariteit en Innovatie van</w:t>
      </w:r>
      <w:r w:rsidRPr="4556D3C5">
        <w:t xml:space="preserve"> de Nationale Grondstoffenstrategie</w:t>
      </w:r>
      <w:r w:rsidRPr="4556D3C5" w:rsidR="002E32FD">
        <w:t xml:space="preserve"> (NGS)</w:t>
      </w:r>
      <w:r w:rsidRPr="4556D3C5" w:rsidR="00C263C7">
        <w:t xml:space="preserve"> </w:t>
      </w:r>
      <w:r w:rsidR="003C15D0">
        <w:t>verdere invulling geeft</w:t>
      </w:r>
      <w:r w:rsidRPr="4556D3C5" w:rsidR="00C263C7">
        <w:t>. De beleidsagenda sluit nauw aan bij</w:t>
      </w:r>
      <w:r w:rsidRPr="4556D3C5" w:rsidR="00B61DA7">
        <w:t xml:space="preserve"> </w:t>
      </w:r>
      <w:r w:rsidRPr="4556D3C5">
        <w:t>het Nationaal Programma Circulaire Economie</w:t>
      </w:r>
      <w:r w:rsidRPr="4556D3C5" w:rsidR="006A0EC3">
        <w:t xml:space="preserve"> (NPCE)</w:t>
      </w:r>
      <w:r w:rsidRPr="4556D3C5" w:rsidR="00C263C7">
        <w:rPr>
          <w:rStyle w:val="Voetnootmarkering"/>
        </w:rPr>
        <w:footnoteReference w:id="9"/>
      </w:r>
      <w:r w:rsidRPr="4556D3C5" w:rsidR="00C263C7">
        <w:t xml:space="preserve"> en richt zich met name op</w:t>
      </w:r>
      <w:r w:rsidRPr="009F3678" w:rsidR="00C263C7">
        <w:rPr>
          <w:rFonts w:eastAsia="Calibri"/>
        </w:rPr>
        <w:t xml:space="preserve"> productgroepen die veel kritieke grondstoffen bevatten, zoals batterijen en elektrische en elektronische apparaten</w:t>
      </w:r>
      <w:r w:rsidR="003B4EA4">
        <w:rPr>
          <w:rFonts w:eastAsia="Calibri"/>
        </w:rPr>
        <w:t xml:space="preserve"> (EEA)</w:t>
      </w:r>
      <w:r w:rsidRPr="009F3678" w:rsidR="00C263C7">
        <w:rPr>
          <w:rFonts w:eastAsia="Calibri"/>
        </w:rPr>
        <w:t>.</w:t>
      </w:r>
      <w:r w:rsidRPr="4556D3C5" w:rsidR="00C263C7">
        <w:rPr>
          <w:rFonts w:eastAsia="Calibri"/>
        </w:rPr>
        <w:t xml:space="preserve"> Daarnaast bouwt de actieagenda voort op de maatregelen voor circulariteit van kritieke grondstoffen</w:t>
      </w:r>
      <w:r w:rsidRPr="4556D3C5" w:rsidDel="00647F34" w:rsidR="00C263C7">
        <w:rPr>
          <w:rFonts w:eastAsia="Calibri"/>
        </w:rPr>
        <w:t xml:space="preserve"> </w:t>
      </w:r>
      <w:r w:rsidRPr="4556D3C5" w:rsidR="00C263C7">
        <w:rPr>
          <w:rFonts w:eastAsia="Calibri"/>
        </w:rPr>
        <w:t xml:space="preserve">die lidstaten op basis van de </w:t>
      </w:r>
      <w:r w:rsidRPr="4556D3C5" w:rsidDel="00CF11C5" w:rsidR="00C263C7">
        <w:rPr>
          <w:rFonts w:eastAsia="Calibri"/>
        </w:rPr>
        <w:t xml:space="preserve">Europese </w:t>
      </w:r>
      <w:r w:rsidRPr="4556D3C5" w:rsidR="00C263C7">
        <w:rPr>
          <w:rFonts w:eastAsia="Calibri"/>
        </w:rPr>
        <w:t>CRMA verplicht zijn om uiterlijk mei 2026 maatregelen op te nemen in nationale programma’s.</w:t>
      </w:r>
    </w:p>
    <w:p w:rsidRPr="00BB29BE" w:rsidR="00C263C7" w:rsidP="00C263C7" w:rsidRDefault="00C263C7" w14:paraId="5D520A28" w14:textId="14B03BB0">
      <w:r w:rsidRPr="4556D3C5">
        <w:rPr>
          <w:rFonts w:eastAsia="Calibri"/>
        </w:rPr>
        <w:lastRenderedPageBreak/>
        <w:t xml:space="preserve">Ook sluit de agenda aan bij het </w:t>
      </w:r>
      <w:proofErr w:type="spellStart"/>
      <w:r w:rsidRPr="4556D3C5">
        <w:rPr>
          <w:rFonts w:eastAsia="Calibri"/>
        </w:rPr>
        <w:t>RESourceEU</w:t>
      </w:r>
      <w:proofErr w:type="spellEnd"/>
      <w:r w:rsidRPr="00BB29BE">
        <w:rPr>
          <w:rFonts w:ascii="Cambria Math" w:hAnsi="Cambria Math" w:eastAsia="Calibri" w:cs="Cambria Math"/>
        </w:rPr>
        <w:t>‑</w:t>
      </w:r>
      <w:r w:rsidRPr="4556D3C5">
        <w:rPr>
          <w:rFonts w:eastAsia="Calibri"/>
        </w:rPr>
        <w:t xml:space="preserve">actieplan, dat inzet op recycling, strategische voorraden en internationale partnerschappen.  </w:t>
      </w:r>
    </w:p>
    <w:p w:rsidRPr="00DE4BC8" w:rsidR="000801A6" w:rsidP="00DE4BC8" w:rsidRDefault="000801A6" w14:paraId="53BB7EA4" w14:textId="3D8803B3">
      <w:pPr>
        <w:pStyle w:val="Geenafstand"/>
        <w:rPr>
          <w:b/>
          <w:bCs/>
        </w:rPr>
      </w:pPr>
      <w:r w:rsidRPr="00DE4BC8">
        <w:rPr>
          <w:b/>
          <w:bCs/>
        </w:rPr>
        <w:t xml:space="preserve">Doel </w:t>
      </w:r>
      <w:r w:rsidRPr="00DE4BC8" w:rsidR="00812C7B">
        <w:rPr>
          <w:b/>
          <w:bCs/>
        </w:rPr>
        <w:t>beleidsagenda</w:t>
      </w:r>
    </w:p>
    <w:p w:rsidRPr="00BB29BE" w:rsidR="00F06C1B" w:rsidP="00A87A64" w:rsidRDefault="00F06C1B" w14:paraId="6F17604B" w14:textId="77777777">
      <w:pPr>
        <w:rPr>
          <w:rFonts w:eastAsia="Calibri" w:cstheme="minorHAnsi"/>
        </w:rPr>
      </w:pPr>
      <w:r w:rsidRPr="00BB29BE">
        <w:rPr>
          <w:rFonts w:eastAsia="Calibri" w:cstheme="minorHAnsi"/>
        </w:rPr>
        <w:t xml:space="preserve">Om de transitie naar circulaire ketens voor kritieke grondstoffen te versnellen, is het essentieel om voorwaarden te scheppen die het bedrijfsleven in staat stellen om circulair te ondernemen met rendabele businesscases. </w:t>
      </w:r>
      <w:r w:rsidRPr="00BB29BE" w:rsidR="7EA424CC">
        <w:rPr>
          <w:rFonts w:eastAsia="Calibri" w:cstheme="minorHAnsi"/>
        </w:rPr>
        <w:t xml:space="preserve">Het doel van deze </w:t>
      </w:r>
      <w:r w:rsidRPr="00BB29BE">
        <w:rPr>
          <w:rFonts w:eastAsia="Calibri" w:cstheme="minorHAnsi"/>
        </w:rPr>
        <w:t xml:space="preserve">beleidsagenda is dan ook het creëren van deze randvoorwaarden. Op dit moment zijn circulaire businesscases voor kritieke grondstoffen vaak nog niet winstgevend, waardoor investeerders terughoudend zijn om te investeren in circulaire projecten. Circulaire (kritieke grondstoffen) projecten komen niet van de grond omdat: a) er een onvoldoende zekere en stabiele vraag is naar circulaire kritieke grondstoffen en producten, en b) het aanbod van circulaire producten en secundaire kritieke grondstoffen onvoldoende ontwikkeld is. </w:t>
      </w:r>
    </w:p>
    <w:p w:rsidRPr="009F3678" w:rsidR="00812C7B" w:rsidP="00A87A64" w:rsidRDefault="00812C7B" w14:paraId="2F08D589" w14:textId="763A58D3">
      <w:pPr>
        <w:rPr>
          <w:rFonts w:eastAsia="Calibri Light"/>
        </w:rPr>
      </w:pPr>
      <w:r w:rsidRPr="009F3678">
        <w:rPr>
          <w:rFonts w:eastAsia="Calibri Light"/>
        </w:rPr>
        <w:t>Deze beleidsagenda richt zich</w:t>
      </w:r>
      <w:r w:rsidRPr="009F3678" w:rsidR="7EA424CC">
        <w:rPr>
          <w:rFonts w:eastAsia="Calibri Light"/>
        </w:rPr>
        <w:t xml:space="preserve"> </w:t>
      </w:r>
      <w:r w:rsidR="00C263C7">
        <w:rPr>
          <w:rFonts w:eastAsia="Calibri Light"/>
        </w:rPr>
        <w:t xml:space="preserve">langs 6 pijlers </w:t>
      </w:r>
      <w:r w:rsidRPr="009F3678">
        <w:rPr>
          <w:rFonts w:eastAsia="Calibri Light"/>
        </w:rPr>
        <w:t>op</w:t>
      </w:r>
      <w:r w:rsidRPr="009F3678" w:rsidR="7EA424CC">
        <w:rPr>
          <w:rFonts w:eastAsia="Calibri Light"/>
        </w:rPr>
        <w:t xml:space="preserve"> </w:t>
      </w:r>
      <w:r w:rsidRPr="009F3678" w:rsidR="00426252">
        <w:rPr>
          <w:rFonts w:eastAsia="Calibri Light"/>
        </w:rPr>
        <w:t>maatregelen die</w:t>
      </w:r>
      <w:r w:rsidRPr="009F3678" w:rsidR="7EA424CC">
        <w:rPr>
          <w:rFonts w:eastAsia="Calibri Light"/>
        </w:rPr>
        <w:t xml:space="preserve"> de </w:t>
      </w:r>
      <w:r w:rsidRPr="009F3678" w:rsidR="00426252">
        <w:rPr>
          <w:rFonts w:eastAsia="Calibri Light"/>
        </w:rPr>
        <w:t>leveringszekerheid</w:t>
      </w:r>
      <w:r w:rsidRPr="009F3678" w:rsidR="7EA424CC">
        <w:rPr>
          <w:rFonts w:eastAsia="Calibri Light"/>
        </w:rPr>
        <w:t xml:space="preserve"> van kritieke grondstoffenketens </w:t>
      </w:r>
      <w:r w:rsidRPr="009F3678" w:rsidR="00426252">
        <w:rPr>
          <w:rFonts w:eastAsia="Calibri Light"/>
        </w:rPr>
        <w:t>kunnen</w:t>
      </w:r>
      <w:r w:rsidRPr="009F3678" w:rsidR="7EA424CC">
        <w:rPr>
          <w:rFonts w:eastAsia="Calibri Light"/>
        </w:rPr>
        <w:t xml:space="preserve"> vergroten</w:t>
      </w:r>
      <w:r w:rsidRPr="009F3678" w:rsidR="0038209B">
        <w:rPr>
          <w:rFonts w:eastAsia="Calibri Light"/>
        </w:rPr>
        <w:t xml:space="preserve"> </w:t>
      </w:r>
      <w:r w:rsidRPr="009F3678" w:rsidR="00426252">
        <w:rPr>
          <w:rFonts w:eastAsia="Calibri Light"/>
        </w:rPr>
        <w:t>en de milieu</w:t>
      </w:r>
      <w:r w:rsidRPr="009F3678" w:rsidR="006269BE">
        <w:rPr>
          <w:rFonts w:eastAsia="Calibri Light"/>
        </w:rPr>
        <w:t>-</w:t>
      </w:r>
      <w:r w:rsidRPr="009F3678" w:rsidR="00426252">
        <w:rPr>
          <w:rFonts w:eastAsia="Calibri Light"/>
        </w:rPr>
        <w:t>impact kunnen verminderen</w:t>
      </w:r>
      <w:r w:rsidRPr="009F3678" w:rsidR="00222009">
        <w:rPr>
          <w:rFonts w:eastAsia="Calibri Light"/>
        </w:rPr>
        <w:t>:</w:t>
      </w:r>
      <w:r w:rsidRPr="009F3678" w:rsidR="0038209B">
        <w:rPr>
          <w:rFonts w:eastAsia="Calibri Light"/>
        </w:rPr>
        <w:t xml:space="preserve"> </w:t>
      </w:r>
    </w:p>
    <w:p w:rsidRPr="00BB29BE" w:rsidR="00812C7B" w:rsidP="00097A32" w:rsidRDefault="0038209B" w14:paraId="0B50BDCF" w14:textId="4F1D4159">
      <w:pPr>
        <w:pStyle w:val="Geenafstand"/>
        <w:numPr>
          <w:ilvl w:val="0"/>
          <w:numId w:val="55"/>
        </w:numPr>
      </w:pPr>
      <w:r w:rsidRPr="009F3678">
        <w:t>het matigen van de groeiende vraag naar primaire kritieke grondstoffen</w:t>
      </w:r>
    </w:p>
    <w:p w:rsidRPr="00BB29BE" w:rsidR="00812C7B" w:rsidP="00097A32" w:rsidRDefault="0038209B" w14:paraId="637D9385" w14:textId="5875E438">
      <w:pPr>
        <w:pStyle w:val="Geenafstand"/>
        <w:numPr>
          <w:ilvl w:val="0"/>
          <w:numId w:val="55"/>
        </w:numPr>
      </w:pPr>
      <w:r w:rsidRPr="009F3678">
        <w:t>het verhogen van de beschikbaarheid</w:t>
      </w:r>
      <w:r w:rsidR="00647F34">
        <w:t xml:space="preserve"> van</w:t>
      </w:r>
      <w:r w:rsidRPr="009F3678">
        <w:t xml:space="preserve"> </w:t>
      </w:r>
      <w:r w:rsidRPr="009F3678" w:rsidR="00F4398C">
        <w:t>gerecyclede kritieke grondstoffen</w:t>
      </w:r>
    </w:p>
    <w:p w:rsidRPr="00BB29BE" w:rsidR="00812C7B" w:rsidP="00097A32" w:rsidRDefault="0038209B" w14:paraId="149F53E2" w14:textId="5B528206">
      <w:pPr>
        <w:pStyle w:val="Geenafstand"/>
        <w:numPr>
          <w:ilvl w:val="0"/>
          <w:numId w:val="55"/>
        </w:numPr>
        <w:rPr>
          <w:rFonts w:cstheme="minorHAnsi"/>
        </w:rPr>
      </w:pPr>
      <w:r w:rsidRPr="00BB29BE">
        <w:rPr>
          <w:rFonts w:cstheme="minorHAnsi"/>
        </w:rPr>
        <w:t xml:space="preserve">het aanjagen van de vraag naar gerecyclede kritieke grondstoffen </w:t>
      </w:r>
    </w:p>
    <w:p w:rsidRPr="00BB29BE" w:rsidR="00812C7B" w:rsidP="00097A32" w:rsidRDefault="0038209B" w14:paraId="6AA21B29" w14:textId="754C7EFD">
      <w:pPr>
        <w:pStyle w:val="Geenafstand"/>
        <w:numPr>
          <w:ilvl w:val="0"/>
          <w:numId w:val="55"/>
        </w:numPr>
      </w:pPr>
      <w:r w:rsidRPr="009F3678">
        <w:t xml:space="preserve">het reserveren </w:t>
      </w:r>
      <w:r w:rsidRPr="009F3678" w:rsidR="007F0F51">
        <w:t xml:space="preserve">van </w:t>
      </w:r>
      <w:r w:rsidRPr="009F3678">
        <w:t>ruimte voor circulaire kritieke grondstoffen bedrijven</w:t>
      </w:r>
      <w:r w:rsidRPr="009F3678" w:rsidR="000259C6">
        <w:t>;</w:t>
      </w:r>
      <w:r w:rsidRPr="009F3678">
        <w:t xml:space="preserve"> </w:t>
      </w:r>
    </w:p>
    <w:p w:rsidRPr="00BB29BE" w:rsidR="00812C7B" w:rsidP="00097A32" w:rsidRDefault="0038209B" w14:paraId="430F8637" w14:textId="7D4685C5">
      <w:pPr>
        <w:pStyle w:val="Geenafstand"/>
        <w:numPr>
          <w:ilvl w:val="0"/>
          <w:numId w:val="55"/>
        </w:numPr>
        <w:rPr>
          <w:rFonts w:cstheme="minorHAnsi"/>
        </w:rPr>
      </w:pPr>
      <w:r w:rsidRPr="00BB29BE">
        <w:rPr>
          <w:rFonts w:cstheme="minorHAnsi"/>
        </w:rPr>
        <w:t>het beschikbaar maken van financiering voor</w:t>
      </w:r>
      <w:r w:rsidR="00EB78D0">
        <w:rPr>
          <w:rFonts w:cstheme="minorHAnsi"/>
        </w:rPr>
        <w:t xml:space="preserve"> circulariteit van</w:t>
      </w:r>
      <w:r w:rsidRPr="00BB29BE">
        <w:rPr>
          <w:rFonts w:cstheme="minorHAnsi"/>
        </w:rPr>
        <w:t xml:space="preserve"> kritieke grondstoffenprojecten – opschaling en innovatie</w:t>
      </w:r>
      <w:r w:rsidR="000259C6">
        <w:rPr>
          <w:rFonts w:cstheme="minorHAnsi"/>
        </w:rPr>
        <w:t>;</w:t>
      </w:r>
    </w:p>
    <w:p w:rsidR="00222009" w:rsidP="00812C7B" w:rsidRDefault="0038209B" w14:paraId="35317C44" w14:textId="0ECD7077">
      <w:pPr>
        <w:pStyle w:val="Geenafstand"/>
        <w:numPr>
          <w:ilvl w:val="0"/>
          <w:numId w:val="55"/>
        </w:numPr>
      </w:pPr>
      <w:r w:rsidRPr="009F3678">
        <w:t xml:space="preserve">het opleiden van mensen met de </w:t>
      </w:r>
      <w:r w:rsidRPr="009F3678" w:rsidR="00B810B2">
        <w:t xml:space="preserve">juiste </w:t>
      </w:r>
      <w:r w:rsidRPr="009F3678">
        <w:t xml:space="preserve">skills voor een circulaire grondstoffensector. </w:t>
      </w:r>
    </w:p>
    <w:p w:rsidRPr="00B0797F" w:rsidR="00B0797F" w:rsidP="00B0797F" w:rsidRDefault="00B0797F" w14:paraId="1BF99069" w14:textId="77777777">
      <w:pPr>
        <w:pStyle w:val="Geenafstand"/>
        <w:ind w:left="720"/>
        <w:rPr>
          <w:rFonts w:cstheme="minorHAnsi"/>
        </w:rPr>
      </w:pPr>
    </w:p>
    <w:p w:rsidRPr="00DE4BC8" w:rsidR="003B4EA4" w:rsidP="00DE4BC8" w:rsidRDefault="001F3E9B" w14:paraId="1A67B4C6" w14:textId="40B7E85E">
      <w:r w:rsidRPr="4556D3C5">
        <w:t xml:space="preserve">De beleidsagenda is als volgt opgebouwd. In het volgende hoofdstuk worden de </w:t>
      </w:r>
      <w:r w:rsidRPr="4556D3C5" w:rsidR="003B4EA4">
        <w:t xml:space="preserve">maatregelen in de </w:t>
      </w:r>
      <w:r w:rsidRPr="4556D3C5">
        <w:t>verschillende pijlers toegelicht</w:t>
      </w:r>
      <w:r w:rsidRPr="4556D3C5" w:rsidR="006C0648">
        <w:t xml:space="preserve">. </w:t>
      </w:r>
      <w:r w:rsidRPr="4556D3C5" w:rsidR="003B4EA4">
        <w:t>Vervolgens wordt de beleidscontext van de maatregelen nader toegelicht</w:t>
      </w:r>
      <w:r w:rsidRPr="4556D3C5">
        <w:t>.</w:t>
      </w:r>
      <w:r w:rsidR="00D5555B">
        <w:t xml:space="preserve"> De beleidsmaatregelen zullen met stakeholders worden afgestemd en er zal een jaarlijkse voorgangsrapportage worden gedaan. </w:t>
      </w:r>
    </w:p>
    <w:p w:rsidRPr="00DE4BC8" w:rsidR="00426252" w:rsidP="00DE4BC8" w:rsidRDefault="00426252" w14:paraId="09EB46F6" w14:textId="4068382A">
      <w:pPr>
        <w:pStyle w:val="Geenafstand"/>
        <w:rPr>
          <w:rFonts w:eastAsiaTheme="minorEastAsia"/>
          <w:b/>
          <w:bCs/>
        </w:rPr>
      </w:pPr>
      <w:bookmarkStart w:name="_Hlk222318556" w:id="0"/>
      <w:r w:rsidRPr="00DE4BC8">
        <w:rPr>
          <w:rFonts w:eastAsiaTheme="minorEastAsia"/>
          <w:b/>
          <w:bCs/>
        </w:rPr>
        <w:t>Beleids</w:t>
      </w:r>
      <w:r w:rsidRPr="00DE4BC8" w:rsidR="003B4EA4">
        <w:rPr>
          <w:rFonts w:eastAsiaTheme="minorEastAsia"/>
          <w:b/>
          <w:bCs/>
        </w:rPr>
        <w:t>maatregelen per pijler</w:t>
      </w:r>
    </w:p>
    <w:p w:rsidRPr="00F06036" w:rsidR="00262808" w:rsidP="00F06036" w:rsidRDefault="00262808" w14:paraId="15297F38" w14:textId="3E0D3ECC">
      <w:pPr>
        <w:pStyle w:val="Geenafstand"/>
        <w:numPr>
          <w:ilvl w:val="0"/>
          <w:numId w:val="59"/>
        </w:numPr>
        <w:rPr>
          <w:i/>
          <w:iCs/>
        </w:rPr>
      </w:pPr>
      <w:r w:rsidRPr="00F06036">
        <w:rPr>
          <w:i/>
          <w:iCs/>
        </w:rPr>
        <w:t xml:space="preserve">Pijler – Matigen van de groeiende vraag naar kritieke grondstoffen </w:t>
      </w:r>
    </w:p>
    <w:p w:rsidRPr="00BB29BE" w:rsidR="003706C6" w:rsidP="003706C6" w:rsidRDefault="004937F1" w14:paraId="5036059B" w14:textId="3E3F1151">
      <w:r w:rsidRPr="4556D3C5">
        <w:t xml:space="preserve">De meest efficiënte manier om onze strategische autonomie te verhogen en de </w:t>
      </w:r>
      <w:r w:rsidRPr="4556D3C5" w:rsidR="006E7F01">
        <w:t>milieu</w:t>
      </w:r>
      <w:r w:rsidRPr="4556D3C5" w:rsidR="003F5913">
        <w:t>-</w:t>
      </w:r>
      <w:r w:rsidRPr="4556D3C5" w:rsidR="006E7F01">
        <w:t>impact</w:t>
      </w:r>
      <w:r w:rsidRPr="4556D3C5">
        <w:t xml:space="preserve"> van onze consumptie te </w:t>
      </w:r>
      <w:r w:rsidRPr="4556D3C5" w:rsidR="006E7F01">
        <w:t xml:space="preserve">verlagen </w:t>
      </w:r>
      <w:r w:rsidRPr="4556D3C5">
        <w:t>is het verminderen van het totale gebruik van</w:t>
      </w:r>
      <w:r w:rsidR="00C917F9">
        <w:t xml:space="preserve"> primaire</w:t>
      </w:r>
      <w:r w:rsidRPr="4556D3C5">
        <w:t xml:space="preserve"> kritieke grondstoffen in onze economie. Door minder materialen te gebruiken in de ontwerpfase van een product, levensduurverlen</w:t>
      </w:r>
      <w:r w:rsidRPr="4556D3C5" w:rsidR="006E7F01">
        <w:t>g</w:t>
      </w:r>
      <w:r w:rsidRPr="4556D3C5">
        <w:t xml:space="preserve">ing van producten en hergebruik (opknappen, </w:t>
      </w:r>
      <w:proofErr w:type="spellStart"/>
      <w:r w:rsidRPr="4556D3C5">
        <w:t>herfabricage</w:t>
      </w:r>
      <w:proofErr w:type="spellEnd"/>
      <w:r w:rsidRPr="4556D3C5">
        <w:t>)</w:t>
      </w:r>
      <w:r w:rsidRPr="4556D3C5" w:rsidR="006E7F01">
        <w:t xml:space="preserve"> te verplichten,</w:t>
      </w:r>
      <w:r w:rsidRPr="4556D3C5">
        <w:t xml:space="preserve"> kunnen we de </w:t>
      </w:r>
      <w:r w:rsidRPr="4556D3C5" w:rsidR="00CE14A8">
        <w:t>groeiende</w:t>
      </w:r>
      <w:r w:rsidRPr="4556D3C5">
        <w:t xml:space="preserve"> vraag naar primaire kritieke grondstoffen verminderen. </w:t>
      </w:r>
    </w:p>
    <w:p w:rsidR="008B07E3" w:rsidP="00FF7476" w:rsidRDefault="00262808" w14:paraId="4ABB66EF" w14:textId="3432209B">
      <w:pPr>
        <w:pStyle w:val="Lijstalinea"/>
        <w:numPr>
          <w:ilvl w:val="1"/>
          <w:numId w:val="28"/>
        </w:numPr>
        <w:ind w:left="360"/>
      </w:pPr>
      <w:r w:rsidRPr="4556D3C5">
        <w:t>Actie:</w:t>
      </w:r>
      <w:r w:rsidRPr="4556D3C5">
        <w:rPr>
          <w:b/>
        </w:rPr>
        <w:t xml:space="preserve"> </w:t>
      </w:r>
      <w:r w:rsidRPr="4556D3C5" w:rsidR="007F5B6D">
        <w:rPr>
          <w:b/>
        </w:rPr>
        <w:t>Voorbereiding voor h</w:t>
      </w:r>
      <w:r w:rsidRPr="4556D3C5" w:rsidR="00282493">
        <w:rPr>
          <w:b/>
        </w:rPr>
        <w:t>ergebruiksdoelstellingen</w:t>
      </w:r>
      <w:r w:rsidRPr="4556D3C5" w:rsidR="00E40039">
        <w:rPr>
          <w:b/>
        </w:rPr>
        <w:t xml:space="preserve"> en separate recyclingdoelstellingen voor kritieke grondstoffen</w:t>
      </w:r>
      <w:r w:rsidRPr="4556D3C5" w:rsidR="00282493">
        <w:rPr>
          <w:b/>
        </w:rPr>
        <w:t xml:space="preserve"> bepleiten bij herziening </w:t>
      </w:r>
      <w:r w:rsidR="004103BA">
        <w:rPr>
          <w:b/>
        </w:rPr>
        <w:t>Afval Elektrische en Elektronische Apparaten (</w:t>
      </w:r>
      <w:r w:rsidRPr="4556D3C5" w:rsidR="004B0321">
        <w:rPr>
          <w:b/>
        </w:rPr>
        <w:t>AEEA</w:t>
      </w:r>
      <w:r w:rsidR="004103BA">
        <w:rPr>
          <w:b/>
        </w:rPr>
        <w:t>)</w:t>
      </w:r>
      <w:r w:rsidRPr="4556D3C5" w:rsidR="003F5913">
        <w:rPr>
          <w:b/>
        </w:rPr>
        <w:t>-richtlijn</w:t>
      </w:r>
      <w:r w:rsidRPr="4556D3C5" w:rsidR="00282493">
        <w:rPr>
          <w:b/>
        </w:rPr>
        <w:t xml:space="preserve"> </w:t>
      </w:r>
      <w:r w:rsidRPr="4556D3C5" w:rsidR="00282493">
        <w:t>Met deze actie wil</w:t>
      </w:r>
      <w:r w:rsidRPr="4556D3C5" w:rsidR="00B42358">
        <w:t xml:space="preserve"> het kabinet </w:t>
      </w:r>
      <w:r w:rsidRPr="4556D3C5" w:rsidR="00282493">
        <w:t>h</w:t>
      </w:r>
      <w:r w:rsidRPr="4556D3C5" w:rsidR="00CE14A8">
        <w:t xml:space="preserve">ergebruik van producten </w:t>
      </w:r>
      <w:r w:rsidRPr="4556D3C5" w:rsidR="00F72A64">
        <w:t xml:space="preserve">en onderdelen </w:t>
      </w:r>
      <w:r w:rsidRPr="4556D3C5" w:rsidR="00CE14A8">
        <w:t xml:space="preserve">die veel kritieke </w:t>
      </w:r>
      <w:r w:rsidRPr="4556D3C5" w:rsidR="00F72A64">
        <w:t>grondstoffen bevatten</w:t>
      </w:r>
      <w:r w:rsidRPr="4556D3C5" w:rsidR="00FF7476">
        <w:t xml:space="preserve"> en de recycling ervan</w:t>
      </w:r>
      <w:r w:rsidRPr="4556D3C5" w:rsidR="00F72A64">
        <w:t xml:space="preserve">, stimuleren. </w:t>
      </w:r>
      <w:r w:rsidRPr="4556D3C5" w:rsidR="00282493">
        <w:t>Dit do</w:t>
      </w:r>
      <w:r w:rsidRPr="4556D3C5" w:rsidR="00B42358">
        <w:t>et het kabinet</w:t>
      </w:r>
      <w:r w:rsidRPr="4556D3C5" w:rsidR="00282493">
        <w:t xml:space="preserve"> door </w:t>
      </w:r>
      <w:r w:rsidRPr="4556D3C5" w:rsidR="007F5B6D">
        <w:t>zich</w:t>
      </w:r>
      <w:r w:rsidRPr="4556D3C5" w:rsidR="00282493">
        <w:t xml:space="preserve"> in te zetten voor </w:t>
      </w:r>
      <w:r w:rsidRPr="4556D3C5" w:rsidR="00F72A64">
        <w:t xml:space="preserve">een specifieke </w:t>
      </w:r>
      <w:r w:rsidRPr="4556D3C5">
        <w:t xml:space="preserve">doelstelling voor </w:t>
      </w:r>
      <w:r w:rsidRPr="4556D3C5" w:rsidR="0035608F">
        <w:t>(</w:t>
      </w:r>
      <w:r w:rsidRPr="4556D3C5" w:rsidR="007F5B6D">
        <w:t>voorbereiding voor</w:t>
      </w:r>
      <w:r w:rsidRPr="4556D3C5" w:rsidR="0035608F">
        <w:t>)</w:t>
      </w:r>
      <w:r w:rsidRPr="4556D3C5" w:rsidR="007F5B6D">
        <w:t xml:space="preserve"> hergebruik en </w:t>
      </w:r>
      <w:r w:rsidRPr="4556D3C5">
        <w:t xml:space="preserve">terugwinning voor </w:t>
      </w:r>
      <w:r w:rsidRPr="4556D3C5" w:rsidR="007F5B6D">
        <w:t xml:space="preserve">recycling </w:t>
      </w:r>
      <w:r w:rsidRPr="4556D3C5">
        <w:t>van bepaalde kritieke grondstoffen</w:t>
      </w:r>
      <w:r w:rsidRPr="4556D3C5" w:rsidR="003B4EA4">
        <w:t xml:space="preserve"> bij de herziening van de AEEA richtlijn.</w:t>
      </w:r>
      <w:r w:rsidRPr="4556D3C5" w:rsidR="00282493">
        <w:t xml:space="preserve"> </w:t>
      </w:r>
      <w:r w:rsidRPr="4556D3C5" w:rsidR="003B4EA4">
        <w:t xml:space="preserve">Daarbij </w:t>
      </w:r>
      <w:r w:rsidRPr="4556D3C5" w:rsidR="007F5B6D">
        <w:t xml:space="preserve">wordt </w:t>
      </w:r>
      <w:r w:rsidRPr="4556D3C5" w:rsidR="003B4EA4">
        <w:t xml:space="preserve">ook </w:t>
      </w:r>
      <w:r w:rsidRPr="4556D3C5" w:rsidR="007F5B6D">
        <w:t xml:space="preserve">ingezet op </w:t>
      </w:r>
      <w:r w:rsidRPr="4556D3C5" w:rsidR="003B4EA4">
        <w:t xml:space="preserve">sterkere </w:t>
      </w:r>
      <w:proofErr w:type="spellStart"/>
      <w:r w:rsidRPr="4556D3C5">
        <w:t>ecomodulatie</w:t>
      </w:r>
      <w:proofErr w:type="spellEnd"/>
      <w:r w:rsidRPr="4556D3C5">
        <w:t xml:space="preserve"> </w:t>
      </w:r>
      <w:r w:rsidRPr="4556D3C5" w:rsidR="00F72A64">
        <w:t xml:space="preserve">in het kader van de </w:t>
      </w:r>
      <w:r w:rsidR="00AD55E3">
        <w:t>u</w:t>
      </w:r>
      <w:r w:rsidRPr="4556D3C5" w:rsidR="003B4EA4">
        <w:t>itgebreide producentenverantwoordelijkheid (</w:t>
      </w:r>
      <w:r w:rsidRPr="4556D3C5" w:rsidR="00F72A64">
        <w:t>UPV</w:t>
      </w:r>
      <w:r w:rsidRPr="4556D3C5" w:rsidR="003B4EA4">
        <w:t>)</w:t>
      </w:r>
      <w:r w:rsidRPr="4556D3C5" w:rsidR="00692FA9">
        <w:rPr>
          <w:rStyle w:val="Voetnootmarkering"/>
        </w:rPr>
        <w:footnoteReference w:id="10"/>
      </w:r>
      <w:r w:rsidRPr="4556D3C5">
        <w:t>.</w:t>
      </w:r>
      <w:r w:rsidRPr="4556D3C5">
        <w:rPr>
          <w:b/>
        </w:rPr>
        <w:t xml:space="preserve"> </w:t>
      </w:r>
      <w:r w:rsidRPr="4556D3C5" w:rsidR="00FF7476">
        <w:t xml:space="preserve">Het Commissievoorstel </w:t>
      </w:r>
      <w:r w:rsidRPr="4556D3C5" w:rsidR="0035608F">
        <w:t xml:space="preserve">voor deze herziening </w:t>
      </w:r>
      <w:r w:rsidRPr="4556D3C5" w:rsidR="00FF7476">
        <w:t>wordt eind 2026 verwacht, waarna het kabinet</w:t>
      </w:r>
      <w:r w:rsidRPr="4556D3C5" w:rsidR="003B4EA4">
        <w:t xml:space="preserve"> de Kamer zal informeren via het gebruikelijke</w:t>
      </w:r>
      <w:r w:rsidRPr="4556D3C5" w:rsidR="00FF7476">
        <w:t xml:space="preserve"> BNC-fiche. </w:t>
      </w:r>
    </w:p>
    <w:p w:rsidRPr="00FF7476" w:rsidR="003B4EA4" w:rsidP="00AD6561" w:rsidRDefault="003B4EA4" w14:paraId="4BE39500" w14:textId="77777777">
      <w:pPr>
        <w:pStyle w:val="Lijstalinea"/>
        <w:ind w:left="360"/>
        <w:rPr>
          <w:rFonts w:cstheme="minorHAnsi"/>
        </w:rPr>
      </w:pPr>
    </w:p>
    <w:p w:rsidRPr="006C0648" w:rsidR="00817D3F" w:rsidP="006C0648" w:rsidRDefault="0076639D" w14:paraId="279063CF" w14:textId="4976E6CF">
      <w:pPr>
        <w:pStyle w:val="Lijstalinea"/>
        <w:numPr>
          <w:ilvl w:val="1"/>
          <w:numId w:val="28"/>
        </w:numPr>
        <w:ind w:left="360"/>
      </w:pPr>
      <w:r w:rsidRPr="4556D3C5">
        <w:lastRenderedPageBreak/>
        <w:t xml:space="preserve">Actie: </w:t>
      </w:r>
      <w:r w:rsidRPr="4556D3C5">
        <w:rPr>
          <w:b/>
        </w:rPr>
        <w:t xml:space="preserve">Pleiten voor </w:t>
      </w:r>
      <w:proofErr w:type="spellStart"/>
      <w:r w:rsidRPr="4556D3C5" w:rsidR="00833381">
        <w:rPr>
          <w:b/>
        </w:rPr>
        <w:t>Ecodesign</w:t>
      </w:r>
      <w:proofErr w:type="spellEnd"/>
      <w:r w:rsidRPr="4556D3C5" w:rsidR="00833381">
        <w:rPr>
          <w:b/>
        </w:rPr>
        <w:t xml:space="preserve"> eisen </w:t>
      </w:r>
      <w:r w:rsidRPr="4556D3C5" w:rsidR="00817D3F">
        <w:rPr>
          <w:b/>
        </w:rPr>
        <w:t>voo</w:t>
      </w:r>
      <w:r w:rsidRPr="4556D3C5">
        <w:rPr>
          <w:b/>
        </w:rPr>
        <w:t>r kritieke grondstoffen in EEA.</w:t>
      </w:r>
      <w:r w:rsidRPr="4556D3C5">
        <w:t xml:space="preserve"> De inzet op Europese circulaire ontwerpeisen voor elektrische en elektronische apparaten </w:t>
      </w:r>
      <w:r w:rsidRPr="4556D3C5" w:rsidDel="001122EE">
        <w:t xml:space="preserve">richt </w:t>
      </w:r>
      <w:r w:rsidRPr="4556D3C5">
        <w:t xml:space="preserve">zich op </w:t>
      </w:r>
      <w:r w:rsidRPr="4556D3C5" w:rsidR="0035608F">
        <w:t>de</w:t>
      </w:r>
      <w:r w:rsidRPr="4556D3C5">
        <w:t xml:space="preserve"> </w:t>
      </w:r>
      <w:proofErr w:type="spellStart"/>
      <w:r w:rsidRPr="4556D3C5">
        <w:t>herfabricage</w:t>
      </w:r>
      <w:proofErr w:type="spellEnd"/>
      <w:r w:rsidRPr="4556D3C5">
        <w:t xml:space="preserve">, materiaal-efficiëntie, repareerbaarheid en herbruikbaarheid. Het kabinet zal erop </w:t>
      </w:r>
      <w:r w:rsidRPr="4556D3C5" w:rsidR="0035608F">
        <w:t xml:space="preserve">inzetten </w:t>
      </w:r>
      <w:r w:rsidRPr="4556D3C5">
        <w:t xml:space="preserve">dat in de </w:t>
      </w:r>
      <w:proofErr w:type="spellStart"/>
      <w:r w:rsidRPr="4556D3C5">
        <w:t>Ecodesign</w:t>
      </w:r>
      <w:proofErr w:type="spellEnd"/>
      <w:r w:rsidRPr="4556D3C5">
        <w:t xml:space="preserve"> eisen voor EEA eisen worden gesteld aan de genoemde productaspecten, met als gevolg dat op het gebruik van kritieke grondstoffen wordt bespaard in het productontwerp. </w:t>
      </w:r>
      <w:r w:rsidRPr="006C0648" w:rsidR="00817D3F">
        <w:t xml:space="preserve">Daarnaast is het van belang dat er informatie over het aandeel en de locatie van aanwezige kritieke grondstoffen in EEA wordt opgenomen. </w:t>
      </w:r>
      <w:r w:rsidRPr="006C0648" w:rsidR="0035608F">
        <w:t xml:space="preserve">Er wordt voor meerdere EEA-producten toegewerkt naar </w:t>
      </w:r>
      <w:proofErr w:type="spellStart"/>
      <w:r w:rsidRPr="006C0648" w:rsidR="0035608F">
        <w:t>Ecodesign</w:t>
      </w:r>
      <w:proofErr w:type="spellEnd"/>
      <w:r w:rsidRPr="006C0648" w:rsidR="0035608F">
        <w:t xml:space="preserve"> eisen, conform het </w:t>
      </w:r>
      <w:proofErr w:type="spellStart"/>
      <w:r w:rsidRPr="006C0648" w:rsidR="0035608F">
        <w:t>Ecodesign</w:t>
      </w:r>
      <w:proofErr w:type="spellEnd"/>
      <w:r w:rsidRPr="006C0648" w:rsidR="0035608F">
        <w:t xml:space="preserve"> werkplan voor 2025-2030. Daarbij zal het kabinet inzetten </w:t>
      </w:r>
      <w:r w:rsidRPr="006C0648" w:rsidR="00817D3F">
        <w:t xml:space="preserve">op een informatie-eis voor de kritieke grondstoffen in elektronica in de </w:t>
      </w:r>
      <w:proofErr w:type="spellStart"/>
      <w:r w:rsidRPr="006C0648" w:rsidR="00817D3F">
        <w:t>Ecodesign</w:t>
      </w:r>
      <w:proofErr w:type="spellEnd"/>
      <w:r w:rsidRPr="006C0648" w:rsidR="00817D3F">
        <w:t xml:space="preserve"> trajecten voor EEA.</w:t>
      </w:r>
      <w:r w:rsidRPr="006C0648" w:rsidR="00817D3F">
        <w:rPr>
          <w:b/>
        </w:rPr>
        <w:t xml:space="preserve"> </w:t>
      </w:r>
      <w:r w:rsidRPr="006C0648" w:rsidR="0035608F">
        <w:t xml:space="preserve">Ook wordt ingezet op een informatie-eis om </w:t>
      </w:r>
      <w:r w:rsidRPr="006C0648" w:rsidR="00817D3F">
        <w:t xml:space="preserve">de aanwezigheid en locatie van kritieke grondstoffen </w:t>
      </w:r>
      <w:r w:rsidRPr="006C0648" w:rsidR="0035608F">
        <w:t xml:space="preserve">bekend te maken </w:t>
      </w:r>
      <w:r w:rsidRPr="006C0648" w:rsidR="00817D3F">
        <w:t xml:space="preserve">in een </w:t>
      </w:r>
      <w:r w:rsidRPr="006C0648" w:rsidR="0035608F">
        <w:t>digitaal productpaspoort (</w:t>
      </w:r>
      <w:r w:rsidRPr="006C0648" w:rsidR="00817D3F">
        <w:t>DPP</w:t>
      </w:r>
      <w:r w:rsidRPr="006C0648" w:rsidR="0035608F">
        <w:t>)</w:t>
      </w:r>
      <w:r w:rsidRPr="006C0648" w:rsidR="00817D3F">
        <w:t>, dat ook na einde van de levensduur van het product nog beschikbaar is,</w:t>
      </w:r>
      <w:r w:rsidRPr="006C0648" w:rsidR="0035608F">
        <w:t xml:space="preserve"> om</w:t>
      </w:r>
      <w:r w:rsidRPr="006C0648" w:rsidR="00817D3F">
        <w:t xml:space="preserve"> verwerkers </w:t>
      </w:r>
      <w:r w:rsidRPr="006C0648" w:rsidR="0035608F">
        <w:t xml:space="preserve">te helpen </w:t>
      </w:r>
      <w:r w:rsidRPr="006C0648" w:rsidR="00817D3F">
        <w:t xml:space="preserve">deze grondstoffen in afgedankte elektronica terug te winnen en te verwerken. </w:t>
      </w:r>
      <w:r w:rsidR="00D9374E">
        <w:rPr>
          <w:rFonts w:cstheme="minorHAnsi"/>
        </w:rPr>
        <w:t xml:space="preserve">In de batterijenverordening </w:t>
      </w:r>
      <w:r w:rsidRPr="00F41773" w:rsidR="00D9374E">
        <w:rPr>
          <w:rFonts w:cstheme="minorHAnsi"/>
        </w:rPr>
        <w:t xml:space="preserve">is </w:t>
      </w:r>
      <w:r w:rsidR="00D9374E">
        <w:rPr>
          <w:rFonts w:cstheme="minorHAnsi"/>
        </w:rPr>
        <w:t>al</w:t>
      </w:r>
      <w:r w:rsidRPr="00F41773" w:rsidR="00D9374E">
        <w:rPr>
          <w:rFonts w:cstheme="minorHAnsi"/>
        </w:rPr>
        <w:t xml:space="preserve"> vastgelegd dat het batterijpaspoort informatie moet bevatten over de aanwezigheid van kritieke grondstoffen in een batterij en dat deze informatie publiek toegankelijk moet zijn.</w:t>
      </w:r>
    </w:p>
    <w:p w:rsidRPr="00373062" w:rsidR="00833381" w:rsidP="00833381" w:rsidRDefault="00833381" w14:paraId="6720EB9F" w14:textId="77777777">
      <w:pPr>
        <w:pStyle w:val="Lijstalinea"/>
        <w:ind w:left="360"/>
        <w:rPr>
          <w:rFonts w:cstheme="minorHAnsi"/>
        </w:rPr>
      </w:pPr>
    </w:p>
    <w:p w:rsidRPr="00833381" w:rsidR="00833381" w:rsidP="00833381" w:rsidRDefault="00833381" w14:paraId="796C6470" w14:textId="6C340DE8">
      <w:pPr>
        <w:pStyle w:val="Lijstalinea"/>
        <w:numPr>
          <w:ilvl w:val="1"/>
          <w:numId w:val="28"/>
        </w:numPr>
        <w:ind w:left="360"/>
      </w:pPr>
      <w:r w:rsidRPr="4556D3C5">
        <w:t xml:space="preserve">Actie: </w:t>
      </w:r>
      <w:r w:rsidRPr="4556D3C5">
        <w:rPr>
          <w:b/>
        </w:rPr>
        <w:t>Pleiten voor eis aan</w:t>
      </w:r>
      <w:r w:rsidRPr="4556D3C5" w:rsidR="00415F10">
        <w:rPr>
          <w:b/>
        </w:rPr>
        <w:t xml:space="preserve"> de</w:t>
      </w:r>
      <w:r w:rsidRPr="4556D3C5">
        <w:rPr>
          <w:b/>
        </w:rPr>
        <w:t xml:space="preserve"> repareerbaarheid van </w:t>
      </w:r>
      <w:r w:rsidRPr="4556D3C5" w:rsidR="00415F10">
        <w:rPr>
          <w:b/>
        </w:rPr>
        <w:t>elektronica</w:t>
      </w:r>
      <w:r w:rsidRPr="4556D3C5">
        <w:rPr>
          <w:b/>
        </w:rPr>
        <w:t xml:space="preserve"> en componenten die veel kritieke grondstoffen bevatten onder </w:t>
      </w:r>
      <w:r w:rsidRPr="4556D3C5" w:rsidR="00415F10">
        <w:rPr>
          <w:b/>
        </w:rPr>
        <w:t xml:space="preserve">de </w:t>
      </w:r>
      <w:proofErr w:type="spellStart"/>
      <w:r w:rsidRPr="4556D3C5" w:rsidR="00415F10">
        <w:rPr>
          <w:b/>
        </w:rPr>
        <w:t>Ecodesign</w:t>
      </w:r>
      <w:proofErr w:type="spellEnd"/>
      <w:r w:rsidRPr="4556D3C5" w:rsidR="00415F10">
        <w:rPr>
          <w:b/>
        </w:rPr>
        <w:t xml:space="preserve"> Verordening</w:t>
      </w:r>
      <w:r w:rsidRPr="4556D3C5">
        <w:rPr>
          <w:b/>
        </w:rPr>
        <w:t xml:space="preserve">. </w:t>
      </w:r>
      <w:r w:rsidRPr="4556D3C5">
        <w:t xml:space="preserve">De Europese Commissie werkt toe naar een horizontale </w:t>
      </w:r>
      <w:proofErr w:type="spellStart"/>
      <w:r w:rsidRPr="4556D3C5">
        <w:t>Ecodesign</w:t>
      </w:r>
      <w:proofErr w:type="spellEnd"/>
      <w:r w:rsidRPr="4556D3C5">
        <w:t xml:space="preserve"> eis voor de repareerbaarheid van bepaalde elektrische en elektronische apparaten.</w:t>
      </w:r>
      <w:r w:rsidRPr="4556D3C5">
        <w:rPr>
          <w:b/>
        </w:rPr>
        <w:t xml:space="preserve"> </w:t>
      </w:r>
      <w:r w:rsidRPr="4556D3C5">
        <w:t xml:space="preserve">Deze repareerbaarheidseis moet ook een repareerbaarheidsindex omvatten. </w:t>
      </w:r>
      <w:r w:rsidRPr="4556D3C5" w:rsidR="0035608F">
        <w:t xml:space="preserve">Het kabinet steunt deze inzet, en zal ook aandringen op eisen die </w:t>
      </w:r>
      <w:r w:rsidRPr="4556D3C5">
        <w:t xml:space="preserve">demontage  </w:t>
      </w:r>
      <w:r w:rsidRPr="4556D3C5" w:rsidR="0035608F">
        <w:t xml:space="preserve">van </w:t>
      </w:r>
      <w:r w:rsidRPr="4556D3C5">
        <w:t xml:space="preserve">componenten met kritieke grondstoffen </w:t>
      </w:r>
      <w:r w:rsidRPr="4556D3C5" w:rsidR="0035608F">
        <w:t>vereenvoudigen</w:t>
      </w:r>
      <w:r w:rsidRPr="4556D3C5">
        <w:rPr>
          <w:b/>
        </w:rPr>
        <w:t>.</w:t>
      </w:r>
      <w:r w:rsidRPr="4556D3C5">
        <w:t xml:space="preserve"> Een repareerbaarheidseis en demontage-eis kunnen in zowel de </w:t>
      </w:r>
      <w:r w:rsidRPr="4556D3C5" w:rsidR="00415F10">
        <w:t>product specifieke</w:t>
      </w:r>
      <w:r w:rsidRPr="4556D3C5">
        <w:t xml:space="preserve"> repareerbaarheidseisen als in de horizontale </w:t>
      </w:r>
      <w:proofErr w:type="spellStart"/>
      <w:r w:rsidRPr="4556D3C5">
        <w:t>Ecodesign</w:t>
      </w:r>
      <w:proofErr w:type="spellEnd"/>
      <w:r w:rsidRPr="4556D3C5">
        <w:t xml:space="preserve">-eis voor repareerbaarheid worden meegenomen. </w:t>
      </w:r>
      <w:r w:rsidRPr="4556D3C5" w:rsidR="0035608F">
        <w:t xml:space="preserve">Volgens </w:t>
      </w:r>
      <w:r w:rsidRPr="4556D3C5">
        <w:t xml:space="preserve">het </w:t>
      </w:r>
      <w:proofErr w:type="spellStart"/>
      <w:r w:rsidRPr="4556D3C5">
        <w:t>Ecodesign</w:t>
      </w:r>
      <w:proofErr w:type="spellEnd"/>
      <w:r w:rsidRPr="4556D3C5">
        <w:t xml:space="preserve"> werkplan 2025-2030 </w:t>
      </w:r>
      <w:r w:rsidRPr="4556D3C5" w:rsidR="0035608F">
        <w:t>zou</w:t>
      </w:r>
      <w:r w:rsidRPr="4556D3C5">
        <w:t xml:space="preserve"> deze horizontale repareerbaarheidseis in 2027 wordt vastgesteld</w:t>
      </w:r>
      <w:r w:rsidRPr="4556D3C5" w:rsidR="0035608F">
        <w:t xml:space="preserve"> en</w:t>
      </w:r>
      <w:r w:rsidRPr="4556D3C5">
        <w:t xml:space="preserve"> in 2029 van kracht</w:t>
      </w:r>
      <w:r w:rsidRPr="4556D3C5" w:rsidR="0035608F">
        <w:t xml:space="preserve"> kunnen worden</w:t>
      </w:r>
      <w:r w:rsidRPr="4556D3C5">
        <w:t xml:space="preserve">. </w:t>
      </w:r>
    </w:p>
    <w:p w:rsidR="00BD3160" w:rsidP="008224F1" w:rsidRDefault="00BD3160" w14:paraId="128A1A97" w14:textId="480680CD">
      <w:pPr>
        <w:pStyle w:val="Lijstalinea"/>
        <w:ind w:left="360"/>
        <w:rPr>
          <w:rFonts w:cstheme="minorHAnsi"/>
        </w:rPr>
      </w:pPr>
    </w:p>
    <w:p w:rsidR="00970313" w:rsidP="00970313" w:rsidRDefault="00BD3160" w14:paraId="65D35878" w14:textId="77777777">
      <w:pPr>
        <w:pStyle w:val="Lijstalinea"/>
        <w:numPr>
          <w:ilvl w:val="1"/>
          <w:numId w:val="28"/>
        </w:numPr>
        <w:ind w:left="360"/>
      </w:pPr>
      <w:r w:rsidRPr="00BB29BE">
        <w:t xml:space="preserve">Actie: </w:t>
      </w:r>
      <w:r w:rsidRPr="00781E46">
        <w:rPr>
          <w:b/>
          <w:bCs/>
        </w:rPr>
        <w:t>Pleiten voor een vernietigingsverbod</w:t>
      </w:r>
      <w:r w:rsidRPr="4556D3C5">
        <w:rPr>
          <w:rStyle w:val="Voetnootmarkering"/>
          <w:b/>
        </w:rPr>
        <w:footnoteReference w:id="11"/>
      </w:r>
      <w:r w:rsidRPr="00781E46">
        <w:rPr>
          <w:b/>
          <w:bCs/>
        </w:rPr>
        <w:t xml:space="preserve"> voor onverkochte elektrische en elektronische apparaten onder de </w:t>
      </w:r>
      <w:proofErr w:type="spellStart"/>
      <w:r w:rsidRPr="00781E46">
        <w:rPr>
          <w:b/>
          <w:bCs/>
        </w:rPr>
        <w:t>Ecodesign</w:t>
      </w:r>
      <w:proofErr w:type="spellEnd"/>
      <w:r w:rsidRPr="00781E46">
        <w:rPr>
          <w:b/>
          <w:bCs/>
        </w:rPr>
        <w:t xml:space="preserve"> Verordening.</w:t>
      </w:r>
      <w:r w:rsidRPr="00BB29BE">
        <w:t xml:space="preserve"> Jaarlijks worden nog steeds onverkochte producten die kritieke grondstoffen bevatten vernietigd </w:t>
      </w:r>
      <w:r w:rsidR="00700401">
        <w:t xml:space="preserve">die </w:t>
      </w:r>
      <w:r w:rsidRPr="00BB29BE">
        <w:t xml:space="preserve">waardevolle kritieke grondstoffen </w:t>
      </w:r>
      <w:r w:rsidR="00700401">
        <w:t xml:space="preserve">bevatten. Doordat deze producten niet nuttig worden gebruikt, worden de kritieke grondstoffen die ze bevatten ook niet benut. </w:t>
      </w:r>
      <w:r w:rsidRPr="00BB29BE">
        <w:t xml:space="preserve">In de </w:t>
      </w:r>
      <w:proofErr w:type="spellStart"/>
      <w:r w:rsidRPr="00BB29BE">
        <w:t>Ecodesign</w:t>
      </w:r>
      <w:proofErr w:type="spellEnd"/>
      <w:r w:rsidRPr="00BB29BE">
        <w:t xml:space="preserve"> Verordening is opgenomen dat de Commissie voor onverkochte elektronica, zal overwegen om een vernietigingsverbod op te nemen. Het kabinet zal in de periode 2026-2028 in gesprekken met de Europese Commissie en met andere EU lidstaten blijven bepleiten dat dit verbod in de herijking </w:t>
      </w:r>
      <w:r>
        <w:t xml:space="preserve">(in 2028) </w:t>
      </w:r>
      <w:r w:rsidRPr="00BB29BE">
        <w:t xml:space="preserve">van het bestaande </w:t>
      </w:r>
      <w:proofErr w:type="spellStart"/>
      <w:r w:rsidRPr="00BB29BE">
        <w:t>Ecodesign</w:t>
      </w:r>
      <w:proofErr w:type="spellEnd"/>
      <w:r w:rsidRPr="00BB29BE">
        <w:t xml:space="preserve"> werkplan moet worden opgenomen</w:t>
      </w:r>
      <w:r>
        <w:t xml:space="preserve">, zodat het daarna van kracht </w:t>
      </w:r>
      <w:r w:rsidR="00700401">
        <w:t xml:space="preserve">kan </w:t>
      </w:r>
      <w:r>
        <w:t>word</w:t>
      </w:r>
      <w:r w:rsidR="00700401">
        <w:t>en</w:t>
      </w:r>
      <w:r>
        <w:rPr>
          <w:rStyle w:val="Voetnootmarkering"/>
        </w:rPr>
        <w:footnoteReference w:id="12"/>
      </w:r>
      <w:r w:rsidRPr="00BB29BE">
        <w:t>.</w:t>
      </w:r>
    </w:p>
    <w:p w:rsidR="00970313" w:rsidP="00970313" w:rsidRDefault="00970313" w14:paraId="77F5DBD1" w14:textId="77777777">
      <w:pPr>
        <w:pStyle w:val="Lijstalinea"/>
      </w:pPr>
    </w:p>
    <w:p w:rsidR="00970313" w:rsidP="00970313" w:rsidRDefault="00474465" w14:paraId="53683FDA" w14:textId="77777777">
      <w:pPr>
        <w:pStyle w:val="Lijstalinea"/>
        <w:numPr>
          <w:ilvl w:val="1"/>
          <w:numId w:val="28"/>
        </w:numPr>
        <w:ind w:left="360"/>
      </w:pPr>
      <w:r w:rsidRPr="4556D3C5">
        <w:t xml:space="preserve">Actie: </w:t>
      </w:r>
      <w:r w:rsidRPr="00970313" w:rsidR="00C37B08">
        <w:rPr>
          <w:b/>
        </w:rPr>
        <w:t>O</w:t>
      </w:r>
      <w:r w:rsidRPr="00970313" w:rsidR="009207C3">
        <w:rPr>
          <w:b/>
        </w:rPr>
        <w:t xml:space="preserve">nderzoek naar </w:t>
      </w:r>
      <w:r w:rsidRPr="00970313" w:rsidR="00B948E1">
        <w:rPr>
          <w:b/>
        </w:rPr>
        <w:t xml:space="preserve">vermindering van het gebruik </w:t>
      </w:r>
      <w:r w:rsidRPr="00970313" w:rsidR="00CE14A8">
        <w:rPr>
          <w:b/>
        </w:rPr>
        <w:t xml:space="preserve">van kritieke grondstoffen </w:t>
      </w:r>
      <w:r w:rsidRPr="00970313" w:rsidR="00B948E1">
        <w:rPr>
          <w:b/>
        </w:rPr>
        <w:t>door biotechnologie</w:t>
      </w:r>
      <w:r w:rsidRPr="00970313" w:rsidR="00D96939">
        <w:rPr>
          <w:b/>
        </w:rPr>
        <w:t>.</w:t>
      </w:r>
      <w:r w:rsidRPr="4556D3C5" w:rsidR="00D96939">
        <w:t xml:space="preserve"> </w:t>
      </w:r>
      <w:r w:rsidRPr="4556D3C5" w:rsidR="00CE14A8">
        <w:t xml:space="preserve">Met </w:t>
      </w:r>
      <w:r w:rsidRPr="4556D3C5" w:rsidR="000C6F9C">
        <w:t xml:space="preserve">de </w:t>
      </w:r>
      <w:r w:rsidRPr="4556D3C5" w:rsidR="00CE14A8">
        <w:t xml:space="preserve">huidige </w:t>
      </w:r>
      <w:r w:rsidRPr="4556D3C5" w:rsidR="006E7F01">
        <w:t>technologieën</w:t>
      </w:r>
      <w:r w:rsidRPr="4556D3C5" w:rsidR="00CE14A8">
        <w:t xml:space="preserve"> kunnen kritieke grondstoffen slechts </w:t>
      </w:r>
      <w:r w:rsidRPr="4556D3C5" w:rsidR="00C17EBA">
        <w:t xml:space="preserve">in sommige gevallen </w:t>
      </w:r>
      <w:r w:rsidRPr="4556D3C5" w:rsidR="00CE14A8">
        <w:t>vervangen worden door niet</w:t>
      </w:r>
      <w:r w:rsidRPr="4556D3C5" w:rsidR="00C17EBA">
        <w:t>-</w:t>
      </w:r>
      <w:r w:rsidRPr="4556D3C5" w:rsidR="00CE14A8">
        <w:t xml:space="preserve">kritieke grondstoffen. In alternatieve technologieën kan dit mogelijk wel, bijvoorbeeld </w:t>
      </w:r>
      <w:r w:rsidRPr="4556D3C5" w:rsidR="00700401">
        <w:t>fotovoltaïsche</w:t>
      </w:r>
      <w:r w:rsidRPr="4556D3C5" w:rsidR="00CE14A8">
        <w:t xml:space="preserve"> systemen die op </w:t>
      </w:r>
      <w:r w:rsidRPr="4556D3C5" w:rsidR="009326AA">
        <w:t>c</w:t>
      </w:r>
      <w:r w:rsidRPr="4556D3C5" w:rsidR="00CE14A8">
        <w:t xml:space="preserve">hlorofyl werken en niet op kritieke grondstoffen. </w:t>
      </w:r>
      <w:r w:rsidRPr="4556D3C5" w:rsidR="00700401">
        <w:t>D</w:t>
      </w:r>
      <w:r w:rsidRPr="4556D3C5" w:rsidR="00CE14A8">
        <w:t xml:space="preserve">aarom </w:t>
      </w:r>
      <w:r w:rsidRPr="4556D3C5" w:rsidR="00700401">
        <w:t xml:space="preserve">wordt </w:t>
      </w:r>
      <w:r w:rsidRPr="4556D3C5" w:rsidR="00B948E1">
        <w:t xml:space="preserve">in Q3 2026 </w:t>
      </w:r>
      <w:r w:rsidRPr="4556D3C5" w:rsidR="00700401">
        <w:t xml:space="preserve">een </w:t>
      </w:r>
      <w:r w:rsidRPr="4556D3C5" w:rsidR="00CE14A8">
        <w:t>onderzoek</w:t>
      </w:r>
      <w:r w:rsidRPr="4556D3C5" w:rsidR="00700401">
        <w:t xml:space="preserve"> gestart naar </w:t>
      </w:r>
      <w:r w:rsidRPr="4556D3C5">
        <w:t>welke mogelijkheden er zijn</w:t>
      </w:r>
      <w:r w:rsidRPr="4556D3C5" w:rsidR="00CE14A8">
        <w:t xml:space="preserve"> om technologieën die nu veel kritieke grondstoffen bevatten</w:t>
      </w:r>
      <w:r w:rsidRPr="4556D3C5">
        <w:t xml:space="preserve"> </w:t>
      </w:r>
      <w:r w:rsidRPr="4556D3C5" w:rsidR="006E7F01">
        <w:t xml:space="preserve">te vervangen </w:t>
      </w:r>
      <w:r w:rsidRPr="4556D3C5" w:rsidR="00700401">
        <w:lastRenderedPageBreak/>
        <w:t>d</w:t>
      </w:r>
      <w:r w:rsidRPr="4556D3C5">
        <w:t>oor</w:t>
      </w:r>
      <w:r w:rsidRPr="4556D3C5" w:rsidR="00CE14A8">
        <w:t xml:space="preserve"> technologieën die op </w:t>
      </w:r>
      <w:r w:rsidRPr="4556D3C5" w:rsidR="004A1714">
        <w:t xml:space="preserve">(niet kritieke) </w:t>
      </w:r>
      <w:r w:rsidRPr="4556D3C5" w:rsidR="00CE14A8">
        <w:t>bio</w:t>
      </w:r>
      <w:r w:rsidRPr="4556D3C5" w:rsidR="00B948E1">
        <w:t>-</w:t>
      </w:r>
      <w:r w:rsidRPr="4556D3C5" w:rsidR="00CE14A8">
        <w:t>gebaseerd</w:t>
      </w:r>
      <w:r w:rsidRPr="4556D3C5" w:rsidR="00B948E1">
        <w:t>e of bio-geïnspireerde</w:t>
      </w:r>
      <w:r w:rsidRPr="4556D3C5" w:rsidR="00CE14A8">
        <w:t xml:space="preserve"> grondstoffen </w:t>
      </w:r>
      <w:r w:rsidRPr="4556D3C5" w:rsidR="004A1714">
        <w:t>werken</w:t>
      </w:r>
      <w:r w:rsidRPr="4556D3C5" w:rsidR="00CE14A8">
        <w:t xml:space="preserve">. </w:t>
      </w:r>
    </w:p>
    <w:p w:rsidR="00970313" w:rsidP="00970313" w:rsidRDefault="00970313" w14:paraId="616680FC" w14:textId="77777777">
      <w:pPr>
        <w:pStyle w:val="Lijstalinea"/>
      </w:pPr>
    </w:p>
    <w:p w:rsidRPr="00373062" w:rsidR="00970313" w:rsidP="00970313" w:rsidRDefault="004C6AE5" w14:paraId="63CF5757" w14:textId="1CEEB8C1">
      <w:pPr>
        <w:pStyle w:val="Lijstalinea"/>
        <w:numPr>
          <w:ilvl w:val="1"/>
          <w:numId w:val="28"/>
        </w:numPr>
        <w:ind w:left="360"/>
      </w:pPr>
      <w:r w:rsidRPr="4556D3C5">
        <w:t xml:space="preserve">Actie: </w:t>
      </w:r>
      <w:r w:rsidRPr="00970313" w:rsidR="000D2627">
        <w:rPr>
          <w:b/>
        </w:rPr>
        <w:t>Op i</w:t>
      </w:r>
      <w:r w:rsidRPr="00970313">
        <w:rPr>
          <w:b/>
        </w:rPr>
        <w:t>nternationaal</w:t>
      </w:r>
      <w:r w:rsidRPr="00970313" w:rsidR="000D2627">
        <w:rPr>
          <w:b/>
        </w:rPr>
        <w:t xml:space="preserve"> niveau </w:t>
      </w:r>
      <w:r w:rsidRPr="00970313" w:rsidR="000F611A">
        <w:rPr>
          <w:b/>
        </w:rPr>
        <w:t xml:space="preserve">actief </w:t>
      </w:r>
      <w:r w:rsidRPr="00970313" w:rsidR="0074460F">
        <w:rPr>
          <w:b/>
        </w:rPr>
        <w:t>de toepassing van circulaire strategi</w:t>
      </w:r>
      <w:r w:rsidRPr="00970313" w:rsidR="002C051E">
        <w:rPr>
          <w:b/>
        </w:rPr>
        <w:t>e</w:t>
      </w:r>
      <w:r w:rsidRPr="00970313" w:rsidR="0074460F">
        <w:rPr>
          <w:b/>
        </w:rPr>
        <w:t xml:space="preserve">ën </w:t>
      </w:r>
      <w:r w:rsidRPr="00970313" w:rsidR="00700401">
        <w:rPr>
          <w:b/>
        </w:rPr>
        <w:t xml:space="preserve">bepleiten </w:t>
      </w:r>
      <w:r w:rsidRPr="00970313" w:rsidR="0074460F">
        <w:rPr>
          <w:b/>
        </w:rPr>
        <w:t xml:space="preserve">om de mondiale vraag naar </w:t>
      </w:r>
      <w:r w:rsidRPr="00970313" w:rsidR="00614460">
        <w:rPr>
          <w:b/>
        </w:rPr>
        <w:t>primaire</w:t>
      </w:r>
      <w:r w:rsidRPr="00970313" w:rsidR="009F4B73">
        <w:rPr>
          <w:b/>
        </w:rPr>
        <w:t xml:space="preserve"> </w:t>
      </w:r>
      <w:r w:rsidRPr="00970313" w:rsidR="0074460F">
        <w:rPr>
          <w:b/>
        </w:rPr>
        <w:t>kritieke grondstoffen</w:t>
      </w:r>
      <w:r w:rsidRPr="00970313" w:rsidR="00EE7480">
        <w:rPr>
          <w:b/>
        </w:rPr>
        <w:t xml:space="preserve"> </w:t>
      </w:r>
      <w:r w:rsidRPr="00970313" w:rsidR="0074460F">
        <w:rPr>
          <w:b/>
        </w:rPr>
        <w:t xml:space="preserve">terug te dringen. </w:t>
      </w:r>
      <w:r w:rsidRPr="4556D3C5" w:rsidR="00327F4D">
        <w:t xml:space="preserve">Om de mondiale druk op de winning van primaire kritieke grondstoffen te verminderen, is het van belang </w:t>
      </w:r>
      <w:r w:rsidRPr="4556D3C5" w:rsidR="00650024">
        <w:t>dat de potentie van</w:t>
      </w:r>
      <w:r w:rsidRPr="4556D3C5" w:rsidR="00327F4D">
        <w:t xml:space="preserve"> circulaire strategieën </w:t>
      </w:r>
      <w:r w:rsidRPr="4556D3C5" w:rsidR="00865A05">
        <w:t xml:space="preserve">om </w:t>
      </w:r>
      <w:r w:rsidRPr="4556D3C5" w:rsidR="007F28C9">
        <w:t>productie</w:t>
      </w:r>
      <w:r w:rsidRPr="4556D3C5" w:rsidR="00632072">
        <w:t>ketens zowel weerbaarder als duurzamer te maken</w:t>
      </w:r>
      <w:r w:rsidRPr="4556D3C5" w:rsidR="008377D7">
        <w:t xml:space="preserve"> </w:t>
      </w:r>
      <w:r w:rsidRPr="4556D3C5" w:rsidR="00327F4D">
        <w:t>internationaal meer aandacht krijg</w:t>
      </w:r>
      <w:r w:rsidRPr="4556D3C5" w:rsidR="00865A05">
        <w:t>t</w:t>
      </w:r>
      <w:r w:rsidRPr="4556D3C5" w:rsidR="00327F4D">
        <w:t xml:space="preserve">. Landen richten zich momenteel vooral </w:t>
      </w:r>
      <w:r w:rsidRPr="4556D3C5" w:rsidR="00006B3C">
        <w:t xml:space="preserve">op oplossingen als </w:t>
      </w:r>
      <w:r w:rsidRPr="4556D3C5" w:rsidR="00327F4D">
        <w:t>voorraadvorming en diversificatie van import</w:t>
      </w:r>
      <w:r w:rsidRPr="4556D3C5" w:rsidR="0019291E">
        <w:t xml:space="preserve"> die </w:t>
      </w:r>
      <w:r w:rsidRPr="4556D3C5" w:rsidR="009B6E55">
        <w:t>het probleem van</w:t>
      </w:r>
      <w:r w:rsidRPr="4556D3C5" w:rsidR="005933D2">
        <w:t xml:space="preserve"> het groeiende gat tussen </w:t>
      </w:r>
      <w:r w:rsidRPr="4556D3C5" w:rsidR="00CC69CA">
        <w:t xml:space="preserve">de mondiale </w:t>
      </w:r>
      <w:r w:rsidRPr="4556D3C5" w:rsidR="009B6E55">
        <w:t>vraag en aanbod van</w:t>
      </w:r>
      <w:r w:rsidRPr="4556D3C5" w:rsidR="00FD2A85">
        <w:t xml:space="preserve"> primaire</w:t>
      </w:r>
      <w:r w:rsidRPr="4556D3C5" w:rsidR="009B6E55">
        <w:t xml:space="preserve"> kritieke grondstoffen niet oplossen</w:t>
      </w:r>
      <w:r w:rsidRPr="4556D3C5" w:rsidR="00327F4D">
        <w:t xml:space="preserve">. Nederland </w:t>
      </w:r>
      <w:r w:rsidRPr="4556D3C5" w:rsidR="00F72A64">
        <w:t>wil</w:t>
      </w:r>
      <w:r w:rsidRPr="4556D3C5" w:rsidR="00327F4D">
        <w:t xml:space="preserve"> het belang van circulaire strategieën sterker agenderen in internationale discussies over </w:t>
      </w:r>
      <w:r w:rsidRPr="4556D3C5" w:rsidR="00BB50A7">
        <w:t xml:space="preserve">kritieke </w:t>
      </w:r>
      <w:r w:rsidRPr="4556D3C5" w:rsidR="00327F4D">
        <w:t xml:space="preserve">grondstoffen, onder meer via het United Nations Environment </w:t>
      </w:r>
      <w:proofErr w:type="spellStart"/>
      <w:r w:rsidRPr="4556D3C5" w:rsidR="00327F4D">
        <w:t>Programme</w:t>
      </w:r>
      <w:proofErr w:type="spellEnd"/>
      <w:r w:rsidRPr="4556D3C5" w:rsidR="00327F4D">
        <w:t xml:space="preserve"> (UNEP)</w:t>
      </w:r>
      <w:r w:rsidRPr="4556D3C5" w:rsidR="00AD12E7">
        <w:t xml:space="preserve">. </w:t>
      </w:r>
    </w:p>
    <w:bookmarkEnd w:id="0"/>
    <w:p w:rsidRPr="00810008" w:rsidR="00F94615" w:rsidP="00810008" w:rsidRDefault="005D3355" w14:paraId="48FC00EB" w14:textId="603DE756">
      <w:pPr>
        <w:pStyle w:val="Geenafstand"/>
        <w:rPr>
          <w:i/>
          <w:iCs/>
        </w:rPr>
      </w:pPr>
      <w:r w:rsidRPr="00810008">
        <w:rPr>
          <w:i/>
          <w:iCs/>
        </w:rPr>
        <w:t xml:space="preserve">2. </w:t>
      </w:r>
      <w:r w:rsidRPr="00810008" w:rsidR="00D86925">
        <w:rPr>
          <w:i/>
          <w:iCs/>
        </w:rPr>
        <w:t>Pijler</w:t>
      </w:r>
      <w:r w:rsidRPr="00810008" w:rsidR="0081486D">
        <w:rPr>
          <w:i/>
          <w:iCs/>
        </w:rPr>
        <w:t xml:space="preserve"> -</w:t>
      </w:r>
      <w:r w:rsidRPr="00810008" w:rsidR="00D86925">
        <w:rPr>
          <w:i/>
          <w:iCs/>
        </w:rPr>
        <w:t xml:space="preserve"> </w:t>
      </w:r>
      <w:r w:rsidRPr="00810008" w:rsidR="00D938E9">
        <w:rPr>
          <w:i/>
          <w:iCs/>
        </w:rPr>
        <w:t xml:space="preserve">Beschikbaarheid </w:t>
      </w:r>
      <w:r w:rsidRPr="00810008" w:rsidR="00FF18D9">
        <w:rPr>
          <w:i/>
          <w:iCs/>
        </w:rPr>
        <w:t>secundaire kritieke grondstoffen</w:t>
      </w:r>
      <w:r w:rsidRPr="00810008" w:rsidR="003F78F2">
        <w:rPr>
          <w:i/>
          <w:iCs/>
        </w:rPr>
        <w:t xml:space="preserve"> </w:t>
      </w:r>
    </w:p>
    <w:p w:rsidRPr="00BB29BE" w:rsidR="007E7FD1" w:rsidP="00E00AA9" w:rsidRDefault="00D938E9" w14:paraId="7E4CB888" w14:textId="05FA28F0">
      <w:r w:rsidRPr="009F3678">
        <w:t xml:space="preserve">Theoretisch </w:t>
      </w:r>
      <w:r w:rsidR="00700401">
        <w:t>kan</w:t>
      </w:r>
      <w:r w:rsidRPr="009F3678" w:rsidR="00700401">
        <w:t xml:space="preserve"> </w:t>
      </w:r>
      <w:r w:rsidRPr="009F3678" w:rsidR="00254229">
        <w:t xml:space="preserve">meer dan 30% van de Europese </w:t>
      </w:r>
      <w:r w:rsidR="00700401">
        <w:t>c</w:t>
      </w:r>
      <w:r w:rsidRPr="009F3678" w:rsidR="00254229">
        <w:t xml:space="preserve">onsumptie van (sommige) </w:t>
      </w:r>
      <w:r w:rsidRPr="009F3678">
        <w:t>kritieke grondstoffen uit afgedankte elektrische en elektronische apparaten en batterijen teruggewonnen worden</w:t>
      </w:r>
      <w:r w:rsidRPr="009F3678" w:rsidR="00254229">
        <w:rPr>
          <w:rStyle w:val="Voetnootmarkering"/>
        </w:rPr>
        <w:footnoteReference w:id="13"/>
      </w:r>
      <w:r w:rsidRPr="009F3678">
        <w:t xml:space="preserve">. De hoeveelheid die momenteel teruggewonnen </w:t>
      </w:r>
      <w:r w:rsidRPr="009F3678" w:rsidR="00CF14E0">
        <w:t>wordt</w:t>
      </w:r>
      <w:r w:rsidRPr="009F3678">
        <w:t xml:space="preserve"> </w:t>
      </w:r>
      <w:r w:rsidRPr="009F3678" w:rsidR="00CF14E0">
        <w:t xml:space="preserve">is </w:t>
      </w:r>
      <w:r w:rsidRPr="009F3678" w:rsidR="00254229">
        <w:t>veelal</w:t>
      </w:r>
      <w:r w:rsidRPr="009F3678" w:rsidR="00CF14E0">
        <w:t xml:space="preserve"> </w:t>
      </w:r>
      <w:r w:rsidRPr="009F3678">
        <w:t>lager</w:t>
      </w:r>
      <w:r w:rsidRPr="009F3678" w:rsidR="00635BF6">
        <w:t>, onder ander</w:t>
      </w:r>
      <w:r w:rsidR="00700401">
        <w:t>en</w:t>
      </w:r>
      <w:r w:rsidRPr="009F3678" w:rsidR="00635BF6">
        <w:t xml:space="preserve"> omdat er niet genoeg EEA ingezameld, gesorteerd en gedemonteerd worden voor hoogwaardige verwerking</w:t>
      </w:r>
      <w:r w:rsidRPr="009F3678" w:rsidR="002B4F01">
        <w:t xml:space="preserve"> en hergebruik</w:t>
      </w:r>
      <w:r w:rsidRPr="009F3678" w:rsidR="00254229">
        <w:rPr>
          <w:rStyle w:val="Voetnootmarkering"/>
        </w:rPr>
        <w:footnoteReference w:id="14"/>
      </w:r>
      <w:r w:rsidRPr="009F3678" w:rsidR="00254229">
        <w:t>.</w:t>
      </w:r>
      <w:r w:rsidRPr="009F3678" w:rsidR="00635BF6">
        <w:t xml:space="preserve"> Voor hergebruik en hoogwaardige recycling is de beschikbaarheid van voldoende afgedankte EEA essentieel </w:t>
      </w:r>
      <w:r w:rsidRPr="009F3678">
        <w:t xml:space="preserve">om een goede business case te creëren omdat </w:t>
      </w:r>
      <w:r w:rsidR="00920EF4">
        <w:t xml:space="preserve">voorbereiding voor </w:t>
      </w:r>
      <w:r w:rsidRPr="009F3678" w:rsidR="00635BF6">
        <w:t xml:space="preserve">hergebruik (inclusief opknappen en </w:t>
      </w:r>
      <w:proofErr w:type="spellStart"/>
      <w:r w:rsidRPr="009F3678" w:rsidR="00635BF6">
        <w:t>herfabricage</w:t>
      </w:r>
      <w:proofErr w:type="spellEnd"/>
      <w:r w:rsidRPr="009F3678" w:rsidR="00635BF6">
        <w:t xml:space="preserve">) en </w:t>
      </w:r>
      <w:r w:rsidRPr="009F3678">
        <w:t xml:space="preserve">recycling in bulk </w:t>
      </w:r>
      <w:r w:rsidRPr="009F3678" w:rsidR="00C37B08">
        <w:t>goedkoper</w:t>
      </w:r>
      <w:r w:rsidRPr="009F3678">
        <w:t xml:space="preserve"> is dan </w:t>
      </w:r>
      <w:r w:rsidR="00E00AA9">
        <w:t>in</w:t>
      </w:r>
      <w:r w:rsidRPr="009F3678" w:rsidR="00CF14E0">
        <w:t xml:space="preserve"> </w:t>
      </w:r>
      <w:r w:rsidRPr="009F3678">
        <w:t>kleine hoeveelheden. I</w:t>
      </w:r>
      <w:r w:rsidRPr="009F3678" w:rsidR="007E7FD1">
        <w:t>n deze pijler beo</w:t>
      </w:r>
      <w:r w:rsidRPr="009F3678" w:rsidR="00B42358">
        <w:t xml:space="preserve">ogt het ministerie </w:t>
      </w:r>
      <w:r w:rsidRPr="009F3678" w:rsidR="007E7FD1">
        <w:t>de hoeveelheid voor recycling beschikba</w:t>
      </w:r>
      <w:r w:rsidRPr="009F3678" w:rsidR="4DD1DFF2">
        <w:t>ar</w:t>
      </w:r>
      <w:r w:rsidRPr="009F3678" w:rsidR="007E7FD1">
        <w:t xml:space="preserve"> afval</w:t>
      </w:r>
      <w:r w:rsidRPr="009F3678" w:rsidR="4DD1DFF2">
        <w:t xml:space="preserve"> </w:t>
      </w:r>
      <w:r w:rsidRPr="009F3678" w:rsidR="007E7FD1">
        <w:t>te verhogen zodat kritieke grondstoffen op een economisch rendabele manier terug</w:t>
      </w:r>
      <w:r w:rsidRPr="009F3678" w:rsidR="00600D7E">
        <w:t>ge</w:t>
      </w:r>
      <w:r w:rsidRPr="009F3678" w:rsidR="007E7FD1">
        <w:t xml:space="preserve">wonnen kunnen worden. </w:t>
      </w:r>
    </w:p>
    <w:p w:rsidRPr="00373062" w:rsidR="00424A66" w:rsidP="00373062" w:rsidRDefault="00F94615" w14:paraId="0753997B" w14:textId="1D42116C">
      <w:pPr>
        <w:pStyle w:val="Lijstalinea"/>
        <w:numPr>
          <w:ilvl w:val="1"/>
          <w:numId w:val="45"/>
        </w:numPr>
      </w:pPr>
      <w:r w:rsidRPr="009F3678">
        <w:t>Actie</w:t>
      </w:r>
      <w:r w:rsidRPr="009F3678" w:rsidR="00EC2FE6">
        <w:t>:</w:t>
      </w:r>
      <w:r w:rsidRPr="009F3678" w:rsidR="00EC2FE6">
        <w:rPr>
          <w:b/>
        </w:rPr>
        <w:t xml:space="preserve"> </w:t>
      </w:r>
      <w:r w:rsidRPr="009F3678">
        <w:rPr>
          <w:b/>
        </w:rPr>
        <w:t xml:space="preserve">Inzet op een inzamel- </w:t>
      </w:r>
      <w:r w:rsidRPr="009F3678" w:rsidR="000640A9">
        <w:rPr>
          <w:b/>
        </w:rPr>
        <w:t>,</w:t>
      </w:r>
      <w:r w:rsidRPr="009F3678">
        <w:rPr>
          <w:b/>
        </w:rPr>
        <w:t xml:space="preserve"> </w:t>
      </w:r>
      <w:r w:rsidRPr="009F3678" w:rsidR="000640A9">
        <w:rPr>
          <w:b/>
        </w:rPr>
        <w:t>terugwinning en recyclingd</w:t>
      </w:r>
      <w:r w:rsidRPr="009F3678">
        <w:rPr>
          <w:b/>
        </w:rPr>
        <w:t>oelstelling</w:t>
      </w:r>
      <w:r w:rsidRPr="009F3678" w:rsidR="0003354E">
        <w:rPr>
          <w:b/>
        </w:rPr>
        <w:t xml:space="preserve"> in de </w:t>
      </w:r>
      <w:r w:rsidR="00E00AA9">
        <w:rPr>
          <w:b/>
        </w:rPr>
        <w:t xml:space="preserve">Richtlijn </w:t>
      </w:r>
      <w:r w:rsidRPr="009F3678" w:rsidR="0003354E">
        <w:rPr>
          <w:b/>
        </w:rPr>
        <w:t>AEEA</w:t>
      </w:r>
      <w:r w:rsidRPr="009F3678">
        <w:rPr>
          <w:b/>
        </w:rPr>
        <w:t xml:space="preserve"> voor kritieke grondstoffen</w:t>
      </w:r>
      <w:r w:rsidRPr="009F3678" w:rsidR="009C701E">
        <w:rPr>
          <w:b/>
        </w:rPr>
        <w:t>.</w:t>
      </w:r>
      <w:r w:rsidRPr="009F3678" w:rsidR="007E7FD1">
        <w:rPr>
          <w:b/>
        </w:rPr>
        <w:t xml:space="preserve"> </w:t>
      </w:r>
      <w:r w:rsidRPr="009F3678">
        <w:t xml:space="preserve">Momenteel bevat de </w:t>
      </w:r>
      <w:r w:rsidRPr="009F3678" w:rsidR="00584972">
        <w:t xml:space="preserve">Europese </w:t>
      </w:r>
      <w:r w:rsidRPr="009F3678">
        <w:t xml:space="preserve">Richtlijn AEEA doelstellingen </w:t>
      </w:r>
      <w:r w:rsidRPr="009F3678" w:rsidR="00FE1D11">
        <w:t>voor inzameling en verwerking</w:t>
      </w:r>
      <w:r w:rsidRPr="009F3678">
        <w:t xml:space="preserve"> voor bepaalde categorieën afgedankte elektronica</w:t>
      </w:r>
      <w:r w:rsidR="00CF707A">
        <w:t xml:space="preserve"> (op gewicht)</w:t>
      </w:r>
      <w:r w:rsidRPr="009F3678">
        <w:t xml:space="preserve">. </w:t>
      </w:r>
      <w:r w:rsidRPr="009F3678" w:rsidR="004B41CF">
        <w:t xml:space="preserve">Voor het terugwinnen en </w:t>
      </w:r>
      <w:r w:rsidR="00AE3233">
        <w:t>recyclen</w:t>
      </w:r>
      <w:r w:rsidRPr="009F3678" w:rsidR="004B41CF">
        <w:t xml:space="preserve"> van k</w:t>
      </w:r>
      <w:r w:rsidRPr="009F3678">
        <w:t xml:space="preserve">ritieke grondstoffen zouden </w:t>
      </w:r>
      <w:r w:rsidR="001B390A">
        <w:t xml:space="preserve">ook </w:t>
      </w:r>
      <w:r w:rsidRPr="009F3678" w:rsidR="004B41CF">
        <w:t>doelstellingen opgenomen moeten worden</w:t>
      </w:r>
      <w:r w:rsidR="00E92A56">
        <w:t xml:space="preserve"> voor</w:t>
      </w:r>
      <w:r w:rsidR="00CF707A">
        <w:t xml:space="preserve"> op materiaal niveau voor</w:t>
      </w:r>
      <w:r w:rsidR="00E92A56">
        <w:t xml:space="preserve"> specifieke kritieke grondstoffen</w:t>
      </w:r>
      <w:r w:rsidRPr="009F3678" w:rsidR="004B41CF">
        <w:t>.</w:t>
      </w:r>
      <w:r w:rsidRPr="009F3678" w:rsidR="00373062">
        <w:t xml:space="preserve"> </w:t>
      </w:r>
      <w:r w:rsidRPr="009F3678" w:rsidR="009A1775">
        <w:t xml:space="preserve">Het kabinet zal er in Brussel </w:t>
      </w:r>
      <w:r w:rsidR="001B390A">
        <w:t xml:space="preserve">daarom </w:t>
      </w:r>
      <w:r w:rsidRPr="009F3678" w:rsidR="009A1775">
        <w:t>voor pleiten</w:t>
      </w:r>
      <w:r w:rsidRPr="009F3678" w:rsidR="009A368C">
        <w:t xml:space="preserve"> </w:t>
      </w:r>
      <w:r w:rsidRPr="009F3678" w:rsidR="00FE1D11">
        <w:t>inzamel- en verwerkings</w:t>
      </w:r>
      <w:r w:rsidRPr="009F3678" w:rsidR="009A368C">
        <w:t xml:space="preserve">doelstellingen </w:t>
      </w:r>
      <w:r w:rsidRPr="009F3678" w:rsidR="00FE1D11">
        <w:t xml:space="preserve">voor kritieke grondstoffen </w:t>
      </w:r>
      <w:r w:rsidR="00E92A56">
        <w:t xml:space="preserve">per materiaal </w:t>
      </w:r>
      <w:r w:rsidRPr="009F3678" w:rsidR="009A1775">
        <w:t>op te nemen in de herziening van de AEEA-richtlijn</w:t>
      </w:r>
      <w:r w:rsidR="001B390A">
        <w:t>.</w:t>
      </w:r>
    </w:p>
    <w:p w:rsidRPr="00373062" w:rsidR="00582906" w:rsidP="000722CA" w:rsidRDefault="00582906" w14:paraId="14BCB2BD" w14:textId="77777777">
      <w:pPr>
        <w:pStyle w:val="Lijstalinea"/>
        <w:ind w:left="360"/>
        <w:rPr>
          <w:rFonts w:cstheme="minorHAnsi"/>
        </w:rPr>
      </w:pPr>
    </w:p>
    <w:p w:rsidR="00E90086" w:rsidP="00E90086" w:rsidRDefault="007E7FD1" w14:paraId="368BDBAD" w14:textId="7183AD79">
      <w:pPr>
        <w:pStyle w:val="Lijstalinea"/>
        <w:numPr>
          <w:ilvl w:val="1"/>
          <w:numId w:val="45"/>
        </w:numPr>
      </w:pPr>
      <w:r w:rsidRPr="4556D3C5">
        <w:t xml:space="preserve">Actie: </w:t>
      </w:r>
      <w:r w:rsidRPr="4556D3C5">
        <w:rPr>
          <w:b/>
        </w:rPr>
        <w:t>Agenderen van kritieke grondstoffen in EEA</w:t>
      </w:r>
      <w:r w:rsidRPr="4556D3C5" w:rsidR="00E7324E">
        <w:rPr>
          <w:b/>
        </w:rPr>
        <w:t xml:space="preserve"> in gesprekken met de sector</w:t>
      </w:r>
      <w:r w:rsidRPr="4556D3C5" w:rsidR="003563FA">
        <w:t>.</w:t>
      </w:r>
      <w:r w:rsidRPr="4556D3C5">
        <w:t xml:space="preserve"> Er wordt </w:t>
      </w:r>
      <w:r w:rsidRPr="4556D3C5" w:rsidR="00D62EAD">
        <w:t xml:space="preserve">in lijn met het NPCE 2025 </w:t>
      </w:r>
      <w:r w:rsidRPr="4556D3C5">
        <w:t xml:space="preserve">een ketentafel voor EEA opgezet. In de bijeenkomsten van de tafel </w:t>
      </w:r>
      <w:r w:rsidRPr="4556D3C5" w:rsidR="00D83F17">
        <w:t>zal</w:t>
      </w:r>
      <w:r w:rsidRPr="4556D3C5" w:rsidR="3444671A">
        <w:t xml:space="preserve"> </w:t>
      </w:r>
      <w:r w:rsidRPr="4556D3C5" w:rsidR="1AA9D7B3">
        <w:t xml:space="preserve">deze </w:t>
      </w:r>
      <w:r w:rsidRPr="4556D3C5" w:rsidR="001B390A">
        <w:t xml:space="preserve">beleidsagenda </w:t>
      </w:r>
      <w:r w:rsidRPr="4556D3C5" w:rsidR="1AA9D7B3">
        <w:t xml:space="preserve">voor kritieke grondstoffen </w:t>
      </w:r>
      <w:r w:rsidRPr="4556D3C5" w:rsidR="001B390A">
        <w:t xml:space="preserve">ook </w:t>
      </w:r>
      <w:r w:rsidRPr="4556D3C5" w:rsidR="1AA9D7B3">
        <w:t>worden bes</w:t>
      </w:r>
      <w:r w:rsidRPr="4556D3C5" w:rsidR="3444671A">
        <w:t xml:space="preserve">proken. </w:t>
      </w:r>
      <w:r w:rsidRPr="4556D3C5" w:rsidR="00D83F17">
        <w:t>Tijdens de eerste ketentafel in juni staat de herziening van Richtlijn AEEA centraal en zal worden besproken welke eisen voor kritieke grondstoffen in dat kader gesteld kunnen worden.</w:t>
      </w:r>
      <w:r w:rsidRPr="4556D3C5" w:rsidR="00373062">
        <w:t xml:space="preserve"> </w:t>
      </w:r>
      <w:r w:rsidRPr="4556D3C5" w:rsidR="3444671A">
        <w:t xml:space="preserve">Ook de </w:t>
      </w:r>
      <w:proofErr w:type="spellStart"/>
      <w:r w:rsidRPr="4556D3C5">
        <w:t>Ecodesign</w:t>
      </w:r>
      <w:proofErr w:type="spellEnd"/>
      <w:r w:rsidRPr="4556D3C5">
        <w:t xml:space="preserve"> eisen voor recyclebaarheid/recyclaat </w:t>
      </w:r>
      <w:r w:rsidRPr="4556D3C5" w:rsidR="3444671A">
        <w:t xml:space="preserve">van kritieke grondstoffen </w:t>
      </w:r>
      <w:r w:rsidRPr="4556D3C5">
        <w:t xml:space="preserve">en </w:t>
      </w:r>
      <w:r w:rsidRPr="4556D3C5" w:rsidR="3444671A">
        <w:t>voor</w:t>
      </w:r>
      <w:r w:rsidRPr="4556D3C5">
        <w:t xml:space="preserve"> repareerbaarheid worden </w:t>
      </w:r>
      <w:r w:rsidRPr="4556D3C5" w:rsidR="00D83F17">
        <w:t>in</w:t>
      </w:r>
      <w:r w:rsidRPr="4556D3C5" w:rsidR="004D7255">
        <w:t xml:space="preserve"> de eerst</w:t>
      </w:r>
      <w:r w:rsidRPr="4556D3C5" w:rsidR="00D83F17">
        <w:t xml:space="preserve">volgende ketentafels </w:t>
      </w:r>
      <w:r w:rsidRPr="4556D3C5">
        <w:t xml:space="preserve">besproken. </w:t>
      </w:r>
      <w:r w:rsidRPr="4556D3C5" w:rsidR="00A46264">
        <w:t xml:space="preserve">Voor de productgroep batterijen </w:t>
      </w:r>
      <w:r w:rsidRPr="4556D3C5" w:rsidR="001B390A">
        <w:t>wordt later dit jaar ook</w:t>
      </w:r>
      <w:r w:rsidRPr="4556D3C5" w:rsidR="004B3E37">
        <w:t xml:space="preserve"> verken</w:t>
      </w:r>
      <w:r w:rsidRPr="4556D3C5" w:rsidR="001B390A">
        <w:t>d</w:t>
      </w:r>
      <w:r w:rsidRPr="4556D3C5" w:rsidR="00A46264">
        <w:t xml:space="preserve"> of een dergelijk</w:t>
      </w:r>
      <w:r w:rsidRPr="4556D3C5" w:rsidR="007A3459">
        <w:t>e</w:t>
      </w:r>
      <w:r w:rsidRPr="4556D3C5" w:rsidR="00A46264">
        <w:t xml:space="preserve"> dialoog met de sector ook van </w:t>
      </w:r>
      <w:r w:rsidRPr="4556D3C5" w:rsidR="00D62AD6">
        <w:t>meer</w:t>
      </w:r>
      <w:r w:rsidRPr="4556D3C5" w:rsidR="00A46264">
        <w:t>waarde kan zijn</w:t>
      </w:r>
      <w:r w:rsidRPr="4556D3C5" w:rsidR="006923D9">
        <w:t xml:space="preserve"> en welke invulling dit dan zou moeten hebben</w:t>
      </w:r>
      <w:r w:rsidRPr="4556D3C5" w:rsidR="00A46264">
        <w:t>.</w:t>
      </w:r>
      <w:bookmarkStart w:name="_Hlk231826313" w:id="1"/>
    </w:p>
    <w:p w:rsidR="00E90086" w:rsidP="00E90086" w:rsidRDefault="00E90086" w14:paraId="502C74E0" w14:textId="77777777">
      <w:pPr>
        <w:pStyle w:val="Lijstalinea"/>
      </w:pPr>
    </w:p>
    <w:p w:rsidR="0015385D" w:rsidP="00551765" w:rsidRDefault="00CE29E7" w14:paraId="1F045277" w14:textId="09315333">
      <w:pPr>
        <w:pStyle w:val="Lijstalinea"/>
        <w:numPr>
          <w:ilvl w:val="1"/>
          <w:numId w:val="45"/>
        </w:numPr>
      </w:pPr>
      <w:r w:rsidRPr="00CE29E7">
        <w:t>Actie:</w:t>
      </w:r>
      <w:r w:rsidRPr="008224F1">
        <w:rPr>
          <w:b/>
          <w:bCs/>
        </w:rPr>
        <w:t xml:space="preserve"> Vergunningsverlening en </w:t>
      </w:r>
      <w:r>
        <w:rPr>
          <w:b/>
          <w:bCs/>
        </w:rPr>
        <w:t>einde-</w:t>
      </w:r>
      <w:r w:rsidRPr="008224F1">
        <w:rPr>
          <w:b/>
          <w:bCs/>
        </w:rPr>
        <w:t>afvalstatus</w:t>
      </w:r>
      <w:r w:rsidRPr="009F3678">
        <w:t xml:space="preserve">: De actie richt zich op het wegnemen van belemmeringen voor de circulaire verwerking van (kritieke) grondstoffen uit afgedankte EEA en </w:t>
      </w:r>
      <w:r>
        <w:t>afval</w:t>
      </w:r>
      <w:r w:rsidRPr="009F3678">
        <w:t xml:space="preserve">batterijen. </w:t>
      </w:r>
      <w:r w:rsidRPr="2F6B3CCB">
        <w:t xml:space="preserve">Voor het inzamelen en verwerken </w:t>
      </w:r>
      <w:r>
        <w:t>(bijvoorbeeld voorbereiden</w:t>
      </w:r>
      <w:r w:rsidRPr="2F6B3CCB">
        <w:t xml:space="preserve"> voor hergebruik of </w:t>
      </w:r>
      <w:r w:rsidRPr="2F6B3CCB">
        <w:lastRenderedPageBreak/>
        <w:t>recycle</w:t>
      </w:r>
      <w:r>
        <w:t>n)</w:t>
      </w:r>
      <w:r w:rsidRPr="2F6B3CCB">
        <w:t xml:space="preserve"> van </w:t>
      </w:r>
      <w:r>
        <w:t xml:space="preserve">afgedankte </w:t>
      </w:r>
      <w:r w:rsidRPr="2F6B3CCB">
        <w:t xml:space="preserve">elektrische en elektronische apparaten en </w:t>
      </w:r>
      <w:r>
        <w:t>afval</w:t>
      </w:r>
      <w:r w:rsidRPr="2F6B3CCB">
        <w:t>batterijen is het wettelijk kader voor afvalstoffen van toepassing</w:t>
      </w:r>
      <w:r>
        <w:t>, totdat is voldaan aan</w:t>
      </w:r>
      <w:r w:rsidRPr="2F6B3CCB">
        <w:t xml:space="preserve"> de einde-afvalvoorwaarden.</w:t>
      </w:r>
      <w:r>
        <w:t xml:space="preserve"> Er is bijvoorbeeld </w:t>
      </w:r>
      <w:r w:rsidRPr="2F6B3CCB">
        <w:t xml:space="preserve">een vergunning nodig </w:t>
      </w:r>
      <w:r>
        <w:t>voor de</w:t>
      </w:r>
      <w:r w:rsidRPr="2F6B3CCB">
        <w:t xml:space="preserve"> verwerkingslocatie. Voor EEA </w:t>
      </w:r>
      <w:r>
        <w:t xml:space="preserve">in de afvalfase </w:t>
      </w:r>
      <w:r w:rsidRPr="2F6B3CCB">
        <w:t>zijn de kaders voor vergunningverlening opgenomen in het Circulair Materialen Plan</w:t>
      </w:r>
      <w:r w:rsidRPr="008224F1">
        <w:rPr>
          <w:rStyle w:val="Voetnootmarkering"/>
        </w:rPr>
        <w:footnoteReference w:id="15"/>
      </w:r>
      <w:r w:rsidRPr="2F6B3CCB">
        <w:t xml:space="preserve">. </w:t>
      </w:r>
      <w:r w:rsidRPr="009F3678">
        <w:t xml:space="preserve">Bedrijven ervaren onduidelijkheid over de afvalstatusbeoordeling en vergunningseisen, maar het is nog niet duidelijk of dit door het wettelijke kader, interpretatieverschillen of een kennislacune wordt veroorzaakt. </w:t>
      </w:r>
      <w:r w:rsidRPr="7C1B610D">
        <w:t>Vanaf Q3 starten we daar</w:t>
      </w:r>
      <w:r>
        <w:t>om</w:t>
      </w:r>
      <w:r w:rsidRPr="7C1B610D">
        <w:t xml:space="preserve"> een gerichte verkenning naar de aard van de ervaren knelpunten en mogelijke kennislacunes bij bedrijven, om te bepalen welke aanvullende maatregelen nodig zijn om duidelijkheid en werkbaarheid te vergroten.</w:t>
      </w:r>
      <w:r w:rsidRPr="009F3678">
        <w:t xml:space="preserve"> Een mogelijke deeloplossing is om de handreiking afvalstof/niet</w:t>
      </w:r>
      <w:r w:rsidRPr="00C55E50">
        <w:rPr>
          <w:rFonts w:ascii="Cambria Math" w:hAnsi="Cambria Math" w:cs="Cambria Math"/>
        </w:rPr>
        <w:t>‑</w:t>
      </w:r>
      <w:r w:rsidRPr="009F3678">
        <w:t>afvalstof voor EEA te actualiseren, met expliciete verwijzing naar het algemene beoordelingskader en toepassing op kritieke grondstoffen.</w:t>
      </w:r>
      <w:bookmarkEnd w:id="1"/>
    </w:p>
    <w:p w:rsidR="00551765" w:rsidP="00551765" w:rsidRDefault="00551765" w14:paraId="4DC9DFE9" w14:textId="77777777">
      <w:pPr>
        <w:pStyle w:val="Lijstalinea"/>
        <w:ind w:left="360"/>
      </w:pPr>
    </w:p>
    <w:p w:rsidR="001111C4" w:rsidP="0015385D" w:rsidRDefault="002B2D1D" w14:paraId="2EAD83A9" w14:textId="51CA322C">
      <w:pPr>
        <w:pStyle w:val="Lijstalinea"/>
        <w:numPr>
          <w:ilvl w:val="1"/>
          <w:numId w:val="45"/>
        </w:numPr>
      </w:pPr>
      <w:r w:rsidRPr="4556D3C5">
        <w:t>A</w:t>
      </w:r>
      <w:r w:rsidRPr="4556D3C5" w:rsidR="00856725">
        <w:t>ctie</w:t>
      </w:r>
      <w:r w:rsidRPr="4556D3C5" w:rsidR="00474465">
        <w:t>:</w:t>
      </w:r>
      <w:r w:rsidRPr="0015385D" w:rsidR="00856725">
        <w:rPr>
          <w:b/>
        </w:rPr>
        <w:t xml:space="preserve"> </w:t>
      </w:r>
      <w:r w:rsidRPr="0015385D" w:rsidR="00CE6D68">
        <w:rPr>
          <w:b/>
        </w:rPr>
        <w:t xml:space="preserve">Samenwerking over de grens en </w:t>
      </w:r>
      <w:proofErr w:type="spellStart"/>
      <w:r w:rsidRPr="0015385D" w:rsidR="00856725">
        <w:rPr>
          <w:b/>
        </w:rPr>
        <w:t>Transregional</w:t>
      </w:r>
      <w:proofErr w:type="spellEnd"/>
      <w:r w:rsidRPr="0015385D" w:rsidR="00856725">
        <w:rPr>
          <w:b/>
        </w:rPr>
        <w:t xml:space="preserve"> </w:t>
      </w:r>
      <w:proofErr w:type="spellStart"/>
      <w:r w:rsidRPr="0015385D" w:rsidR="00856725">
        <w:rPr>
          <w:b/>
        </w:rPr>
        <w:t>Circular</w:t>
      </w:r>
      <w:proofErr w:type="spellEnd"/>
      <w:r w:rsidRPr="0015385D" w:rsidR="00856725">
        <w:rPr>
          <w:b/>
        </w:rPr>
        <w:t xml:space="preserve"> Hubs</w:t>
      </w:r>
      <w:r w:rsidRPr="0015385D" w:rsidR="00F72DE4">
        <w:rPr>
          <w:b/>
        </w:rPr>
        <w:t>.</w:t>
      </w:r>
      <w:r w:rsidRPr="0015385D" w:rsidR="00CE6D68">
        <w:rPr>
          <w:b/>
        </w:rPr>
        <w:t xml:space="preserve"> </w:t>
      </w:r>
      <w:r w:rsidRPr="4556D3C5" w:rsidR="00CE6D68">
        <w:t>Nederland</w:t>
      </w:r>
      <w:r w:rsidRPr="4556D3C5" w:rsidR="001C369A">
        <w:t xml:space="preserve"> werkt</w:t>
      </w:r>
      <w:r w:rsidRPr="4556D3C5" w:rsidR="00CE6D68">
        <w:t xml:space="preserve"> met Frankrijk, België en Duitsland </w:t>
      </w:r>
      <w:r w:rsidRPr="4556D3C5" w:rsidR="00FE1D11">
        <w:t>samen</w:t>
      </w:r>
      <w:r w:rsidRPr="4556D3C5" w:rsidR="00CE6D68">
        <w:t xml:space="preserve"> binnen de </w:t>
      </w:r>
      <w:proofErr w:type="spellStart"/>
      <w:r w:rsidRPr="0015385D" w:rsidR="00CE6D68">
        <w:rPr>
          <w:i/>
        </w:rPr>
        <w:t>Transregional</w:t>
      </w:r>
      <w:proofErr w:type="spellEnd"/>
      <w:r w:rsidRPr="0015385D" w:rsidR="00CE6D68">
        <w:rPr>
          <w:i/>
        </w:rPr>
        <w:t xml:space="preserve"> </w:t>
      </w:r>
      <w:proofErr w:type="spellStart"/>
      <w:r w:rsidRPr="0015385D" w:rsidR="00CE6D68">
        <w:rPr>
          <w:i/>
        </w:rPr>
        <w:t>Circular</w:t>
      </w:r>
      <w:proofErr w:type="spellEnd"/>
      <w:r w:rsidRPr="0015385D" w:rsidR="00CE6D68">
        <w:rPr>
          <w:i/>
        </w:rPr>
        <w:t xml:space="preserve"> Hubs</w:t>
      </w:r>
      <w:r w:rsidRPr="4556D3C5" w:rsidR="00CE6D68">
        <w:t xml:space="preserve"> van de Clean Industrial Deal. Deze Europese aanpak stimuleert samenwerking tussen regio’s om industrie te verduurzamen, afhankelijkheid van grondstoffen te verkleinen en productie schoner te maken. Het doel is om grensoverschrijdend te verkennen hoe </w:t>
      </w:r>
      <w:r w:rsidRPr="4556D3C5" w:rsidR="00582906">
        <w:t xml:space="preserve">hergebruik, opknappen, reparatie en </w:t>
      </w:r>
      <w:r w:rsidRPr="4556D3C5" w:rsidR="00CE6D68">
        <w:t xml:space="preserve">recycling het best georganiseerd kan worden zonder </w:t>
      </w:r>
      <w:r w:rsidRPr="4556D3C5" w:rsidR="00582906">
        <w:t>onnodig</w:t>
      </w:r>
      <w:r w:rsidRPr="4556D3C5" w:rsidR="00026255">
        <w:t>e</w:t>
      </w:r>
      <w:r w:rsidRPr="4556D3C5" w:rsidR="00582906">
        <w:t xml:space="preserve"> </w:t>
      </w:r>
      <w:r w:rsidRPr="4556D3C5" w:rsidR="00CE6D68">
        <w:t xml:space="preserve">onderlinge concurrentie. Een bestaand voorbeeld is </w:t>
      </w:r>
      <w:r w:rsidRPr="4556D3C5" w:rsidR="00582906">
        <w:t xml:space="preserve">de uitvoering van de Joint </w:t>
      </w:r>
      <w:proofErr w:type="spellStart"/>
      <w:r w:rsidRPr="4556D3C5" w:rsidR="00582906">
        <w:t>Declaration</w:t>
      </w:r>
      <w:proofErr w:type="spellEnd"/>
      <w:r w:rsidRPr="4556D3C5" w:rsidR="00582906">
        <w:t xml:space="preserve"> on </w:t>
      </w:r>
      <w:proofErr w:type="spellStart"/>
      <w:r w:rsidRPr="4556D3C5" w:rsidR="00582906">
        <w:t>Circular</w:t>
      </w:r>
      <w:proofErr w:type="spellEnd"/>
      <w:r w:rsidRPr="4556D3C5" w:rsidR="00582906">
        <w:t xml:space="preserve"> </w:t>
      </w:r>
      <w:proofErr w:type="spellStart"/>
      <w:r w:rsidRPr="4556D3C5" w:rsidR="00582906">
        <w:t>Economy</w:t>
      </w:r>
      <w:proofErr w:type="spellEnd"/>
      <w:r w:rsidRPr="4556D3C5" w:rsidR="00582906">
        <w:t xml:space="preserve"> tussen </w:t>
      </w:r>
      <w:r w:rsidRPr="4556D3C5" w:rsidR="00CE6D68">
        <w:t xml:space="preserve">Nederland, Noordrijn-Westfalen en Vlaanderen </w:t>
      </w:r>
      <w:r w:rsidRPr="4556D3C5" w:rsidR="00582906">
        <w:t xml:space="preserve">(ook wel </w:t>
      </w:r>
      <w:proofErr w:type="spellStart"/>
      <w:r w:rsidRPr="4556D3C5" w:rsidR="00582906">
        <w:t>Circular</w:t>
      </w:r>
      <w:proofErr w:type="spellEnd"/>
      <w:r w:rsidRPr="4556D3C5" w:rsidR="00582906">
        <w:t xml:space="preserve"> Valley genoemd) waarin de drie overheden met bedrijven, kennisinstellingen en </w:t>
      </w:r>
      <w:proofErr w:type="spellStart"/>
      <w:r w:rsidRPr="4556D3C5" w:rsidR="00582906">
        <w:t>NGO’s</w:t>
      </w:r>
      <w:proofErr w:type="spellEnd"/>
      <w:r w:rsidRPr="4556D3C5" w:rsidR="00582906">
        <w:t xml:space="preserve"> </w:t>
      </w:r>
      <w:r w:rsidRPr="4556D3C5" w:rsidR="00CE6D68">
        <w:t xml:space="preserve">samenwerken aan </w:t>
      </w:r>
      <w:r w:rsidRPr="4556D3C5" w:rsidR="00582906">
        <w:t xml:space="preserve">onder meer hergebruik, opknappen, reparatie en </w:t>
      </w:r>
      <w:r w:rsidRPr="4556D3C5" w:rsidR="00CE6D68">
        <w:t xml:space="preserve">recycling van batterijen en elektrische/elektronische apparaten. De ambitie is om </w:t>
      </w:r>
      <w:r w:rsidRPr="4556D3C5" w:rsidR="00582906">
        <w:t xml:space="preserve">gericht en selectief </w:t>
      </w:r>
      <w:proofErr w:type="spellStart"/>
      <w:r w:rsidRPr="4556D3C5" w:rsidR="00CE6D68">
        <w:t>waardeketens</w:t>
      </w:r>
      <w:proofErr w:type="spellEnd"/>
      <w:r w:rsidRPr="4556D3C5" w:rsidR="00CE6D68">
        <w:t xml:space="preserve"> te versterken, leveringsrisico’s te verkleinen en voldoende schaalgrootte te creëren door gezamenlijke inzameling en verwerking van </w:t>
      </w:r>
      <w:r w:rsidRPr="4556D3C5" w:rsidR="00582906">
        <w:t>de secundaire producten en materialen</w:t>
      </w:r>
      <w:r w:rsidRPr="4556D3C5" w:rsidR="00CE6D68">
        <w:t>. Ook wordt gekeken welke lidstaat welke grondstoffen idealiter verwerkt</w:t>
      </w:r>
      <w:r w:rsidRPr="4556D3C5" w:rsidR="00582906">
        <w:t xml:space="preserve"> en hoe financiering daarvan slim tot stand gebracht kan worden</w:t>
      </w:r>
      <w:r w:rsidRPr="4556D3C5" w:rsidR="00CE6D68">
        <w:t>.</w:t>
      </w:r>
      <w:r w:rsidRPr="4556D3C5" w:rsidR="00026594">
        <w:t xml:space="preserve"> </w:t>
      </w:r>
      <w:r w:rsidRPr="4556D3C5" w:rsidR="000841C7">
        <w:t xml:space="preserve">In 2026 is Nederland voorzitter van </w:t>
      </w:r>
      <w:r w:rsidRPr="4556D3C5" w:rsidR="00582906">
        <w:t>deze trilaterale samenwerking</w:t>
      </w:r>
      <w:r w:rsidRPr="4556D3C5" w:rsidR="001C369A">
        <w:t xml:space="preserve"> en zal aandacht vragen voor versterking van samenwerking aan recycling van kritieke grondstoffen</w:t>
      </w:r>
      <w:r w:rsidRPr="4556D3C5" w:rsidR="000841C7">
        <w:t xml:space="preserve">. </w:t>
      </w:r>
    </w:p>
    <w:p w:rsidR="00974489" w:rsidP="00974489" w:rsidRDefault="00974489" w14:paraId="592E8834" w14:textId="77777777">
      <w:pPr>
        <w:pStyle w:val="Lijstalinea"/>
        <w:ind w:left="360"/>
      </w:pPr>
    </w:p>
    <w:p w:rsidR="00974489" w:rsidP="006E099A" w:rsidRDefault="002B2D1D" w14:paraId="4234CA26" w14:textId="6454D04C">
      <w:pPr>
        <w:pStyle w:val="Lijstalinea"/>
        <w:numPr>
          <w:ilvl w:val="1"/>
          <w:numId w:val="45"/>
        </w:numPr>
      </w:pPr>
      <w:r w:rsidRPr="009F3678">
        <w:t xml:space="preserve">Actie: </w:t>
      </w:r>
      <w:r w:rsidRPr="009F3678">
        <w:rPr>
          <w:b/>
        </w:rPr>
        <w:t>Inzet op duurza</w:t>
      </w:r>
      <w:r w:rsidRPr="009F3678" w:rsidR="007E3C95">
        <w:rPr>
          <w:b/>
        </w:rPr>
        <w:t>am beleid</w:t>
      </w:r>
      <w:r w:rsidR="00D47E9D">
        <w:rPr>
          <w:b/>
        </w:rPr>
        <w:t xml:space="preserve"> voor het ontdoen van</w:t>
      </w:r>
      <w:r w:rsidRPr="009F3678" w:rsidR="00DC192E">
        <w:rPr>
          <w:b/>
        </w:rPr>
        <w:t xml:space="preserve"> Rijksgoederen</w:t>
      </w:r>
      <w:r w:rsidRPr="009F3678">
        <w:rPr>
          <w:b/>
        </w:rPr>
        <w:t xml:space="preserve">: </w:t>
      </w:r>
      <w:r w:rsidRPr="009F3678" w:rsidR="0081277C">
        <w:t>Het Rijk koopt jaarlijks duizenden producten in. V</w:t>
      </w:r>
      <w:r w:rsidR="00D47E9D">
        <w:t>an veel</w:t>
      </w:r>
      <w:r w:rsidRPr="009F3678" w:rsidR="0081277C">
        <w:t xml:space="preserve"> van deze producten </w:t>
      </w:r>
      <w:r w:rsidR="00D47E9D">
        <w:t>ontdoet het Rijk zich</w:t>
      </w:r>
      <w:r w:rsidRPr="009F3678" w:rsidR="0081277C">
        <w:t xml:space="preserve"> na de gebruiksfase. Terwijl een deel hergebruikt en/of verkocht wordt voor een volgend leven, moet een deel vernietigd worden. Met deze actie </w:t>
      </w:r>
      <w:r w:rsidR="0081277C">
        <w:t>wordt</w:t>
      </w:r>
      <w:r w:rsidRPr="009F3678" w:rsidR="0081277C">
        <w:t xml:space="preserve"> in </w:t>
      </w:r>
      <w:r w:rsidR="0081277C">
        <w:t>Q</w:t>
      </w:r>
      <w:r w:rsidR="00D5070F">
        <w:t>4 2026 – Q1 2027</w:t>
      </w:r>
      <w:r w:rsidRPr="009F3678" w:rsidR="0081277C">
        <w:t xml:space="preserve"> onderzo</w:t>
      </w:r>
      <w:r w:rsidR="0081277C">
        <w:t>cht</w:t>
      </w:r>
      <w:r w:rsidRPr="009F3678" w:rsidR="0081277C">
        <w:t xml:space="preserve"> hoe kritieke grondstoffen optimaal teruggewonnen kunnen worden uit afgestoten Rijksgoederen.</w:t>
      </w:r>
    </w:p>
    <w:p w:rsidRPr="000C15ED" w:rsidR="00856725" w:rsidP="000C15ED" w:rsidRDefault="005D3355" w14:paraId="1D8E9CBE" w14:textId="6AB5296D">
      <w:pPr>
        <w:pStyle w:val="Geenafstand"/>
        <w:rPr>
          <w:i/>
          <w:iCs/>
        </w:rPr>
      </w:pPr>
      <w:r w:rsidRPr="000C15ED">
        <w:rPr>
          <w:i/>
          <w:iCs/>
        </w:rPr>
        <w:t xml:space="preserve">3. </w:t>
      </w:r>
      <w:r w:rsidRPr="000C15ED" w:rsidR="00D86925">
        <w:rPr>
          <w:i/>
          <w:iCs/>
        </w:rPr>
        <w:t xml:space="preserve">Pijler </w:t>
      </w:r>
      <w:r w:rsidRPr="000C15ED" w:rsidR="00EC4DBE">
        <w:rPr>
          <w:i/>
          <w:iCs/>
        </w:rPr>
        <w:t xml:space="preserve">- </w:t>
      </w:r>
      <w:r w:rsidRPr="000C15ED" w:rsidR="00856725">
        <w:rPr>
          <w:i/>
          <w:iCs/>
        </w:rPr>
        <w:t xml:space="preserve">Aanjagen van de vraag naar gerecyclede kritieke grondstoffen en circulaire producten </w:t>
      </w:r>
    </w:p>
    <w:p w:rsidRPr="00BB29BE" w:rsidR="00F13550" w:rsidP="00856725" w:rsidRDefault="00B65913" w14:paraId="632D3F6D" w14:textId="6FDD87D6">
      <w:pPr>
        <w:rPr>
          <w:rFonts w:cstheme="minorHAnsi"/>
        </w:rPr>
      </w:pPr>
      <w:r>
        <w:rPr>
          <w:rFonts w:cstheme="minorHAnsi"/>
        </w:rPr>
        <w:t>Op dit moment</w:t>
      </w:r>
      <w:r w:rsidRPr="00BB29BE" w:rsidR="00F13550">
        <w:rPr>
          <w:rFonts w:cstheme="minorHAnsi"/>
        </w:rPr>
        <w:t xml:space="preserve"> zijn primaire kritieke grondstoffen in de productie nog goedkoper dan secundaire kritieke grondstoffen</w:t>
      </w:r>
      <w:r w:rsidRPr="00BB29BE" w:rsidR="009A231C">
        <w:rPr>
          <w:rFonts w:cstheme="minorHAnsi"/>
        </w:rPr>
        <w:t xml:space="preserve">. </w:t>
      </w:r>
      <w:r w:rsidRPr="00BB29BE" w:rsidR="00F13550">
        <w:rPr>
          <w:rFonts w:cstheme="minorHAnsi"/>
        </w:rPr>
        <w:t>Het is daarom belangrijk om</w:t>
      </w:r>
      <w:r w:rsidRPr="00BB29BE" w:rsidR="00C37B08">
        <w:rPr>
          <w:rFonts w:cstheme="minorHAnsi"/>
        </w:rPr>
        <w:t xml:space="preserve"> de</w:t>
      </w:r>
      <w:r w:rsidRPr="00BB29BE" w:rsidR="00F13550">
        <w:rPr>
          <w:rFonts w:cstheme="minorHAnsi"/>
        </w:rPr>
        <w:t xml:space="preserve"> vraag naar circulaire producten en secundaire kritieke grondstoffen te </w:t>
      </w:r>
      <w:r w:rsidRPr="00BB29BE" w:rsidR="00C04DDA">
        <w:rPr>
          <w:rFonts w:cstheme="minorHAnsi"/>
        </w:rPr>
        <w:t>stimuleren</w:t>
      </w:r>
      <w:r w:rsidRPr="00BB29BE" w:rsidR="00F13550">
        <w:rPr>
          <w:rFonts w:cstheme="minorHAnsi"/>
        </w:rPr>
        <w:t xml:space="preserve">. </w:t>
      </w:r>
      <w:r>
        <w:rPr>
          <w:rFonts w:cstheme="minorHAnsi"/>
        </w:rPr>
        <w:t>Hiervoor is een</w:t>
      </w:r>
      <w:r w:rsidRPr="00BB29BE" w:rsidR="00F13550">
        <w:rPr>
          <w:rFonts w:cstheme="minorHAnsi"/>
        </w:rPr>
        <w:t xml:space="preserve"> goed functionerende </w:t>
      </w:r>
      <w:r w:rsidR="0081277C">
        <w:rPr>
          <w:rFonts w:cstheme="minorHAnsi"/>
        </w:rPr>
        <w:t xml:space="preserve">en stabiele </w:t>
      </w:r>
      <w:r w:rsidRPr="00BB29BE" w:rsidR="00F13550">
        <w:rPr>
          <w:rFonts w:cstheme="minorHAnsi"/>
        </w:rPr>
        <w:t>afzetmarkt nodig om recycling rendabel te maken en bedrijven te stimuleren om her</w:t>
      </w:r>
      <w:r w:rsidRPr="00BB29BE" w:rsidR="00D87B7F">
        <w:rPr>
          <w:rFonts w:cstheme="minorHAnsi"/>
        </w:rPr>
        <w:t xml:space="preserve">bruikbare </w:t>
      </w:r>
      <w:r w:rsidRPr="00BB29BE" w:rsidR="00F13550">
        <w:rPr>
          <w:rFonts w:cstheme="minorHAnsi"/>
        </w:rPr>
        <w:t>materialen te gebruiken.</w:t>
      </w:r>
    </w:p>
    <w:p w:rsidRPr="00974489" w:rsidR="00B935E9" w:rsidP="00F67984" w:rsidRDefault="00F94615" w14:paraId="18721BF2" w14:textId="233A641D">
      <w:pPr>
        <w:pStyle w:val="Lijstalinea"/>
        <w:numPr>
          <w:ilvl w:val="1"/>
          <w:numId w:val="46"/>
        </w:numPr>
        <w:rPr>
          <w:i/>
        </w:rPr>
      </w:pPr>
      <w:r w:rsidRPr="4556D3C5">
        <w:t>Actie</w:t>
      </w:r>
      <w:r w:rsidRPr="4556D3C5" w:rsidR="00372262">
        <w:t>:</w:t>
      </w:r>
      <w:r w:rsidRPr="4556D3C5" w:rsidR="00372262">
        <w:rPr>
          <w:i/>
        </w:rPr>
        <w:t xml:space="preserve"> </w:t>
      </w:r>
      <w:r w:rsidRPr="4556D3C5">
        <w:rPr>
          <w:b/>
        </w:rPr>
        <w:t xml:space="preserve">Inzet </w:t>
      </w:r>
      <w:r w:rsidRPr="4556D3C5" w:rsidR="00CE6D68">
        <w:rPr>
          <w:b/>
        </w:rPr>
        <w:t xml:space="preserve">op </w:t>
      </w:r>
      <w:r w:rsidR="00F07F79">
        <w:rPr>
          <w:b/>
        </w:rPr>
        <w:t xml:space="preserve">recyclebaarheid van kritieke grondstoffen en </w:t>
      </w:r>
      <w:r w:rsidRPr="4556D3C5" w:rsidR="00CE6D68">
        <w:rPr>
          <w:b/>
        </w:rPr>
        <w:t xml:space="preserve">minimum </w:t>
      </w:r>
      <w:r w:rsidRPr="4556D3C5" w:rsidR="0089293A">
        <w:rPr>
          <w:b/>
        </w:rPr>
        <w:t xml:space="preserve">aandeel </w:t>
      </w:r>
      <w:r w:rsidR="00C90B41">
        <w:rPr>
          <w:b/>
        </w:rPr>
        <w:t xml:space="preserve">recyclaat van </w:t>
      </w:r>
      <w:r w:rsidRPr="4556D3C5" w:rsidR="00CE6D68">
        <w:rPr>
          <w:b/>
        </w:rPr>
        <w:t>kritieke grondstoffen in producten</w:t>
      </w:r>
      <w:r w:rsidR="00C90B41">
        <w:rPr>
          <w:b/>
        </w:rPr>
        <w:t xml:space="preserve"> onder de </w:t>
      </w:r>
      <w:proofErr w:type="spellStart"/>
      <w:r w:rsidR="00C90B41">
        <w:rPr>
          <w:b/>
        </w:rPr>
        <w:t>Ecodesign</w:t>
      </w:r>
      <w:proofErr w:type="spellEnd"/>
      <w:r w:rsidR="00C90B41">
        <w:rPr>
          <w:b/>
        </w:rPr>
        <w:t xml:space="preserve"> Verordening</w:t>
      </w:r>
      <w:r w:rsidRPr="4556D3C5" w:rsidR="00CE6D68">
        <w:rPr>
          <w:b/>
        </w:rPr>
        <w:t xml:space="preserve">. </w:t>
      </w:r>
      <w:r w:rsidRPr="4556D3C5" w:rsidR="0089293A">
        <w:t xml:space="preserve">Het kabinet zal bepleiten dat minimale </w:t>
      </w:r>
      <w:proofErr w:type="spellStart"/>
      <w:r w:rsidR="008350A5">
        <w:t>recyclebaarheidseisen</w:t>
      </w:r>
      <w:proofErr w:type="spellEnd"/>
      <w:r w:rsidR="008350A5">
        <w:t xml:space="preserve"> en </w:t>
      </w:r>
      <w:r w:rsidRPr="4556D3C5" w:rsidR="0089293A">
        <w:t>recyclaatseisen voor kritieke grondstoffen worden opgenomen in</w:t>
      </w:r>
      <w:r w:rsidRPr="4556D3C5">
        <w:t xml:space="preserve"> product specifieke </w:t>
      </w:r>
      <w:proofErr w:type="spellStart"/>
      <w:r w:rsidRPr="4556D3C5">
        <w:t>Ecodesign</w:t>
      </w:r>
      <w:proofErr w:type="spellEnd"/>
      <w:r w:rsidRPr="4556D3C5">
        <w:t xml:space="preserve"> eisen </w:t>
      </w:r>
      <w:r w:rsidRPr="4556D3C5" w:rsidR="0089293A">
        <w:t>voor EEA</w:t>
      </w:r>
      <w:r w:rsidRPr="4556D3C5">
        <w:t xml:space="preserve"> </w:t>
      </w:r>
      <w:r w:rsidRPr="4556D3C5" w:rsidR="00D87B7F">
        <w:t xml:space="preserve">en </w:t>
      </w:r>
      <w:r w:rsidRPr="4556D3C5">
        <w:t xml:space="preserve">in </w:t>
      </w:r>
      <w:r w:rsidRPr="4556D3C5" w:rsidR="0089293A">
        <w:t>de</w:t>
      </w:r>
      <w:r w:rsidRPr="4556D3C5">
        <w:t xml:space="preserve"> horizontale eis voor </w:t>
      </w:r>
      <w:r w:rsidRPr="4556D3C5">
        <w:lastRenderedPageBreak/>
        <w:t xml:space="preserve">recyclebaarheid </w:t>
      </w:r>
      <w:r w:rsidR="008350A5">
        <w:t xml:space="preserve">van </w:t>
      </w:r>
      <w:r w:rsidRPr="4556D3C5">
        <w:t xml:space="preserve">en </w:t>
      </w:r>
      <w:r w:rsidR="008350A5">
        <w:t xml:space="preserve">toepassing van </w:t>
      </w:r>
      <w:r w:rsidRPr="4556D3C5">
        <w:t>recyclaat</w:t>
      </w:r>
      <w:r w:rsidRPr="4556D3C5" w:rsidR="00D87B7F">
        <w:t xml:space="preserve"> </w:t>
      </w:r>
      <w:r w:rsidR="008350A5">
        <w:t>in</w:t>
      </w:r>
      <w:r w:rsidRPr="4556D3C5" w:rsidR="00D87B7F">
        <w:t xml:space="preserve"> </w:t>
      </w:r>
      <w:r w:rsidRPr="4556D3C5" w:rsidR="0089293A">
        <w:t>EEA</w:t>
      </w:r>
      <w:r w:rsidRPr="4556D3C5">
        <w:t xml:space="preserve">. Deze horizontale eis wordt komende jaren uitgewerkt en wordt naar verwachting in 2029 vastgesteld. De eis </w:t>
      </w:r>
      <w:r w:rsidR="00F07F79">
        <w:t>zou</w:t>
      </w:r>
      <w:r w:rsidRPr="4556D3C5">
        <w:t xml:space="preserve"> dan in 2031 van kracht</w:t>
      </w:r>
      <w:r w:rsidR="00F07F79">
        <w:t xml:space="preserve"> worden</w:t>
      </w:r>
      <w:r w:rsidRPr="4556D3C5">
        <w:t>.</w:t>
      </w:r>
      <w:r w:rsidRPr="4556D3C5" w:rsidR="00372262">
        <w:t xml:space="preserve"> </w:t>
      </w:r>
      <w:r w:rsidRPr="4556D3C5">
        <w:t>In combinatie met de inzet op de herziening van de Richtlijn AEEA</w:t>
      </w:r>
      <w:r w:rsidRPr="4556D3C5" w:rsidR="00D87B7F">
        <w:t>,</w:t>
      </w:r>
      <w:r w:rsidRPr="4556D3C5">
        <w:t xml:space="preserve"> moet deze maatregel ertoe leiden dat kritieke grondstoffen uit AEEA </w:t>
      </w:r>
      <w:r w:rsidR="00F07F79">
        <w:t xml:space="preserve">effectief worden gerecycled en dat het recyclaat </w:t>
      </w:r>
      <w:r w:rsidRPr="4556D3C5">
        <w:t>daadwerkelijk worden gebruikt in de productie van nieuwe producten. Zo blijven de kritieke grondstoffen in omloop en is er minder nodig.</w:t>
      </w:r>
    </w:p>
    <w:p w:rsidRPr="00F67984" w:rsidR="00974489" w:rsidP="00974489" w:rsidRDefault="00974489" w14:paraId="06033F4F" w14:textId="77777777">
      <w:pPr>
        <w:pStyle w:val="Lijstalinea"/>
        <w:ind w:left="360"/>
        <w:rPr>
          <w:i/>
        </w:rPr>
      </w:pPr>
    </w:p>
    <w:p w:rsidR="0066077C" w:rsidP="0066077C" w:rsidRDefault="00856725" w14:paraId="1B634479" w14:textId="77777777">
      <w:pPr>
        <w:pStyle w:val="Lijstalinea"/>
        <w:numPr>
          <w:ilvl w:val="1"/>
          <w:numId w:val="46"/>
        </w:numPr>
      </w:pPr>
      <w:r w:rsidRPr="00BB29BE">
        <w:t xml:space="preserve">Actie: </w:t>
      </w:r>
      <w:r w:rsidRPr="00F67984" w:rsidR="00193A39">
        <w:rPr>
          <w:b/>
          <w:bCs/>
        </w:rPr>
        <w:t xml:space="preserve">CRMA-eisen integreren </w:t>
      </w:r>
      <w:r w:rsidR="00193A39">
        <w:rPr>
          <w:b/>
          <w:bCs/>
        </w:rPr>
        <w:t>i</w:t>
      </w:r>
      <w:r w:rsidRPr="00F67984" w:rsidR="00F67984">
        <w:rPr>
          <w:b/>
          <w:bCs/>
        </w:rPr>
        <w:t xml:space="preserve">n de Agenda en Uitvoeringsprogramma MVOI 2026-2030 </w:t>
      </w:r>
      <w:r w:rsidR="00193A39">
        <w:rPr>
          <w:b/>
          <w:bCs/>
        </w:rPr>
        <w:t>en</w:t>
      </w:r>
      <w:r w:rsidRPr="00F67984" w:rsidR="00F67984">
        <w:rPr>
          <w:b/>
          <w:bCs/>
        </w:rPr>
        <w:t xml:space="preserve"> het Nationaal plan Maatschappelijk Verantwoord Inkopen 2021-2025</w:t>
      </w:r>
      <w:r w:rsidR="00784375">
        <w:rPr>
          <w:b/>
          <w:bCs/>
        </w:rPr>
        <w:t>.</w:t>
      </w:r>
      <w:r w:rsidRPr="009F3678" w:rsidR="00F67984">
        <w:rPr>
          <w:b/>
        </w:rPr>
        <w:t> </w:t>
      </w:r>
      <w:r w:rsidRPr="009F3678" w:rsidR="00F67984">
        <w:t>Door de inkoop van circulaire producten of producten met een minimum aandeel recyclaat, kan de vraag naar circulaire producten en producten die secundaire kritieke grondstoffen bevatten</w:t>
      </w:r>
      <w:r w:rsidR="00193A39">
        <w:t>, zoals</w:t>
      </w:r>
      <w:r w:rsidRPr="009F3678" w:rsidR="00F67984">
        <w:t xml:space="preserve"> </w:t>
      </w:r>
      <w:r w:rsidRPr="009F3678" w:rsidR="00193A39">
        <w:t>circulaire zonnepanelen, ICT-hardware en batterijen</w:t>
      </w:r>
      <w:r w:rsidR="00193A39">
        <w:t>,</w:t>
      </w:r>
      <w:r w:rsidRPr="009F3678" w:rsidR="00193A39">
        <w:t xml:space="preserve"> </w:t>
      </w:r>
      <w:r w:rsidRPr="009F3678" w:rsidR="00F67984">
        <w:t>gestimuleerd worden. Momenteel wordt het Nationaal Plan MVI geactualiseerd</w:t>
      </w:r>
      <w:r w:rsidR="00193A39">
        <w:t>.</w:t>
      </w:r>
      <w:r w:rsidRPr="009F3678" w:rsidR="00F67984">
        <w:t xml:space="preserve"> In de Agenda MVOI waarbij er ingezet wordt op prioritaire productketens, waaronder zonnepanelen, ICT-hardware en batterijen. </w:t>
      </w:r>
    </w:p>
    <w:p w:rsidR="0066077C" w:rsidP="0066077C" w:rsidRDefault="0066077C" w14:paraId="4A46A72E" w14:textId="77777777">
      <w:pPr>
        <w:pStyle w:val="Lijstalinea"/>
      </w:pPr>
    </w:p>
    <w:p w:rsidRPr="0066077C" w:rsidR="004D1F1D" w:rsidP="00285ABF" w:rsidRDefault="00856725" w14:paraId="6A93A639" w14:textId="5022D2B5">
      <w:pPr>
        <w:pStyle w:val="Lijstalinea"/>
        <w:numPr>
          <w:ilvl w:val="1"/>
          <w:numId w:val="46"/>
        </w:numPr>
      </w:pPr>
      <w:r w:rsidRPr="00BB29BE">
        <w:t>Acti</w:t>
      </w:r>
      <w:r w:rsidRPr="00BB29BE" w:rsidR="00262808">
        <w:t>e</w:t>
      </w:r>
      <w:r w:rsidRPr="00BB29BE">
        <w:t xml:space="preserve">: </w:t>
      </w:r>
      <w:r w:rsidRPr="0066077C">
        <w:rPr>
          <w:b/>
        </w:rPr>
        <w:t xml:space="preserve">In het kader van de </w:t>
      </w:r>
      <w:proofErr w:type="spellStart"/>
      <w:r w:rsidRPr="0066077C">
        <w:rPr>
          <w:b/>
        </w:rPr>
        <w:t>Ecodesign</w:t>
      </w:r>
      <w:proofErr w:type="spellEnd"/>
      <w:r w:rsidRPr="0066077C">
        <w:rPr>
          <w:b/>
        </w:rPr>
        <w:t xml:space="preserve"> eisen voor elektrische en elektronische apparaten inzetten op circulaire inkoopeisen</w:t>
      </w:r>
      <w:r w:rsidR="00AF30F8">
        <w:rPr>
          <w:b/>
        </w:rPr>
        <w:t xml:space="preserve"> met een minimum</w:t>
      </w:r>
      <w:r w:rsidR="00D5070F">
        <w:rPr>
          <w:b/>
        </w:rPr>
        <w:t xml:space="preserve"> aandeel</w:t>
      </w:r>
      <w:r w:rsidR="00AF30F8">
        <w:rPr>
          <w:b/>
        </w:rPr>
        <w:t xml:space="preserve"> gerecyclede kritieke grondstoffen</w:t>
      </w:r>
      <w:r w:rsidRPr="00BB29BE">
        <w:t xml:space="preserve">, waar nuttig. </w:t>
      </w:r>
    </w:p>
    <w:p w:rsidRPr="00562634" w:rsidR="00135114" w:rsidP="00562634" w:rsidRDefault="00562634" w14:paraId="73C7B141" w14:textId="7549A778">
      <w:pPr>
        <w:pStyle w:val="Geenafstand"/>
        <w:numPr>
          <w:ilvl w:val="0"/>
          <w:numId w:val="46"/>
        </w:numPr>
        <w:rPr>
          <w:i/>
          <w:iCs/>
        </w:rPr>
      </w:pPr>
      <w:r w:rsidRPr="00562634">
        <w:rPr>
          <w:i/>
          <w:iCs/>
        </w:rPr>
        <w:t>P</w:t>
      </w:r>
      <w:r w:rsidRPr="00562634" w:rsidR="00135114">
        <w:rPr>
          <w:i/>
          <w:iCs/>
        </w:rPr>
        <w:t>ijler Ruimtegebruik</w:t>
      </w:r>
    </w:p>
    <w:p w:rsidRPr="00BB29BE" w:rsidR="00ED7801" w:rsidP="00ED7801" w:rsidRDefault="00277D5F" w14:paraId="5FA0B0B9" w14:textId="1096E6B3">
      <w:r w:rsidRPr="009F3678">
        <w:t>Voor het laten slagen van de omslag naar een circulaire economie is ruimte voor circulaire bedrijfsactiviteiten cruciaal</w:t>
      </w:r>
      <w:r w:rsidRPr="009F3678" w:rsidR="00AD3ACC">
        <w:t xml:space="preserve">. </w:t>
      </w:r>
      <w:r w:rsidRPr="009F3678" w:rsidR="00725413">
        <w:t>Het onderzoek Nationale Prognose Ruimtebehoefte Industrieclusters beschrijft dat met de transitie naar een circulaire economie ook de ruimtelijke voetafdruk verandert ten opzichte van de huidige lineaire economie.</w:t>
      </w:r>
      <w:r w:rsidRPr="009F3678" w:rsidR="00725413">
        <w:rPr>
          <w:rStyle w:val="Voetnootmarkering"/>
        </w:rPr>
        <w:footnoteReference w:id="16"/>
      </w:r>
      <w:r w:rsidRPr="009F3678" w:rsidR="008D55EE">
        <w:t xml:space="preserve"> </w:t>
      </w:r>
      <w:r w:rsidRPr="009F3678" w:rsidR="00AD3ACC">
        <w:t>De ruimtevraag zit vooral in extra functies zoals opslag, retourlogistiek, demontage, bewerking van materialen, decentrale verwerking en (tijdelijke) schuifruimte om de overgang van lineaire naar circulaire bedrijfsmodellen mogelijk te maken.</w:t>
      </w:r>
      <w:r w:rsidRPr="009F3678" w:rsidR="00AD3ACC">
        <w:rPr>
          <w:rStyle w:val="Voetnootmarkering"/>
        </w:rPr>
        <w:footnoteReference w:id="17"/>
      </w:r>
      <w:r w:rsidRPr="009F3678" w:rsidR="00FC22D7">
        <w:t xml:space="preserve"> </w:t>
      </w:r>
      <w:r w:rsidRPr="009F3678" w:rsidR="00AD3ACC">
        <w:t xml:space="preserve">De ruimtevraag manifesteert zich van reguliere terreinen tot terreinen voor hogere milieucategorieën (HMC) en watergebonden locaties. </w:t>
      </w:r>
      <w:r w:rsidRPr="009F3678" w:rsidR="00FC22D7">
        <w:t xml:space="preserve">Een hoge milieucategorie betekent </w:t>
      </w:r>
      <w:r w:rsidRPr="009F3678" w:rsidR="00337633">
        <w:t xml:space="preserve">in deze context dat </w:t>
      </w:r>
      <w:r w:rsidRPr="009F3678" w:rsidR="00FC22D7">
        <w:t xml:space="preserve">een bedrijfsactiviteit </w:t>
      </w:r>
      <w:r w:rsidRPr="009F3678" w:rsidR="00864E20">
        <w:t xml:space="preserve">potentieel </w:t>
      </w:r>
      <w:r w:rsidRPr="009F3678" w:rsidR="00FC22D7">
        <w:t xml:space="preserve">veel milieubelasting veroorzaakt. </w:t>
      </w:r>
      <w:r w:rsidRPr="009F3678" w:rsidR="00AD3ACC">
        <w:t xml:space="preserve">Vooral HMC- en watergebonden terreinen zijn schaars en staan onder druk. </w:t>
      </w:r>
      <w:r w:rsidRPr="009F3678" w:rsidR="00D16FC5">
        <w:t>Een knelpunt is dan ook h</w:t>
      </w:r>
      <w:r w:rsidRPr="009F3678" w:rsidR="00224ABA">
        <w:t>e</w:t>
      </w:r>
      <w:r w:rsidRPr="009F3678" w:rsidR="00D16FC5">
        <w:t>t</w:t>
      </w:r>
      <w:r w:rsidRPr="009F3678" w:rsidR="007F3B63">
        <w:t xml:space="preserve"> gebrek aan ruimte </w:t>
      </w:r>
      <w:r w:rsidRPr="009F3678" w:rsidR="00FE71B5">
        <w:t xml:space="preserve">in Nederland </w:t>
      </w:r>
      <w:r w:rsidRPr="009F3678" w:rsidR="007F3B63">
        <w:t>om met circulaire CRM-projecten aan de slag te gaan en gebrek aan ruimte voor de verwerking van kritieke grondstoffen</w:t>
      </w:r>
      <w:r w:rsidRPr="009F3678" w:rsidR="00FC561A">
        <w:t>.</w:t>
      </w:r>
      <w:r w:rsidR="00777BD4">
        <w:t xml:space="preserve"> </w:t>
      </w:r>
      <w:r w:rsidRPr="00777BD4" w:rsidR="00777BD4">
        <w:t xml:space="preserve">Dit knelpunt is eveneens geïdentificeerd in de Routekaart Weerbare en Circulaire Batterijen. Batterijfabrieken en </w:t>
      </w:r>
      <w:proofErr w:type="spellStart"/>
      <w:r w:rsidRPr="00777BD4" w:rsidR="00777BD4">
        <w:t>recyclingsbedrijven</w:t>
      </w:r>
      <w:proofErr w:type="spellEnd"/>
      <w:r w:rsidRPr="00777BD4" w:rsidR="00777BD4">
        <w:t xml:space="preserve"> vragen om grootschalige locaties voor productiehallen, opslag van grondstoffen en logistieke functies, met de bijbehorende milieu- en veiligheidseisen. Dergelijke locaties zijn schaars en relatief kostbaar.</w:t>
      </w:r>
    </w:p>
    <w:p w:rsidR="0072474B" w:rsidP="00562634" w:rsidRDefault="007F3B63" w14:paraId="2B7A5954" w14:textId="49040186">
      <w:pPr>
        <w:pStyle w:val="Lijstalinea"/>
        <w:numPr>
          <w:ilvl w:val="1"/>
          <w:numId w:val="60"/>
        </w:numPr>
        <w:rPr>
          <w:rFonts w:cstheme="minorHAnsi"/>
          <w:b/>
          <w:bCs/>
        </w:rPr>
      </w:pPr>
      <w:r w:rsidRPr="00562634">
        <w:rPr>
          <w:rFonts w:cstheme="minorHAnsi"/>
        </w:rPr>
        <w:t>Actie</w:t>
      </w:r>
      <w:r w:rsidRPr="00562634" w:rsidR="00262808">
        <w:rPr>
          <w:rFonts w:cstheme="minorHAnsi"/>
        </w:rPr>
        <w:t>:</w:t>
      </w:r>
      <w:r w:rsidRPr="00562634" w:rsidR="000E569B">
        <w:rPr>
          <w:rFonts w:cstheme="minorHAnsi"/>
        </w:rPr>
        <w:t xml:space="preserve"> </w:t>
      </w:r>
      <w:r w:rsidRPr="00562634" w:rsidR="0072474B">
        <w:rPr>
          <w:rFonts w:cstheme="minorHAnsi"/>
          <w:b/>
          <w:bCs/>
        </w:rPr>
        <w:t xml:space="preserve">Vervolgonderzoek inzichtelijk maken ruimtebeslag voor circulaire CRM-projecten. </w:t>
      </w:r>
    </w:p>
    <w:p w:rsidR="00320A43" w:rsidP="00320A43" w:rsidRDefault="00320A43" w14:paraId="0CB28758" w14:textId="57B33EA5">
      <w:pPr>
        <w:pStyle w:val="Lijstalinea"/>
        <w:ind w:left="360"/>
        <w:rPr>
          <w:rFonts w:cstheme="minorHAnsi"/>
        </w:rPr>
      </w:pPr>
      <w:r>
        <w:rPr>
          <w:rFonts w:cstheme="minorHAnsi"/>
        </w:rPr>
        <w:t xml:space="preserve">Het kabinet start een vervolgonderzoek naar de ruimtevraag van circulaire CRM-projecten in locaties als ruimte- en industrieclusters en bedrijventerreinen. Op dit moment heeft het kabinet </w:t>
      </w:r>
      <w:r w:rsidRPr="00370B33">
        <w:rPr>
          <w:rFonts w:cstheme="minorHAnsi"/>
        </w:rPr>
        <w:t>onvoldoende inzicht in de ruimtevraag van circulaire ketens voor kritieke grondstoffen</w:t>
      </w:r>
      <w:r>
        <w:rPr>
          <w:rFonts w:cstheme="minorHAnsi"/>
        </w:rPr>
        <w:t xml:space="preserve">. </w:t>
      </w:r>
      <w:r w:rsidRPr="00370B33">
        <w:rPr>
          <w:rFonts w:cstheme="minorHAnsi"/>
        </w:rPr>
        <w:t>Bestaande onderzoeken naar de ruimtelijke impact van de circulaire economie geven vooral een algemeen beeld, maar maken niet concreet hoeveel ruimte verschillende CRM-activiteiten op bedrijventerreinen en in industriële clusters daadwerkelijk vragen.</w:t>
      </w:r>
      <w:r>
        <w:rPr>
          <w:rFonts w:cstheme="minorHAnsi"/>
        </w:rPr>
        <w:t xml:space="preserve"> </w:t>
      </w:r>
      <w:r w:rsidRPr="00A14D7C">
        <w:rPr>
          <w:rFonts w:cstheme="minorHAnsi"/>
        </w:rPr>
        <w:t xml:space="preserve">Het vervolgonderzoek beoogt deze kennis te verdiepen door de ruimtevraag van CRM-activiteiten voor de korte en lange termijn te kwantificeren en te vertalen naar ruimtelijke </w:t>
      </w:r>
      <w:r>
        <w:rPr>
          <w:rFonts w:cstheme="minorHAnsi"/>
        </w:rPr>
        <w:t>scenario’s</w:t>
      </w:r>
      <w:r w:rsidRPr="00A14D7C">
        <w:rPr>
          <w:rFonts w:cstheme="minorHAnsi"/>
        </w:rPr>
        <w:t xml:space="preserve"> voor bedrijventerreinen en </w:t>
      </w:r>
      <w:r w:rsidRPr="00A14D7C">
        <w:rPr>
          <w:rFonts w:cstheme="minorHAnsi"/>
        </w:rPr>
        <w:lastRenderedPageBreak/>
        <w:t>industrieclusters.</w:t>
      </w:r>
      <w:r>
        <w:rPr>
          <w:rFonts w:cstheme="minorHAnsi"/>
        </w:rPr>
        <w:t xml:space="preserve"> Daarbij wordt voortgebouwd op de resultaten uit het onderzoek </w:t>
      </w:r>
      <w:r>
        <w:rPr>
          <w:rStyle w:val="Voetnootmarkering"/>
          <w:rFonts w:cstheme="minorHAnsi"/>
        </w:rPr>
        <w:footnoteReference w:id="18"/>
      </w:r>
      <w:r>
        <w:rPr>
          <w:rFonts w:cstheme="minorHAnsi"/>
        </w:rPr>
        <w:t xml:space="preserve">  van STEC Groep en CE Delft, die onderzoek deed naar de ruimtelijke impact van de circulaire economie op bedrijventerreinen. Dit onderzoek is gepland vanaf Q3 2026.</w:t>
      </w:r>
    </w:p>
    <w:p w:rsidRPr="00320A43" w:rsidR="00320A43" w:rsidP="00320A43" w:rsidRDefault="00320A43" w14:paraId="7F55919E" w14:textId="77777777">
      <w:pPr>
        <w:pStyle w:val="Lijstalinea"/>
        <w:ind w:left="360"/>
        <w:rPr>
          <w:rFonts w:cstheme="minorHAnsi"/>
        </w:rPr>
      </w:pPr>
    </w:p>
    <w:p w:rsidRPr="00562634" w:rsidR="00320A43" w:rsidP="00562634" w:rsidRDefault="00320A43" w14:paraId="148DCF02" w14:textId="0420CE29">
      <w:pPr>
        <w:pStyle w:val="Lijstalinea"/>
        <w:numPr>
          <w:ilvl w:val="1"/>
          <w:numId w:val="60"/>
        </w:numPr>
        <w:rPr>
          <w:rFonts w:cstheme="minorHAnsi"/>
          <w:b/>
          <w:bCs/>
        </w:rPr>
      </w:pPr>
      <w:r w:rsidRPr="00562634">
        <w:rPr>
          <w:rFonts w:cstheme="minorHAnsi"/>
        </w:rPr>
        <w:t>Actie</w:t>
      </w:r>
      <w:r w:rsidRPr="00562634">
        <w:rPr>
          <w:rFonts w:cstheme="minorHAnsi"/>
          <w:b/>
          <w:bCs/>
        </w:rPr>
        <w:t xml:space="preserve">: </w:t>
      </w:r>
      <w:r w:rsidR="00D5070F">
        <w:rPr>
          <w:rFonts w:cstheme="minorHAnsi"/>
          <w:b/>
          <w:bCs/>
        </w:rPr>
        <w:t>R</w:t>
      </w:r>
      <w:r w:rsidRPr="00562634">
        <w:rPr>
          <w:rFonts w:cstheme="minorHAnsi"/>
          <w:b/>
          <w:bCs/>
        </w:rPr>
        <w:t>uimte voor circulaire economie en CRM-projecten actief positioneren in ruimtelijke trajecten</w:t>
      </w:r>
    </w:p>
    <w:p w:rsidRPr="00783CA5" w:rsidR="00E767FB" w:rsidP="00783CA5" w:rsidRDefault="001340AA" w14:paraId="3E66F3CC" w14:textId="727D05A7">
      <w:pPr>
        <w:pStyle w:val="Lijstalinea"/>
        <w:ind w:left="360"/>
      </w:pPr>
      <w:r w:rsidRPr="4556D3C5">
        <w:t xml:space="preserve">Het kabinet blijft </w:t>
      </w:r>
      <w:r w:rsidRPr="4556D3C5" w:rsidR="00B26178">
        <w:t xml:space="preserve">de ruimtevraag van circulaire activiteiten en kritieke grondstoffen agenderen en borgen </w:t>
      </w:r>
      <w:r w:rsidRPr="4556D3C5">
        <w:t xml:space="preserve">bij relevante ruimtelijke trajecten, zoals de </w:t>
      </w:r>
      <w:r w:rsidRPr="4556D3C5" w:rsidR="000356BF">
        <w:t>Ontwerpnota</w:t>
      </w:r>
      <w:r w:rsidRPr="4556D3C5">
        <w:t xml:space="preserve"> Ruimte </w:t>
      </w:r>
      <w:r w:rsidRPr="4556D3C5" w:rsidR="0073521A">
        <w:t xml:space="preserve">en de Uitvoeringstrategie </w:t>
      </w:r>
      <w:r w:rsidRPr="4556D3C5">
        <w:t>en andere ruimtelijke strategieën</w:t>
      </w:r>
      <w:r w:rsidRPr="4556D3C5" w:rsidR="0073521A">
        <w:t xml:space="preserve"> (zoals Uitvoeringsagenda Ruimte voor Economie en de Industrieclusters)</w:t>
      </w:r>
      <w:r w:rsidRPr="4556D3C5" w:rsidR="00B26178">
        <w:t xml:space="preserve">. </w:t>
      </w:r>
      <w:r w:rsidRPr="4556D3C5">
        <w:t xml:space="preserve">Daarbij wordt ook aansluiting gezocht bij andere relevante trajecten, zoals de Havennota 2.0 en ruimtelijke verkenningen, zodat voldoende ruimte voor circulaire activiteiten expliciet wordt meegewogen in ruimtelijke afwegingen. </w:t>
      </w:r>
      <w:r w:rsidRPr="4556D3C5" w:rsidR="00825B7D">
        <w:t xml:space="preserve">Hierdoor kunnen we benadrukken dat projecten en activiteiten rond circulaire kritieke grondstoffen effect hebben op het ruimtebeslag en dat er fysieke ruimte nodig is om projecten te doen slagen in de havens. </w:t>
      </w:r>
      <w:r w:rsidRPr="4556D3C5">
        <w:t xml:space="preserve">Dit is een doorlopende actie. </w:t>
      </w:r>
    </w:p>
    <w:p w:rsidRPr="00384773" w:rsidR="0003252F" w:rsidP="00384773" w:rsidRDefault="0003252F" w14:paraId="4452CEFA" w14:textId="561FA52F">
      <w:pPr>
        <w:pStyle w:val="Geenafstand"/>
        <w:numPr>
          <w:ilvl w:val="0"/>
          <w:numId w:val="46"/>
        </w:numPr>
        <w:rPr>
          <w:i/>
          <w:iCs/>
        </w:rPr>
      </w:pPr>
      <w:r w:rsidRPr="00384773">
        <w:rPr>
          <w:i/>
          <w:iCs/>
        </w:rPr>
        <w:t>Pijler financiering voor kritieke grondstoffen projecten – opschaling en innovatie</w:t>
      </w:r>
    </w:p>
    <w:p w:rsidRPr="00BB29BE" w:rsidR="009F1BA5" w:rsidP="0003252F" w:rsidRDefault="0003252F" w14:paraId="47D80BAC" w14:textId="38297C40">
      <w:pPr>
        <w:rPr>
          <w:rFonts w:cstheme="minorHAnsi"/>
        </w:rPr>
      </w:pPr>
      <w:r w:rsidRPr="00BB29BE">
        <w:rPr>
          <w:rFonts w:cstheme="minorHAnsi"/>
        </w:rPr>
        <w:t>Besparen, terugwinnen, verwerken en opnieuw gebruiken van kritieke grondstoffen is noodzakelijk om een circulaire keten te kunnen vormen. Deze circulaire benadering is momenteel nog weinig gangbaar. Bedrijven hebben beleidsmatige</w:t>
      </w:r>
      <w:r w:rsidR="007F636F">
        <w:rPr>
          <w:rFonts w:cstheme="minorHAnsi"/>
        </w:rPr>
        <w:t xml:space="preserve"> en gerichte economische </w:t>
      </w:r>
      <w:r w:rsidRPr="00BB29BE">
        <w:rPr>
          <w:rFonts w:cstheme="minorHAnsi"/>
        </w:rPr>
        <w:t xml:space="preserve"> prikkels nodig om kritieke grondstoffen meer circulair te gebruiken. Momenteel zijn bedrijven die dit doen in de minderheid, met name omdat </w:t>
      </w:r>
      <w:r w:rsidR="007C18BD">
        <w:rPr>
          <w:rFonts w:cstheme="minorHAnsi"/>
        </w:rPr>
        <w:t>in het vormgeven van producten en diensten nog veelal lineair wordt gedacht</w:t>
      </w:r>
      <w:r w:rsidR="00B26178">
        <w:rPr>
          <w:rFonts w:cstheme="minorHAnsi"/>
        </w:rPr>
        <w:t xml:space="preserve"> en </w:t>
      </w:r>
      <w:r w:rsidR="007C18BD">
        <w:rPr>
          <w:rFonts w:cstheme="minorHAnsi"/>
        </w:rPr>
        <w:t>marktprikkels ontbreken om circulaire producten op schaal op de markt te brengen</w:t>
      </w:r>
      <w:r w:rsidR="00B26178">
        <w:rPr>
          <w:rFonts w:cstheme="minorHAnsi"/>
        </w:rPr>
        <w:t>. N</w:t>
      </w:r>
      <w:r w:rsidR="007C18BD">
        <w:rPr>
          <w:rFonts w:cstheme="minorHAnsi"/>
        </w:rPr>
        <w:t xml:space="preserve">ieuwe logistieke processen (denk aan retourlogistiek) </w:t>
      </w:r>
      <w:r w:rsidR="00B26178">
        <w:rPr>
          <w:rFonts w:cstheme="minorHAnsi"/>
        </w:rPr>
        <w:t xml:space="preserve">kunnen ook </w:t>
      </w:r>
      <w:r w:rsidR="007C18BD">
        <w:rPr>
          <w:rFonts w:cstheme="minorHAnsi"/>
        </w:rPr>
        <w:t>extra geld kosten</w:t>
      </w:r>
      <w:r w:rsidR="00B26178">
        <w:rPr>
          <w:rFonts w:cstheme="minorHAnsi"/>
        </w:rPr>
        <w:t xml:space="preserve">. Door dit alles zijn circulaire producten </w:t>
      </w:r>
      <w:r w:rsidRPr="00BB29BE" w:rsidR="00AF65C5">
        <w:rPr>
          <w:rFonts w:cstheme="minorHAnsi"/>
        </w:rPr>
        <w:t xml:space="preserve">aanvankelijk </w:t>
      </w:r>
      <w:r w:rsidR="00B26178">
        <w:rPr>
          <w:rFonts w:cstheme="minorHAnsi"/>
        </w:rPr>
        <w:t xml:space="preserve">vaak </w:t>
      </w:r>
      <w:r w:rsidRPr="00BB29BE">
        <w:rPr>
          <w:rFonts w:cstheme="minorHAnsi"/>
        </w:rPr>
        <w:t xml:space="preserve">duurder dan </w:t>
      </w:r>
      <w:r w:rsidR="009E3300">
        <w:rPr>
          <w:rFonts w:cstheme="minorHAnsi"/>
        </w:rPr>
        <w:t xml:space="preserve">de </w:t>
      </w:r>
      <w:r w:rsidRPr="00BB29BE">
        <w:rPr>
          <w:rFonts w:cstheme="minorHAnsi"/>
        </w:rPr>
        <w:t>lineair</w:t>
      </w:r>
      <w:r w:rsidR="009E3300">
        <w:rPr>
          <w:rFonts w:cstheme="minorHAnsi"/>
        </w:rPr>
        <w:t>e</w:t>
      </w:r>
      <w:r w:rsidRPr="00BB29BE">
        <w:rPr>
          <w:rFonts w:cstheme="minorHAnsi"/>
        </w:rPr>
        <w:t xml:space="preserve"> </w:t>
      </w:r>
      <w:r w:rsidR="009E3300">
        <w:rPr>
          <w:rFonts w:cstheme="minorHAnsi"/>
        </w:rPr>
        <w:t xml:space="preserve">producten met </w:t>
      </w:r>
      <w:r w:rsidRPr="00BB29BE">
        <w:rPr>
          <w:rFonts w:cstheme="minorHAnsi"/>
        </w:rPr>
        <w:t>(kritieke) grondstoffen. Om bedrijven aan te sporen te investeren in nieuwe technologieën, kan de overheid bepaalde innovaties financie</w:t>
      </w:r>
      <w:r w:rsidR="009E3300">
        <w:rPr>
          <w:rFonts w:cstheme="minorHAnsi"/>
        </w:rPr>
        <w:t>el ondersteunen</w:t>
      </w:r>
      <w:r w:rsidRPr="00BB29BE">
        <w:rPr>
          <w:rFonts w:cstheme="minorHAnsi"/>
        </w:rPr>
        <w:t xml:space="preserve">. Momenteel is er nog weinig financiering beschikbaar toegespitst op het circulair gebruik van kritieke grondstoffen. Dit geldt voor zowel batterijen als voor elektrische en elektronische apparaten. </w:t>
      </w:r>
    </w:p>
    <w:p w:rsidR="003A2913" w:rsidP="00650DD6" w:rsidRDefault="00D3300F" w14:paraId="57BA3786" w14:textId="53C36A26">
      <w:pPr>
        <w:pStyle w:val="Lijstalinea"/>
        <w:numPr>
          <w:ilvl w:val="1"/>
          <w:numId w:val="61"/>
        </w:numPr>
      </w:pPr>
      <w:r w:rsidRPr="37A6DC3A">
        <w:t>Actie:</w:t>
      </w:r>
      <w:r w:rsidRPr="008A5CC6">
        <w:rPr>
          <w:b/>
        </w:rPr>
        <w:t xml:space="preserve"> Inzet op verankering van kritieke grondstoffen projecten in de bestaande</w:t>
      </w:r>
      <w:r w:rsidRPr="008A5CC6" w:rsidR="008F2916">
        <w:rPr>
          <w:b/>
        </w:rPr>
        <w:t xml:space="preserve"> subsidie instrumenten (</w:t>
      </w:r>
      <w:r w:rsidRPr="008A5CC6">
        <w:rPr>
          <w:b/>
        </w:rPr>
        <w:t>DEI + CE regeling</w:t>
      </w:r>
      <w:r w:rsidRPr="008A5CC6" w:rsidR="008F2916">
        <w:rPr>
          <w:b/>
        </w:rPr>
        <w:t>, EKOO CE)</w:t>
      </w:r>
      <w:r w:rsidRPr="37A6DC3A">
        <w:t xml:space="preserve">. </w:t>
      </w:r>
      <w:r w:rsidRPr="37A6DC3A" w:rsidR="006A7F67">
        <w:t>Het kabinet gaat een aantal bestaande subsidieregelingen herzien zodat bedrijven aanspraak kunnen maken o</w:t>
      </w:r>
      <w:r w:rsidR="003E0050">
        <w:t>p</w:t>
      </w:r>
      <w:r w:rsidRPr="37A6DC3A" w:rsidR="006A7F67">
        <w:t xml:space="preserve"> subsidie voor opschaling van kritieke grondstoffen projecten. </w:t>
      </w:r>
      <w:r w:rsidRPr="008A5CC6" w:rsidR="006A7F67">
        <w:rPr>
          <w:bCs/>
        </w:rPr>
        <w:t>Bijvoorbeeld wordt de DEI + CE  regeling aangepast</w:t>
      </w:r>
      <w:r w:rsidRPr="008A5CC6" w:rsidR="00BF73E2">
        <w:rPr>
          <w:bCs/>
        </w:rPr>
        <w:t xml:space="preserve"> in Q2 2026</w:t>
      </w:r>
      <w:r w:rsidRPr="008A5CC6" w:rsidR="006A7F67">
        <w:rPr>
          <w:bCs/>
        </w:rPr>
        <w:t xml:space="preserve"> zodat circulaire kritieke grondstoffen aanspraak kunnen maken door aan te passen dat niet de nationale, maar de mondiale CO₂-reductie leidend is als criterium</w:t>
      </w:r>
      <w:r w:rsidRPr="008A5CC6" w:rsidR="00CE4768">
        <w:rPr>
          <w:bCs/>
        </w:rPr>
        <w:t xml:space="preserve">; ook </w:t>
      </w:r>
      <w:r w:rsidRPr="008A5CC6" w:rsidR="006A7F67">
        <w:rPr>
          <w:bCs/>
        </w:rPr>
        <w:t xml:space="preserve">wordt er een nieuw </w:t>
      </w:r>
      <w:proofErr w:type="spellStart"/>
      <w:r w:rsidRPr="008A5CC6" w:rsidR="006A7F67">
        <w:rPr>
          <w:bCs/>
        </w:rPr>
        <w:t>subthema</w:t>
      </w:r>
      <w:proofErr w:type="spellEnd"/>
      <w:r w:rsidRPr="008A5CC6" w:rsidR="006A7F67">
        <w:rPr>
          <w:bCs/>
        </w:rPr>
        <w:t xml:space="preserve"> kritieke grondstoffen </w:t>
      </w:r>
      <w:r w:rsidRPr="008A5CC6" w:rsidR="00421732">
        <w:rPr>
          <w:bCs/>
        </w:rPr>
        <w:t xml:space="preserve">verkend </w:t>
      </w:r>
      <w:r w:rsidRPr="008A5CC6" w:rsidR="006A7F67">
        <w:rPr>
          <w:bCs/>
        </w:rPr>
        <w:t>in de EKOO CE</w:t>
      </w:r>
      <w:r w:rsidRPr="008A5CC6" w:rsidR="00D47171">
        <w:rPr>
          <w:bCs/>
        </w:rPr>
        <w:t xml:space="preserve"> </w:t>
      </w:r>
      <w:r w:rsidRPr="008A5CC6" w:rsidR="00421732">
        <w:rPr>
          <w:bCs/>
        </w:rPr>
        <w:t xml:space="preserve">voor </w:t>
      </w:r>
      <w:r w:rsidRPr="008A5CC6" w:rsidR="00D47171">
        <w:rPr>
          <w:bCs/>
        </w:rPr>
        <w:t>2027</w:t>
      </w:r>
      <w:r w:rsidRPr="008A5CC6" w:rsidR="006A7F67">
        <w:rPr>
          <w:bCs/>
        </w:rPr>
        <w:t xml:space="preserve">. </w:t>
      </w:r>
      <w:bookmarkStart w:name="_Hlk228435460" w:id="2"/>
    </w:p>
    <w:p w:rsidR="005B6B2F" w:rsidP="005B7A26" w:rsidRDefault="005B6B2F" w14:paraId="58C58D9B" w14:textId="77777777">
      <w:pPr>
        <w:pStyle w:val="Lijstalinea"/>
        <w:ind w:left="360"/>
      </w:pPr>
    </w:p>
    <w:p w:rsidR="003A2913" w:rsidP="003A2913" w:rsidRDefault="00D3300F" w14:paraId="0D7E9918" w14:textId="003C8B72">
      <w:pPr>
        <w:pStyle w:val="Lijstalinea"/>
        <w:numPr>
          <w:ilvl w:val="1"/>
          <w:numId w:val="61"/>
        </w:numPr>
      </w:pPr>
      <w:r w:rsidRPr="00974489">
        <w:t>Ac</w:t>
      </w:r>
      <w:r w:rsidRPr="00BF3EA3">
        <w:t xml:space="preserve">tie: </w:t>
      </w:r>
      <w:r w:rsidRPr="003A2913">
        <w:rPr>
          <w:b/>
        </w:rPr>
        <w:t xml:space="preserve">Grondstoffenzekerheid prioriteren in de </w:t>
      </w:r>
      <w:r w:rsidRPr="003A2913" w:rsidR="00587875">
        <w:rPr>
          <w:b/>
        </w:rPr>
        <w:t>Kennis- en Innovatieagenda Circulaire Economie (KIA CE)</w:t>
      </w:r>
      <w:r w:rsidRPr="003A2913" w:rsidR="00A22157">
        <w:rPr>
          <w:b/>
        </w:rPr>
        <w:t xml:space="preserve"> </w:t>
      </w:r>
      <w:r w:rsidRPr="003A2913">
        <w:rPr>
          <w:b/>
        </w:rPr>
        <w:t>2027.</w:t>
      </w:r>
      <w:r w:rsidRPr="00BF3EA3">
        <w:t xml:space="preserve"> I</w:t>
      </w:r>
      <w:r w:rsidRPr="00BF3EA3" w:rsidR="0520930D">
        <w:t xml:space="preserve">n 2028 wordt een nieuwe KIA CE ontwikkeld als onderdeel van het hernieuwde Kennis- en Innovatieconvenant. </w:t>
      </w:r>
      <w:r w:rsidRPr="00BF3EA3" w:rsidR="00F1133D">
        <w:t>Doel wordt om hierin</w:t>
      </w:r>
      <w:r w:rsidR="00972E8E">
        <w:t xml:space="preserve"> </w:t>
      </w:r>
      <w:r w:rsidRPr="00BF3EA3">
        <w:t xml:space="preserve">grondstoffenzekerheid als prioriteit </w:t>
      </w:r>
      <w:r w:rsidR="009E3300">
        <w:t>op te nemen</w:t>
      </w:r>
      <w:r w:rsidRPr="00BF3EA3">
        <w:t>.</w:t>
      </w:r>
      <w:r w:rsidRPr="00BF3EA3" w:rsidR="0098011D">
        <w:t xml:space="preserve"> </w:t>
      </w:r>
      <w:r w:rsidRPr="00BF3EA3">
        <w:t>Daarom wordt vooraleerst een Startnotitie Grondstoffenzekerheid opgesteld d</w:t>
      </w:r>
      <w:r w:rsidR="00061906">
        <w:t>ie</w:t>
      </w:r>
      <w:r w:rsidRPr="00BF3EA3">
        <w:t xml:space="preserve"> uitstippelt hoe dit onderwerp centraal moet staan binnen de nieuwe KIA CE.</w:t>
      </w:r>
      <w:r w:rsidRPr="00BF3EA3" w:rsidR="0098011D">
        <w:t xml:space="preserve"> </w:t>
      </w:r>
      <w:r w:rsidRPr="00BF3EA3" w:rsidR="00BF3EA3">
        <w:t>Het innovatiebeleid rondom Circulaire Economie</w:t>
      </w:r>
      <w:r w:rsidR="00476D86">
        <w:t xml:space="preserve"> </w:t>
      </w:r>
      <w:r w:rsidR="009E3300">
        <w:t xml:space="preserve">wordt uitgewerkt </w:t>
      </w:r>
      <w:r w:rsidRPr="00BF3EA3" w:rsidR="00BF3EA3">
        <w:t>met behulp van de prioriteiten in de KIA CE. Met meer focus op grondstoffenzekerheid kan dit kansrijk zijn voor bijkomende investeringen in kritieke grondstoffen vanuit de innovatiewereld (</w:t>
      </w:r>
      <w:r w:rsidR="00476D86">
        <w:t>met behulp van</w:t>
      </w:r>
      <w:r w:rsidRPr="00BF3EA3" w:rsidR="00BF3EA3">
        <w:t xml:space="preserve"> bijkomende regelingen en ad hoc investeringen).</w:t>
      </w:r>
      <w:bookmarkEnd w:id="2"/>
    </w:p>
    <w:p w:rsidR="003A2913" w:rsidP="003A2913" w:rsidRDefault="003A2913" w14:paraId="4CC3F640" w14:textId="77777777">
      <w:pPr>
        <w:pStyle w:val="Lijstalinea"/>
      </w:pPr>
    </w:p>
    <w:p w:rsidRPr="00BF3EA3" w:rsidR="004D1F1D" w:rsidP="004D1F1D" w:rsidRDefault="00394244" w14:paraId="48265107" w14:textId="20570A75">
      <w:pPr>
        <w:pStyle w:val="Lijstalinea"/>
        <w:numPr>
          <w:ilvl w:val="1"/>
          <w:numId w:val="61"/>
        </w:numPr>
      </w:pPr>
      <w:r w:rsidRPr="1B0BB467">
        <w:t>Actie –</w:t>
      </w:r>
      <w:r w:rsidRPr="003A2913">
        <w:rPr>
          <w:b/>
          <w:bCs/>
        </w:rPr>
        <w:t xml:space="preserve"> Overheidsgaranties</w:t>
      </w:r>
      <w:r w:rsidRPr="003A2913" w:rsidR="4556D3C5">
        <w:rPr>
          <w:b/>
          <w:bCs/>
        </w:rPr>
        <w:t>:</w:t>
      </w:r>
      <w:r w:rsidRPr="4556D3C5" w:rsidR="4556D3C5">
        <w:t xml:space="preserve"> Een belangrijk knelpunt bij de financiering van innovaties en de opschaling van bedrijfsactiviteiten gericht op gerecyclede kritieke grondstoffen, is de onzekerheid over toekomstige afzet en marktvraag. Hierdoor zijn financiers vaak terughoudend om investeringen te verstrekken. Er wordt verkend of overheidsgaranties kunnen bijdragen aan het verminderen van financieringsrisico’s en het stimuleren van investeringen in de circulaire economie. Binnen deze verkenning wordt ook aandacht besteed aan activiteiten die bijdragen aan de beschikbaarheid, verwerking en het hergebruik van kritieke grondstoffen.</w:t>
      </w:r>
      <w:r w:rsidRPr="003A2913" w:rsidR="00FD2C05">
        <w:rPr>
          <w:highlight w:val="yellow"/>
        </w:rPr>
        <w:t xml:space="preserve"> </w:t>
      </w:r>
    </w:p>
    <w:p w:rsidRPr="007D6D6C" w:rsidR="00474465" w:rsidP="00A50790" w:rsidRDefault="00A50790" w14:paraId="5F356A4D" w14:textId="0AA54127">
      <w:pPr>
        <w:pStyle w:val="Geenafstand"/>
        <w:rPr>
          <w:i/>
          <w:iCs/>
        </w:rPr>
      </w:pPr>
      <w:r w:rsidRPr="007D6D6C">
        <w:rPr>
          <w:i/>
          <w:iCs/>
        </w:rPr>
        <w:t>6</w:t>
      </w:r>
      <w:r w:rsidRPr="007D6D6C" w:rsidR="005D3355">
        <w:rPr>
          <w:i/>
          <w:iCs/>
        </w:rPr>
        <w:t xml:space="preserve">. </w:t>
      </w:r>
      <w:r w:rsidRPr="007D6D6C" w:rsidR="00474465">
        <w:rPr>
          <w:i/>
          <w:iCs/>
        </w:rPr>
        <w:t>Pijler vaardigheden</w:t>
      </w:r>
      <w:r w:rsidRPr="007D6D6C" w:rsidR="00EC4DBE">
        <w:rPr>
          <w:i/>
          <w:iCs/>
        </w:rPr>
        <w:t xml:space="preserve">/ Human </w:t>
      </w:r>
      <w:proofErr w:type="spellStart"/>
      <w:r w:rsidRPr="007D6D6C" w:rsidR="00EC4DBE">
        <w:rPr>
          <w:i/>
          <w:iCs/>
        </w:rPr>
        <w:t>Capital</w:t>
      </w:r>
      <w:proofErr w:type="spellEnd"/>
      <w:r w:rsidRPr="007D6D6C" w:rsidR="00EC4DBE">
        <w:rPr>
          <w:i/>
          <w:iCs/>
        </w:rPr>
        <w:t xml:space="preserve"> </w:t>
      </w:r>
    </w:p>
    <w:p w:rsidRPr="00BB29BE" w:rsidR="005F0FE8" w:rsidP="00E009FF" w:rsidRDefault="005F0FE8" w14:paraId="481E80C9" w14:textId="49425E1E">
      <w:r w:rsidRPr="4556D3C5">
        <w:t xml:space="preserve">Volgens EIT </w:t>
      </w:r>
      <w:proofErr w:type="spellStart"/>
      <w:r w:rsidRPr="4556D3C5">
        <w:t>RawMaterials</w:t>
      </w:r>
      <w:proofErr w:type="spellEnd"/>
      <w:r w:rsidRPr="4556D3C5">
        <w:t xml:space="preserve"> heeft Europa tegen 2030 ongeveer 1,2 miljoen extra professionals met de juiste vaardigheden nodig in de kritieke</w:t>
      </w:r>
      <w:r w:rsidRPr="4556D3C5">
        <w:noBreakHyphen/>
        <w:t>grondstoffensector, onder meer in engineering, materiaalkunde en digitale technologieën. Ook zijn er meer mensen nodig die praktische technische skills hebben in een circulaire economie.</w:t>
      </w:r>
      <w:r w:rsidRPr="4556D3C5" w:rsidR="00E714F4">
        <w:t xml:space="preserve"> </w:t>
      </w:r>
      <w:r w:rsidR="00B9690E">
        <w:t xml:space="preserve">De </w:t>
      </w:r>
      <w:r w:rsidRPr="00777BD4" w:rsidR="00E714F4">
        <w:t xml:space="preserve">groeiende batterijsector </w:t>
      </w:r>
      <w:r w:rsidR="00B9690E">
        <w:t xml:space="preserve">vraagt </w:t>
      </w:r>
      <w:r w:rsidRPr="00777BD4" w:rsidR="00E714F4">
        <w:t>om arbeidskrachten met specifieke technische vaardigheden, terwijl er in algemene zin een tekort is aan mbo- en hbo-opgeleide technici.</w:t>
      </w:r>
      <w:r w:rsidRPr="00777BD4" w:rsidR="001C7BEF">
        <w:t xml:space="preserve"> Dit knelpunt is eveneens geïdentificeerd in de Routekaart Weerbare en Circulaire Batterijen.</w:t>
      </w:r>
      <w:r w:rsidR="001C7BEF">
        <w:t xml:space="preserve"> </w:t>
      </w:r>
      <w:r w:rsidRPr="4556D3C5" w:rsidR="00293A4B">
        <w:t xml:space="preserve">Het is </w:t>
      </w:r>
      <w:r w:rsidRPr="4556D3C5" w:rsidR="0028684A">
        <w:t>daarom cruciaal</w:t>
      </w:r>
      <w:r w:rsidRPr="4556D3C5" w:rsidR="00293A4B">
        <w:t xml:space="preserve"> om voldoende vakmensen op te leiden op het gebied van circulaire economie en kritieke grondstoffen. </w:t>
      </w:r>
    </w:p>
    <w:p w:rsidRPr="00D5070F" w:rsidR="007700EB" w:rsidP="00D5070F" w:rsidRDefault="00E714F4" w14:paraId="7BD8599C" w14:textId="452DDD4A">
      <w:pPr>
        <w:pStyle w:val="Lijstalinea"/>
        <w:numPr>
          <w:ilvl w:val="1"/>
          <w:numId w:val="55"/>
        </w:numPr>
        <w:rPr>
          <w:rFonts w:cstheme="minorHAnsi"/>
        </w:rPr>
      </w:pPr>
      <w:r w:rsidRPr="4556D3C5">
        <w:t xml:space="preserve">Actie: </w:t>
      </w:r>
      <w:r w:rsidRPr="00D5070F">
        <w:rPr>
          <w:b/>
        </w:rPr>
        <w:t xml:space="preserve">De arbeidsmarktopgave rond kritieke grondstoffen en circulaire economie, inclusief kansen, uitdagingen en benodigde vaardigheden, </w:t>
      </w:r>
      <w:r w:rsidRPr="00D5070F" w:rsidR="002C097A">
        <w:rPr>
          <w:b/>
        </w:rPr>
        <w:t>beter in kaart brengen</w:t>
      </w:r>
      <w:r w:rsidRPr="00D5070F" w:rsidR="006B044C">
        <w:rPr>
          <w:rFonts w:cstheme="minorHAnsi"/>
          <w:b/>
          <w:bCs/>
        </w:rPr>
        <w:t xml:space="preserve">: </w:t>
      </w:r>
      <w:r w:rsidRPr="00D5070F">
        <w:rPr>
          <w:rFonts w:cstheme="minorHAnsi"/>
        </w:rPr>
        <w:t xml:space="preserve">Het kabinet agendeert structureel de arbeidsmarktopgave rond kritieke grondstoffen en circulaire economie in interdepartementale overleggen met de ministeries van KGG, EZ, SZW, BZ en OCW. Doel hiervan is om gezamenlijk inzicht te krijgen in de toekomstige arbeidsmarktbehoefte, de bijbehorende uitdagingen en de benodigde vaardigheden voor de circulaire economie en de verwerking van kritieke grondstoffen. </w:t>
      </w:r>
      <w:r w:rsidRPr="00D5070F" w:rsidR="001F5DFC">
        <w:rPr>
          <w:rFonts w:cstheme="minorHAnsi"/>
        </w:rPr>
        <w:t>Om dit inzicht te verkrijgen, gaat EZK</w:t>
      </w:r>
      <w:r w:rsidRPr="00D5070F">
        <w:rPr>
          <w:rFonts w:cstheme="minorHAnsi"/>
        </w:rPr>
        <w:t xml:space="preserve"> in samenwerking met andere departementen, in kaart te brengen welke onderzoeken en kennis </w:t>
      </w:r>
      <w:r w:rsidRPr="00D5070F" w:rsidR="007700EB">
        <w:rPr>
          <w:rFonts w:cstheme="minorHAnsi"/>
        </w:rPr>
        <w:t>reeds</w:t>
      </w:r>
      <w:r w:rsidRPr="00D5070F">
        <w:rPr>
          <w:rFonts w:cstheme="minorHAnsi"/>
        </w:rPr>
        <w:t xml:space="preserve"> beschikbaar zijn over alternatieven voor de toepassing van kritieke grondstoffen in EEA en batterijen</w:t>
      </w:r>
      <w:r w:rsidRPr="00D5070F" w:rsidR="007700EB">
        <w:rPr>
          <w:rFonts w:cstheme="minorHAnsi"/>
        </w:rPr>
        <w:t>. Daarnaast wordt onderzocht</w:t>
      </w:r>
      <w:r w:rsidRPr="00D5070F">
        <w:rPr>
          <w:rFonts w:cstheme="minorHAnsi"/>
        </w:rPr>
        <w:t xml:space="preserve"> over welke vaardigheden professionals moeten beschikken om deze alternatieven in de praktijk </w:t>
      </w:r>
      <w:r w:rsidRPr="00D5070F" w:rsidR="007700EB">
        <w:rPr>
          <w:rFonts w:cstheme="minorHAnsi"/>
        </w:rPr>
        <w:t>te kunnen toepassen.</w:t>
      </w:r>
      <w:r w:rsidRPr="00D5070F" w:rsidR="00A46061">
        <w:rPr>
          <w:rFonts w:cstheme="minorHAnsi"/>
        </w:rPr>
        <w:t xml:space="preserve"> </w:t>
      </w:r>
      <w:r w:rsidRPr="00D5070F" w:rsidR="007700EB">
        <w:rPr>
          <w:rFonts w:cstheme="minorHAnsi"/>
        </w:rPr>
        <w:t xml:space="preserve">Op basis van deze inzichten kunnen vervolgens pilots worden opgezet om - en bijscholingstrajecten voor professionals te ontwikkelen en aan te bieden, zodat zij de benodigde kennis en vaardigheden kunnen verwerven </w:t>
      </w:r>
      <w:r w:rsidRPr="00D5070F" w:rsidR="000E76EE">
        <w:rPr>
          <w:rFonts w:cstheme="minorHAnsi"/>
        </w:rPr>
        <w:t xml:space="preserve">en kunnen toepassen binnen hun eigen sector. </w:t>
      </w:r>
    </w:p>
    <w:p w:rsidRPr="003C15D0" w:rsidR="00A45C05" w:rsidP="003C15D0" w:rsidRDefault="00A45C05" w14:paraId="575C94BC" w14:textId="35F2B221">
      <w:pPr>
        <w:pStyle w:val="Lijstalinea"/>
        <w:numPr>
          <w:ilvl w:val="1"/>
          <w:numId w:val="44"/>
        </w:numPr>
        <w:sectPr w:rsidRPr="003C15D0" w:rsidR="00A45C05" w:rsidSect="00B5449B">
          <w:footerReference w:type="even" r:id="rId7"/>
          <w:footerReference w:type="default" r:id="rId8"/>
          <w:footerReference w:type="first" r:id="rId9"/>
          <w:pgSz w:w="11906" w:h="16838"/>
          <w:pgMar w:top="1440" w:right="1440" w:bottom="1440" w:left="1440" w:header="708" w:footer="708" w:gutter="0"/>
          <w:cols w:space="708"/>
          <w:docGrid w:linePitch="360"/>
        </w:sectPr>
      </w:pPr>
    </w:p>
    <w:p w:rsidRPr="00843FB8" w:rsidR="003B4EA4" w:rsidP="00107210" w:rsidRDefault="003C15D0" w14:paraId="35732E94" w14:textId="6490E987">
      <w:pPr>
        <w:pStyle w:val="Geenafstand"/>
        <w:rPr>
          <w:b/>
          <w:bCs/>
        </w:rPr>
      </w:pPr>
      <w:r w:rsidRPr="00843FB8">
        <w:rPr>
          <w:b/>
          <w:bCs/>
        </w:rPr>
        <w:lastRenderedPageBreak/>
        <w:t xml:space="preserve">Achtergrond informatie - </w:t>
      </w:r>
      <w:r w:rsidRPr="00843FB8" w:rsidR="002C097A">
        <w:rPr>
          <w:b/>
          <w:bCs/>
        </w:rPr>
        <w:t>Huidige beleidskaders batterijen en EEA</w:t>
      </w:r>
    </w:p>
    <w:p w:rsidRPr="002C097A" w:rsidR="002C097A" w:rsidP="002C097A" w:rsidRDefault="002C097A" w14:paraId="4F6B94D3" w14:textId="436A90A3">
      <w:r>
        <w:t xml:space="preserve">Hieronder is een korte schets gegeven </w:t>
      </w:r>
      <w:r w:rsidR="00CD6687">
        <w:t>v</w:t>
      </w:r>
      <w:r>
        <w:t>an de bestaande beleidskaders voor de producten waar deze beleidsagenda zich op richt, te weten batterijen en EEA.</w:t>
      </w:r>
    </w:p>
    <w:p w:rsidRPr="00107210" w:rsidR="003B4EA4" w:rsidP="00107210" w:rsidRDefault="003B4EA4" w14:paraId="1ECEA1F5" w14:textId="77777777">
      <w:pPr>
        <w:pStyle w:val="Geenafstand"/>
        <w:rPr>
          <w:i/>
          <w:iCs/>
        </w:rPr>
      </w:pPr>
      <w:r w:rsidRPr="00107210">
        <w:rPr>
          <w:i/>
          <w:iCs/>
        </w:rPr>
        <w:t>Beleidskaders batterijen</w:t>
      </w:r>
    </w:p>
    <w:p w:rsidR="003B4EA4" w:rsidP="003B4EA4" w:rsidRDefault="003B4EA4" w14:paraId="782804B3" w14:textId="4848977D">
      <w:r w:rsidRPr="009F3678">
        <w:t xml:space="preserve">Sinds </w:t>
      </w:r>
      <w:r w:rsidR="001F144A">
        <w:t>17 augustus</w:t>
      </w:r>
      <w:r w:rsidRPr="009F3678">
        <w:t xml:space="preserve"> 2023 is de Europese Batterijenverordening 2023/1542</w:t>
      </w:r>
      <w:r w:rsidRPr="009F3678">
        <w:rPr>
          <w:rStyle w:val="Voetnootmarkering"/>
        </w:rPr>
        <w:footnoteReference w:id="19"/>
      </w:r>
      <w:r w:rsidRPr="009F3678">
        <w:t xml:space="preserve"> in werking getreden. Deze verordening vervangt de Batterijenrichtlijn (Richtlijn 2006/66/EG) en heeft als doel om te zorgen voor een veilige en circulaire waardeketen voor alle batterijen. Ten opzichte van de Batterijenrichtlijn bevat de verordening een aanscherping van de duurzaamheidsregels voor batterijen en afgedankte batterijen. De verordening stelt onder meer de volgende eisen:</w:t>
      </w:r>
    </w:p>
    <w:p w:rsidRPr="00D65EC2" w:rsidR="003B4EA4" w:rsidP="003B4EA4" w:rsidRDefault="003B4EA4" w14:paraId="324938EB" w14:textId="77777777">
      <w:pPr>
        <w:numPr>
          <w:ilvl w:val="0"/>
          <w:numId w:val="57"/>
        </w:numPr>
      </w:pPr>
      <w:r w:rsidRPr="4556D3C5">
        <w:t>eisen over duurzaamheid, veiligheid, etikettering, markering en informatie om het in de handel brengen of in gebruik nemen van batterijen in de Europese Unie toe te staan;</w:t>
      </w:r>
    </w:p>
    <w:p w:rsidRPr="00D65EC2" w:rsidR="003B4EA4" w:rsidP="003B4EA4" w:rsidRDefault="003B4EA4" w14:paraId="3E196CCF" w14:textId="77777777">
      <w:pPr>
        <w:numPr>
          <w:ilvl w:val="0"/>
          <w:numId w:val="57"/>
        </w:numPr>
      </w:pPr>
      <w:r w:rsidRPr="4556D3C5">
        <w:t>eisen voor de uitgebreide producentenverantwoordelijkheid, voor de inzameling en verwerking van afgedankte batterijen en voor rapportage;</w:t>
      </w:r>
    </w:p>
    <w:p w:rsidRPr="00D65EC2" w:rsidR="003B4EA4" w:rsidP="003B4EA4" w:rsidRDefault="003B4EA4" w14:paraId="70700814" w14:textId="77777777">
      <w:pPr>
        <w:numPr>
          <w:ilvl w:val="0"/>
          <w:numId w:val="57"/>
        </w:numPr>
      </w:pPr>
      <w:r w:rsidRPr="4556D3C5">
        <w:t xml:space="preserve">eisen wat betreft beleid van passende zorgvuldigheid inzake voor marktdeelnemers die batterijen in de handel brengen of in gebruik nemen; </w:t>
      </w:r>
    </w:p>
    <w:p w:rsidRPr="007B31FD" w:rsidR="003B4EA4" w:rsidP="003B4EA4" w:rsidRDefault="003B4EA4" w14:paraId="14F2E107" w14:textId="77777777">
      <w:pPr>
        <w:numPr>
          <w:ilvl w:val="0"/>
          <w:numId w:val="57"/>
        </w:numPr>
      </w:pPr>
      <w:r w:rsidRPr="009F3678">
        <w:t>eisen inzake groene overheidsopdrachten die gelden bij de inkoop van batterijen of producten waarin batterijen zijn ingebouwd.</w:t>
      </w:r>
    </w:p>
    <w:p w:rsidRPr="00BB29BE" w:rsidR="003B4EA4" w:rsidP="003B4EA4" w:rsidRDefault="003B4EA4" w14:paraId="44AF8376" w14:textId="77777777">
      <w:r w:rsidRPr="4556D3C5">
        <w:t>De verordening is van toepassing op vijf categorieën batterijen: draagbare batterijen (zoals AA en AAA), start-, verlichting- en ontstekingsbatterijen, batterijen voor elektrische voertuigen (</w:t>
      </w:r>
      <w:proofErr w:type="spellStart"/>
      <w:r w:rsidRPr="4556D3C5">
        <w:t>EV’s</w:t>
      </w:r>
      <w:proofErr w:type="spellEnd"/>
      <w:r w:rsidRPr="4556D3C5">
        <w:t xml:space="preserve">), batterijen voor lichte vervoersmiddelen (zoals e-bikes en e-scooters) en industriële batterijen. </w:t>
      </w:r>
    </w:p>
    <w:p w:rsidRPr="00BB29BE" w:rsidR="003B4EA4" w:rsidP="003B4EA4" w:rsidRDefault="003B4EA4" w14:paraId="1C532F5E" w14:textId="77777777">
      <w:r w:rsidRPr="4556D3C5">
        <w:t>Ook stelt de verordening eisen over het einde van de levensduur, met inzamelingsdoelen en -verplichtingen voor draagbare batterijen (63% in 2027 en 73% in 2030) en voor batterijen in lichte vervoersmiddelen (51% in 2028 en 61% in 2031). Ook bevat de verordening streefcijfers voor de terugwinning van materialen, minimumpercentage gerecycled materiaal en recyclingefficiency:</w:t>
      </w:r>
    </w:p>
    <w:tbl>
      <w:tblPr>
        <w:tblStyle w:val="Tabelraster"/>
        <w:tblW w:w="0" w:type="auto"/>
        <w:tblLook w:val="04A0" w:firstRow="1" w:lastRow="0" w:firstColumn="1" w:lastColumn="0" w:noHBand="0" w:noVBand="1"/>
      </w:tblPr>
      <w:tblGrid>
        <w:gridCol w:w="1129"/>
        <w:gridCol w:w="1134"/>
        <w:gridCol w:w="1134"/>
      </w:tblGrid>
      <w:tr w:rsidR="003B4EA4" w:rsidTr="00237CC5" w14:paraId="2A088623" w14:textId="77777777">
        <w:tc>
          <w:tcPr>
            <w:tcW w:w="3397" w:type="dxa"/>
            <w:gridSpan w:val="3"/>
          </w:tcPr>
          <w:p w:rsidRPr="00C9758E" w:rsidR="003B4EA4" w:rsidP="00237CC5" w:rsidRDefault="003B4EA4" w14:paraId="3E4CF966" w14:textId="77777777">
            <w:pPr>
              <w:jc w:val="center"/>
              <w:rPr>
                <w:i/>
                <w:sz w:val="20"/>
                <w:szCs w:val="20"/>
              </w:rPr>
            </w:pPr>
            <w:r w:rsidRPr="4556D3C5">
              <w:rPr>
                <w:i/>
                <w:sz w:val="20"/>
                <w:szCs w:val="20"/>
              </w:rPr>
              <w:t>Materiaalterugwinning</w:t>
            </w:r>
          </w:p>
        </w:tc>
      </w:tr>
      <w:tr w:rsidR="003B4EA4" w:rsidTr="00237CC5" w14:paraId="2AAE1134" w14:textId="77777777">
        <w:tc>
          <w:tcPr>
            <w:tcW w:w="1129" w:type="dxa"/>
          </w:tcPr>
          <w:p w:rsidRPr="00C9758E" w:rsidR="003B4EA4" w:rsidP="00237CC5" w:rsidRDefault="003B4EA4" w14:paraId="240EBC84" w14:textId="77777777">
            <w:pPr>
              <w:rPr>
                <w:sz w:val="20"/>
                <w:szCs w:val="20"/>
              </w:rPr>
            </w:pPr>
            <w:r w:rsidRPr="4556D3C5">
              <w:rPr>
                <w:sz w:val="20"/>
                <w:szCs w:val="20"/>
              </w:rPr>
              <w:t xml:space="preserve">Materiaal </w:t>
            </w:r>
          </w:p>
        </w:tc>
        <w:tc>
          <w:tcPr>
            <w:tcW w:w="1134" w:type="dxa"/>
          </w:tcPr>
          <w:p w:rsidRPr="00C9758E" w:rsidR="003B4EA4" w:rsidP="00237CC5" w:rsidRDefault="003B4EA4" w14:paraId="6462D896" w14:textId="77777777">
            <w:pPr>
              <w:rPr>
                <w:sz w:val="20"/>
                <w:szCs w:val="20"/>
              </w:rPr>
            </w:pPr>
            <w:r w:rsidRPr="4556D3C5">
              <w:rPr>
                <w:sz w:val="20"/>
                <w:szCs w:val="20"/>
              </w:rPr>
              <w:t>2027</w:t>
            </w:r>
          </w:p>
        </w:tc>
        <w:tc>
          <w:tcPr>
            <w:tcW w:w="1134" w:type="dxa"/>
          </w:tcPr>
          <w:p w:rsidRPr="00C9758E" w:rsidR="003B4EA4" w:rsidP="00237CC5" w:rsidRDefault="003B4EA4" w14:paraId="3F1BDB04" w14:textId="77777777">
            <w:pPr>
              <w:rPr>
                <w:sz w:val="20"/>
                <w:szCs w:val="20"/>
              </w:rPr>
            </w:pPr>
            <w:r w:rsidRPr="4556D3C5">
              <w:rPr>
                <w:sz w:val="20"/>
                <w:szCs w:val="20"/>
              </w:rPr>
              <w:t>2031</w:t>
            </w:r>
          </w:p>
        </w:tc>
      </w:tr>
      <w:tr w:rsidR="003B4EA4" w:rsidTr="00237CC5" w14:paraId="1937C55C" w14:textId="77777777">
        <w:tc>
          <w:tcPr>
            <w:tcW w:w="1129" w:type="dxa"/>
          </w:tcPr>
          <w:p w:rsidRPr="00C9758E" w:rsidR="003B4EA4" w:rsidP="00237CC5" w:rsidRDefault="003B4EA4" w14:paraId="72D6CF2E" w14:textId="77777777">
            <w:pPr>
              <w:rPr>
                <w:sz w:val="20"/>
                <w:szCs w:val="20"/>
              </w:rPr>
            </w:pPr>
            <w:r w:rsidRPr="4556D3C5">
              <w:rPr>
                <w:sz w:val="20"/>
                <w:szCs w:val="20"/>
              </w:rPr>
              <w:t>Kobalt</w:t>
            </w:r>
          </w:p>
        </w:tc>
        <w:tc>
          <w:tcPr>
            <w:tcW w:w="1134" w:type="dxa"/>
          </w:tcPr>
          <w:p w:rsidRPr="00C9758E" w:rsidR="003B4EA4" w:rsidP="00237CC5" w:rsidRDefault="003B4EA4" w14:paraId="35D70901" w14:textId="77777777">
            <w:pPr>
              <w:rPr>
                <w:sz w:val="20"/>
                <w:szCs w:val="20"/>
              </w:rPr>
            </w:pPr>
            <w:r w:rsidRPr="4556D3C5">
              <w:rPr>
                <w:sz w:val="20"/>
                <w:szCs w:val="20"/>
              </w:rPr>
              <w:t>90%</w:t>
            </w:r>
          </w:p>
        </w:tc>
        <w:tc>
          <w:tcPr>
            <w:tcW w:w="1134" w:type="dxa"/>
          </w:tcPr>
          <w:p w:rsidRPr="00C9758E" w:rsidR="003B4EA4" w:rsidP="00237CC5" w:rsidRDefault="003B4EA4" w14:paraId="1581376B" w14:textId="77777777">
            <w:pPr>
              <w:rPr>
                <w:sz w:val="20"/>
                <w:szCs w:val="20"/>
              </w:rPr>
            </w:pPr>
            <w:r w:rsidRPr="4556D3C5">
              <w:rPr>
                <w:sz w:val="20"/>
                <w:szCs w:val="20"/>
              </w:rPr>
              <w:t>95%</w:t>
            </w:r>
          </w:p>
        </w:tc>
      </w:tr>
      <w:tr w:rsidR="003B4EA4" w:rsidTr="00237CC5" w14:paraId="68B31F5C" w14:textId="77777777">
        <w:tc>
          <w:tcPr>
            <w:tcW w:w="1129" w:type="dxa"/>
          </w:tcPr>
          <w:p w:rsidRPr="00C9758E" w:rsidR="003B4EA4" w:rsidP="00237CC5" w:rsidRDefault="003B4EA4" w14:paraId="0B9B2AD3" w14:textId="77777777">
            <w:pPr>
              <w:rPr>
                <w:sz w:val="20"/>
                <w:szCs w:val="20"/>
              </w:rPr>
            </w:pPr>
            <w:r w:rsidRPr="4556D3C5">
              <w:rPr>
                <w:sz w:val="20"/>
                <w:szCs w:val="20"/>
              </w:rPr>
              <w:t>Koper</w:t>
            </w:r>
          </w:p>
        </w:tc>
        <w:tc>
          <w:tcPr>
            <w:tcW w:w="1134" w:type="dxa"/>
          </w:tcPr>
          <w:p w:rsidRPr="00C9758E" w:rsidR="003B4EA4" w:rsidP="00237CC5" w:rsidRDefault="003B4EA4" w14:paraId="5AC6904E" w14:textId="77777777">
            <w:pPr>
              <w:rPr>
                <w:sz w:val="20"/>
                <w:szCs w:val="20"/>
              </w:rPr>
            </w:pPr>
            <w:r w:rsidRPr="4556D3C5">
              <w:rPr>
                <w:sz w:val="20"/>
                <w:szCs w:val="20"/>
              </w:rPr>
              <w:t>90%</w:t>
            </w:r>
          </w:p>
        </w:tc>
        <w:tc>
          <w:tcPr>
            <w:tcW w:w="1134" w:type="dxa"/>
          </w:tcPr>
          <w:p w:rsidRPr="00C9758E" w:rsidR="003B4EA4" w:rsidP="00237CC5" w:rsidRDefault="003B4EA4" w14:paraId="0E9AEE42" w14:textId="77777777">
            <w:pPr>
              <w:rPr>
                <w:sz w:val="20"/>
                <w:szCs w:val="20"/>
              </w:rPr>
            </w:pPr>
            <w:r w:rsidRPr="4556D3C5">
              <w:rPr>
                <w:sz w:val="20"/>
                <w:szCs w:val="20"/>
              </w:rPr>
              <w:t>95%</w:t>
            </w:r>
          </w:p>
        </w:tc>
      </w:tr>
      <w:tr w:rsidR="003B4EA4" w:rsidTr="00237CC5" w14:paraId="1D9507AB" w14:textId="77777777">
        <w:tc>
          <w:tcPr>
            <w:tcW w:w="1129" w:type="dxa"/>
          </w:tcPr>
          <w:p w:rsidRPr="00C9758E" w:rsidR="003B4EA4" w:rsidP="00237CC5" w:rsidRDefault="003B4EA4" w14:paraId="3AC6EDE7" w14:textId="77777777">
            <w:pPr>
              <w:rPr>
                <w:sz w:val="20"/>
                <w:szCs w:val="20"/>
              </w:rPr>
            </w:pPr>
            <w:r w:rsidRPr="4556D3C5">
              <w:rPr>
                <w:sz w:val="20"/>
                <w:szCs w:val="20"/>
              </w:rPr>
              <w:t>Lood</w:t>
            </w:r>
          </w:p>
        </w:tc>
        <w:tc>
          <w:tcPr>
            <w:tcW w:w="1134" w:type="dxa"/>
          </w:tcPr>
          <w:p w:rsidRPr="00C9758E" w:rsidR="003B4EA4" w:rsidP="00237CC5" w:rsidRDefault="003B4EA4" w14:paraId="7CA19CD1" w14:textId="77777777">
            <w:pPr>
              <w:rPr>
                <w:sz w:val="20"/>
                <w:szCs w:val="20"/>
              </w:rPr>
            </w:pPr>
            <w:r w:rsidRPr="4556D3C5">
              <w:rPr>
                <w:sz w:val="20"/>
                <w:szCs w:val="20"/>
              </w:rPr>
              <w:t>90%</w:t>
            </w:r>
          </w:p>
        </w:tc>
        <w:tc>
          <w:tcPr>
            <w:tcW w:w="1134" w:type="dxa"/>
          </w:tcPr>
          <w:p w:rsidRPr="00C9758E" w:rsidR="003B4EA4" w:rsidP="00237CC5" w:rsidRDefault="003B4EA4" w14:paraId="5F09FF53" w14:textId="77777777">
            <w:pPr>
              <w:rPr>
                <w:sz w:val="20"/>
                <w:szCs w:val="20"/>
              </w:rPr>
            </w:pPr>
            <w:r w:rsidRPr="4556D3C5">
              <w:rPr>
                <w:sz w:val="20"/>
                <w:szCs w:val="20"/>
              </w:rPr>
              <w:t>95%</w:t>
            </w:r>
          </w:p>
        </w:tc>
      </w:tr>
      <w:tr w:rsidR="003B4EA4" w:rsidTr="00237CC5" w14:paraId="58B25B4C" w14:textId="77777777">
        <w:tc>
          <w:tcPr>
            <w:tcW w:w="1129" w:type="dxa"/>
          </w:tcPr>
          <w:p w:rsidRPr="00C9758E" w:rsidR="003B4EA4" w:rsidP="00237CC5" w:rsidRDefault="003B4EA4" w14:paraId="7953EFE7" w14:textId="77777777">
            <w:pPr>
              <w:rPr>
                <w:sz w:val="20"/>
                <w:szCs w:val="20"/>
              </w:rPr>
            </w:pPr>
            <w:r w:rsidRPr="4556D3C5">
              <w:rPr>
                <w:sz w:val="20"/>
                <w:szCs w:val="20"/>
              </w:rPr>
              <w:t>Lithium</w:t>
            </w:r>
          </w:p>
        </w:tc>
        <w:tc>
          <w:tcPr>
            <w:tcW w:w="1134" w:type="dxa"/>
          </w:tcPr>
          <w:p w:rsidRPr="00C9758E" w:rsidR="003B4EA4" w:rsidP="00237CC5" w:rsidRDefault="003B4EA4" w14:paraId="24276762" w14:textId="77777777">
            <w:pPr>
              <w:rPr>
                <w:sz w:val="20"/>
                <w:szCs w:val="20"/>
              </w:rPr>
            </w:pPr>
            <w:r w:rsidRPr="4556D3C5">
              <w:rPr>
                <w:sz w:val="20"/>
                <w:szCs w:val="20"/>
              </w:rPr>
              <w:t>50%</w:t>
            </w:r>
          </w:p>
        </w:tc>
        <w:tc>
          <w:tcPr>
            <w:tcW w:w="1134" w:type="dxa"/>
          </w:tcPr>
          <w:p w:rsidRPr="00C9758E" w:rsidR="003B4EA4" w:rsidP="00237CC5" w:rsidRDefault="003B4EA4" w14:paraId="16B5D4D3" w14:textId="77777777">
            <w:pPr>
              <w:rPr>
                <w:sz w:val="20"/>
                <w:szCs w:val="20"/>
              </w:rPr>
            </w:pPr>
            <w:r w:rsidRPr="4556D3C5">
              <w:rPr>
                <w:sz w:val="20"/>
                <w:szCs w:val="20"/>
              </w:rPr>
              <w:t>80%</w:t>
            </w:r>
          </w:p>
        </w:tc>
      </w:tr>
      <w:tr w:rsidR="003B4EA4" w:rsidTr="00237CC5" w14:paraId="008DF31B" w14:textId="77777777">
        <w:tc>
          <w:tcPr>
            <w:tcW w:w="1129" w:type="dxa"/>
          </w:tcPr>
          <w:p w:rsidRPr="00C9758E" w:rsidR="003B4EA4" w:rsidP="00237CC5" w:rsidRDefault="003B4EA4" w14:paraId="4D6558BC" w14:textId="77777777">
            <w:pPr>
              <w:rPr>
                <w:sz w:val="20"/>
                <w:szCs w:val="20"/>
              </w:rPr>
            </w:pPr>
            <w:r w:rsidRPr="4556D3C5">
              <w:rPr>
                <w:sz w:val="20"/>
                <w:szCs w:val="20"/>
              </w:rPr>
              <w:t>Nikkel</w:t>
            </w:r>
          </w:p>
        </w:tc>
        <w:tc>
          <w:tcPr>
            <w:tcW w:w="1134" w:type="dxa"/>
          </w:tcPr>
          <w:p w:rsidRPr="00C9758E" w:rsidR="003B4EA4" w:rsidP="00237CC5" w:rsidRDefault="003B4EA4" w14:paraId="440A143D" w14:textId="77777777">
            <w:pPr>
              <w:rPr>
                <w:sz w:val="20"/>
                <w:szCs w:val="20"/>
              </w:rPr>
            </w:pPr>
            <w:r w:rsidRPr="4556D3C5">
              <w:rPr>
                <w:sz w:val="20"/>
                <w:szCs w:val="20"/>
              </w:rPr>
              <w:t>90%</w:t>
            </w:r>
          </w:p>
        </w:tc>
        <w:tc>
          <w:tcPr>
            <w:tcW w:w="1134" w:type="dxa"/>
          </w:tcPr>
          <w:p w:rsidRPr="00C9758E" w:rsidR="003B4EA4" w:rsidP="00237CC5" w:rsidRDefault="003B4EA4" w14:paraId="51B7503C" w14:textId="77777777">
            <w:pPr>
              <w:rPr>
                <w:sz w:val="20"/>
                <w:szCs w:val="20"/>
              </w:rPr>
            </w:pPr>
            <w:r w:rsidRPr="4556D3C5">
              <w:rPr>
                <w:sz w:val="20"/>
                <w:szCs w:val="20"/>
              </w:rPr>
              <w:t>95%</w:t>
            </w:r>
          </w:p>
        </w:tc>
      </w:tr>
    </w:tbl>
    <w:p w:rsidRPr="00C9758E" w:rsidR="003B4EA4" w:rsidP="003B4EA4" w:rsidRDefault="003B4EA4" w14:paraId="60B3F619" w14:textId="77777777">
      <w:pPr>
        <w:rPr>
          <w:rFonts w:cstheme="minorHAnsi"/>
          <w:sz w:val="20"/>
          <w:szCs w:val="20"/>
        </w:rPr>
      </w:pPr>
    </w:p>
    <w:tbl>
      <w:tblPr>
        <w:tblStyle w:val="Tabelraster"/>
        <w:tblW w:w="0" w:type="auto"/>
        <w:tblLook w:val="04A0" w:firstRow="1" w:lastRow="0" w:firstColumn="1" w:lastColumn="0" w:noHBand="0" w:noVBand="1"/>
      </w:tblPr>
      <w:tblGrid>
        <w:gridCol w:w="1129"/>
        <w:gridCol w:w="1134"/>
        <w:gridCol w:w="1134"/>
      </w:tblGrid>
      <w:tr w:rsidRPr="00ED141D" w:rsidR="003B4EA4" w:rsidTr="00237CC5" w14:paraId="3DDF1446" w14:textId="77777777">
        <w:tc>
          <w:tcPr>
            <w:tcW w:w="3397" w:type="dxa"/>
            <w:gridSpan w:val="3"/>
          </w:tcPr>
          <w:p w:rsidRPr="00C9758E" w:rsidR="003B4EA4" w:rsidP="00237CC5" w:rsidRDefault="003B4EA4" w14:paraId="72F50C20" w14:textId="77777777">
            <w:pPr>
              <w:jc w:val="center"/>
              <w:rPr>
                <w:i/>
                <w:sz w:val="20"/>
                <w:szCs w:val="20"/>
              </w:rPr>
            </w:pPr>
            <w:r w:rsidRPr="4556D3C5">
              <w:rPr>
                <w:i/>
                <w:sz w:val="20"/>
                <w:szCs w:val="20"/>
              </w:rPr>
              <w:lastRenderedPageBreak/>
              <w:t>Minimumgehalte recyclede materiaal</w:t>
            </w:r>
          </w:p>
        </w:tc>
      </w:tr>
      <w:tr w:rsidR="003B4EA4" w:rsidTr="00237CC5" w14:paraId="75A72BDF" w14:textId="77777777">
        <w:tc>
          <w:tcPr>
            <w:tcW w:w="1129" w:type="dxa"/>
          </w:tcPr>
          <w:p w:rsidRPr="00C9758E" w:rsidR="003B4EA4" w:rsidP="00237CC5" w:rsidRDefault="003B4EA4" w14:paraId="32198398" w14:textId="77777777">
            <w:pPr>
              <w:rPr>
                <w:sz w:val="20"/>
                <w:szCs w:val="20"/>
              </w:rPr>
            </w:pPr>
            <w:r w:rsidRPr="4556D3C5">
              <w:rPr>
                <w:sz w:val="20"/>
                <w:szCs w:val="20"/>
              </w:rPr>
              <w:t>Materiaal</w:t>
            </w:r>
          </w:p>
        </w:tc>
        <w:tc>
          <w:tcPr>
            <w:tcW w:w="1134" w:type="dxa"/>
          </w:tcPr>
          <w:p w:rsidRPr="00C9758E" w:rsidR="003B4EA4" w:rsidP="00237CC5" w:rsidRDefault="003B4EA4" w14:paraId="17DA209C" w14:textId="77777777">
            <w:pPr>
              <w:rPr>
                <w:sz w:val="20"/>
                <w:szCs w:val="20"/>
              </w:rPr>
            </w:pPr>
            <w:r w:rsidRPr="4556D3C5">
              <w:rPr>
                <w:sz w:val="20"/>
                <w:szCs w:val="20"/>
              </w:rPr>
              <w:t>2031</w:t>
            </w:r>
          </w:p>
        </w:tc>
        <w:tc>
          <w:tcPr>
            <w:tcW w:w="1134" w:type="dxa"/>
          </w:tcPr>
          <w:p w:rsidRPr="00C9758E" w:rsidR="003B4EA4" w:rsidP="00237CC5" w:rsidRDefault="003B4EA4" w14:paraId="2621B19A" w14:textId="77777777">
            <w:pPr>
              <w:rPr>
                <w:sz w:val="20"/>
                <w:szCs w:val="20"/>
              </w:rPr>
            </w:pPr>
            <w:r w:rsidRPr="4556D3C5">
              <w:rPr>
                <w:sz w:val="20"/>
                <w:szCs w:val="20"/>
              </w:rPr>
              <w:t>2036</w:t>
            </w:r>
          </w:p>
        </w:tc>
      </w:tr>
      <w:tr w:rsidR="003B4EA4" w:rsidTr="00237CC5" w14:paraId="53612B41" w14:textId="77777777">
        <w:tc>
          <w:tcPr>
            <w:tcW w:w="1129" w:type="dxa"/>
          </w:tcPr>
          <w:p w:rsidRPr="00C9758E" w:rsidR="003B4EA4" w:rsidP="00237CC5" w:rsidRDefault="003B4EA4" w14:paraId="294AFC6E" w14:textId="77777777">
            <w:pPr>
              <w:rPr>
                <w:sz w:val="20"/>
                <w:szCs w:val="20"/>
              </w:rPr>
            </w:pPr>
            <w:r w:rsidRPr="4556D3C5">
              <w:rPr>
                <w:sz w:val="20"/>
                <w:szCs w:val="20"/>
              </w:rPr>
              <w:t>Kobalt</w:t>
            </w:r>
          </w:p>
        </w:tc>
        <w:tc>
          <w:tcPr>
            <w:tcW w:w="1134" w:type="dxa"/>
          </w:tcPr>
          <w:p w:rsidRPr="00C9758E" w:rsidR="003B4EA4" w:rsidP="00237CC5" w:rsidRDefault="003B4EA4" w14:paraId="3CC2C986" w14:textId="77777777">
            <w:pPr>
              <w:rPr>
                <w:sz w:val="20"/>
                <w:szCs w:val="20"/>
              </w:rPr>
            </w:pPr>
            <w:r w:rsidRPr="4556D3C5">
              <w:rPr>
                <w:sz w:val="20"/>
                <w:szCs w:val="20"/>
              </w:rPr>
              <w:t>16%</w:t>
            </w:r>
          </w:p>
        </w:tc>
        <w:tc>
          <w:tcPr>
            <w:tcW w:w="1134" w:type="dxa"/>
          </w:tcPr>
          <w:p w:rsidRPr="00C9758E" w:rsidR="003B4EA4" w:rsidP="00237CC5" w:rsidRDefault="003B4EA4" w14:paraId="17B9F10D" w14:textId="77777777">
            <w:pPr>
              <w:rPr>
                <w:sz w:val="20"/>
                <w:szCs w:val="20"/>
              </w:rPr>
            </w:pPr>
            <w:r w:rsidRPr="4556D3C5">
              <w:rPr>
                <w:sz w:val="20"/>
                <w:szCs w:val="20"/>
              </w:rPr>
              <w:t>26%</w:t>
            </w:r>
          </w:p>
        </w:tc>
      </w:tr>
      <w:tr w:rsidR="003B4EA4" w:rsidTr="00237CC5" w14:paraId="578F7338" w14:textId="77777777">
        <w:tc>
          <w:tcPr>
            <w:tcW w:w="1129" w:type="dxa"/>
          </w:tcPr>
          <w:p w:rsidRPr="00C9758E" w:rsidR="003B4EA4" w:rsidP="00237CC5" w:rsidRDefault="003B4EA4" w14:paraId="51C54AE8" w14:textId="77777777">
            <w:pPr>
              <w:rPr>
                <w:sz w:val="20"/>
                <w:szCs w:val="20"/>
              </w:rPr>
            </w:pPr>
            <w:r w:rsidRPr="4556D3C5">
              <w:rPr>
                <w:sz w:val="20"/>
                <w:szCs w:val="20"/>
              </w:rPr>
              <w:t>Lood</w:t>
            </w:r>
          </w:p>
        </w:tc>
        <w:tc>
          <w:tcPr>
            <w:tcW w:w="1134" w:type="dxa"/>
          </w:tcPr>
          <w:p w:rsidRPr="00C9758E" w:rsidR="003B4EA4" w:rsidP="00237CC5" w:rsidRDefault="003B4EA4" w14:paraId="18D78E82" w14:textId="77777777">
            <w:pPr>
              <w:rPr>
                <w:sz w:val="20"/>
                <w:szCs w:val="20"/>
              </w:rPr>
            </w:pPr>
            <w:r w:rsidRPr="4556D3C5">
              <w:rPr>
                <w:sz w:val="20"/>
                <w:szCs w:val="20"/>
              </w:rPr>
              <w:t>85%</w:t>
            </w:r>
          </w:p>
        </w:tc>
        <w:tc>
          <w:tcPr>
            <w:tcW w:w="1134" w:type="dxa"/>
          </w:tcPr>
          <w:p w:rsidRPr="00C9758E" w:rsidR="003B4EA4" w:rsidP="00237CC5" w:rsidRDefault="003B4EA4" w14:paraId="2082DE1B" w14:textId="77777777">
            <w:pPr>
              <w:rPr>
                <w:sz w:val="20"/>
                <w:szCs w:val="20"/>
              </w:rPr>
            </w:pPr>
            <w:r w:rsidRPr="4556D3C5">
              <w:rPr>
                <w:sz w:val="20"/>
                <w:szCs w:val="20"/>
              </w:rPr>
              <w:t>85%</w:t>
            </w:r>
          </w:p>
        </w:tc>
      </w:tr>
      <w:tr w:rsidR="003B4EA4" w:rsidTr="00237CC5" w14:paraId="44A2D8EE" w14:textId="77777777">
        <w:tc>
          <w:tcPr>
            <w:tcW w:w="1129" w:type="dxa"/>
          </w:tcPr>
          <w:p w:rsidRPr="00C9758E" w:rsidR="003B4EA4" w:rsidP="00237CC5" w:rsidRDefault="003B4EA4" w14:paraId="35441B23" w14:textId="77777777">
            <w:pPr>
              <w:rPr>
                <w:sz w:val="20"/>
                <w:szCs w:val="20"/>
              </w:rPr>
            </w:pPr>
            <w:r w:rsidRPr="4556D3C5">
              <w:rPr>
                <w:sz w:val="20"/>
                <w:szCs w:val="20"/>
              </w:rPr>
              <w:t>Lithium</w:t>
            </w:r>
          </w:p>
        </w:tc>
        <w:tc>
          <w:tcPr>
            <w:tcW w:w="1134" w:type="dxa"/>
          </w:tcPr>
          <w:p w:rsidRPr="00C9758E" w:rsidR="003B4EA4" w:rsidP="00237CC5" w:rsidRDefault="003B4EA4" w14:paraId="10D1E7DB" w14:textId="77777777">
            <w:pPr>
              <w:rPr>
                <w:sz w:val="20"/>
                <w:szCs w:val="20"/>
              </w:rPr>
            </w:pPr>
            <w:r w:rsidRPr="4556D3C5">
              <w:rPr>
                <w:sz w:val="20"/>
                <w:szCs w:val="20"/>
              </w:rPr>
              <w:t>6%</w:t>
            </w:r>
          </w:p>
        </w:tc>
        <w:tc>
          <w:tcPr>
            <w:tcW w:w="1134" w:type="dxa"/>
          </w:tcPr>
          <w:p w:rsidRPr="00C9758E" w:rsidR="003B4EA4" w:rsidP="00237CC5" w:rsidRDefault="003B4EA4" w14:paraId="5FB883BD" w14:textId="77777777">
            <w:pPr>
              <w:rPr>
                <w:sz w:val="20"/>
                <w:szCs w:val="20"/>
              </w:rPr>
            </w:pPr>
            <w:r w:rsidRPr="4556D3C5">
              <w:rPr>
                <w:sz w:val="20"/>
                <w:szCs w:val="20"/>
              </w:rPr>
              <w:t>12%</w:t>
            </w:r>
          </w:p>
        </w:tc>
      </w:tr>
      <w:tr w:rsidR="003B4EA4" w:rsidTr="00237CC5" w14:paraId="3D8F05E2" w14:textId="77777777">
        <w:tc>
          <w:tcPr>
            <w:tcW w:w="1129" w:type="dxa"/>
          </w:tcPr>
          <w:p w:rsidRPr="00C9758E" w:rsidR="003B4EA4" w:rsidP="00237CC5" w:rsidRDefault="003B4EA4" w14:paraId="3668F230" w14:textId="77777777">
            <w:pPr>
              <w:rPr>
                <w:sz w:val="20"/>
                <w:szCs w:val="20"/>
              </w:rPr>
            </w:pPr>
            <w:r w:rsidRPr="4556D3C5">
              <w:rPr>
                <w:sz w:val="20"/>
                <w:szCs w:val="20"/>
              </w:rPr>
              <w:t>Nikkel</w:t>
            </w:r>
          </w:p>
        </w:tc>
        <w:tc>
          <w:tcPr>
            <w:tcW w:w="1134" w:type="dxa"/>
          </w:tcPr>
          <w:p w:rsidRPr="00C9758E" w:rsidR="003B4EA4" w:rsidP="00237CC5" w:rsidRDefault="003B4EA4" w14:paraId="731FD91A" w14:textId="77777777">
            <w:pPr>
              <w:rPr>
                <w:sz w:val="20"/>
                <w:szCs w:val="20"/>
              </w:rPr>
            </w:pPr>
            <w:r w:rsidRPr="4556D3C5">
              <w:rPr>
                <w:sz w:val="20"/>
                <w:szCs w:val="20"/>
              </w:rPr>
              <w:t>6%</w:t>
            </w:r>
          </w:p>
        </w:tc>
        <w:tc>
          <w:tcPr>
            <w:tcW w:w="1134" w:type="dxa"/>
          </w:tcPr>
          <w:p w:rsidRPr="00C9758E" w:rsidR="003B4EA4" w:rsidP="00237CC5" w:rsidRDefault="003B4EA4" w14:paraId="27D8A718" w14:textId="77777777">
            <w:pPr>
              <w:rPr>
                <w:sz w:val="20"/>
                <w:szCs w:val="20"/>
              </w:rPr>
            </w:pPr>
            <w:r w:rsidRPr="4556D3C5">
              <w:rPr>
                <w:sz w:val="20"/>
                <w:szCs w:val="20"/>
              </w:rPr>
              <w:t>15%</w:t>
            </w:r>
          </w:p>
        </w:tc>
      </w:tr>
    </w:tbl>
    <w:tbl>
      <w:tblPr>
        <w:tblStyle w:val="Tabelraster"/>
        <w:tblpPr w:leftFromText="141" w:rightFromText="141" w:vertAnchor="text" w:horzAnchor="page" w:tblpX="5312" w:tblpY="-1563"/>
        <w:tblW w:w="0" w:type="auto"/>
        <w:tblLook w:val="04A0" w:firstRow="1" w:lastRow="0" w:firstColumn="1" w:lastColumn="0" w:noHBand="0" w:noVBand="1"/>
      </w:tblPr>
      <w:tblGrid>
        <w:gridCol w:w="1601"/>
        <w:gridCol w:w="992"/>
        <w:gridCol w:w="1074"/>
      </w:tblGrid>
      <w:tr w:rsidRPr="00C9758E" w:rsidR="003B4EA4" w:rsidTr="00237CC5" w14:paraId="0DCB9FB4" w14:textId="77777777">
        <w:tc>
          <w:tcPr>
            <w:tcW w:w="3667" w:type="dxa"/>
            <w:gridSpan w:val="3"/>
          </w:tcPr>
          <w:p w:rsidRPr="00C9758E" w:rsidR="003B4EA4" w:rsidP="00237CC5" w:rsidRDefault="003B4EA4" w14:paraId="32E1717D" w14:textId="77777777">
            <w:pPr>
              <w:jc w:val="center"/>
              <w:rPr>
                <w:i/>
                <w:sz w:val="20"/>
                <w:szCs w:val="20"/>
              </w:rPr>
            </w:pPr>
            <w:r w:rsidRPr="4556D3C5">
              <w:rPr>
                <w:i/>
                <w:sz w:val="20"/>
                <w:szCs w:val="20"/>
              </w:rPr>
              <w:t>Recyclingefficiency</w:t>
            </w:r>
          </w:p>
        </w:tc>
      </w:tr>
      <w:tr w:rsidRPr="00C9758E" w:rsidR="003B4EA4" w:rsidTr="00237CC5" w14:paraId="587EEA67" w14:textId="77777777">
        <w:tc>
          <w:tcPr>
            <w:tcW w:w="1601" w:type="dxa"/>
          </w:tcPr>
          <w:p w:rsidRPr="00C9758E" w:rsidR="003B4EA4" w:rsidP="00237CC5" w:rsidRDefault="003B4EA4" w14:paraId="57BA8751" w14:textId="77777777">
            <w:pPr>
              <w:rPr>
                <w:sz w:val="20"/>
                <w:szCs w:val="20"/>
              </w:rPr>
            </w:pPr>
            <w:r w:rsidRPr="4556D3C5">
              <w:rPr>
                <w:sz w:val="20"/>
                <w:szCs w:val="20"/>
              </w:rPr>
              <w:t>Type batterij</w:t>
            </w:r>
          </w:p>
        </w:tc>
        <w:tc>
          <w:tcPr>
            <w:tcW w:w="992" w:type="dxa"/>
          </w:tcPr>
          <w:p w:rsidRPr="00C9758E" w:rsidR="003B4EA4" w:rsidP="00237CC5" w:rsidRDefault="003B4EA4" w14:paraId="29E620D8" w14:textId="77777777">
            <w:pPr>
              <w:rPr>
                <w:sz w:val="20"/>
                <w:szCs w:val="20"/>
              </w:rPr>
            </w:pPr>
            <w:r w:rsidRPr="4556D3C5">
              <w:rPr>
                <w:sz w:val="20"/>
                <w:szCs w:val="20"/>
              </w:rPr>
              <w:t>2025</w:t>
            </w:r>
          </w:p>
        </w:tc>
        <w:tc>
          <w:tcPr>
            <w:tcW w:w="1074" w:type="dxa"/>
          </w:tcPr>
          <w:p w:rsidRPr="00C9758E" w:rsidR="003B4EA4" w:rsidP="00237CC5" w:rsidRDefault="003B4EA4" w14:paraId="7C86BFF4" w14:textId="77777777">
            <w:pPr>
              <w:rPr>
                <w:sz w:val="20"/>
                <w:szCs w:val="20"/>
              </w:rPr>
            </w:pPr>
            <w:r w:rsidRPr="4556D3C5">
              <w:rPr>
                <w:sz w:val="20"/>
                <w:szCs w:val="20"/>
              </w:rPr>
              <w:t>2030</w:t>
            </w:r>
          </w:p>
        </w:tc>
      </w:tr>
      <w:tr w:rsidRPr="00C9758E" w:rsidR="003B4EA4" w:rsidTr="00237CC5" w14:paraId="5B3799D3" w14:textId="77777777">
        <w:tc>
          <w:tcPr>
            <w:tcW w:w="1601" w:type="dxa"/>
          </w:tcPr>
          <w:p w:rsidRPr="00C9758E" w:rsidR="003B4EA4" w:rsidP="00237CC5" w:rsidRDefault="003B4EA4" w14:paraId="17F34783" w14:textId="77777777">
            <w:pPr>
              <w:rPr>
                <w:sz w:val="20"/>
                <w:szCs w:val="20"/>
              </w:rPr>
            </w:pPr>
            <w:r w:rsidRPr="4556D3C5">
              <w:rPr>
                <w:sz w:val="20"/>
                <w:szCs w:val="20"/>
              </w:rPr>
              <w:t>Loodzuur</w:t>
            </w:r>
          </w:p>
        </w:tc>
        <w:tc>
          <w:tcPr>
            <w:tcW w:w="992" w:type="dxa"/>
          </w:tcPr>
          <w:p w:rsidRPr="00C9758E" w:rsidR="003B4EA4" w:rsidP="00237CC5" w:rsidRDefault="003B4EA4" w14:paraId="6B0B3B1D" w14:textId="77777777">
            <w:pPr>
              <w:rPr>
                <w:sz w:val="20"/>
                <w:szCs w:val="20"/>
              </w:rPr>
            </w:pPr>
            <w:r w:rsidRPr="4556D3C5">
              <w:rPr>
                <w:sz w:val="20"/>
                <w:szCs w:val="20"/>
              </w:rPr>
              <w:t>75%</w:t>
            </w:r>
          </w:p>
        </w:tc>
        <w:tc>
          <w:tcPr>
            <w:tcW w:w="1074" w:type="dxa"/>
          </w:tcPr>
          <w:p w:rsidRPr="00C9758E" w:rsidR="003B4EA4" w:rsidP="00237CC5" w:rsidRDefault="003B4EA4" w14:paraId="28E7AF2A" w14:textId="77777777">
            <w:pPr>
              <w:rPr>
                <w:sz w:val="20"/>
                <w:szCs w:val="20"/>
              </w:rPr>
            </w:pPr>
            <w:r w:rsidRPr="4556D3C5">
              <w:rPr>
                <w:sz w:val="20"/>
                <w:szCs w:val="20"/>
              </w:rPr>
              <w:t>80%</w:t>
            </w:r>
          </w:p>
        </w:tc>
      </w:tr>
      <w:tr w:rsidRPr="00C9758E" w:rsidR="003B4EA4" w:rsidTr="00237CC5" w14:paraId="75B2A8E7" w14:textId="77777777">
        <w:tc>
          <w:tcPr>
            <w:tcW w:w="1601" w:type="dxa"/>
          </w:tcPr>
          <w:p w:rsidRPr="00C9758E" w:rsidR="003B4EA4" w:rsidP="00237CC5" w:rsidRDefault="003B4EA4" w14:paraId="7F151CFF" w14:textId="77777777">
            <w:pPr>
              <w:rPr>
                <w:sz w:val="20"/>
                <w:szCs w:val="20"/>
              </w:rPr>
            </w:pPr>
            <w:r w:rsidRPr="4556D3C5">
              <w:rPr>
                <w:sz w:val="20"/>
                <w:szCs w:val="20"/>
              </w:rPr>
              <w:t>Lithium</w:t>
            </w:r>
          </w:p>
        </w:tc>
        <w:tc>
          <w:tcPr>
            <w:tcW w:w="992" w:type="dxa"/>
          </w:tcPr>
          <w:p w:rsidRPr="00C9758E" w:rsidR="003B4EA4" w:rsidP="00237CC5" w:rsidRDefault="003B4EA4" w14:paraId="680671AC" w14:textId="77777777">
            <w:pPr>
              <w:rPr>
                <w:sz w:val="20"/>
                <w:szCs w:val="20"/>
              </w:rPr>
            </w:pPr>
            <w:r w:rsidRPr="4556D3C5">
              <w:rPr>
                <w:sz w:val="20"/>
                <w:szCs w:val="20"/>
              </w:rPr>
              <w:t>65%</w:t>
            </w:r>
          </w:p>
        </w:tc>
        <w:tc>
          <w:tcPr>
            <w:tcW w:w="1074" w:type="dxa"/>
          </w:tcPr>
          <w:p w:rsidRPr="00C9758E" w:rsidR="003B4EA4" w:rsidP="00237CC5" w:rsidRDefault="003B4EA4" w14:paraId="5A43CA3F" w14:textId="77777777">
            <w:pPr>
              <w:rPr>
                <w:sz w:val="20"/>
                <w:szCs w:val="20"/>
              </w:rPr>
            </w:pPr>
            <w:r w:rsidRPr="4556D3C5">
              <w:rPr>
                <w:sz w:val="20"/>
                <w:szCs w:val="20"/>
              </w:rPr>
              <w:t>70%</w:t>
            </w:r>
          </w:p>
        </w:tc>
      </w:tr>
      <w:tr w:rsidRPr="00C9758E" w:rsidR="003B4EA4" w:rsidTr="00237CC5" w14:paraId="1B2DAAA0" w14:textId="77777777">
        <w:tc>
          <w:tcPr>
            <w:tcW w:w="1601" w:type="dxa"/>
          </w:tcPr>
          <w:p w:rsidRPr="00C9758E" w:rsidR="003B4EA4" w:rsidP="00237CC5" w:rsidRDefault="003B4EA4" w14:paraId="620693D6" w14:textId="77777777">
            <w:pPr>
              <w:rPr>
                <w:sz w:val="20"/>
                <w:szCs w:val="20"/>
              </w:rPr>
            </w:pPr>
            <w:r w:rsidRPr="4556D3C5">
              <w:rPr>
                <w:sz w:val="20"/>
                <w:szCs w:val="20"/>
              </w:rPr>
              <w:t>Nikkelcadmium</w:t>
            </w:r>
          </w:p>
        </w:tc>
        <w:tc>
          <w:tcPr>
            <w:tcW w:w="992" w:type="dxa"/>
          </w:tcPr>
          <w:p w:rsidRPr="00C9758E" w:rsidR="003B4EA4" w:rsidP="00237CC5" w:rsidRDefault="003B4EA4" w14:paraId="31626491" w14:textId="77777777">
            <w:pPr>
              <w:rPr>
                <w:sz w:val="20"/>
                <w:szCs w:val="20"/>
              </w:rPr>
            </w:pPr>
            <w:r w:rsidRPr="4556D3C5">
              <w:rPr>
                <w:sz w:val="20"/>
                <w:szCs w:val="20"/>
              </w:rPr>
              <w:t>80%</w:t>
            </w:r>
          </w:p>
        </w:tc>
        <w:tc>
          <w:tcPr>
            <w:tcW w:w="1074" w:type="dxa"/>
          </w:tcPr>
          <w:p w:rsidRPr="00C9758E" w:rsidR="003B4EA4" w:rsidP="00237CC5" w:rsidRDefault="003B4EA4" w14:paraId="26B8D0C4" w14:textId="77777777">
            <w:pPr>
              <w:rPr>
                <w:sz w:val="20"/>
                <w:szCs w:val="20"/>
              </w:rPr>
            </w:pPr>
            <w:r w:rsidRPr="4556D3C5">
              <w:rPr>
                <w:sz w:val="20"/>
                <w:szCs w:val="20"/>
              </w:rPr>
              <w:t>80%</w:t>
            </w:r>
          </w:p>
        </w:tc>
      </w:tr>
      <w:tr w:rsidRPr="00C9758E" w:rsidR="003B4EA4" w:rsidTr="00237CC5" w14:paraId="68634DDD" w14:textId="77777777">
        <w:tc>
          <w:tcPr>
            <w:tcW w:w="1601" w:type="dxa"/>
          </w:tcPr>
          <w:p w:rsidRPr="00C9758E" w:rsidR="003B4EA4" w:rsidP="00237CC5" w:rsidRDefault="003B4EA4" w14:paraId="41F7712D" w14:textId="77777777">
            <w:pPr>
              <w:rPr>
                <w:sz w:val="20"/>
                <w:szCs w:val="20"/>
              </w:rPr>
            </w:pPr>
            <w:r w:rsidRPr="4556D3C5">
              <w:rPr>
                <w:sz w:val="20"/>
                <w:szCs w:val="20"/>
              </w:rPr>
              <w:t>Overige</w:t>
            </w:r>
          </w:p>
        </w:tc>
        <w:tc>
          <w:tcPr>
            <w:tcW w:w="992" w:type="dxa"/>
          </w:tcPr>
          <w:p w:rsidRPr="00C9758E" w:rsidR="003B4EA4" w:rsidP="00237CC5" w:rsidRDefault="003B4EA4" w14:paraId="4CBD95E7" w14:textId="77777777">
            <w:pPr>
              <w:rPr>
                <w:sz w:val="20"/>
                <w:szCs w:val="20"/>
              </w:rPr>
            </w:pPr>
            <w:r w:rsidRPr="4556D3C5">
              <w:rPr>
                <w:sz w:val="20"/>
                <w:szCs w:val="20"/>
              </w:rPr>
              <w:t>50%</w:t>
            </w:r>
          </w:p>
        </w:tc>
        <w:tc>
          <w:tcPr>
            <w:tcW w:w="1074" w:type="dxa"/>
          </w:tcPr>
          <w:p w:rsidRPr="00C9758E" w:rsidR="003B4EA4" w:rsidP="00237CC5" w:rsidRDefault="003B4EA4" w14:paraId="202C8E7E" w14:textId="77777777">
            <w:pPr>
              <w:rPr>
                <w:sz w:val="20"/>
                <w:szCs w:val="20"/>
              </w:rPr>
            </w:pPr>
            <w:r w:rsidRPr="4556D3C5">
              <w:rPr>
                <w:sz w:val="20"/>
                <w:szCs w:val="20"/>
              </w:rPr>
              <w:t>50%</w:t>
            </w:r>
          </w:p>
        </w:tc>
      </w:tr>
    </w:tbl>
    <w:p w:rsidRPr="00BB29BE" w:rsidR="003B4EA4" w:rsidP="003B4EA4" w:rsidRDefault="003B4EA4" w14:paraId="44AF0C2C" w14:textId="77777777">
      <w:pPr>
        <w:rPr>
          <w:rFonts w:cstheme="minorHAnsi"/>
        </w:rPr>
      </w:pPr>
    </w:p>
    <w:p w:rsidR="003B4EA4" w:rsidP="003B4EA4" w:rsidRDefault="003B4EA4" w14:paraId="0A72DB9D" w14:textId="77777777">
      <w:r w:rsidRPr="009F3678">
        <w:t xml:space="preserve">De batterijenverordening stelt daarmee strenge eisen om de batterijketen te verduurzamen. Deze beleidsagenda richt zich specifiek op de beleidsmaatregelen die aanvullend nodig zijn om daaraan bij te dragen. </w:t>
      </w:r>
    </w:p>
    <w:p w:rsidRPr="00E24797" w:rsidR="003B4EA4" w:rsidP="003B4EA4" w:rsidRDefault="003B4EA4" w14:paraId="735FD187" w14:textId="77777777">
      <w:pPr>
        <w:rPr>
          <w:i/>
          <w:iCs/>
        </w:rPr>
      </w:pPr>
      <w:r w:rsidRPr="008224F1">
        <w:rPr>
          <w:i/>
          <w:iCs/>
        </w:rPr>
        <w:t>Routekaart Circulaire en Weerbare Batterijen</w:t>
      </w:r>
    </w:p>
    <w:p w:rsidRPr="00E24797" w:rsidR="003B4EA4" w:rsidP="003B4EA4" w:rsidRDefault="003B4EA4" w14:paraId="3DF60A6D" w14:textId="77777777">
      <w:r w:rsidRPr="00E24797">
        <w:t>De Routekaart Circulaire en Weerbare Batterijen</w:t>
      </w:r>
      <w:r>
        <w:t xml:space="preserve"> is opgesteld in</w:t>
      </w:r>
      <w:r w:rsidRPr="00E24797">
        <w:t xml:space="preserve"> opdracht van het ministerie van Infrastructuur en Waterstaat </w:t>
      </w:r>
      <w:r>
        <w:t>en uitgevoerd</w:t>
      </w:r>
      <w:r w:rsidRPr="00E24797">
        <w:t xml:space="preserve"> door het Productteam Circulaire en Weerbare Batterijen.  </w:t>
      </w:r>
      <w:r>
        <w:t xml:space="preserve">Het product </w:t>
      </w:r>
      <w:r w:rsidRPr="00E24797">
        <w:t>bevat diverse actielijnen voor de komende vijf tot zeven jaar. De routekaart sluit aan bij Europese regelgeving, zoals de Batterij</w:t>
      </w:r>
      <w:r>
        <w:t>en</w:t>
      </w:r>
      <w:r w:rsidRPr="00E24797">
        <w:t xml:space="preserve">verordening en de Critical </w:t>
      </w:r>
      <w:proofErr w:type="spellStart"/>
      <w:r w:rsidRPr="00E24797">
        <w:t>Raw</w:t>
      </w:r>
      <w:proofErr w:type="spellEnd"/>
      <w:r w:rsidRPr="00E24797">
        <w:t xml:space="preserve"> </w:t>
      </w:r>
      <w:proofErr w:type="spellStart"/>
      <w:r w:rsidRPr="00E24797">
        <w:t>Materials</w:t>
      </w:r>
      <w:proofErr w:type="spellEnd"/>
      <w:r w:rsidRPr="00E24797">
        <w:t xml:space="preserve"> Act, en bouwt voort op bestaande initiatieven, waaronder de Actieagenda Batterijsystemen, het </w:t>
      </w:r>
      <w:proofErr w:type="spellStart"/>
      <w:r w:rsidRPr="00E24797">
        <w:t>Battery</w:t>
      </w:r>
      <w:proofErr w:type="spellEnd"/>
      <w:r w:rsidRPr="00E24797">
        <w:t xml:space="preserve"> </w:t>
      </w:r>
      <w:proofErr w:type="spellStart"/>
      <w:r w:rsidRPr="00E24797">
        <w:t>Competence</w:t>
      </w:r>
      <w:proofErr w:type="spellEnd"/>
      <w:r w:rsidRPr="00E24797">
        <w:t xml:space="preserve"> Cluster-NL en het Nationaal Groeifonds. De beleidsagenda circulariteit van kritieke grondstoffen raakt aan meerdere actielijnen uit deze routekaart en sluit hier inhoudelijk op aan.</w:t>
      </w:r>
    </w:p>
    <w:p w:rsidRPr="00107210" w:rsidR="003B4EA4" w:rsidP="00107210" w:rsidRDefault="003B4EA4" w14:paraId="22FABE1B" w14:textId="77777777">
      <w:pPr>
        <w:pStyle w:val="Geenafstand"/>
        <w:rPr>
          <w:i/>
          <w:iCs/>
        </w:rPr>
      </w:pPr>
      <w:r w:rsidRPr="00107210">
        <w:rPr>
          <w:i/>
          <w:iCs/>
        </w:rPr>
        <w:t>Huidige beleidskaders Elektrische en Elektronische Apparaten</w:t>
      </w:r>
    </w:p>
    <w:p w:rsidRPr="00BB29BE" w:rsidR="003B4EA4" w:rsidP="003B4EA4" w:rsidRDefault="003B4EA4" w14:paraId="085BE8BB" w14:textId="77777777">
      <w:r w:rsidRPr="4556D3C5">
        <w:t xml:space="preserve">Voor de productgroep Elektrische en Elektronische Apparaten (EEA) zijn verschillende </w:t>
      </w:r>
      <w:proofErr w:type="spellStart"/>
      <w:r w:rsidRPr="4556D3C5" w:rsidDel="006003FB">
        <w:t>productspecifieke</w:t>
      </w:r>
      <w:proofErr w:type="spellEnd"/>
      <w:r w:rsidRPr="4556D3C5">
        <w:t xml:space="preserve"> beleidskaders van toepassing. De belangrijkste zijn de Europese Kaderverordening </w:t>
      </w:r>
      <w:proofErr w:type="spellStart"/>
      <w:r w:rsidRPr="4556D3C5">
        <w:t>Ecodesign</w:t>
      </w:r>
      <w:proofErr w:type="spellEnd"/>
      <w:r w:rsidRPr="4556D3C5">
        <w:t xml:space="preserve"> voor Duurzame Producten</w:t>
      </w:r>
      <w:r w:rsidRPr="4556D3C5">
        <w:rPr>
          <w:rStyle w:val="Voetnootmarkering"/>
        </w:rPr>
        <w:footnoteReference w:id="20"/>
      </w:r>
      <w:r w:rsidRPr="4556D3C5">
        <w:t xml:space="preserve"> (ESPR) en de Richtlijn Afgedankte Elektrische en Elektronische Apparaten</w:t>
      </w:r>
      <w:r w:rsidRPr="4556D3C5">
        <w:rPr>
          <w:rStyle w:val="Voetnootmarkering"/>
        </w:rPr>
        <w:footnoteReference w:id="21"/>
      </w:r>
      <w:r w:rsidRPr="4556D3C5">
        <w:t xml:space="preserve"> (AEEA). In het Circulair Materialen Plan </w:t>
      </w:r>
      <w:r w:rsidRPr="4556D3C5" w:rsidDel="002D21ED">
        <w:t>(</w:t>
      </w:r>
      <w:r w:rsidRPr="4556D3C5">
        <w:t>CMP</w:t>
      </w:r>
      <w:r w:rsidRPr="4556D3C5" w:rsidDel="002D21ED">
        <w:t xml:space="preserve">) </w:t>
      </w:r>
      <w:r w:rsidRPr="4556D3C5">
        <w:t xml:space="preserve">zijn de kaders voor vergunningverlening opgenomen. </w:t>
      </w:r>
    </w:p>
    <w:p w:rsidRPr="00BB29BE" w:rsidR="003B4EA4" w:rsidP="003B4EA4" w:rsidRDefault="003B4EA4" w14:paraId="48FBF605" w14:textId="77777777">
      <w:pPr>
        <w:rPr>
          <w:i/>
        </w:rPr>
      </w:pPr>
      <w:proofErr w:type="spellStart"/>
      <w:r w:rsidRPr="4556D3C5">
        <w:rPr>
          <w:i/>
        </w:rPr>
        <w:t>Ecodesign</w:t>
      </w:r>
      <w:proofErr w:type="spellEnd"/>
      <w:r w:rsidRPr="4556D3C5">
        <w:rPr>
          <w:i/>
        </w:rPr>
        <w:t xml:space="preserve"> Verordening</w:t>
      </w:r>
    </w:p>
    <w:p w:rsidRPr="00BB29BE" w:rsidR="003B4EA4" w:rsidP="003B4EA4" w:rsidRDefault="003B4EA4" w14:paraId="0519FE7A" w14:textId="77777777">
      <w:r w:rsidRPr="4556D3C5">
        <w:t xml:space="preserve">De ESPR is een herziening van de </w:t>
      </w:r>
      <w:proofErr w:type="spellStart"/>
      <w:r w:rsidRPr="4556D3C5">
        <w:t>Ecodesign</w:t>
      </w:r>
      <w:proofErr w:type="spellEnd"/>
      <w:r w:rsidRPr="4556D3C5">
        <w:t xml:space="preserve"> Richtlijn, die sinds 2009 van kracht was en waaronder ontwerpeisen voor bepaalde productgroepen binnen de categorie elektrische en elektronische apparaten zijn uitgewerkt. Zo zijn er al </w:t>
      </w:r>
      <w:proofErr w:type="spellStart"/>
      <w:r w:rsidRPr="4556D3C5">
        <w:t>Ecodesigneisen</w:t>
      </w:r>
      <w:proofErr w:type="spellEnd"/>
      <w:r w:rsidRPr="4556D3C5">
        <w:t xml:space="preserve"> voor stofzuigers, wasmachines en drogers. De </w:t>
      </w:r>
      <w:proofErr w:type="spellStart"/>
      <w:r w:rsidRPr="4556D3C5">
        <w:t>Ecodesigneisen</w:t>
      </w:r>
      <w:proofErr w:type="spellEnd"/>
      <w:r w:rsidRPr="4556D3C5">
        <w:t xml:space="preserve"> verschillen per productgroep. Onder de ESPR kan een bredere set aan ontwerpeisen worden vastgesteld voor EEA. Door het stellen van ontwerpeisen kan de levensduur van EEA worden verlengd. Dit is gunstig, omdat de vraag naar (kritieke) grondstoffen daarmee afneemt.</w:t>
      </w:r>
    </w:p>
    <w:p w:rsidRPr="00BB29BE" w:rsidR="003B4EA4" w:rsidP="003B4EA4" w:rsidRDefault="003B4EA4" w14:paraId="51444DEF" w14:textId="77777777">
      <w:r w:rsidRPr="4556D3C5">
        <w:lastRenderedPageBreak/>
        <w:t xml:space="preserve">In het </w:t>
      </w:r>
      <w:proofErr w:type="spellStart"/>
      <w:r w:rsidRPr="4556D3C5">
        <w:t>Ecodesign</w:t>
      </w:r>
      <w:proofErr w:type="spellEnd"/>
      <w:r w:rsidRPr="4556D3C5">
        <w:t xml:space="preserve"> werkplan 2025-2030</w:t>
      </w:r>
      <w:r w:rsidRPr="4556D3C5">
        <w:rPr>
          <w:rStyle w:val="Voetnootmarkering"/>
        </w:rPr>
        <w:footnoteReference w:id="22"/>
      </w:r>
      <w:r w:rsidRPr="4556D3C5">
        <w:t xml:space="preserve"> is opgenomen voor welke EEA ontwerpeisen worden uitgewerkt. Ook wordt er toegewerkt naar twee horizontale eisen die op meerdere EEA-productgroepen tegelijk van toepassing worden. Het gaat om een eis aan de repareerbaarheid (inclusief repareerbaarheidsindex) en een eis voor recyclebaarheid en recyclaat, met focus op kritieke grondstoffen. De repareerbaarheidseis wordt naar verwachting in 2027 vastgesteld en wordt dan na een overgangsperiode van minstens 18 maanden van kracht. De </w:t>
      </w:r>
      <w:proofErr w:type="spellStart"/>
      <w:r w:rsidRPr="4556D3C5">
        <w:t>recyclebaarheidseis</w:t>
      </w:r>
      <w:proofErr w:type="spellEnd"/>
      <w:r w:rsidRPr="4556D3C5">
        <w:t xml:space="preserve"> wordt naar verwachting in 2029 vastgesteld en wordt tevens na minstens 18 maanden van kracht. </w:t>
      </w:r>
    </w:p>
    <w:p w:rsidRPr="00BB29BE" w:rsidR="003B4EA4" w:rsidP="003B4EA4" w:rsidRDefault="003B4EA4" w14:paraId="446EABD5" w14:textId="77777777">
      <w:pPr>
        <w:rPr>
          <w:i/>
        </w:rPr>
      </w:pPr>
      <w:r w:rsidRPr="4556D3C5">
        <w:rPr>
          <w:i/>
        </w:rPr>
        <w:t>Richtlijn Afgedankte Elektrische en Elektronische Apparaten</w:t>
      </w:r>
    </w:p>
    <w:p w:rsidRPr="00BB29BE" w:rsidR="003B4EA4" w:rsidP="003B4EA4" w:rsidRDefault="003B4EA4" w14:paraId="64C2D455" w14:textId="77777777">
      <w:r w:rsidRPr="4556D3C5">
        <w:t xml:space="preserve">De Richtlijn AEEA is het juridische kader voor de inzameling en verwerking van het afval van elektrische en elektronische apparaten. Hierin wordt de producentenverantwoordelijkheid voor AEEA vastgelegd. De Richtlijn bevat onder andere een inzamel- en verwerkingsdoelstelling voor AEEA. De Richtlijn is in Nederland geïmplementeerd in de Regeling AEEA. In 2026 wordt de Richtlijn herzien. Dit biedt een kans om het wettelijk kader uit te breiden en te ijveren voor een inzamel-, hergebruik- en recyclingdoelstelling voor bepaalde kritieke grondstoffen. Een nauwe samenhang tussen </w:t>
      </w:r>
      <w:proofErr w:type="spellStart"/>
      <w:r w:rsidRPr="4556D3C5">
        <w:t>Ecodesign</w:t>
      </w:r>
      <w:proofErr w:type="spellEnd"/>
      <w:r w:rsidRPr="4556D3C5">
        <w:t xml:space="preserve"> eisen en eisen in de herziene Richtlijn AEEA is hiervoor cruciaal. </w:t>
      </w:r>
    </w:p>
    <w:p w:rsidR="003B4EA4" w:rsidRDefault="003B4EA4" w14:paraId="44B40FC2" w14:textId="77777777">
      <w:pPr>
        <w:rPr>
          <w:rFonts w:cstheme="minorHAnsi"/>
        </w:rPr>
      </w:pPr>
    </w:p>
    <w:p w:rsidR="003B4EA4" w:rsidRDefault="003B4EA4" w14:paraId="3223706B" w14:textId="77777777">
      <w:pPr>
        <w:rPr>
          <w:rFonts w:cstheme="minorHAnsi"/>
        </w:rPr>
      </w:pPr>
    </w:p>
    <w:p w:rsidRPr="00BB29BE" w:rsidR="003B4EA4" w:rsidRDefault="003B4EA4" w14:paraId="71EE5292" w14:textId="77777777">
      <w:pPr>
        <w:rPr>
          <w:rFonts w:cstheme="minorHAnsi"/>
        </w:rPr>
      </w:pPr>
    </w:p>
    <w:sectPr w:rsidRPr="00BB29BE" w:rsidR="003B4EA4" w:rsidSect="002C097A">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9DF00" w14:textId="77777777" w:rsidR="00F24979" w:rsidRDefault="00F24979" w:rsidP="00093C8B">
      <w:pPr>
        <w:spacing w:after="0" w:line="240" w:lineRule="auto"/>
      </w:pPr>
      <w:r>
        <w:separator/>
      </w:r>
    </w:p>
  </w:endnote>
  <w:endnote w:type="continuationSeparator" w:id="0">
    <w:p w14:paraId="198F14D1" w14:textId="77777777" w:rsidR="00F24979" w:rsidRDefault="00F24979" w:rsidP="00093C8B">
      <w:pPr>
        <w:spacing w:after="0" w:line="240" w:lineRule="auto"/>
      </w:pPr>
      <w:r>
        <w:continuationSeparator/>
      </w:r>
    </w:p>
  </w:endnote>
  <w:endnote w:type="continuationNotice" w:id="1">
    <w:p w14:paraId="265F5323" w14:textId="77777777" w:rsidR="00F24979" w:rsidRDefault="00F249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5C0DC" w14:textId="4FDE11F6" w:rsidR="003E0050" w:rsidRDefault="003E0050">
    <w:pPr>
      <w:pStyle w:val="Voettekst"/>
    </w:pPr>
    <w:r>
      <w:rPr>
        <w:noProof/>
      </w:rPr>
      <mc:AlternateContent>
        <mc:Choice Requires="wps">
          <w:drawing>
            <wp:anchor distT="0" distB="0" distL="0" distR="0" simplePos="0" relativeHeight="251657216" behindDoc="0" locked="0" layoutInCell="1" allowOverlap="1" wp14:anchorId="1563E628" wp14:editId="55358DF0">
              <wp:simplePos x="635" y="635"/>
              <wp:positionH relativeFrom="page">
                <wp:align>left</wp:align>
              </wp:positionH>
              <wp:positionV relativeFrom="page">
                <wp:align>bottom</wp:align>
              </wp:positionV>
              <wp:extent cx="1009015" cy="357505"/>
              <wp:effectExtent l="0" t="0" r="635" b="0"/>
              <wp:wrapNone/>
              <wp:docPr id="205652503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34D93DE9" w14:textId="0D28D091" w:rsidR="003E0050" w:rsidRPr="003E0050" w:rsidRDefault="003E0050" w:rsidP="003E0050">
                          <w:pPr>
                            <w:spacing w:after="0"/>
                            <w:rPr>
                              <w:rFonts w:ascii="Aptos" w:eastAsia="Aptos" w:hAnsi="Aptos" w:cs="Aptos"/>
                              <w:noProof/>
                              <w:color w:val="000000"/>
                              <w:sz w:val="20"/>
                              <w:szCs w:val="20"/>
                            </w:rPr>
                          </w:pPr>
                          <w:r w:rsidRPr="003E0050">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63E628" id="_x0000_t202" coordsize="21600,21600" o:spt="202" path="m,l,21600r21600,l21600,xe">
              <v:stroke joinstyle="miter"/>
              <v:path gradientshapeok="t" o:connecttype="rect"/>
            </v:shapetype>
            <v:shape id="Tekstvak 2" o:spid="_x0000_s1026" type="#_x0000_t202" alt="Intern gebruik" style="position:absolute;margin-left:0;margin-top:0;width:79.45pt;height:28.15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7jDwIAABsEAAAOAAAAZHJzL2Uyb0RvYy54bWysU8Fu2zAMvQ/YPwi6L5azeVuNOEXWIsOA&#10;oC2QDj0rshQbsERBUmJnXz9KdpKt22nYRaZJ6pF8fFrcDrojR+l8C6ai+YxRIo2AujX7in5/Xr/7&#10;TIkP3NS8AyMrepKe3i7fvln0tpRzaKCrpSMIYnzZ24o2Idgyy7xopOZ+BlYaDCpwmgf8dfusdrxH&#10;dN1lc8Y+Zj242joQ0nv03o9Bukz4SkkRHpXyMpCuothbSKdL5y6e2XLBy73jtmnF1Ab/hy40bw0W&#10;vUDd88DJwbV/QOlWOPCgwkyAzkCpVsg0A06Ts1fTbBtuZZoFyfH2QpP/f7Di4bi1T46E4QsMuMBI&#10;SG996dEZ5xmU0/GLnRKMI4WnC21yCETES4zdsLygRGDsffGpYEWEya63rfPhqwRNolFRh2tJbPHj&#10;xocx9ZwSixlYt12XVtOZ3xyIGT3ZtcVohWE3TH3voD7hOA7GTXsr1i3W3HAfnrjD1eIEKNfwiIfq&#10;oK8oTBYlDbgff/PHfGQco5T0KJWKGtQyJd03g5uYFx8Yi9JKf2i4s7FLRn7Dihg3B30HqMIcH4QV&#10;yYzJoTubyoF+QTWvYjUMcSOwZkV3Z/MujMLF1yDkapWSUEWWh43ZWhGhI1mRyefhhTs70R1wUQ9w&#10;FhMvX7E+5sab3q4OAblPK4nEjmxOfKMC01Kn1xIl/ut/yrq+6eVPAAAA//8DAFBLAwQUAAYACAAA&#10;ACEACTCrHNoAAAAEAQAADwAAAGRycy9kb3ducmV2LnhtbEyPzW7CMBCE75V4B2sr9VacUhFBmg1C&#10;9Ee9Nq1Ej068xBHxOo0NpG+P4dJeVhrNaObbfDXaThxp8K1jhIdpAoK4drrlBuHr8/V+AcIHxVp1&#10;jgnhlzysislNrjLtTvxBxzI0IpawzxSCCaHPpPS1Iav81PXE0du5waoQ5dBIPahTLLednCVJKq1q&#10;OS4Y1dPGUL0vDxYhfX5bm36bfv/sZv7dV24fSveCeHc7rp9ABBrDXxgu+BEdishUuQNrLzqE+Ei4&#10;3os3XyxBVAjz9BFkkcv/8MUZAAD//wMAUEsBAi0AFAAGAAgAAAAhALaDOJL+AAAA4QEAABMAAAAA&#10;AAAAAAAAAAAAAAAAAFtDb250ZW50X1R5cGVzXS54bWxQSwECLQAUAAYACAAAACEAOP0h/9YAAACU&#10;AQAACwAAAAAAAAAAAAAAAAAvAQAAX3JlbHMvLnJlbHNQSwECLQAUAAYACAAAACEASxbe4w8CAAAb&#10;BAAADgAAAAAAAAAAAAAAAAAuAgAAZHJzL2Uyb0RvYy54bWxQSwECLQAUAAYACAAAACEACTCrHNoA&#10;AAAEAQAADwAAAAAAAAAAAAAAAABpBAAAZHJzL2Rvd25yZXYueG1sUEsFBgAAAAAEAAQA8wAAAHAF&#10;AAAAAA==&#10;" filled="f" stroked="f">
              <v:textbox style="mso-fit-shape-to-text:t" inset="20pt,0,0,15pt">
                <w:txbxContent>
                  <w:p w14:paraId="34D93DE9" w14:textId="0D28D091" w:rsidR="003E0050" w:rsidRPr="003E0050" w:rsidRDefault="003E0050" w:rsidP="003E0050">
                    <w:pPr>
                      <w:spacing w:after="0"/>
                      <w:rPr>
                        <w:rFonts w:ascii="Aptos" w:eastAsia="Aptos" w:hAnsi="Aptos" w:cs="Aptos"/>
                        <w:noProof/>
                        <w:color w:val="000000"/>
                        <w:sz w:val="20"/>
                        <w:szCs w:val="20"/>
                      </w:rPr>
                    </w:pPr>
                    <w:r w:rsidRPr="003E0050">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476E" w14:textId="5D98845A" w:rsidR="00EB0013" w:rsidRDefault="003E0050">
    <w:pPr>
      <w:pStyle w:val="Voettekst"/>
      <w:jc w:val="right"/>
    </w:pPr>
    <w:r>
      <w:rPr>
        <w:noProof/>
      </w:rPr>
      <mc:AlternateContent>
        <mc:Choice Requires="wps">
          <w:drawing>
            <wp:anchor distT="0" distB="0" distL="0" distR="0" simplePos="0" relativeHeight="251658240" behindDoc="0" locked="0" layoutInCell="1" allowOverlap="1" wp14:anchorId="3F1A5ADF" wp14:editId="3D1A2B4A">
              <wp:simplePos x="635" y="635"/>
              <wp:positionH relativeFrom="page">
                <wp:align>left</wp:align>
              </wp:positionH>
              <wp:positionV relativeFrom="page">
                <wp:align>bottom</wp:align>
              </wp:positionV>
              <wp:extent cx="1009015" cy="357505"/>
              <wp:effectExtent l="0" t="0" r="635" b="0"/>
              <wp:wrapNone/>
              <wp:docPr id="2104613836"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04440111" w14:textId="3CBDDD6C" w:rsidR="003E0050" w:rsidRPr="003E0050" w:rsidRDefault="003E0050" w:rsidP="003E0050">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1A5ADF"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Z8EQIAACIEAAAOAAAAZHJzL2Uyb0RvYy54bWysU8tu2zAQvBfoPxC816Ldqk0Ey4GbwEWB&#10;IAngFDnTFGkJILkESVtyv75Lyo807anohVrtLvcxM5zfDEaTvfShA1vT6YRRIq2AprPbmv54Xn24&#10;oiREbhuuwcqaHmSgN4v37+a9q+QMWtCN9ASL2FD1rqZtjK4qiiBaaXiYgJMWgwq84RF//bZoPO+x&#10;utHFjLHPRQ++cR6EDAG9d2OQLnJ9paSIj0oFGYmuKc4W8+nzuUlnsZjzauu5aztxHIP/wxSGdxab&#10;nkvd8cjJznd/lDKd8BBAxYkAU4BSnZB5B9xmyt5ss265k3kXBCe4M0zh/5UVD/u1e/IkDl9hQAIT&#10;IL0LVUBn2mdQ3qQvTkowjhAezrDJIRKRLjF2zaYlJQJjH8svJStTmeJy2/kQv0kwJBk19UhLRovv&#10;70McU08pqZmFVad1pkbb3xxYM3mKy4jJisNmIF3zavwNNAfcysNIeHBi1WHrex7iE/fIMC6Cqo2P&#10;eCgNfU3haFHSgv/5N3/KR+AxSkmPiqmpRUlTor9bJGRWfmIsKSz/oeFPxiYb02tWprjdmVtAMU7x&#10;XTiRzZQc9clUHswLinqZumGIW4E9a7o5mbdx1C8+CiGXy5yEYnI83tu1E6l0wiwB+jy8cO+OqEfk&#10;6wFOmuLVG/DH3HQzuOUuIgWZmYTviOYRdhRi5vb4aJLSX//nrMvTXvwCAAD//wMAUEsDBBQABgAI&#10;AAAAIQAJMKsc2gAAAAQBAAAPAAAAZHJzL2Rvd25yZXYueG1sTI/NbsIwEITvlXgHayv1VpxSEUGa&#10;DUL0R702rUSPTrzEEfE6jQ2kb4/h0l5WGs1o5tt8NdpOHGnwrWOEh2kCgrh2uuUG4evz9X4BwgfF&#10;WnWOCeGXPKyKyU2uMu1O/EHHMjQilrDPFIIJoc+k9LUhq/zU9cTR27nBqhDl0Eg9qFMst52cJUkq&#10;rWo5LhjV08ZQvS8PFiF9flubfpt+/+xm/t1Xbh9K94J4dzuun0AEGsNfGC74ER2KyFS5A2svOoT4&#10;SLjeizdfLEFUCPP0EWSRy//wxRkAAP//AwBQSwECLQAUAAYACAAAACEAtoM4kv4AAADhAQAAEwAA&#10;AAAAAAAAAAAAAAAAAAAAW0NvbnRlbnRfVHlwZXNdLnhtbFBLAQItABQABgAIAAAAIQA4/SH/1gAA&#10;AJQBAAALAAAAAAAAAAAAAAAAAC8BAABfcmVscy8ucmVsc1BLAQItABQABgAIAAAAIQBdDmZ8EQIA&#10;ACIEAAAOAAAAAAAAAAAAAAAAAC4CAABkcnMvZTJvRG9jLnhtbFBLAQItABQABgAIAAAAIQAJMKsc&#10;2gAAAAQBAAAPAAAAAAAAAAAAAAAAAGsEAABkcnMvZG93bnJldi54bWxQSwUGAAAAAAQABADzAAAA&#10;cgUAAAAA&#10;" filled="f" stroked="f">
              <v:textbox style="mso-fit-shape-to-text:t" inset="20pt,0,0,15pt">
                <w:txbxContent>
                  <w:p w14:paraId="04440111" w14:textId="3CBDDD6C" w:rsidR="003E0050" w:rsidRPr="003E0050" w:rsidRDefault="003E0050" w:rsidP="003E0050">
                    <w:pPr>
                      <w:spacing w:after="0"/>
                      <w:rPr>
                        <w:rFonts w:ascii="Aptos" w:eastAsia="Aptos" w:hAnsi="Aptos" w:cs="Aptos"/>
                        <w:noProof/>
                        <w:color w:val="000000"/>
                        <w:sz w:val="20"/>
                        <w:szCs w:val="20"/>
                      </w:rPr>
                    </w:pPr>
                  </w:p>
                </w:txbxContent>
              </v:textbox>
              <w10:wrap anchorx="page" anchory="page"/>
            </v:shape>
          </w:pict>
        </mc:Fallback>
      </mc:AlternateContent>
    </w:r>
    <w:sdt>
      <w:sdtPr>
        <w:id w:val="-468900033"/>
        <w:docPartObj>
          <w:docPartGallery w:val="Page Numbers (Bottom of Page)"/>
          <w:docPartUnique/>
        </w:docPartObj>
      </w:sdtPr>
      <w:sdtEndPr/>
      <w:sdtContent>
        <w:r w:rsidR="00EB0013">
          <w:fldChar w:fldCharType="begin"/>
        </w:r>
        <w:r w:rsidR="00EB0013">
          <w:instrText>PAGE   \* MERGEFORMAT</w:instrText>
        </w:r>
        <w:r w:rsidR="00EB0013">
          <w:fldChar w:fldCharType="separate"/>
        </w:r>
        <w:r w:rsidR="00EB0013">
          <w:t>2</w:t>
        </w:r>
        <w:r w:rsidR="00EB0013">
          <w:fldChar w:fldCharType="end"/>
        </w:r>
      </w:sdtContent>
    </w:sdt>
  </w:p>
  <w:p w14:paraId="13D91DCF" w14:textId="77777777" w:rsidR="003905DE" w:rsidRDefault="003905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D877" w14:textId="7254D459" w:rsidR="003E0050" w:rsidRDefault="003E0050">
    <w:pPr>
      <w:pStyle w:val="Voettekst"/>
    </w:pPr>
    <w:r>
      <w:rPr>
        <w:noProof/>
      </w:rPr>
      <mc:AlternateContent>
        <mc:Choice Requires="wps">
          <w:drawing>
            <wp:anchor distT="0" distB="0" distL="0" distR="0" simplePos="0" relativeHeight="251656192" behindDoc="0" locked="0" layoutInCell="1" allowOverlap="1" wp14:anchorId="3B635B49" wp14:editId="51CF33FE">
              <wp:simplePos x="635" y="635"/>
              <wp:positionH relativeFrom="page">
                <wp:align>left</wp:align>
              </wp:positionH>
              <wp:positionV relativeFrom="page">
                <wp:align>bottom</wp:align>
              </wp:positionV>
              <wp:extent cx="1009015" cy="357505"/>
              <wp:effectExtent l="0" t="0" r="635" b="0"/>
              <wp:wrapNone/>
              <wp:docPr id="146037068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38059432" w14:textId="49131170" w:rsidR="003E0050" w:rsidRPr="003E0050" w:rsidRDefault="003E0050" w:rsidP="003E0050">
                          <w:pPr>
                            <w:spacing w:after="0"/>
                            <w:rPr>
                              <w:rFonts w:ascii="Aptos" w:eastAsia="Aptos" w:hAnsi="Aptos" w:cs="Aptos"/>
                              <w:noProof/>
                              <w:color w:val="000000"/>
                              <w:sz w:val="20"/>
                              <w:szCs w:val="20"/>
                            </w:rPr>
                          </w:pPr>
                          <w:r w:rsidRPr="003E0050">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635B49" id="_x0000_t202" coordsize="21600,21600" o:spt="202" path="m,l,21600r21600,l21600,xe">
              <v:stroke joinstyle="miter"/>
              <v:path gradientshapeok="t" o:connecttype="rect"/>
            </v:shapetype>
            <v:shape id="Tekstvak 1" o:spid="_x0000_s1028" type="#_x0000_t202" alt="Intern gebruik" style="position:absolute;margin-left:0;margin-top:0;width:79.45pt;height:28.15pt;z-index:251656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U+EwIAACIEAAAOAAAAZHJzL2Uyb0RvYy54bWysU02P0zAQvSPxHyzfaZxCgI2arsquipCq&#10;3ZW6aM+uYzeRYo9lu03Kr2fsNC0snBAXZzIzno/3nhe3g+7IUTrfgqloPmOUSCOgbs2+ot+f1+8+&#10;U+IDNzXvwMiKnqSnt8u3bxa9LeUcGuhq6QgWMb7sbUWbEGyZZV40UnM/AysNBhU4zQP+un1WO95j&#10;dd1lc8Y+Zj242joQ0nv03o9Bukz1lZIiPCrlZSBdRXG2kE6Xzl08s+WCl3vHbdOK8xj8H6bQvDXY&#10;9FLqngdODq79o5RuhQMPKswE6AyUaoVMO+A2OXu1zbbhVqZdEBxvLzD5/1dWPBy39smRMHyBAQmM&#10;gPTWlx6dcZ9BOR2/OCnBOEJ4usAmh0BEvMTYDcsLSgTG3hefClbEMtn1tnU+fJWgSTQq6pCWhBY/&#10;bnwYU6eU2MzAuu26RE1nfnNgzejJriNGKwy7gbR1RefT+DuoT7iVg5Fwb8W6xdYb7sMTd8gwLoKq&#10;DY94qA76isLZoqQB9+Nv/piPwGOUkh4VU1GDkqak+2aQkHnxgbGosPSHhpuMXTLyG1bEuDnoO0Ax&#10;5vgurEhmTA7dZCoH+gVFvYrdMMSNwJ4V3U3mXRj1i49CyNUqJaGYLA8bs7Uilo6YRUCfhxfu7Bn1&#10;gHw9wKQpXr4Cf8yNN71dHQJSkJiJ+I5onmFHISZuz48mKv3X/5R1fdrLnwAAAP//AwBQSwMEFAAG&#10;AAgAAAAhAAkwqxzaAAAABAEAAA8AAABkcnMvZG93bnJldi54bWxMj81uwjAQhO+VeAdrK/VWnFIR&#10;QZoNQvRHvTatRI9OvMQR8TqNDaRvj+HSXlYazWjm23w12k4cafCtY4SHaQKCuHa65Qbh6/P1fgHC&#10;B8VadY4J4Zc8rIrJTa4y7U78QccyNCKWsM8Uggmhz6T0tSGr/NT1xNHbucGqEOXQSD2oUyy3nZwl&#10;SSqtajkuGNXTxlC9Lw8WIX1+W5t+m37/7Gb+3VduH0r3gnh3O66fQAQaw18YLvgRHYrIVLkDay86&#10;hPhIuN6LN18sQVQI8/QRZJHL//DFGQAA//8DAFBLAQItABQABgAIAAAAIQC2gziS/gAAAOEBAAAT&#10;AAAAAAAAAAAAAAAAAAAAAABbQ29udGVudF9UeXBlc10ueG1sUEsBAi0AFAAGAAgAAAAhADj9If/W&#10;AAAAlAEAAAsAAAAAAAAAAAAAAAAALwEAAF9yZWxzLy5yZWxzUEsBAi0AFAAGAAgAAAAhAAyYlT4T&#10;AgAAIgQAAA4AAAAAAAAAAAAAAAAALgIAAGRycy9lMm9Eb2MueG1sUEsBAi0AFAAGAAgAAAAhAAkw&#10;qxzaAAAABAEAAA8AAAAAAAAAAAAAAAAAbQQAAGRycy9kb3ducmV2LnhtbFBLBQYAAAAABAAEAPMA&#10;AAB0BQAAAAA=&#10;" filled="f" stroked="f">
              <v:textbox style="mso-fit-shape-to-text:t" inset="20pt,0,0,15pt">
                <w:txbxContent>
                  <w:p w14:paraId="38059432" w14:textId="49131170" w:rsidR="003E0050" w:rsidRPr="003E0050" w:rsidRDefault="003E0050" w:rsidP="003E0050">
                    <w:pPr>
                      <w:spacing w:after="0"/>
                      <w:rPr>
                        <w:rFonts w:ascii="Aptos" w:eastAsia="Aptos" w:hAnsi="Aptos" w:cs="Aptos"/>
                        <w:noProof/>
                        <w:color w:val="000000"/>
                        <w:sz w:val="20"/>
                        <w:szCs w:val="20"/>
                      </w:rPr>
                    </w:pPr>
                    <w:r w:rsidRPr="003E0050">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3C23F" w14:textId="77777777" w:rsidR="00F24979" w:rsidRDefault="00F24979" w:rsidP="00093C8B">
      <w:pPr>
        <w:spacing w:after="0" w:line="240" w:lineRule="auto"/>
      </w:pPr>
      <w:r>
        <w:separator/>
      </w:r>
    </w:p>
  </w:footnote>
  <w:footnote w:type="continuationSeparator" w:id="0">
    <w:p w14:paraId="36042084" w14:textId="77777777" w:rsidR="00F24979" w:rsidRDefault="00F24979" w:rsidP="00093C8B">
      <w:pPr>
        <w:spacing w:after="0" w:line="240" w:lineRule="auto"/>
      </w:pPr>
      <w:r>
        <w:continuationSeparator/>
      </w:r>
    </w:p>
  </w:footnote>
  <w:footnote w:type="continuationNotice" w:id="1">
    <w:p w14:paraId="22EB58DE" w14:textId="77777777" w:rsidR="00F24979" w:rsidRDefault="00F24979">
      <w:pPr>
        <w:spacing w:after="0" w:line="240" w:lineRule="auto"/>
      </w:pPr>
    </w:p>
  </w:footnote>
  <w:footnote w:id="2">
    <w:p w14:paraId="1461B849" w14:textId="77777777" w:rsidR="00A94F5F" w:rsidRPr="0043403E" w:rsidRDefault="00A94F5F" w:rsidP="0092240F">
      <w:pPr>
        <w:pStyle w:val="Geenafstand"/>
      </w:pPr>
    </w:p>
  </w:footnote>
  <w:footnote w:id="3">
    <w:p w14:paraId="1A26BA05" w14:textId="172A49F7" w:rsidR="00141077" w:rsidRPr="0043403E" w:rsidRDefault="00E77753">
      <w:pPr>
        <w:pStyle w:val="Voetnoottekst"/>
      </w:pPr>
      <w:r w:rsidRPr="0043403E">
        <w:rPr>
          <w:rStyle w:val="Voetnootmarkering"/>
        </w:rPr>
        <w:footnoteRef/>
      </w:r>
      <w:r w:rsidRPr="0043403E">
        <w:t xml:space="preserve"> </w:t>
      </w:r>
      <w:hyperlink r:id="rId1" w:history="1">
        <w:r w:rsidR="00141077" w:rsidRPr="0043403E">
          <w:rPr>
            <w:rStyle w:val="Hyperlink"/>
            <w:sz w:val="16"/>
            <w:szCs w:val="16"/>
          </w:rPr>
          <w:t>https://www.oecd.org/en/topics/export-restrictions-on-critical-raw-materials.html</w:t>
        </w:r>
      </w:hyperlink>
    </w:p>
  </w:footnote>
  <w:footnote w:id="4">
    <w:p w14:paraId="2F5CB100" w14:textId="77777777" w:rsidR="00901068" w:rsidRPr="0043403E" w:rsidRDefault="00901068" w:rsidP="00901068">
      <w:pPr>
        <w:pStyle w:val="Voetnoottekst"/>
        <w:rPr>
          <w:lang w:val="en-US"/>
        </w:rPr>
      </w:pPr>
      <w:r w:rsidRPr="0043403E">
        <w:rPr>
          <w:rStyle w:val="Voetnootmarkering"/>
        </w:rPr>
        <w:footnoteRef/>
      </w:r>
      <w:r w:rsidRPr="0043403E">
        <w:rPr>
          <w:lang w:val="en-US"/>
        </w:rPr>
        <w:t xml:space="preserve"> </w:t>
      </w:r>
      <w:hyperlink r:id="rId2" w:history="1">
        <w:r w:rsidRPr="0043403E">
          <w:rPr>
            <w:rStyle w:val="Hyperlink"/>
            <w:sz w:val="16"/>
            <w:szCs w:val="16"/>
            <w:lang w:val="en-US"/>
          </w:rPr>
          <w:t>Recycling of Critical Minerals</w:t>
        </w:r>
      </w:hyperlink>
    </w:p>
  </w:footnote>
  <w:footnote w:id="5">
    <w:p w14:paraId="2D743610" w14:textId="5E4AD542" w:rsidR="00C464B1" w:rsidRPr="00C464B1" w:rsidRDefault="00A3369A">
      <w:pPr>
        <w:pStyle w:val="Voetnoottekst"/>
        <w:rPr>
          <w:sz w:val="16"/>
          <w:szCs w:val="16"/>
          <w:lang w:val="en-US"/>
        </w:rPr>
      </w:pPr>
      <w:r w:rsidRPr="0043403E">
        <w:rPr>
          <w:rStyle w:val="Voetnootmarkering"/>
        </w:rPr>
        <w:footnoteRef/>
      </w:r>
      <w:r w:rsidRPr="0043403E">
        <w:rPr>
          <w:lang w:val="en-US"/>
        </w:rPr>
        <w:t xml:space="preserve"> </w:t>
      </w:r>
      <w:hyperlink r:id="rId3" w:history="1">
        <w:r w:rsidR="00141077" w:rsidRPr="0043403E">
          <w:rPr>
            <w:rStyle w:val="Hyperlink"/>
            <w:sz w:val="16"/>
            <w:szCs w:val="16"/>
            <w:lang w:val="en-US"/>
          </w:rPr>
          <w:t>https://open.overheid.nl/documenten/3b73fb43-3b62-4b3e-a430-257e21077a71/file</w:t>
        </w:r>
      </w:hyperlink>
    </w:p>
  </w:footnote>
  <w:footnote w:id="6">
    <w:p w14:paraId="080B8C3F" w14:textId="72C0153C" w:rsidR="00C464B1" w:rsidRPr="00C464B1" w:rsidRDefault="00C464B1">
      <w:pPr>
        <w:pStyle w:val="Voetnoottekst"/>
        <w:rPr>
          <w:lang w:val="fr-FR"/>
        </w:rPr>
      </w:pPr>
      <w:r>
        <w:rPr>
          <w:rStyle w:val="Voetnootmarkering"/>
        </w:rPr>
        <w:footnoteRef/>
      </w:r>
      <w:r w:rsidRPr="00C464B1">
        <w:rPr>
          <w:lang w:val="en-US"/>
        </w:rPr>
        <w:t xml:space="preserve"> </w:t>
      </w:r>
      <w:r w:rsidRPr="0043403E">
        <w:rPr>
          <w:rFonts w:ascii="Calibri" w:hAnsi="Calibri" w:cs="Calibri"/>
          <w:sz w:val="16"/>
          <w:szCs w:val="16"/>
          <w:lang w:val="en-US"/>
        </w:rPr>
        <w:t xml:space="preserve">United Nations Environment </w:t>
      </w:r>
      <w:proofErr w:type="spellStart"/>
      <w:r w:rsidRPr="0043403E">
        <w:rPr>
          <w:rFonts w:ascii="Calibri" w:hAnsi="Calibri" w:cs="Calibri"/>
          <w:sz w:val="16"/>
          <w:szCs w:val="16"/>
          <w:lang w:val="en-US"/>
        </w:rPr>
        <w:t>Programme</w:t>
      </w:r>
      <w:proofErr w:type="spellEnd"/>
      <w:r w:rsidRPr="0043403E">
        <w:rPr>
          <w:rFonts w:ascii="Calibri" w:hAnsi="Calibri" w:cs="Calibri"/>
          <w:sz w:val="16"/>
          <w:szCs w:val="16"/>
          <w:lang w:val="en-US"/>
        </w:rPr>
        <w:t xml:space="preserve"> (2024). Critical Transitions: Circularity, equity and responsibility in the quest for energy transition minerals. </w:t>
      </w:r>
      <w:r w:rsidRPr="0043403E">
        <w:rPr>
          <w:rFonts w:ascii="Calibri" w:hAnsi="Calibri" w:cs="Calibri"/>
          <w:sz w:val="16"/>
          <w:szCs w:val="16"/>
          <w:lang w:val="fr-FR"/>
        </w:rPr>
        <w:t>Nairobi. https://doi.org/10.5911 7/20.500.11822/46623</w:t>
      </w:r>
    </w:p>
  </w:footnote>
  <w:footnote w:id="7">
    <w:p w14:paraId="016FCAA7" w14:textId="5EDAC839" w:rsidR="00726CC3" w:rsidRPr="0043403E" w:rsidRDefault="00726CC3" w:rsidP="00726CC3">
      <w:pPr>
        <w:pStyle w:val="Voetnoottekst"/>
        <w:rPr>
          <w:lang w:val="fr-FR"/>
        </w:rPr>
      </w:pPr>
      <w:r w:rsidRPr="0043403E">
        <w:rPr>
          <w:rStyle w:val="Voetnootmarkering"/>
        </w:rPr>
        <w:footnoteRef/>
      </w:r>
      <w:r w:rsidRPr="0043403E">
        <w:rPr>
          <w:lang w:val="fr-FR"/>
        </w:rPr>
        <w:t xml:space="preserve"> </w:t>
      </w:r>
      <w:hyperlink r:id="rId4" w:history="1">
        <w:r w:rsidR="003C15D0" w:rsidRPr="0043403E">
          <w:rPr>
            <w:rStyle w:val="Hyperlink"/>
            <w:sz w:val="16"/>
            <w:szCs w:val="16"/>
            <w:lang w:val="fr-FR"/>
          </w:rPr>
          <w:t>https://open.overheid.nl/details/5a66d11d-4888-4c94-b92e-a8acf9426f78</w:t>
        </w:r>
      </w:hyperlink>
    </w:p>
  </w:footnote>
  <w:footnote w:id="8">
    <w:p w14:paraId="5F5B4EB6" w14:textId="3D25EA8E" w:rsidR="00F44834" w:rsidRPr="0043403E" w:rsidRDefault="00F44834">
      <w:pPr>
        <w:pStyle w:val="Voetnoottekst"/>
      </w:pPr>
      <w:r w:rsidRPr="0043403E">
        <w:rPr>
          <w:rStyle w:val="Voetnootmarkering"/>
        </w:rPr>
        <w:footnoteRef/>
      </w:r>
      <w:r w:rsidRPr="0043403E">
        <w:t xml:space="preserve"> </w:t>
      </w:r>
      <w:hyperlink r:id="rId5" w:history="1">
        <w:r w:rsidRPr="0043403E">
          <w:rPr>
            <w:rStyle w:val="Hyperlink"/>
            <w:sz w:val="16"/>
            <w:szCs w:val="16"/>
          </w:rPr>
          <w:t>Aan de slag - Coalitieakkoord 2026-2030 | Kabinetsformatie</w:t>
        </w:r>
      </w:hyperlink>
    </w:p>
  </w:footnote>
  <w:footnote w:id="9">
    <w:p w14:paraId="5AC2F20B" w14:textId="4497620D" w:rsidR="00C263C7" w:rsidRPr="003C15D0" w:rsidRDefault="00C263C7">
      <w:pPr>
        <w:pStyle w:val="Voetnoottekst"/>
      </w:pPr>
      <w:r w:rsidRPr="0043403E">
        <w:rPr>
          <w:rStyle w:val="Voetnootmarkering"/>
        </w:rPr>
        <w:footnoteRef/>
      </w:r>
      <w:r w:rsidRPr="0043403E">
        <w:t xml:space="preserve"> </w:t>
      </w:r>
      <w:hyperlink r:id="rId6" w:history="1">
        <w:r w:rsidR="003C15D0" w:rsidRPr="0043403E">
          <w:rPr>
            <w:rStyle w:val="Hyperlink"/>
            <w:sz w:val="16"/>
            <w:szCs w:val="16"/>
          </w:rPr>
          <w:t>Nationaal Programma Circulaire Economie 2023 - 2030 | Rijksoverheid.nl</w:t>
        </w:r>
      </w:hyperlink>
    </w:p>
  </w:footnote>
  <w:footnote w:id="10">
    <w:p w14:paraId="6D9962B1" w14:textId="1678E21F" w:rsidR="00692FA9" w:rsidRDefault="00692FA9">
      <w:pPr>
        <w:pStyle w:val="Voetnoottekst"/>
      </w:pPr>
      <w:r w:rsidRPr="00E3115C">
        <w:rPr>
          <w:rStyle w:val="Voetnootmarkering"/>
          <w:sz w:val="16"/>
          <w:szCs w:val="16"/>
        </w:rPr>
        <w:footnoteRef/>
      </w:r>
      <w:r w:rsidRPr="00E3115C">
        <w:rPr>
          <w:sz w:val="16"/>
          <w:szCs w:val="16"/>
        </w:rPr>
        <w:t xml:space="preserve"> Lagere tarieven</w:t>
      </w:r>
      <w:r w:rsidRPr="003947B3">
        <w:rPr>
          <w:sz w:val="16"/>
          <w:szCs w:val="16"/>
        </w:rPr>
        <w:t xml:space="preserve"> rekenen binnen de UPV-systematiek naarmate producten die worden ingezameld en verwerkt meer circulair zijn. </w:t>
      </w:r>
    </w:p>
  </w:footnote>
  <w:footnote w:id="11">
    <w:p w14:paraId="18846134" w14:textId="77777777" w:rsidR="00BD3160" w:rsidRPr="009B4BBF" w:rsidRDefault="00BD3160" w:rsidP="00BD3160">
      <w:pPr>
        <w:pStyle w:val="Voetnoottekst"/>
        <w:rPr>
          <w:sz w:val="16"/>
          <w:szCs w:val="16"/>
        </w:rPr>
      </w:pPr>
      <w:r>
        <w:rPr>
          <w:rStyle w:val="Voetnootmarkering"/>
        </w:rPr>
        <w:footnoteRef/>
      </w:r>
      <w:r>
        <w:t xml:space="preserve"> </w:t>
      </w:r>
      <w:r w:rsidRPr="009B4BBF">
        <w:rPr>
          <w:sz w:val="16"/>
          <w:szCs w:val="16"/>
        </w:rPr>
        <w:t xml:space="preserve">Vernietiging omvat in de context van de </w:t>
      </w:r>
      <w:proofErr w:type="spellStart"/>
      <w:r w:rsidRPr="009B4BBF">
        <w:rPr>
          <w:sz w:val="16"/>
          <w:szCs w:val="16"/>
        </w:rPr>
        <w:t>Ecodesign</w:t>
      </w:r>
      <w:proofErr w:type="spellEnd"/>
      <w:r w:rsidRPr="009B4BBF">
        <w:rPr>
          <w:sz w:val="16"/>
          <w:szCs w:val="16"/>
        </w:rPr>
        <w:t xml:space="preserve"> Verordening recyclen, verbranden en storten.</w:t>
      </w:r>
    </w:p>
  </w:footnote>
  <w:footnote w:id="12">
    <w:p w14:paraId="2991C1BD" w14:textId="77777777" w:rsidR="00BD3160" w:rsidRDefault="00BD3160" w:rsidP="00BD3160">
      <w:pPr>
        <w:pStyle w:val="Voetnoottekst"/>
      </w:pPr>
      <w:r w:rsidRPr="009B4BBF">
        <w:rPr>
          <w:rStyle w:val="Voetnootmarkering"/>
        </w:rPr>
        <w:footnoteRef/>
      </w:r>
      <w:r w:rsidRPr="009B4BBF">
        <w:rPr>
          <w:sz w:val="16"/>
          <w:szCs w:val="16"/>
        </w:rPr>
        <w:t xml:space="preserve"> In de </w:t>
      </w:r>
      <w:proofErr w:type="spellStart"/>
      <w:r w:rsidRPr="009B4BBF">
        <w:rPr>
          <w:sz w:val="16"/>
          <w:szCs w:val="16"/>
        </w:rPr>
        <w:t>Ecodesign</w:t>
      </w:r>
      <w:proofErr w:type="spellEnd"/>
      <w:r w:rsidRPr="009B4BBF">
        <w:rPr>
          <w:sz w:val="16"/>
          <w:szCs w:val="16"/>
        </w:rPr>
        <w:t xml:space="preserve"> Verordening is opgenomen dat de Commissie in het </w:t>
      </w:r>
      <w:proofErr w:type="spellStart"/>
      <w:r w:rsidRPr="009B4BBF">
        <w:rPr>
          <w:sz w:val="16"/>
          <w:szCs w:val="16"/>
        </w:rPr>
        <w:t>Ecodesign</w:t>
      </w:r>
      <w:proofErr w:type="spellEnd"/>
      <w:r w:rsidRPr="009B4BBF">
        <w:rPr>
          <w:sz w:val="16"/>
          <w:szCs w:val="16"/>
        </w:rPr>
        <w:t xml:space="preserve"> werkplan kan opnemen voor welke productgroepen toekomstige vernietigingsverboden zullen gelden. </w:t>
      </w:r>
    </w:p>
  </w:footnote>
  <w:footnote w:id="13">
    <w:p w14:paraId="53C51FE8" w14:textId="5E869381" w:rsidR="00254229" w:rsidRPr="003C02D2" w:rsidRDefault="00254229">
      <w:pPr>
        <w:pStyle w:val="Voetnoottekst"/>
        <w:rPr>
          <w:sz w:val="16"/>
          <w:szCs w:val="16"/>
        </w:rPr>
      </w:pPr>
      <w:r w:rsidRPr="003C02D2">
        <w:rPr>
          <w:rStyle w:val="Voetnootmarkering"/>
          <w:sz w:val="16"/>
          <w:szCs w:val="16"/>
        </w:rPr>
        <w:footnoteRef/>
      </w:r>
      <w:r w:rsidRPr="003C02D2">
        <w:rPr>
          <w:sz w:val="16"/>
          <w:szCs w:val="16"/>
        </w:rPr>
        <w:t xml:space="preserve"> </w:t>
      </w:r>
      <w:hyperlink r:id="rId7" w:history="1">
        <w:r w:rsidRPr="003C02D2">
          <w:rPr>
            <w:rStyle w:val="Hyperlink"/>
            <w:sz w:val="16"/>
            <w:szCs w:val="16"/>
          </w:rPr>
          <w:t xml:space="preserve">Het potentieel om kritieke grondstoffen uit de Nederlandse </w:t>
        </w:r>
        <w:proofErr w:type="spellStart"/>
        <w:r w:rsidRPr="003C02D2">
          <w:rPr>
            <w:rStyle w:val="Hyperlink"/>
            <w:sz w:val="16"/>
            <w:szCs w:val="16"/>
          </w:rPr>
          <w:t>urban</w:t>
        </w:r>
        <w:proofErr w:type="spellEnd"/>
        <w:r w:rsidRPr="003C02D2">
          <w:rPr>
            <w:rStyle w:val="Hyperlink"/>
            <w:sz w:val="16"/>
            <w:szCs w:val="16"/>
          </w:rPr>
          <w:t xml:space="preserve"> minde terug te winnen - verkenning | Rapport | Rijksoverheid.nl</w:t>
        </w:r>
      </w:hyperlink>
    </w:p>
  </w:footnote>
  <w:footnote w:id="14">
    <w:p w14:paraId="06A6E215" w14:textId="04E2640C" w:rsidR="00254229" w:rsidRPr="008224F1" w:rsidRDefault="00254229">
      <w:pPr>
        <w:pStyle w:val="Voetnoottekst"/>
        <w:rPr>
          <w:lang w:val="en-US"/>
        </w:rPr>
      </w:pPr>
      <w:r w:rsidRPr="003C02D2">
        <w:rPr>
          <w:rStyle w:val="Voetnootmarkering"/>
          <w:sz w:val="16"/>
          <w:szCs w:val="16"/>
        </w:rPr>
        <w:footnoteRef/>
      </w:r>
      <w:r w:rsidRPr="003C02D2">
        <w:rPr>
          <w:sz w:val="16"/>
          <w:szCs w:val="16"/>
          <w:lang w:val="en-US"/>
        </w:rPr>
        <w:t xml:space="preserve"> </w:t>
      </w:r>
      <w:hyperlink r:id="rId8" w:history="1">
        <w:r w:rsidRPr="003C02D2">
          <w:rPr>
            <w:rStyle w:val="Hyperlink"/>
            <w:sz w:val="16"/>
            <w:szCs w:val="16"/>
            <w:lang w:val="en-US"/>
          </w:rPr>
          <w:t xml:space="preserve">Activating Strategic Raw Materials Recovery: The case of electrical and electronic equipment - </w:t>
        </w:r>
        <w:r w:rsidR="000356BF" w:rsidRPr="003C02D2">
          <w:rPr>
            <w:rStyle w:val="Hyperlink"/>
            <w:sz w:val="16"/>
            <w:szCs w:val="16"/>
            <w:lang w:val="en-US"/>
          </w:rPr>
          <w:t>Neverlands</w:t>
        </w:r>
        <w:r w:rsidRPr="003C02D2">
          <w:rPr>
            <w:rStyle w:val="Hyperlink"/>
            <w:sz w:val="16"/>
            <w:szCs w:val="16"/>
            <w:lang w:val="en-US"/>
          </w:rPr>
          <w:t xml:space="preserve"> </w:t>
        </w:r>
        <w:proofErr w:type="spellStart"/>
        <w:r w:rsidRPr="003C02D2">
          <w:rPr>
            <w:rStyle w:val="Hyperlink"/>
            <w:sz w:val="16"/>
            <w:szCs w:val="16"/>
            <w:lang w:val="en-US"/>
          </w:rPr>
          <w:t>Materialen</w:t>
        </w:r>
        <w:proofErr w:type="spellEnd"/>
        <w:r w:rsidRPr="003C02D2">
          <w:rPr>
            <w:rStyle w:val="Hyperlink"/>
            <w:sz w:val="16"/>
            <w:szCs w:val="16"/>
            <w:lang w:val="en-US"/>
          </w:rPr>
          <w:t xml:space="preserve"> </w:t>
        </w:r>
        <w:proofErr w:type="spellStart"/>
        <w:r w:rsidRPr="003C02D2">
          <w:rPr>
            <w:rStyle w:val="Hyperlink"/>
            <w:sz w:val="16"/>
            <w:szCs w:val="16"/>
            <w:lang w:val="en-US"/>
          </w:rPr>
          <w:t>Observatorium</w:t>
        </w:r>
        <w:proofErr w:type="spellEnd"/>
      </w:hyperlink>
    </w:p>
  </w:footnote>
  <w:footnote w:id="15">
    <w:p w14:paraId="4613C265" w14:textId="77777777" w:rsidR="00CE29E7" w:rsidRDefault="00CE29E7" w:rsidP="00CE29E7">
      <w:pPr>
        <w:pStyle w:val="Voetnoottekst"/>
      </w:pPr>
      <w:r w:rsidRPr="008224F1">
        <w:rPr>
          <w:rStyle w:val="Voetnootmarkering"/>
        </w:rPr>
        <w:footnoteRef/>
      </w:r>
      <w:r w:rsidRPr="001571BF">
        <w:rPr>
          <w:sz w:val="16"/>
          <w:szCs w:val="16"/>
        </w:rPr>
        <w:t xml:space="preserve"> </w:t>
      </w:r>
      <w:hyperlink r:id="rId9">
        <w:proofErr w:type="spellStart"/>
        <w:r w:rsidRPr="001571BF">
          <w:rPr>
            <w:rStyle w:val="Hyperlink"/>
            <w:sz w:val="16"/>
            <w:szCs w:val="16"/>
          </w:rPr>
          <w:t>Elektr</w:t>
        </w:r>
        <w:proofErr w:type="spellEnd"/>
        <w:r w:rsidRPr="001571BF">
          <w:rPr>
            <w:rStyle w:val="Hyperlink"/>
            <w:sz w:val="16"/>
            <w:szCs w:val="16"/>
          </w:rPr>
          <w:t>(on)</w:t>
        </w:r>
        <w:proofErr w:type="spellStart"/>
        <w:r w:rsidRPr="001571BF">
          <w:rPr>
            <w:rStyle w:val="Hyperlink"/>
            <w:sz w:val="16"/>
            <w:szCs w:val="16"/>
          </w:rPr>
          <w:t>ische</w:t>
        </w:r>
        <w:proofErr w:type="spellEnd"/>
        <w:r w:rsidRPr="001571BF">
          <w:rPr>
            <w:rStyle w:val="Hyperlink"/>
            <w:sz w:val="16"/>
            <w:szCs w:val="16"/>
          </w:rPr>
          <w:t xml:space="preserve"> apparatuur | CMP</w:t>
        </w:r>
      </w:hyperlink>
    </w:p>
  </w:footnote>
  <w:footnote w:id="16">
    <w:p w14:paraId="488A539E" w14:textId="5663C425" w:rsidR="00725413" w:rsidRPr="003D5D86" w:rsidRDefault="00725413">
      <w:pPr>
        <w:pStyle w:val="Voetnoottekst"/>
        <w:rPr>
          <w:sz w:val="16"/>
          <w:szCs w:val="16"/>
        </w:rPr>
      </w:pPr>
      <w:r>
        <w:rPr>
          <w:rStyle w:val="Voetnootmarkering"/>
        </w:rPr>
        <w:footnoteRef/>
      </w:r>
      <w:r>
        <w:t xml:space="preserve"> </w:t>
      </w:r>
      <w:hyperlink r:id="rId10" w:history="1">
        <w:r w:rsidRPr="003D5D86">
          <w:rPr>
            <w:rStyle w:val="Hyperlink"/>
            <w:rFonts w:ascii="Verdana" w:hAnsi="Verdana"/>
            <w:sz w:val="12"/>
            <w:szCs w:val="12"/>
          </w:rPr>
          <w:t>Nationale prognose ruimtebehoefte industrieclusters | Rapport | Rijksoverheid.nl</w:t>
        </w:r>
      </w:hyperlink>
    </w:p>
  </w:footnote>
  <w:footnote w:id="17">
    <w:p w14:paraId="36EB7F7F" w14:textId="49ACD91B" w:rsidR="00AD3ACC" w:rsidRDefault="00AD3ACC">
      <w:pPr>
        <w:pStyle w:val="Voetnoottekst"/>
      </w:pPr>
      <w:r>
        <w:rPr>
          <w:rStyle w:val="Voetnootmarkering"/>
        </w:rPr>
        <w:footnoteRef/>
      </w:r>
      <w:r>
        <w:t xml:space="preserve"> </w:t>
      </w:r>
      <w:hyperlink r:id="rId11" w:history="1">
        <w:r w:rsidRPr="003D5D86">
          <w:rPr>
            <w:rStyle w:val="Hyperlink"/>
            <w:sz w:val="16"/>
            <w:szCs w:val="16"/>
          </w:rPr>
          <w:t>Ruimte voor circulaire economie op bedrijventerreinen | Rapport | Rijksoverheid.nl</w:t>
        </w:r>
      </w:hyperlink>
    </w:p>
  </w:footnote>
  <w:footnote w:id="18">
    <w:p w14:paraId="504185E6" w14:textId="77777777" w:rsidR="00320A43" w:rsidRDefault="00320A43" w:rsidP="00320A43">
      <w:pPr>
        <w:pStyle w:val="Voetnoottekst"/>
      </w:pPr>
      <w:r>
        <w:rPr>
          <w:rStyle w:val="Voetnootmarkering"/>
        </w:rPr>
        <w:footnoteRef/>
      </w:r>
      <w:r>
        <w:t xml:space="preserve"> </w:t>
      </w:r>
      <w:hyperlink r:id="rId12" w:history="1">
        <w:r w:rsidRPr="0058254A">
          <w:rPr>
            <w:rStyle w:val="Hyperlink"/>
            <w:sz w:val="16"/>
            <w:szCs w:val="16"/>
          </w:rPr>
          <w:t>Ruimte voor circulaire economie op bedrijventerreinen | Rapport | Rijksoverheid.nl</w:t>
        </w:r>
      </w:hyperlink>
    </w:p>
  </w:footnote>
  <w:footnote w:id="19">
    <w:p w14:paraId="2158A56F" w14:textId="77777777" w:rsidR="003B4EA4" w:rsidRPr="00237CC5" w:rsidRDefault="003B4EA4" w:rsidP="003B4EA4">
      <w:pPr>
        <w:pStyle w:val="Voetnoottekst"/>
        <w:rPr>
          <w:sz w:val="16"/>
          <w:szCs w:val="16"/>
          <w:lang w:val="fr-FR"/>
        </w:rPr>
      </w:pPr>
      <w:r w:rsidRPr="003947B3">
        <w:rPr>
          <w:rStyle w:val="Voetnootmarkering"/>
          <w:sz w:val="16"/>
          <w:szCs w:val="16"/>
        </w:rPr>
        <w:footnoteRef/>
      </w:r>
      <w:r w:rsidRPr="00237CC5">
        <w:rPr>
          <w:sz w:val="16"/>
          <w:szCs w:val="16"/>
          <w:lang w:val="fr-FR"/>
        </w:rPr>
        <w:t xml:space="preserve"> </w:t>
      </w:r>
      <w:hyperlink r:id="rId13" w:history="1">
        <w:proofErr w:type="spellStart"/>
        <w:r w:rsidRPr="00237CC5">
          <w:rPr>
            <w:rStyle w:val="Hyperlink"/>
            <w:sz w:val="16"/>
            <w:szCs w:val="16"/>
            <w:lang w:val="fr-FR"/>
          </w:rPr>
          <w:t>Regulation</w:t>
        </w:r>
        <w:proofErr w:type="spellEnd"/>
        <w:r w:rsidRPr="00237CC5">
          <w:rPr>
            <w:rStyle w:val="Hyperlink"/>
            <w:sz w:val="16"/>
            <w:szCs w:val="16"/>
            <w:lang w:val="fr-FR"/>
          </w:rPr>
          <w:t xml:space="preserve"> - 2023/1542 - EN - EUR-Lex</w:t>
        </w:r>
      </w:hyperlink>
    </w:p>
  </w:footnote>
  <w:footnote w:id="20">
    <w:p w14:paraId="60CF6405" w14:textId="77777777" w:rsidR="003B4EA4" w:rsidRPr="003947B3" w:rsidRDefault="003B4EA4" w:rsidP="003B4EA4">
      <w:pPr>
        <w:pStyle w:val="Voetnoottekst"/>
        <w:rPr>
          <w:sz w:val="16"/>
          <w:szCs w:val="16"/>
        </w:rPr>
      </w:pPr>
      <w:r w:rsidRPr="003947B3">
        <w:rPr>
          <w:rStyle w:val="Voetnootmarkering"/>
          <w:sz w:val="16"/>
          <w:szCs w:val="16"/>
        </w:rPr>
        <w:footnoteRef/>
      </w:r>
      <w:r w:rsidRPr="003947B3">
        <w:rPr>
          <w:sz w:val="16"/>
          <w:szCs w:val="16"/>
        </w:rPr>
        <w:t xml:space="preserve"> Verordening (EU) 2024/1781</w:t>
      </w:r>
    </w:p>
  </w:footnote>
  <w:footnote w:id="21">
    <w:p w14:paraId="0F3D05B6" w14:textId="77777777" w:rsidR="003B4EA4" w:rsidRPr="00C04794" w:rsidRDefault="003B4EA4" w:rsidP="003B4EA4">
      <w:pPr>
        <w:pStyle w:val="Voetnoottekst"/>
      </w:pPr>
      <w:r w:rsidRPr="003947B3">
        <w:rPr>
          <w:rStyle w:val="Voetnootmarkering"/>
          <w:sz w:val="16"/>
          <w:szCs w:val="16"/>
        </w:rPr>
        <w:footnoteRef/>
      </w:r>
      <w:r w:rsidRPr="003947B3">
        <w:rPr>
          <w:sz w:val="16"/>
          <w:szCs w:val="16"/>
        </w:rPr>
        <w:t xml:space="preserve"> Richtlijn EU 2012/19/EU</w:t>
      </w:r>
    </w:p>
  </w:footnote>
  <w:footnote w:id="22">
    <w:p w14:paraId="3310CE31" w14:textId="77777777" w:rsidR="003B4EA4" w:rsidRPr="00AD6561" w:rsidRDefault="003B4EA4" w:rsidP="003B4EA4">
      <w:pPr>
        <w:pStyle w:val="Voetnoottekst"/>
        <w:rPr>
          <w:sz w:val="16"/>
          <w:szCs w:val="16"/>
          <w:lang w:val="en-US"/>
        </w:rPr>
      </w:pPr>
      <w:r>
        <w:rPr>
          <w:rStyle w:val="Voetnootmarkering"/>
        </w:rPr>
        <w:footnoteRef/>
      </w:r>
      <w:r w:rsidRPr="009326AA">
        <w:rPr>
          <w:lang w:val="en-US"/>
        </w:rPr>
        <w:t xml:space="preserve"> </w:t>
      </w:r>
      <w:hyperlink r:id="rId14" w:history="1">
        <w:r w:rsidRPr="003947B3">
          <w:rPr>
            <w:rStyle w:val="Hyperlink"/>
            <w:sz w:val="16"/>
            <w:szCs w:val="16"/>
            <w:lang w:val="x-none"/>
          </w:rPr>
          <w:t xml:space="preserve">ESPR </w:t>
        </w:r>
        <w:proofErr w:type="spellStart"/>
        <w:r w:rsidRPr="003947B3">
          <w:rPr>
            <w:rStyle w:val="Hyperlink"/>
            <w:sz w:val="16"/>
            <w:szCs w:val="16"/>
            <w:lang w:val="x-none"/>
          </w:rPr>
          <w:t>and</w:t>
        </w:r>
        <w:proofErr w:type="spellEnd"/>
        <w:r w:rsidRPr="003947B3">
          <w:rPr>
            <w:rStyle w:val="Hyperlink"/>
            <w:sz w:val="16"/>
            <w:szCs w:val="16"/>
            <w:lang w:val="x-none"/>
          </w:rPr>
          <w:t xml:space="preserve"> Energy </w:t>
        </w:r>
        <w:proofErr w:type="spellStart"/>
        <w:r w:rsidRPr="003947B3">
          <w:rPr>
            <w:rStyle w:val="Hyperlink"/>
            <w:sz w:val="16"/>
            <w:szCs w:val="16"/>
            <w:lang w:val="x-none"/>
          </w:rPr>
          <w:t>Labelling</w:t>
        </w:r>
        <w:proofErr w:type="spellEnd"/>
        <w:r w:rsidRPr="003947B3">
          <w:rPr>
            <w:rStyle w:val="Hyperlink"/>
            <w:sz w:val="16"/>
            <w:szCs w:val="16"/>
            <w:lang w:val="x-none"/>
          </w:rPr>
          <w:t xml:space="preserve"> </w:t>
        </w:r>
        <w:proofErr w:type="spellStart"/>
        <w:r w:rsidRPr="003947B3">
          <w:rPr>
            <w:rStyle w:val="Hyperlink"/>
            <w:sz w:val="16"/>
            <w:szCs w:val="16"/>
            <w:lang w:val="x-none"/>
          </w:rPr>
          <w:t>Working</w:t>
        </w:r>
        <w:proofErr w:type="spellEnd"/>
        <w:r w:rsidRPr="003947B3">
          <w:rPr>
            <w:rStyle w:val="Hyperlink"/>
            <w:sz w:val="16"/>
            <w:szCs w:val="16"/>
            <w:lang w:val="x-none"/>
          </w:rPr>
          <w:t xml:space="preserve"> Plan 2025-30 | Environment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4FE"/>
    <w:multiLevelType w:val="hybridMultilevel"/>
    <w:tmpl w:val="88C8E8B2"/>
    <w:lvl w:ilvl="0" w:tplc="74A67104">
      <w:start w:val="1"/>
      <w:numFmt w:val="bullet"/>
      <w:lvlText w:val=""/>
      <w:lvlJc w:val="left"/>
      <w:pPr>
        <w:ind w:left="720" w:hanging="360"/>
      </w:pPr>
      <w:rPr>
        <w:rFonts w:ascii="Symbol" w:hAnsi="Symbol" w:hint="default"/>
      </w:rPr>
    </w:lvl>
    <w:lvl w:ilvl="1" w:tplc="3E26CABC">
      <w:start w:val="1"/>
      <w:numFmt w:val="bullet"/>
      <w:lvlText w:val="o"/>
      <w:lvlJc w:val="left"/>
      <w:pPr>
        <w:ind w:left="1440" w:hanging="360"/>
      </w:pPr>
      <w:rPr>
        <w:rFonts w:ascii="Courier New" w:hAnsi="Courier New" w:hint="default"/>
      </w:rPr>
    </w:lvl>
    <w:lvl w:ilvl="2" w:tplc="38B4D1EA">
      <w:start w:val="1"/>
      <w:numFmt w:val="bullet"/>
      <w:lvlText w:val=""/>
      <w:lvlJc w:val="left"/>
      <w:pPr>
        <w:ind w:left="2160" w:hanging="360"/>
      </w:pPr>
      <w:rPr>
        <w:rFonts w:ascii="Wingdings" w:hAnsi="Wingdings" w:hint="default"/>
      </w:rPr>
    </w:lvl>
    <w:lvl w:ilvl="3" w:tplc="7ACA28E2">
      <w:start w:val="1"/>
      <w:numFmt w:val="bullet"/>
      <w:lvlText w:val=""/>
      <w:lvlJc w:val="left"/>
      <w:pPr>
        <w:ind w:left="2880" w:hanging="360"/>
      </w:pPr>
      <w:rPr>
        <w:rFonts w:ascii="Symbol" w:hAnsi="Symbol" w:hint="default"/>
      </w:rPr>
    </w:lvl>
    <w:lvl w:ilvl="4" w:tplc="F0C07BC2">
      <w:start w:val="1"/>
      <w:numFmt w:val="bullet"/>
      <w:lvlText w:val="o"/>
      <w:lvlJc w:val="left"/>
      <w:pPr>
        <w:ind w:left="3600" w:hanging="360"/>
      </w:pPr>
      <w:rPr>
        <w:rFonts w:ascii="Courier New" w:hAnsi="Courier New" w:hint="default"/>
      </w:rPr>
    </w:lvl>
    <w:lvl w:ilvl="5" w:tplc="6844830A">
      <w:start w:val="1"/>
      <w:numFmt w:val="bullet"/>
      <w:lvlText w:val=""/>
      <w:lvlJc w:val="left"/>
      <w:pPr>
        <w:ind w:left="4320" w:hanging="360"/>
      </w:pPr>
      <w:rPr>
        <w:rFonts w:ascii="Wingdings" w:hAnsi="Wingdings" w:hint="default"/>
      </w:rPr>
    </w:lvl>
    <w:lvl w:ilvl="6" w:tplc="967EDAB0">
      <w:start w:val="1"/>
      <w:numFmt w:val="bullet"/>
      <w:lvlText w:val=""/>
      <w:lvlJc w:val="left"/>
      <w:pPr>
        <w:ind w:left="5040" w:hanging="360"/>
      </w:pPr>
      <w:rPr>
        <w:rFonts w:ascii="Symbol" w:hAnsi="Symbol" w:hint="default"/>
      </w:rPr>
    </w:lvl>
    <w:lvl w:ilvl="7" w:tplc="49EC3F24">
      <w:start w:val="1"/>
      <w:numFmt w:val="bullet"/>
      <w:lvlText w:val="o"/>
      <w:lvlJc w:val="left"/>
      <w:pPr>
        <w:ind w:left="5760" w:hanging="360"/>
      </w:pPr>
      <w:rPr>
        <w:rFonts w:ascii="Courier New" w:hAnsi="Courier New" w:hint="default"/>
      </w:rPr>
    </w:lvl>
    <w:lvl w:ilvl="8" w:tplc="AA9EF6AA">
      <w:start w:val="1"/>
      <w:numFmt w:val="bullet"/>
      <w:lvlText w:val=""/>
      <w:lvlJc w:val="left"/>
      <w:pPr>
        <w:ind w:left="6480" w:hanging="360"/>
      </w:pPr>
      <w:rPr>
        <w:rFonts w:ascii="Wingdings" w:hAnsi="Wingdings" w:hint="default"/>
      </w:rPr>
    </w:lvl>
  </w:abstractNum>
  <w:abstractNum w:abstractNumId="1" w15:restartNumberingAfterBreak="0">
    <w:nsid w:val="02227B0C"/>
    <w:multiLevelType w:val="multilevel"/>
    <w:tmpl w:val="E9982C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751D84"/>
    <w:multiLevelType w:val="hybridMultilevel"/>
    <w:tmpl w:val="EA1E21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F7175B"/>
    <w:multiLevelType w:val="hybridMultilevel"/>
    <w:tmpl w:val="D39A730C"/>
    <w:lvl w:ilvl="0" w:tplc="17B25DAA">
      <w:start w:val="1"/>
      <w:numFmt w:val="decimal"/>
      <w:lvlText w:val="%1."/>
      <w:lvlJc w:val="left"/>
      <w:pPr>
        <w:ind w:left="720" w:hanging="360"/>
      </w:pPr>
      <w:rPr>
        <w:b w:val="0"/>
        <w:bCs w:val="0"/>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365991"/>
    <w:multiLevelType w:val="multilevel"/>
    <w:tmpl w:val="8910C60A"/>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A021030"/>
    <w:multiLevelType w:val="multilevel"/>
    <w:tmpl w:val="BB46F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981568"/>
    <w:multiLevelType w:val="hybridMultilevel"/>
    <w:tmpl w:val="EAB4B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BD468A7"/>
    <w:multiLevelType w:val="hybridMultilevel"/>
    <w:tmpl w:val="137832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B51340"/>
    <w:multiLevelType w:val="multilevel"/>
    <w:tmpl w:val="61B4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81184F"/>
    <w:multiLevelType w:val="multilevel"/>
    <w:tmpl w:val="93E4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B54C94"/>
    <w:multiLevelType w:val="hybridMultilevel"/>
    <w:tmpl w:val="FF68D2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48018D3"/>
    <w:multiLevelType w:val="hybridMultilevel"/>
    <w:tmpl w:val="C7B02D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7746120"/>
    <w:multiLevelType w:val="multilevel"/>
    <w:tmpl w:val="9376C2D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9C71EAD"/>
    <w:multiLevelType w:val="hybridMultilevel"/>
    <w:tmpl w:val="666469F6"/>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A1B2956"/>
    <w:multiLevelType w:val="hybridMultilevel"/>
    <w:tmpl w:val="01BE3514"/>
    <w:lvl w:ilvl="0" w:tplc="A2DC63A8">
      <w:start w:val="1"/>
      <w:numFmt w:val="decimal"/>
      <w:lvlText w:val="%1."/>
      <w:lvlJc w:val="left"/>
      <w:pPr>
        <w:ind w:left="732" w:hanging="360"/>
      </w:pPr>
    </w:lvl>
    <w:lvl w:ilvl="1" w:tplc="A1549FE8">
      <w:start w:val="1"/>
      <w:numFmt w:val="lowerLetter"/>
      <w:lvlText w:val="%2."/>
      <w:lvlJc w:val="left"/>
      <w:pPr>
        <w:ind w:left="1452" w:hanging="360"/>
      </w:pPr>
    </w:lvl>
    <w:lvl w:ilvl="2" w:tplc="FADA421E">
      <w:start w:val="1"/>
      <w:numFmt w:val="lowerRoman"/>
      <w:lvlText w:val="%3."/>
      <w:lvlJc w:val="right"/>
      <w:pPr>
        <w:ind w:left="2172" w:hanging="180"/>
      </w:pPr>
    </w:lvl>
    <w:lvl w:ilvl="3" w:tplc="06C060FE">
      <w:start w:val="1"/>
      <w:numFmt w:val="decimal"/>
      <w:lvlText w:val="%4."/>
      <w:lvlJc w:val="left"/>
      <w:pPr>
        <w:ind w:left="2892" w:hanging="360"/>
      </w:pPr>
    </w:lvl>
    <w:lvl w:ilvl="4" w:tplc="4C328E90">
      <w:start w:val="1"/>
      <w:numFmt w:val="lowerLetter"/>
      <w:lvlText w:val="%5."/>
      <w:lvlJc w:val="left"/>
      <w:pPr>
        <w:ind w:left="3612" w:hanging="360"/>
      </w:pPr>
    </w:lvl>
    <w:lvl w:ilvl="5" w:tplc="A6D8213C">
      <w:start w:val="1"/>
      <w:numFmt w:val="lowerRoman"/>
      <w:lvlText w:val="%6."/>
      <w:lvlJc w:val="right"/>
      <w:pPr>
        <w:ind w:left="4332" w:hanging="180"/>
      </w:pPr>
    </w:lvl>
    <w:lvl w:ilvl="6" w:tplc="4C2A3D46">
      <w:start w:val="1"/>
      <w:numFmt w:val="decimal"/>
      <w:lvlText w:val="%7."/>
      <w:lvlJc w:val="left"/>
      <w:pPr>
        <w:ind w:left="5052" w:hanging="360"/>
      </w:pPr>
    </w:lvl>
    <w:lvl w:ilvl="7" w:tplc="2334EE3C">
      <w:start w:val="1"/>
      <w:numFmt w:val="lowerLetter"/>
      <w:lvlText w:val="%8."/>
      <w:lvlJc w:val="left"/>
      <w:pPr>
        <w:ind w:left="5772" w:hanging="360"/>
      </w:pPr>
    </w:lvl>
    <w:lvl w:ilvl="8" w:tplc="1FF67C8E">
      <w:start w:val="1"/>
      <w:numFmt w:val="lowerRoman"/>
      <w:lvlText w:val="%9."/>
      <w:lvlJc w:val="right"/>
      <w:pPr>
        <w:ind w:left="6492" w:hanging="180"/>
      </w:pPr>
    </w:lvl>
  </w:abstractNum>
  <w:abstractNum w:abstractNumId="15" w15:restartNumberingAfterBreak="0">
    <w:nsid w:val="1C1E64D0"/>
    <w:multiLevelType w:val="hybridMultilevel"/>
    <w:tmpl w:val="7CC06136"/>
    <w:lvl w:ilvl="0" w:tplc="A2DC63A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D23763E"/>
    <w:multiLevelType w:val="multilevel"/>
    <w:tmpl w:val="093E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882266"/>
    <w:multiLevelType w:val="multilevel"/>
    <w:tmpl w:val="1EE0C236"/>
    <w:lvl w:ilvl="0">
      <w:start w:val="1"/>
      <w:numFmt w:val="decimal"/>
      <w:lvlText w:val="%1."/>
      <w:lvlJc w:val="left"/>
      <w:pPr>
        <w:ind w:left="720" w:hanging="360"/>
      </w:pPr>
    </w:lvl>
    <w:lvl w:ilvl="1">
      <w:start w:val="1"/>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18" w15:restartNumberingAfterBreak="0">
    <w:nsid w:val="1FAC313F"/>
    <w:multiLevelType w:val="hybridMultilevel"/>
    <w:tmpl w:val="0E7C1B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7FF2758"/>
    <w:multiLevelType w:val="hybridMultilevel"/>
    <w:tmpl w:val="262017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BB02D4A"/>
    <w:multiLevelType w:val="multilevel"/>
    <w:tmpl w:val="59F68A1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2E4D03A3"/>
    <w:multiLevelType w:val="hybridMultilevel"/>
    <w:tmpl w:val="5FB07B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ED5522C"/>
    <w:multiLevelType w:val="hybridMultilevel"/>
    <w:tmpl w:val="2C52C5E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4253200"/>
    <w:multiLevelType w:val="hybridMultilevel"/>
    <w:tmpl w:val="207C7C0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4F84322"/>
    <w:multiLevelType w:val="multilevel"/>
    <w:tmpl w:val="545E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972D82"/>
    <w:multiLevelType w:val="hybridMultilevel"/>
    <w:tmpl w:val="462678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6675EE4"/>
    <w:multiLevelType w:val="hybridMultilevel"/>
    <w:tmpl w:val="1D3A9ED6"/>
    <w:lvl w:ilvl="0" w:tplc="D248CBAE">
      <w:start w:val="1"/>
      <w:numFmt w:val="decimal"/>
      <w:lvlText w:val="%1."/>
      <w:lvlJc w:val="left"/>
      <w:pPr>
        <w:ind w:left="720" w:hanging="360"/>
      </w:pPr>
      <w:rPr>
        <w:rFonts w:hint="default"/>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A952321"/>
    <w:multiLevelType w:val="hybridMultilevel"/>
    <w:tmpl w:val="A60CC864"/>
    <w:lvl w:ilvl="0" w:tplc="1D52240C">
      <w:start w:val="1"/>
      <w:numFmt w:val="decimal"/>
      <w:lvlText w:val="%1."/>
      <w:lvlJc w:val="left"/>
      <w:pPr>
        <w:ind w:left="1020" w:hanging="360"/>
      </w:pPr>
    </w:lvl>
    <w:lvl w:ilvl="1" w:tplc="48B6D7D2">
      <w:start w:val="1"/>
      <w:numFmt w:val="decimal"/>
      <w:lvlText w:val="%2."/>
      <w:lvlJc w:val="left"/>
      <w:pPr>
        <w:ind w:left="1020" w:hanging="360"/>
      </w:pPr>
    </w:lvl>
    <w:lvl w:ilvl="2" w:tplc="27600150">
      <w:start w:val="1"/>
      <w:numFmt w:val="decimal"/>
      <w:lvlText w:val="%3."/>
      <w:lvlJc w:val="left"/>
      <w:pPr>
        <w:ind w:left="1020" w:hanging="360"/>
      </w:pPr>
    </w:lvl>
    <w:lvl w:ilvl="3" w:tplc="C0DEBF4E">
      <w:start w:val="1"/>
      <w:numFmt w:val="decimal"/>
      <w:lvlText w:val="%4."/>
      <w:lvlJc w:val="left"/>
      <w:pPr>
        <w:ind w:left="1020" w:hanging="360"/>
      </w:pPr>
    </w:lvl>
    <w:lvl w:ilvl="4" w:tplc="B4EC46A2">
      <w:start w:val="1"/>
      <w:numFmt w:val="decimal"/>
      <w:lvlText w:val="%5."/>
      <w:lvlJc w:val="left"/>
      <w:pPr>
        <w:ind w:left="1020" w:hanging="360"/>
      </w:pPr>
    </w:lvl>
    <w:lvl w:ilvl="5" w:tplc="2BE8CA50">
      <w:start w:val="1"/>
      <w:numFmt w:val="decimal"/>
      <w:lvlText w:val="%6."/>
      <w:lvlJc w:val="left"/>
      <w:pPr>
        <w:ind w:left="1020" w:hanging="360"/>
      </w:pPr>
    </w:lvl>
    <w:lvl w:ilvl="6" w:tplc="0EEA8A64">
      <w:start w:val="1"/>
      <w:numFmt w:val="decimal"/>
      <w:lvlText w:val="%7."/>
      <w:lvlJc w:val="left"/>
      <w:pPr>
        <w:ind w:left="1020" w:hanging="360"/>
      </w:pPr>
    </w:lvl>
    <w:lvl w:ilvl="7" w:tplc="C25E4482">
      <w:start w:val="1"/>
      <w:numFmt w:val="decimal"/>
      <w:lvlText w:val="%8."/>
      <w:lvlJc w:val="left"/>
      <w:pPr>
        <w:ind w:left="1020" w:hanging="360"/>
      </w:pPr>
    </w:lvl>
    <w:lvl w:ilvl="8" w:tplc="B7246992">
      <w:start w:val="1"/>
      <w:numFmt w:val="decimal"/>
      <w:lvlText w:val="%9."/>
      <w:lvlJc w:val="left"/>
      <w:pPr>
        <w:ind w:left="1020" w:hanging="360"/>
      </w:pPr>
    </w:lvl>
  </w:abstractNum>
  <w:abstractNum w:abstractNumId="28" w15:restartNumberingAfterBreak="0">
    <w:nsid w:val="3C541EDC"/>
    <w:multiLevelType w:val="multilevel"/>
    <w:tmpl w:val="11380A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E772F37"/>
    <w:multiLevelType w:val="multilevel"/>
    <w:tmpl w:val="139A7F0A"/>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0" w15:restartNumberingAfterBreak="0">
    <w:nsid w:val="3F8F1203"/>
    <w:multiLevelType w:val="hybridMultilevel"/>
    <w:tmpl w:val="493854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1082356"/>
    <w:multiLevelType w:val="hybridMultilevel"/>
    <w:tmpl w:val="94FAA0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1FC28CF"/>
    <w:multiLevelType w:val="hybridMultilevel"/>
    <w:tmpl w:val="8DE611C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3" w15:restartNumberingAfterBreak="0">
    <w:nsid w:val="44F6607E"/>
    <w:multiLevelType w:val="hybridMultilevel"/>
    <w:tmpl w:val="FF54F9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6BC627E"/>
    <w:multiLevelType w:val="multilevel"/>
    <w:tmpl w:val="B42A59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6F5745D"/>
    <w:multiLevelType w:val="hybridMultilevel"/>
    <w:tmpl w:val="CC4621B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489E0B05"/>
    <w:multiLevelType w:val="hybridMultilevel"/>
    <w:tmpl w:val="D7D0F5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9906827"/>
    <w:multiLevelType w:val="hybridMultilevel"/>
    <w:tmpl w:val="EC2254D0"/>
    <w:lvl w:ilvl="0" w:tplc="1B0855DC">
      <w:start w:val="1"/>
      <w:numFmt w:val="decimal"/>
      <w:lvlText w:val="%1."/>
      <w:lvlJc w:val="left"/>
      <w:pPr>
        <w:ind w:left="720" w:hanging="360"/>
      </w:pPr>
    </w:lvl>
    <w:lvl w:ilvl="1" w:tplc="6892147C">
      <w:start w:val="1"/>
      <w:numFmt w:val="lowerLetter"/>
      <w:lvlText w:val="%2."/>
      <w:lvlJc w:val="left"/>
      <w:pPr>
        <w:ind w:left="1440" w:hanging="360"/>
      </w:pPr>
    </w:lvl>
    <w:lvl w:ilvl="2" w:tplc="2682C1C8">
      <w:start w:val="1"/>
      <w:numFmt w:val="lowerRoman"/>
      <w:lvlText w:val="%3."/>
      <w:lvlJc w:val="right"/>
      <w:pPr>
        <w:ind w:left="2160" w:hanging="180"/>
      </w:pPr>
    </w:lvl>
    <w:lvl w:ilvl="3" w:tplc="B6882A18">
      <w:start w:val="1"/>
      <w:numFmt w:val="decimal"/>
      <w:lvlText w:val="%4."/>
      <w:lvlJc w:val="left"/>
      <w:pPr>
        <w:ind w:left="2880" w:hanging="360"/>
      </w:pPr>
    </w:lvl>
    <w:lvl w:ilvl="4" w:tplc="3BF234EE">
      <w:start w:val="1"/>
      <w:numFmt w:val="lowerLetter"/>
      <w:lvlText w:val="%5."/>
      <w:lvlJc w:val="left"/>
      <w:pPr>
        <w:ind w:left="3600" w:hanging="360"/>
      </w:pPr>
    </w:lvl>
    <w:lvl w:ilvl="5" w:tplc="0A7220DC">
      <w:start w:val="1"/>
      <w:numFmt w:val="lowerRoman"/>
      <w:lvlText w:val="%6."/>
      <w:lvlJc w:val="right"/>
      <w:pPr>
        <w:ind w:left="4320" w:hanging="180"/>
      </w:pPr>
    </w:lvl>
    <w:lvl w:ilvl="6" w:tplc="022C8DB8">
      <w:start w:val="1"/>
      <w:numFmt w:val="decimal"/>
      <w:lvlText w:val="%7."/>
      <w:lvlJc w:val="left"/>
      <w:pPr>
        <w:ind w:left="5040" w:hanging="360"/>
      </w:pPr>
    </w:lvl>
    <w:lvl w:ilvl="7" w:tplc="72827C38">
      <w:start w:val="1"/>
      <w:numFmt w:val="lowerLetter"/>
      <w:lvlText w:val="%8."/>
      <w:lvlJc w:val="left"/>
      <w:pPr>
        <w:ind w:left="5760" w:hanging="360"/>
      </w:pPr>
    </w:lvl>
    <w:lvl w:ilvl="8" w:tplc="F9DE4B36">
      <w:start w:val="1"/>
      <w:numFmt w:val="lowerRoman"/>
      <w:lvlText w:val="%9."/>
      <w:lvlJc w:val="right"/>
      <w:pPr>
        <w:ind w:left="6480" w:hanging="180"/>
      </w:pPr>
    </w:lvl>
  </w:abstractNum>
  <w:abstractNum w:abstractNumId="38" w15:restartNumberingAfterBreak="0">
    <w:nsid w:val="49D53B4E"/>
    <w:multiLevelType w:val="multilevel"/>
    <w:tmpl w:val="CDAA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C2149E4"/>
    <w:multiLevelType w:val="hybridMultilevel"/>
    <w:tmpl w:val="E2FED3CE"/>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4DDC3D63"/>
    <w:multiLevelType w:val="multilevel"/>
    <w:tmpl w:val="7DAA7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1BA1A98"/>
    <w:multiLevelType w:val="multilevel"/>
    <w:tmpl w:val="DED8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E46130"/>
    <w:multiLevelType w:val="hybridMultilevel"/>
    <w:tmpl w:val="73808334"/>
    <w:lvl w:ilvl="0" w:tplc="D248CBAE">
      <w:start w:val="1"/>
      <w:numFmt w:val="decimal"/>
      <w:lvlText w:val="%1."/>
      <w:lvlJc w:val="left"/>
      <w:pPr>
        <w:ind w:left="720" w:hanging="360"/>
      </w:pPr>
      <w:rPr>
        <w:rFonts w:hint="default"/>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1F31890"/>
    <w:multiLevelType w:val="hybridMultilevel"/>
    <w:tmpl w:val="CB90C92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52927D49"/>
    <w:multiLevelType w:val="hybridMultilevel"/>
    <w:tmpl w:val="4A143D3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54A91BB0"/>
    <w:multiLevelType w:val="multilevel"/>
    <w:tmpl w:val="BB96F8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90A218E"/>
    <w:multiLevelType w:val="hybridMultilevel"/>
    <w:tmpl w:val="F7B8FBAE"/>
    <w:lvl w:ilvl="0" w:tplc="D248CBAE">
      <w:start w:val="1"/>
      <w:numFmt w:val="decimal"/>
      <w:lvlText w:val="%1."/>
      <w:lvlJc w:val="left"/>
      <w:pPr>
        <w:ind w:left="720" w:hanging="360"/>
      </w:pPr>
      <w:rPr>
        <w:rFonts w:hint="default"/>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59555072"/>
    <w:multiLevelType w:val="hybridMultilevel"/>
    <w:tmpl w:val="B7C47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5AAF412B"/>
    <w:multiLevelType w:val="hybridMultilevel"/>
    <w:tmpl w:val="9AD6838E"/>
    <w:lvl w:ilvl="0" w:tplc="A2DC63A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DAA0554"/>
    <w:multiLevelType w:val="hybridMultilevel"/>
    <w:tmpl w:val="308A66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EA52144"/>
    <w:multiLevelType w:val="hybridMultilevel"/>
    <w:tmpl w:val="D16CA87A"/>
    <w:lvl w:ilvl="0" w:tplc="E11EF81C">
      <w:start w:val="1"/>
      <w:numFmt w:val="bullet"/>
      <w:lvlText w:val=""/>
      <w:lvlJc w:val="left"/>
      <w:pPr>
        <w:ind w:left="720" w:hanging="360"/>
      </w:pPr>
      <w:rPr>
        <w:rFonts w:ascii="Symbol" w:hAnsi="Symbol" w:hint="default"/>
      </w:rPr>
    </w:lvl>
    <w:lvl w:ilvl="1" w:tplc="D7D45F9A">
      <w:start w:val="1"/>
      <w:numFmt w:val="bullet"/>
      <w:lvlText w:val="o"/>
      <w:lvlJc w:val="left"/>
      <w:pPr>
        <w:ind w:left="1440" w:hanging="360"/>
      </w:pPr>
      <w:rPr>
        <w:rFonts w:ascii="Courier New" w:hAnsi="Courier New" w:hint="default"/>
      </w:rPr>
    </w:lvl>
    <w:lvl w:ilvl="2" w:tplc="18446860">
      <w:start w:val="1"/>
      <w:numFmt w:val="bullet"/>
      <w:lvlText w:val=""/>
      <w:lvlJc w:val="left"/>
      <w:pPr>
        <w:ind w:left="2160" w:hanging="360"/>
      </w:pPr>
      <w:rPr>
        <w:rFonts w:ascii="Wingdings" w:hAnsi="Wingdings" w:hint="default"/>
      </w:rPr>
    </w:lvl>
    <w:lvl w:ilvl="3" w:tplc="C69CF81E">
      <w:start w:val="1"/>
      <w:numFmt w:val="bullet"/>
      <w:lvlText w:val=""/>
      <w:lvlJc w:val="left"/>
      <w:pPr>
        <w:ind w:left="2880" w:hanging="360"/>
      </w:pPr>
      <w:rPr>
        <w:rFonts w:ascii="Symbol" w:hAnsi="Symbol" w:hint="default"/>
      </w:rPr>
    </w:lvl>
    <w:lvl w:ilvl="4" w:tplc="4386ECB4">
      <w:start w:val="1"/>
      <w:numFmt w:val="bullet"/>
      <w:lvlText w:val="o"/>
      <w:lvlJc w:val="left"/>
      <w:pPr>
        <w:ind w:left="3600" w:hanging="360"/>
      </w:pPr>
      <w:rPr>
        <w:rFonts w:ascii="Courier New" w:hAnsi="Courier New" w:hint="default"/>
      </w:rPr>
    </w:lvl>
    <w:lvl w:ilvl="5" w:tplc="66729706">
      <w:start w:val="1"/>
      <w:numFmt w:val="bullet"/>
      <w:lvlText w:val=""/>
      <w:lvlJc w:val="left"/>
      <w:pPr>
        <w:ind w:left="4320" w:hanging="360"/>
      </w:pPr>
      <w:rPr>
        <w:rFonts w:ascii="Wingdings" w:hAnsi="Wingdings" w:hint="default"/>
      </w:rPr>
    </w:lvl>
    <w:lvl w:ilvl="6" w:tplc="61E85A24">
      <w:start w:val="1"/>
      <w:numFmt w:val="bullet"/>
      <w:lvlText w:val=""/>
      <w:lvlJc w:val="left"/>
      <w:pPr>
        <w:ind w:left="5040" w:hanging="360"/>
      </w:pPr>
      <w:rPr>
        <w:rFonts w:ascii="Symbol" w:hAnsi="Symbol" w:hint="default"/>
      </w:rPr>
    </w:lvl>
    <w:lvl w:ilvl="7" w:tplc="9F66B9D6">
      <w:start w:val="1"/>
      <w:numFmt w:val="bullet"/>
      <w:lvlText w:val="o"/>
      <w:lvlJc w:val="left"/>
      <w:pPr>
        <w:ind w:left="5760" w:hanging="360"/>
      </w:pPr>
      <w:rPr>
        <w:rFonts w:ascii="Courier New" w:hAnsi="Courier New" w:hint="default"/>
      </w:rPr>
    </w:lvl>
    <w:lvl w:ilvl="8" w:tplc="C37CEEF8">
      <w:start w:val="1"/>
      <w:numFmt w:val="bullet"/>
      <w:lvlText w:val=""/>
      <w:lvlJc w:val="left"/>
      <w:pPr>
        <w:ind w:left="6480" w:hanging="360"/>
      </w:pPr>
      <w:rPr>
        <w:rFonts w:ascii="Wingdings" w:hAnsi="Wingdings" w:hint="default"/>
      </w:rPr>
    </w:lvl>
  </w:abstractNum>
  <w:abstractNum w:abstractNumId="51" w15:restartNumberingAfterBreak="0">
    <w:nsid w:val="5F0F7A17"/>
    <w:multiLevelType w:val="hybridMultilevel"/>
    <w:tmpl w:val="2AD8F32C"/>
    <w:lvl w:ilvl="0" w:tplc="775ED680">
      <w:start w:val="1"/>
      <w:numFmt w:val="decimal"/>
      <w:lvlText w:val="%1."/>
      <w:lvlJc w:val="left"/>
      <w:pPr>
        <w:ind w:left="720" w:hanging="360"/>
      </w:pPr>
    </w:lvl>
    <w:lvl w:ilvl="1" w:tplc="6A4C4256">
      <w:start w:val="1"/>
      <w:numFmt w:val="lowerLetter"/>
      <w:lvlText w:val="%2."/>
      <w:lvlJc w:val="left"/>
      <w:pPr>
        <w:ind w:left="1440" w:hanging="360"/>
      </w:pPr>
    </w:lvl>
    <w:lvl w:ilvl="2" w:tplc="59301A32">
      <w:start w:val="1"/>
      <w:numFmt w:val="lowerRoman"/>
      <w:lvlText w:val="%3."/>
      <w:lvlJc w:val="right"/>
      <w:pPr>
        <w:ind w:left="2160" w:hanging="180"/>
      </w:pPr>
    </w:lvl>
    <w:lvl w:ilvl="3" w:tplc="3822B806">
      <w:start w:val="1"/>
      <w:numFmt w:val="decimal"/>
      <w:lvlText w:val="%4."/>
      <w:lvlJc w:val="left"/>
      <w:pPr>
        <w:ind w:left="2880" w:hanging="360"/>
      </w:pPr>
    </w:lvl>
    <w:lvl w:ilvl="4" w:tplc="2D266CA4">
      <w:start w:val="1"/>
      <w:numFmt w:val="lowerLetter"/>
      <w:lvlText w:val="%5."/>
      <w:lvlJc w:val="left"/>
      <w:pPr>
        <w:ind w:left="3600" w:hanging="360"/>
      </w:pPr>
    </w:lvl>
    <w:lvl w:ilvl="5" w:tplc="3DFEBA1C">
      <w:start w:val="1"/>
      <w:numFmt w:val="lowerRoman"/>
      <w:lvlText w:val="%6."/>
      <w:lvlJc w:val="right"/>
      <w:pPr>
        <w:ind w:left="4320" w:hanging="180"/>
      </w:pPr>
    </w:lvl>
    <w:lvl w:ilvl="6" w:tplc="607CF36E">
      <w:start w:val="1"/>
      <w:numFmt w:val="decimal"/>
      <w:lvlText w:val="%7."/>
      <w:lvlJc w:val="left"/>
      <w:pPr>
        <w:ind w:left="5040" w:hanging="360"/>
      </w:pPr>
    </w:lvl>
    <w:lvl w:ilvl="7" w:tplc="8BFA5DBA">
      <w:start w:val="1"/>
      <w:numFmt w:val="lowerLetter"/>
      <w:lvlText w:val="%8."/>
      <w:lvlJc w:val="left"/>
      <w:pPr>
        <w:ind w:left="5760" w:hanging="360"/>
      </w:pPr>
    </w:lvl>
    <w:lvl w:ilvl="8" w:tplc="2D58EEDA">
      <w:start w:val="1"/>
      <w:numFmt w:val="lowerRoman"/>
      <w:lvlText w:val="%9."/>
      <w:lvlJc w:val="right"/>
      <w:pPr>
        <w:ind w:left="6480" w:hanging="180"/>
      </w:pPr>
    </w:lvl>
  </w:abstractNum>
  <w:abstractNum w:abstractNumId="52" w15:restartNumberingAfterBreak="0">
    <w:nsid w:val="60D6437B"/>
    <w:multiLevelType w:val="hybridMultilevel"/>
    <w:tmpl w:val="62BC6244"/>
    <w:lvl w:ilvl="0" w:tplc="924E2186">
      <w:start w:val="1"/>
      <w:numFmt w:val="decimal"/>
      <w:lvlText w:val="%1)"/>
      <w:lvlJc w:val="left"/>
      <w:pPr>
        <w:ind w:left="510" w:hanging="150"/>
      </w:pPr>
      <w:rPr>
        <w:rFonts w:ascii="Calibri Light" w:eastAsia="Calibri Light" w:hAnsi="Calibri Light" w:cs="Calibri Light"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617049A7"/>
    <w:multiLevelType w:val="hybridMultilevel"/>
    <w:tmpl w:val="B4580188"/>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67CF43EC"/>
    <w:multiLevelType w:val="hybridMultilevel"/>
    <w:tmpl w:val="D1F8D29A"/>
    <w:lvl w:ilvl="0" w:tplc="90188B26">
      <w:start w:val="3"/>
      <w:numFmt w:val="bullet"/>
      <w:lvlText w:val="-"/>
      <w:lvlJc w:val="left"/>
      <w:pPr>
        <w:ind w:left="720" w:hanging="360"/>
      </w:pPr>
      <w:rPr>
        <w:rFonts w:ascii="Calibri Light" w:eastAsiaTheme="minorHAnsi" w:hAnsi="Calibri Light" w:cs="Calibri Light"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69245C80"/>
    <w:multiLevelType w:val="hybridMultilevel"/>
    <w:tmpl w:val="D070CFF6"/>
    <w:lvl w:ilvl="0" w:tplc="D248CBAE">
      <w:start w:val="1"/>
      <w:numFmt w:val="decimal"/>
      <w:lvlText w:val="%1."/>
      <w:lvlJc w:val="left"/>
      <w:pPr>
        <w:ind w:left="720" w:hanging="360"/>
      </w:pPr>
      <w:rPr>
        <w:rFonts w:hint="default"/>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69F24903"/>
    <w:multiLevelType w:val="hybridMultilevel"/>
    <w:tmpl w:val="8E001F72"/>
    <w:lvl w:ilvl="0" w:tplc="D248CBAE">
      <w:start w:val="1"/>
      <w:numFmt w:val="decimal"/>
      <w:lvlText w:val="%1."/>
      <w:lvlJc w:val="left"/>
      <w:pPr>
        <w:ind w:left="720" w:hanging="360"/>
      </w:pPr>
      <w:rPr>
        <w:rFonts w:hint="default"/>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6EC67299"/>
    <w:multiLevelType w:val="multilevel"/>
    <w:tmpl w:val="5AA02B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F9163A4"/>
    <w:multiLevelType w:val="hybridMultilevel"/>
    <w:tmpl w:val="8C7E45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723364FE"/>
    <w:multiLevelType w:val="hybridMultilevel"/>
    <w:tmpl w:val="F8683876"/>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2AA4607"/>
    <w:multiLevelType w:val="hybridMultilevel"/>
    <w:tmpl w:val="039A9D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0006425">
    <w:abstractNumId w:val="51"/>
  </w:num>
  <w:num w:numId="2" w16cid:durableId="1867325241">
    <w:abstractNumId w:val="50"/>
  </w:num>
  <w:num w:numId="3" w16cid:durableId="1797794772">
    <w:abstractNumId w:val="14"/>
  </w:num>
  <w:num w:numId="4" w16cid:durableId="304117390">
    <w:abstractNumId w:val="54"/>
  </w:num>
  <w:num w:numId="5" w16cid:durableId="471407849">
    <w:abstractNumId w:val="9"/>
  </w:num>
  <w:num w:numId="6" w16cid:durableId="1025521858">
    <w:abstractNumId w:val="38"/>
  </w:num>
  <w:num w:numId="7" w16cid:durableId="280503468">
    <w:abstractNumId w:val="16"/>
  </w:num>
  <w:num w:numId="8" w16cid:durableId="1688554839">
    <w:abstractNumId w:val="8"/>
  </w:num>
  <w:num w:numId="9" w16cid:durableId="1962493488">
    <w:abstractNumId w:val="24"/>
  </w:num>
  <w:num w:numId="10" w16cid:durableId="1835872866">
    <w:abstractNumId w:val="6"/>
  </w:num>
  <w:num w:numId="11" w16cid:durableId="1411466621">
    <w:abstractNumId w:val="15"/>
  </w:num>
  <w:num w:numId="12" w16cid:durableId="688726998">
    <w:abstractNumId w:val="3"/>
  </w:num>
  <w:num w:numId="13" w16cid:durableId="1046374215">
    <w:abstractNumId w:val="47"/>
  </w:num>
  <w:num w:numId="14" w16cid:durableId="1560049700">
    <w:abstractNumId w:val="48"/>
  </w:num>
  <w:num w:numId="15" w16cid:durableId="1543516472">
    <w:abstractNumId w:val="58"/>
  </w:num>
  <w:num w:numId="16" w16cid:durableId="997809391">
    <w:abstractNumId w:val="11"/>
  </w:num>
  <w:num w:numId="17" w16cid:durableId="1654792404">
    <w:abstractNumId w:val="7"/>
  </w:num>
  <w:num w:numId="18" w16cid:durableId="1320308856">
    <w:abstractNumId w:val="49"/>
  </w:num>
  <w:num w:numId="19" w16cid:durableId="1297293090">
    <w:abstractNumId w:val="10"/>
  </w:num>
  <w:num w:numId="20" w16cid:durableId="1238171959">
    <w:abstractNumId w:val="30"/>
  </w:num>
  <w:num w:numId="21" w16cid:durableId="2108042410">
    <w:abstractNumId w:val="13"/>
  </w:num>
  <w:num w:numId="22" w16cid:durableId="1892495539">
    <w:abstractNumId w:val="23"/>
  </w:num>
  <w:num w:numId="23" w16cid:durableId="479074240">
    <w:abstractNumId w:val="35"/>
  </w:num>
  <w:num w:numId="24" w16cid:durableId="2138598805">
    <w:abstractNumId w:val="32"/>
  </w:num>
  <w:num w:numId="25" w16cid:durableId="133717599">
    <w:abstractNumId w:val="25"/>
  </w:num>
  <w:num w:numId="26" w16cid:durableId="1106927506">
    <w:abstractNumId w:val="60"/>
  </w:num>
  <w:num w:numId="27" w16cid:durableId="402066198">
    <w:abstractNumId w:val="43"/>
  </w:num>
  <w:num w:numId="28" w16cid:durableId="1532648233">
    <w:abstractNumId w:val="4"/>
  </w:num>
  <w:num w:numId="29" w16cid:durableId="559899152">
    <w:abstractNumId w:val="39"/>
  </w:num>
  <w:num w:numId="30" w16cid:durableId="965434369">
    <w:abstractNumId w:val="53"/>
  </w:num>
  <w:num w:numId="31" w16cid:durableId="2016490230">
    <w:abstractNumId w:val="42"/>
  </w:num>
  <w:num w:numId="32" w16cid:durableId="1516651975">
    <w:abstractNumId w:val="26"/>
  </w:num>
  <w:num w:numId="33" w16cid:durableId="972178352">
    <w:abstractNumId w:val="56"/>
  </w:num>
  <w:num w:numId="34" w16cid:durableId="477573492">
    <w:abstractNumId w:val="46"/>
  </w:num>
  <w:num w:numId="35" w16cid:durableId="1555122313">
    <w:abstractNumId w:val="55"/>
  </w:num>
  <w:num w:numId="36" w16cid:durableId="1093237865">
    <w:abstractNumId w:val="41"/>
  </w:num>
  <w:num w:numId="37" w16cid:durableId="813255239">
    <w:abstractNumId w:val="59"/>
  </w:num>
  <w:num w:numId="38" w16cid:durableId="116798373">
    <w:abstractNumId w:val="2"/>
  </w:num>
  <w:num w:numId="39" w16cid:durableId="426772888">
    <w:abstractNumId w:val="36"/>
  </w:num>
  <w:num w:numId="40" w16cid:durableId="415251181">
    <w:abstractNumId w:val="44"/>
  </w:num>
  <w:num w:numId="41" w16cid:durableId="823591653">
    <w:abstractNumId w:val="21"/>
  </w:num>
  <w:num w:numId="42" w16cid:durableId="1043754067">
    <w:abstractNumId w:val="5"/>
  </w:num>
  <w:num w:numId="43" w16cid:durableId="1572931888">
    <w:abstractNumId w:val="12"/>
  </w:num>
  <w:num w:numId="44" w16cid:durableId="532109185">
    <w:abstractNumId w:val="34"/>
  </w:num>
  <w:num w:numId="45" w16cid:durableId="992373844">
    <w:abstractNumId w:val="57"/>
  </w:num>
  <w:num w:numId="46" w16cid:durableId="505944063">
    <w:abstractNumId w:val="29"/>
  </w:num>
  <w:num w:numId="47" w16cid:durableId="574556907">
    <w:abstractNumId w:val="1"/>
  </w:num>
  <w:num w:numId="48" w16cid:durableId="761533475">
    <w:abstractNumId w:val="45"/>
  </w:num>
  <w:num w:numId="49" w16cid:durableId="1259365927">
    <w:abstractNumId w:val="0"/>
  </w:num>
  <w:num w:numId="50" w16cid:durableId="1431777355">
    <w:abstractNumId w:val="37"/>
  </w:num>
  <w:num w:numId="51" w16cid:durableId="257952085">
    <w:abstractNumId w:val="31"/>
  </w:num>
  <w:num w:numId="52" w16cid:durableId="1558273688">
    <w:abstractNumId w:val="52"/>
  </w:num>
  <w:num w:numId="53" w16cid:durableId="464809888">
    <w:abstractNumId w:val="19"/>
  </w:num>
  <w:num w:numId="54" w16cid:durableId="692537979">
    <w:abstractNumId w:val="18"/>
  </w:num>
  <w:num w:numId="55" w16cid:durableId="1981618684">
    <w:abstractNumId w:val="17"/>
  </w:num>
  <w:num w:numId="56" w16cid:durableId="1010059820">
    <w:abstractNumId w:val="33"/>
  </w:num>
  <w:num w:numId="57" w16cid:durableId="790981609">
    <w:abstractNumId w:val="40"/>
  </w:num>
  <w:num w:numId="58" w16cid:durableId="1382243329">
    <w:abstractNumId w:val="27"/>
  </w:num>
  <w:num w:numId="59" w16cid:durableId="1160846804">
    <w:abstractNumId w:val="22"/>
  </w:num>
  <w:num w:numId="60" w16cid:durableId="1509296340">
    <w:abstractNumId w:val="20"/>
  </w:num>
  <w:num w:numId="61" w16cid:durableId="1131634913">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3C0DD1"/>
    <w:rsid w:val="00000216"/>
    <w:rsid w:val="0000311B"/>
    <w:rsid w:val="000032E9"/>
    <w:rsid w:val="00006B3C"/>
    <w:rsid w:val="00007D8F"/>
    <w:rsid w:val="00012445"/>
    <w:rsid w:val="00020830"/>
    <w:rsid w:val="00021847"/>
    <w:rsid w:val="00021BC8"/>
    <w:rsid w:val="00021FC1"/>
    <w:rsid w:val="00021FDB"/>
    <w:rsid w:val="000259C6"/>
    <w:rsid w:val="00026097"/>
    <w:rsid w:val="00026255"/>
    <w:rsid w:val="00026594"/>
    <w:rsid w:val="000277F5"/>
    <w:rsid w:val="00027DDA"/>
    <w:rsid w:val="0003157D"/>
    <w:rsid w:val="0003252F"/>
    <w:rsid w:val="000329FE"/>
    <w:rsid w:val="00033404"/>
    <w:rsid w:val="0003354E"/>
    <w:rsid w:val="000356BF"/>
    <w:rsid w:val="00035AF7"/>
    <w:rsid w:val="00035C13"/>
    <w:rsid w:val="00035E2A"/>
    <w:rsid w:val="000364DD"/>
    <w:rsid w:val="00036761"/>
    <w:rsid w:val="0003728B"/>
    <w:rsid w:val="0003764C"/>
    <w:rsid w:val="00040025"/>
    <w:rsid w:val="00040A58"/>
    <w:rsid w:val="00041F0B"/>
    <w:rsid w:val="00042356"/>
    <w:rsid w:val="00042D11"/>
    <w:rsid w:val="00044565"/>
    <w:rsid w:val="00044883"/>
    <w:rsid w:val="00044F0D"/>
    <w:rsid w:val="00045B94"/>
    <w:rsid w:val="000478AB"/>
    <w:rsid w:val="00047D38"/>
    <w:rsid w:val="0005056B"/>
    <w:rsid w:val="00050D98"/>
    <w:rsid w:val="00052167"/>
    <w:rsid w:val="0005428F"/>
    <w:rsid w:val="0005658D"/>
    <w:rsid w:val="0005793F"/>
    <w:rsid w:val="00057EA5"/>
    <w:rsid w:val="00060023"/>
    <w:rsid w:val="0006074E"/>
    <w:rsid w:val="00061906"/>
    <w:rsid w:val="00061AB7"/>
    <w:rsid w:val="00063E0B"/>
    <w:rsid w:val="000640A9"/>
    <w:rsid w:val="00065380"/>
    <w:rsid w:val="00066B9A"/>
    <w:rsid w:val="00067B17"/>
    <w:rsid w:val="00071122"/>
    <w:rsid w:val="000722CA"/>
    <w:rsid w:val="0007283A"/>
    <w:rsid w:val="000753A4"/>
    <w:rsid w:val="00076EEA"/>
    <w:rsid w:val="000801A6"/>
    <w:rsid w:val="00081E71"/>
    <w:rsid w:val="00083BDB"/>
    <w:rsid w:val="000841C7"/>
    <w:rsid w:val="000846A7"/>
    <w:rsid w:val="0008564F"/>
    <w:rsid w:val="000930EA"/>
    <w:rsid w:val="00093C8B"/>
    <w:rsid w:val="00094540"/>
    <w:rsid w:val="000954C6"/>
    <w:rsid w:val="000959E3"/>
    <w:rsid w:val="000960B3"/>
    <w:rsid w:val="00097A32"/>
    <w:rsid w:val="000A3D68"/>
    <w:rsid w:val="000A6D78"/>
    <w:rsid w:val="000B0DB5"/>
    <w:rsid w:val="000B1E12"/>
    <w:rsid w:val="000B3634"/>
    <w:rsid w:val="000B3C54"/>
    <w:rsid w:val="000B423A"/>
    <w:rsid w:val="000B5DA2"/>
    <w:rsid w:val="000C09E2"/>
    <w:rsid w:val="000C0BC7"/>
    <w:rsid w:val="000C0CA5"/>
    <w:rsid w:val="000C15ED"/>
    <w:rsid w:val="000C2F46"/>
    <w:rsid w:val="000C3A9B"/>
    <w:rsid w:val="000C4B6C"/>
    <w:rsid w:val="000C6F9C"/>
    <w:rsid w:val="000D0FCB"/>
    <w:rsid w:val="000D2627"/>
    <w:rsid w:val="000D310F"/>
    <w:rsid w:val="000D3466"/>
    <w:rsid w:val="000D56AB"/>
    <w:rsid w:val="000D72B5"/>
    <w:rsid w:val="000D7984"/>
    <w:rsid w:val="000E054F"/>
    <w:rsid w:val="000E0D0E"/>
    <w:rsid w:val="000E401E"/>
    <w:rsid w:val="000E569B"/>
    <w:rsid w:val="000E6A02"/>
    <w:rsid w:val="000E6C44"/>
    <w:rsid w:val="000E6F1D"/>
    <w:rsid w:val="000E76EE"/>
    <w:rsid w:val="000E7B4B"/>
    <w:rsid w:val="000F0042"/>
    <w:rsid w:val="000F1F33"/>
    <w:rsid w:val="000F2C9A"/>
    <w:rsid w:val="000F2CF7"/>
    <w:rsid w:val="000F5781"/>
    <w:rsid w:val="000F6115"/>
    <w:rsid w:val="000F611A"/>
    <w:rsid w:val="00101E83"/>
    <w:rsid w:val="0010530A"/>
    <w:rsid w:val="00105DCB"/>
    <w:rsid w:val="00106EED"/>
    <w:rsid w:val="00107210"/>
    <w:rsid w:val="00107A30"/>
    <w:rsid w:val="001111C4"/>
    <w:rsid w:val="00111D80"/>
    <w:rsid w:val="001122EE"/>
    <w:rsid w:val="00113583"/>
    <w:rsid w:val="00115235"/>
    <w:rsid w:val="00121E0C"/>
    <w:rsid w:val="00122784"/>
    <w:rsid w:val="00124FFB"/>
    <w:rsid w:val="0012596B"/>
    <w:rsid w:val="00126587"/>
    <w:rsid w:val="00126655"/>
    <w:rsid w:val="00130E61"/>
    <w:rsid w:val="00131248"/>
    <w:rsid w:val="00132814"/>
    <w:rsid w:val="001330C7"/>
    <w:rsid w:val="001340AA"/>
    <w:rsid w:val="00134386"/>
    <w:rsid w:val="00135114"/>
    <w:rsid w:val="0013748A"/>
    <w:rsid w:val="00137D6A"/>
    <w:rsid w:val="00141077"/>
    <w:rsid w:val="00141A14"/>
    <w:rsid w:val="00143A9C"/>
    <w:rsid w:val="0014553D"/>
    <w:rsid w:val="00145B5D"/>
    <w:rsid w:val="00147681"/>
    <w:rsid w:val="001501E5"/>
    <w:rsid w:val="0015385D"/>
    <w:rsid w:val="00153BE5"/>
    <w:rsid w:val="00154C62"/>
    <w:rsid w:val="001552E3"/>
    <w:rsid w:val="00156521"/>
    <w:rsid w:val="0015668C"/>
    <w:rsid w:val="0015695E"/>
    <w:rsid w:val="001571BF"/>
    <w:rsid w:val="00161F76"/>
    <w:rsid w:val="00163273"/>
    <w:rsid w:val="0016659C"/>
    <w:rsid w:val="001665B0"/>
    <w:rsid w:val="001676AE"/>
    <w:rsid w:val="00167BCE"/>
    <w:rsid w:val="001702D9"/>
    <w:rsid w:val="00170846"/>
    <w:rsid w:val="00170A5B"/>
    <w:rsid w:val="00171400"/>
    <w:rsid w:val="00174513"/>
    <w:rsid w:val="0018095D"/>
    <w:rsid w:val="00180D57"/>
    <w:rsid w:val="00182A8B"/>
    <w:rsid w:val="00182B95"/>
    <w:rsid w:val="00182F9F"/>
    <w:rsid w:val="00186D34"/>
    <w:rsid w:val="00191CC2"/>
    <w:rsid w:val="0019291E"/>
    <w:rsid w:val="001932CE"/>
    <w:rsid w:val="00193A39"/>
    <w:rsid w:val="00194615"/>
    <w:rsid w:val="00194844"/>
    <w:rsid w:val="0019580C"/>
    <w:rsid w:val="001A1B49"/>
    <w:rsid w:val="001A33EB"/>
    <w:rsid w:val="001A3485"/>
    <w:rsid w:val="001A472A"/>
    <w:rsid w:val="001A4E0C"/>
    <w:rsid w:val="001A4E7E"/>
    <w:rsid w:val="001A4FB6"/>
    <w:rsid w:val="001A54F7"/>
    <w:rsid w:val="001A5CF5"/>
    <w:rsid w:val="001A7361"/>
    <w:rsid w:val="001B390A"/>
    <w:rsid w:val="001B4499"/>
    <w:rsid w:val="001B5369"/>
    <w:rsid w:val="001B5BE3"/>
    <w:rsid w:val="001B5CB6"/>
    <w:rsid w:val="001B6105"/>
    <w:rsid w:val="001B6798"/>
    <w:rsid w:val="001C21DC"/>
    <w:rsid w:val="001C369A"/>
    <w:rsid w:val="001C51EB"/>
    <w:rsid w:val="001C671C"/>
    <w:rsid w:val="001C679A"/>
    <w:rsid w:val="001C6C97"/>
    <w:rsid w:val="001C7BEF"/>
    <w:rsid w:val="001D080B"/>
    <w:rsid w:val="001D0865"/>
    <w:rsid w:val="001D1762"/>
    <w:rsid w:val="001D2422"/>
    <w:rsid w:val="001D4D94"/>
    <w:rsid w:val="001D65D9"/>
    <w:rsid w:val="001D7014"/>
    <w:rsid w:val="001E257E"/>
    <w:rsid w:val="001E292F"/>
    <w:rsid w:val="001E2DBB"/>
    <w:rsid w:val="001E56C0"/>
    <w:rsid w:val="001E661C"/>
    <w:rsid w:val="001E6665"/>
    <w:rsid w:val="001E742C"/>
    <w:rsid w:val="001F144A"/>
    <w:rsid w:val="001F282F"/>
    <w:rsid w:val="001F3695"/>
    <w:rsid w:val="001F3E9B"/>
    <w:rsid w:val="001F4F11"/>
    <w:rsid w:val="001F5DFC"/>
    <w:rsid w:val="001F5F69"/>
    <w:rsid w:val="001F6064"/>
    <w:rsid w:val="001F685B"/>
    <w:rsid w:val="001F6B46"/>
    <w:rsid w:val="001F7A64"/>
    <w:rsid w:val="002002FB"/>
    <w:rsid w:val="0020051C"/>
    <w:rsid w:val="002049A8"/>
    <w:rsid w:val="00207297"/>
    <w:rsid w:val="002110C5"/>
    <w:rsid w:val="00211BAC"/>
    <w:rsid w:val="0021202A"/>
    <w:rsid w:val="00213D55"/>
    <w:rsid w:val="002153C7"/>
    <w:rsid w:val="00216DC4"/>
    <w:rsid w:val="00220880"/>
    <w:rsid w:val="00221039"/>
    <w:rsid w:val="002215CE"/>
    <w:rsid w:val="00221CFF"/>
    <w:rsid w:val="00222009"/>
    <w:rsid w:val="00222B4F"/>
    <w:rsid w:val="002230A9"/>
    <w:rsid w:val="00224ABA"/>
    <w:rsid w:val="00231ACB"/>
    <w:rsid w:val="002323B5"/>
    <w:rsid w:val="00232A75"/>
    <w:rsid w:val="00232B7E"/>
    <w:rsid w:val="00234CEA"/>
    <w:rsid w:val="00237072"/>
    <w:rsid w:val="00240C3B"/>
    <w:rsid w:val="00241092"/>
    <w:rsid w:val="00244094"/>
    <w:rsid w:val="0024416C"/>
    <w:rsid w:val="00244C9F"/>
    <w:rsid w:val="00245F23"/>
    <w:rsid w:val="00246015"/>
    <w:rsid w:val="00246AD5"/>
    <w:rsid w:val="00246F1E"/>
    <w:rsid w:val="00247D4E"/>
    <w:rsid w:val="00250026"/>
    <w:rsid w:val="00250DC3"/>
    <w:rsid w:val="00251785"/>
    <w:rsid w:val="002525B7"/>
    <w:rsid w:val="00252B6F"/>
    <w:rsid w:val="00252CDD"/>
    <w:rsid w:val="002533A7"/>
    <w:rsid w:val="00254229"/>
    <w:rsid w:val="00254822"/>
    <w:rsid w:val="00255BDB"/>
    <w:rsid w:val="002566F0"/>
    <w:rsid w:val="00262808"/>
    <w:rsid w:val="00263824"/>
    <w:rsid w:val="00265A69"/>
    <w:rsid w:val="0026728E"/>
    <w:rsid w:val="00272769"/>
    <w:rsid w:val="00274525"/>
    <w:rsid w:val="002753EA"/>
    <w:rsid w:val="00275DCD"/>
    <w:rsid w:val="00276573"/>
    <w:rsid w:val="00277D5F"/>
    <w:rsid w:val="002808B0"/>
    <w:rsid w:val="00280DEF"/>
    <w:rsid w:val="00281B6C"/>
    <w:rsid w:val="00281C8E"/>
    <w:rsid w:val="00282493"/>
    <w:rsid w:val="00285ABF"/>
    <w:rsid w:val="00285F73"/>
    <w:rsid w:val="0028684A"/>
    <w:rsid w:val="00286B9F"/>
    <w:rsid w:val="00287C92"/>
    <w:rsid w:val="00287C99"/>
    <w:rsid w:val="00291005"/>
    <w:rsid w:val="002930A7"/>
    <w:rsid w:val="00293A4B"/>
    <w:rsid w:val="00295F5C"/>
    <w:rsid w:val="00296DE1"/>
    <w:rsid w:val="002A018F"/>
    <w:rsid w:val="002A27C6"/>
    <w:rsid w:val="002A3FF5"/>
    <w:rsid w:val="002A6517"/>
    <w:rsid w:val="002A6CC3"/>
    <w:rsid w:val="002A76AD"/>
    <w:rsid w:val="002A7FDB"/>
    <w:rsid w:val="002B035B"/>
    <w:rsid w:val="002B05B9"/>
    <w:rsid w:val="002B2D1D"/>
    <w:rsid w:val="002B2D35"/>
    <w:rsid w:val="002B393C"/>
    <w:rsid w:val="002B498F"/>
    <w:rsid w:val="002B4F01"/>
    <w:rsid w:val="002B692E"/>
    <w:rsid w:val="002C0276"/>
    <w:rsid w:val="002C051E"/>
    <w:rsid w:val="002C097A"/>
    <w:rsid w:val="002C0C7B"/>
    <w:rsid w:val="002C262A"/>
    <w:rsid w:val="002C66EA"/>
    <w:rsid w:val="002C6BDC"/>
    <w:rsid w:val="002C6FC1"/>
    <w:rsid w:val="002D07CA"/>
    <w:rsid w:val="002D10F7"/>
    <w:rsid w:val="002D212F"/>
    <w:rsid w:val="002D21ED"/>
    <w:rsid w:val="002D5AB3"/>
    <w:rsid w:val="002E0534"/>
    <w:rsid w:val="002E0A8C"/>
    <w:rsid w:val="002E32FD"/>
    <w:rsid w:val="002E3412"/>
    <w:rsid w:val="002E342B"/>
    <w:rsid w:val="002E3DD2"/>
    <w:rsid w:val="002E618C"/>
    <w:rsid w:val="002E62C3"/>
    <w:rsid w:val="002E6A81"/>
    <w:rsid w:val="002E6CEF"/>
    <w:rsid w:val="002F1078"/>
    <w:rsid w:val="002F10E8"/>
    <w:rsid w:val="002F1BC0"/>
    <w:rsid w:val="002F2727"/>
    <w:rsid w:val="002F387D"/>
    <w:rsid w:val="002F3D7D"/>
    <w:rsid w:val="002F46F3"/>
    <w:rsid w:val="002F69D8"/>
    <w:rsid w:val="00300B1D"/>
    <w:rsid w:val="003031C8"/>
    <w:rsid w:val="003038CB"/>
    <w:rsid w:val="00303B40"/>
    <w:rsid w:val="00305D28"/>
    <w:rsid w:val="0030640B"/>
    <w:rsid w:val="0030704B"/>
    <w:rsid w:val="003102B9"/>
    <w:rsid w:val="00310665"/>
    <w:rsid w:val="00310A15"/>
    <w:rsid w:val="003141C2"/>
    <w:rsid w:val="00314A92"/>
    <w:rsid w:val="003170C5"/>
    <w:rsid w:val="003172DD"/>
    <w:rsid w:val="00317DE4"/>
    <w:rsid w:val="0032058D"/>
    <w:rsid w:val="003206B1"/>
    <w:rsid w:val="00320A43"/>
    <w:rsid w:val="00322F3B"/>
    <w:rsid w:val="00323445"/>
    <w:rsid w:val="00323DDC"/>
    <w:rsid w:val="00325086"/>
    <w:rsid w:val="00325779"/>
    <w:rsid w:val="00325F10"/>
    <w:rsid w:val="00327F4D"/>
    <w:rsid w:val="003313A4"/>
    <w:rsid w:val="00332A00"/>
    <w:rsid w:val="003334FA"/>
    <w:rsid w:val="0033475B"/>
    <w:rsid w:val="00334A86"/>
    <w:rsid w:val="003358E9"/>
    <w:rsid w:val="00335BCA"/>
    <w:rsid w:val="00337633"/>
    <w:rsid w:val="00340CA1"/>
    <w:rsid w:val="00341F37"/>
    <w:rsid w:val="00342D90"/>
    <w:rsid w:val="00344B3B"/>
    <w:rsid w:val="00344F45"/>
    <w:rsid w:val="00345212"/>
    <w:rsid w:val="0035238D"/>
    <w:rsid w:val="00353FC7"/>
    <w:rsid w:val="0035608F"/>
    <w:rsid w:val="003563FA"/>
    <w:rsid w:val="00356AF7"/>
    <w:rsid w:val="00357352"/>
    <w:rsid w:val="00360793"/>
    <w:rsid w:val="00361009"/>
    <w:rsid w:val="003610D6"/>
    <w:rsid w:val="00362C0F"/>
    <w:rsid w:val="003632E9"/>
    <w:rsid w:val="00364768"/>
    <w:rsid w:val="00364DE7"/>
    <w:rsid w:val="00365220"/>
    <w:rsid w:val="0036615F"/>
    <w:rsid w:val="00367A7E"/>
    <w:rsid w:val="003706C6"/>
    <w:rsid w:val="00370B33"/>
    <w:rsid w:val="00371173"/>
    <w:rsid w:val="003719CF"/>
    <w:rsid w:val="00372262"/>
    <w:rsid w:val="00373062"/>
    <w:rsid w:val="003736F0"/>
    <w:rsid w:val="00376699"/>
    <w:rsid w:val="003806C6"/>
    <w:rsid w:val="00380A29"/>
    <w:rsid w:val="00380B42"/>
    <w:rsid w:val="0038209B"/>
    <w:rsid w:val="00384773"/>
    <w:rsid w:val="003857CE"/>
    <w:rsid w:val="00386235"/>
    <w:rsid w:val="00386ED3"/>
    <w:rsid w:val="003871D1"/>
    <w:rsid w:val="0038722C"/>
    <w:rsid w:val="003901F4"/>
    <w:rsid w:val="003905DE"/>
    <w:rsid w:val="00392F5F"/>
    <w:rsid w:val="00393002"/>
    <w:rsid w:val="00393C7B"/>
    <w:rsid w:val="0039417C"/>
    <w:rsid w:val="00394244"/>
    <w:rsid w:val="003947B3"/>
    <w:rsid w:val="003967CB"/>
    <w:rsid w:val="00396C99"/>
    <w:rsid w:val="0039743C"/>
    <w:rsid w:val="00397C98"/>
    <w:rsid w:val="003A06EE"/>
    <w:rsid w:val="003A2913"/>
    <w:rsid w:val="003A3973"/>
    <w:rsid w:val="003A4AA8"/>
    <w:rsid w:val="003B0799"/>
    <w:rsid w:val="003B0E6E"/>
    <w:rsid w:val="003B1F98"/>
    <w:rsid w:val="003B25EC"/>
    <w:rsid w:val="003B280A"/>
    <w:rsid w:val="003B3DE5"/>
    <w:rsid w:val="003B4EA4"/>
    <w:rsid w:val="003C02D2"/>
    <w:rsid w:val="003C0F20"/>
    <w:rsid w:val="003C0FF8"/>
    <w:rsid w:val="003C15D0"/>
    <w:rsid w:val="003C3CB5"/>
    <w:rsid w:val="003C4018"/>
    <w:rsid w:val="003C4C70"/>
    <w:rsid w:val="003C57B9"/>
    <w:rsid w:val="003D04CB"/>
    <w:rsid w:val="003D0B64"/>
    <w:rsid w:val="003D5D86"/>
    <w:rsid w:val="003D7078"/>
    <w:rsid w:val="003E0050"/>
    <w:rsid w:val="003E08FB"/>
    <w:rsid w:val="003E11F9"/>
    <w:rsid w:val="003E45CB"/>
    <w:rsid w:val="003E5956"/>
    <w:rsid w:val="003E694C"/>
    <w:rsid w:val="003F0472"/>
    <w:rsid w:val="003F0538"/>
    <w:rsid w:val="003F08F6"/>
    <w:rsid w:val="003F34EA"/>
    <w:rsid w:val="003F53D5"/>
    <w:rsid w:val="003F5913"/>
    <w:rsid w:val="003F5C14"/>
    <w:rsid w:val="003F61A3"/>
    <w:rsid w:val="003F68B9"/>
    <w:rsid w:val="003F6D90"/>
    <w:rsid w:val="003F78F2"/>
    <w:rsid w:val="003F79D7"/>
    <w:rsid w:val="004000E2"/>
    <w:rsid w:val="00400B91"/>
    <w:rsid w:val="00400D8F"/>
    <w:rsid w:val="00401285"/>
    <w:rsid w:val="00402636"/>
    <w:rsid w:val="0040385A"/>
    <w:rsid w:val="004058EF"/>
    <w:rsid w:val="0040630F"/>
    <w:rsid w:val="004073A1"/>
    <w:rsid w:val="00410104"/>
    <w:rsid w:val="004103BA"/>
    <w:rsid w:val="004106CD"/>
    <w:rsid w:val="00410D34"/>
    <w:rsid w:val="00412FC1"/>
    <w:rsid w:val="00414133"/>
    <w:rsid w:val="00415F10"/>
    <w:rsid w:val="00416104"/>
    <w:rsid w:val="00416931"/>
    <w:rsid w:val="00417C4F"/>
    <w:rsid w:val="00420DF5"/>
    <w:rsid w:val="004214CC"/>
    <w:rsid w:val="00421732"/>
    <w:rsid w:val="00424A66"/>
    <w:rsid w:val="00426252"/>
    <w:rsid w:val="00426C3C"/>
    <w:rsid w:val="00427956"/>
    <w:rsid w:val="0043038D"/>
    <w:rsid w:val="004319BD"/>
    <w:rsid w:val="00431F6B"/>
    <w:rsid w:val="004328BF"/>
    <w:rsid w:val="00432A82"/>
    <w:rsid w:val="0043403E"/>
    <w:rsid w:val="0043425C"/>
    <w:rsid w:val="004354BC"/>
    <w:rsid w:val="00437087"/>
    <w:rsid w:val="00437194"/>
    <w:rsid w:val="0043750C"/>
    <w:rsid w:val="00440930"/>
    <w:rsid w:val="004420AE"/>
    <w:rsid w:val="00442681"/>
    <w:rsid w:val="004431A3"/>
    <w:rsid w:val="00443C50"/>
    <w:rsid w:val="0044416C"/>
    <w:rsid w:val="00445699"/>
    <w:rsid w:val="0044599D"/>
    <w:rsid w:val="00446130"/>
    <w:rsid w:val="00446182"/>
    <w:rsid w:val="004476A2"/>
    <w:rsid w:val="00451276"/>
    <w:rsid w:val="004530A8"/>
    <w:rsid w:val="00455575"/>
    <w:rsid w:val="00455E1A"/>
    <w:rsid w:val="00456E77"/>
    <w:rsid w:val="004614C2"/>
    <w:rsid w:val="00462C1A"/>
    <w:rsid w:val="004642E8"/>
    <w:rsid w:val="0046432C"/>
    <w:rsid w:val="00467E38"/>
    <w:rsid w:val="004715A9"/>
    <w:rsid w:val="004716C1"/>
    <w:rsid w:val="004721F5"/>
    <w:rsid w:val="00472C3A"/>
    <w:rsid w:val="0047435D"/>
    <w:rsid w:val="00474465"/>
    <w:rsid w:val="00475004"/>
    <w:rsid w:val="004750B4"/>
    <w:rsid w:val="00476D86"/>
    <w:rsid w:val="00477F13"/>
    <w:rsid w:val="00480D6E"/>
    <w:rsid w:val="004810FF"/>
    <w:rsid w:val="00481EE8"/>
    <w:rsid w:val="00484DB7"/>
    <w:rsid w:val="00492730"/>
    <w:rsid w:val="004937F1"/>
    <w:rsid w:val="004954A6"/>
    <w:rsid w:val="00495D5A"/>
    <w:rsid w:val="0049669B"/>
    <w:rsid w:val="004A1305"/>
    <w:rsid w:val="004A1714"/>
    <w:rsid w:val="004A4B62"/>
    <w:rsid w:val="004A4D43"/>
    <w:rsid w:val="004A50D1"/>
    <w:rsid w:val="004A667A"/>
    <w:rsid w:val="004B0321"/>
    <w:rsid w:val="004B09AB"/>
    <w:rsid w:val="004B1FA8"/>
    <w:rsid w:val="004B3E37"/>
    <w:rsid w:val="004B41CF"/>
    <w:rsid w:val="004B48E7"/>
    <w:rsid w:val="004B4B6F"/>
    <w:rsid w:val="004B78EA"/>
    <w:rsid w:val="004B7E43"/>
    <w:rsid w:val="004C0B0C"/>
    <w:rsid w:val="004C0C2C"/>
    <w:rsid w:val="004C0FC9"/>
    <w:rsid w:val="004C1942"/>
    <w:rsid w:val="004C2446"/>
    <w:rsid w:val="004C25D2"/>
    <w:rsid w:val="004C3C80"/>
    <w:rsid w:val="004C48D4"/>
    <w:rsid w:val="004C49E8"/>
    <w:rsid w:val="004C6AE5"/>
    <w:rsid w:val="004D08C7"/>
    <w:rsid w:val="004D1567"/>
    <w:rsid w:val="004D1F1D"/>
    <w:rsid w:val="004D3582"/>
    <w:rsid w:val="004D3B43"/>
    <w:rsid w:val="004D520C"/>
    <w:rsid w:val="004D53D8"/>
    <w:rsid w:val="004D7019"/>
    <w:rsid w:val="004D7255"/>
    <w:rsid w:val="004D72A9"/>
    <w:rsid w:val="004E18C5"/>
    <w:rsid w:val="004E499E"/>
    <w:rsid w:val="004E552A"/>
    <w:rsid w:val="004E5AD9"/>
    <w:rsid w:val="004E7634"/>
    <w:rsid w:val="004E7A20"/>
    <w:rsid w:val="004F130A"/>
    <w:rsid w:val="004F4B33"/>
    <w:rsid w:val="004F4D01"/>
    <w:rsid w:val="004F4E47"/>
    <w:rsid w:val="004F7182"/>
    <w:rsid w:val="00500359"/>
    <w:rsid w:val="0050106D"/>
    <w:rsid w:val="005018EE"/>
    <w:rsid w:val="005043D0"/>
    <w:rsid w:val="005076FA"/>
    <w:rsid w:val="005126F6"/>
    <w:rsid w:val="00514AD8"/>
    <w:rsid w:val="00514DE8"/>
    <w:rsid w:val="0051740E"/>
    <w:rsid w:val="00520B1F"/>
    <w:rsid w:val="00520F35"/>
    <w:rsid w:val="00521280"/>
    <w:rsid w:val="00521BD5"/>
    <w:rsid w:val="00521D9E"/>
    <w:rsid w:val="00522317"/>
    <w:rsid w:val="005227A6"/>
    <w:rsid w:val="00522E23"/>
    <w:rsid w:val="00524610"/>
    <w:rsid w:val="00524DAD"/>
    <w:rsid w:val="005264C5"/>
    <w:rsid w:val="00540CFB"/>
    <w:rsid w:val="00542E8C"/>
    <w:rsid w:val="00545EE3"/>
    <w:rsid w:val="00546C8F"/>
    <w:rsid w:val="0054791D"/>
    <w:rsid w:val="00550D13"/>
    <w:rsid w:val="00551765"/>
    <w:rsid w:val="0055282A"/>
    <w:rsid w:val="00553EB2"/>
    <w:rsid w:val="00554B9A"/>
    <w:rsid w:val="00554C85"/>
    <w:rsid w:val="005569F3"/>
    <w:rsid w:val="00556C64"/>
    <w:rsid w:val="00556FDA"/>
    <w:rsid w:val="0056041B"/>
    <w:rsid w:val="00560D9A"/>
    <w:rsid w:val="005625D4"/>
    <w:rsid w:val="00562634"/>
    <w:rsid w:val="00565ADA"/>
    <w:rsid w:val="0056704D"/>
    <w:rsid w:val="0056716F"/>
    <w:rsid w:val="00570160"/>
    <w:rsid w:val="00573AF6"/>
    <w:rsid w:val="0058150D"/>
    <w:rsid w:val="0058254A"/>
    <w:rsid w:val="00582906"/>
    <w:rsid w:val="00584972"/>
    <w:rsid w:val="005852D9"/>
    <w:rsid w:val="005854BB"/>
    <w:rsid w:val="005868D2"/>
    <w:rsid w:val="00587875"/>
    <w:rsid w:val="00590485"/>
    <w:rsid w:val="005907B7"/>
    <w:rsid w:val="0059218F"/>
    <w:rsid w:val="005923CE"/>
    <w:rsid w:val="00592BE2"/>
    <w:rsid w:val="005933A7"/>
    <w:rsid w:val="005933D2"/>
    <w:rsid w:val="0059380C"/>
    <w:rsid w:val="00593D38"/>
    <w:rsid w:val="00594B8F"/>
    <w:rsid w:val="00595E0D"/>
    <w:rsid w:val="00597158"/>
    <w:rsid w:val="00597515"/>
    <w:rsid w:val="005A490E"/>
    <w:rsid w:val="005A6931"/>
    <w:rsid w:val="005A7F9F"/>
    <w:rsid w:val="005B0F81"/>
    <w:rsid w:val="005B0FB2"/>
    <w:rsid w:val="005B29E8"/>
    <w:rsid w:val="005B3489"/>
    <w:rsid w:val="005B3A96"/>
    <w:rsid w:val="005B45ED"/>
    <w:rsid w:val="005B4DDB"/>
    <w:rsid w:val="005B5639"/>
    <w:rsid w:val="005B6260"/>
    <w:rsid w:val="005B6B2F"/>
    <w:rsid w:val="005B7A26"/>
    <w:rsid w:val="005C0B5D"/>
    <w:rsid w:val="005C22E0"/>
    <w:rsid w:val="005C2663"/>
    <w:rsid w:val="005C471D"/>
    <w:rsid w:val="005C6AC7"/>
    <w:rsid w:val="005C7A26"/>
    <w:rsid w:val="005D0C29"/>
    <w:rsid w:val="005D13FA"/>
    <w:rsid w:val="005D3355"/>
    <w:rsid w:val="005D419C"/>
    <w:rsid w:val="005D4C34"/>
    <w:rsid w:val="005D6E25"/>
    <w:rsid w:val="005D7E67"/>
    <w:rsid w:val="005E0413"/>
    <w:rsid w:val="005E1E92"/>
    <w:rsid w:val="005E233E"/>
    <w:rsid w:val="005E5CCD"/>
    <w:rsid w:val="005F0CEA"/>
    <w:rsid w:val="005F0FE8"/>
    <w:rsid w:val="005F21D9"/>
    <w:rsid w:val="005F2DF5"/>
    <w:rsid w:val="005F5EDF"/>
    <w:rsid w:val="006003FB"/>
    <w:rsid w:val="00600D7E"/>
    <w:rsid w:val="00601055"/>
    <w:rsid w:val="006014E4"/>
    <w:rsid w:val="006033AB"/>
    <w:rsid w:val="00606EEC"/>
    <w:rsid w:val="00607CBA"/>
    <w:rsid w:val="00612AEA"/>
    <w:rsid w:val="00614460"/>
    <w:rsid w:val="006177F9"/>
    <w:rsid w:val="00617929"/>
    <w:rsid w:val="00620619"/>
    <w:rsid w:val="006210AB"/>
    <w:rsid w:val="00621790"/>
    <w:rsid w:val="006223C7"/>
    <w:rsid w:val="00623208"/>
    <w:rsid w:val="006236D3"/>
    <w:rsid w:val="006269BE"/>
    <w:rsid w:val="006270D9"/>
    <w:rsid w:val="00627A0E"/>
    <w:rsid w:val="00627D7E"/>
    <w:rsid w:val="006304E5"/>
    <w:rsid w:val="00630C04"/>
    <w:rsid w:val="00631AD1"/>
    <w:rsid w:val="00632072"/>
    <w:rsid w:val="00632928"/>
    <w:rsid w:val="00632983"/>
    <w:rsid w:val="00634014"/>
    <w:rsid w:val="00635BF6"/>
    <w:rsid w:val="00635ECF"/>
    <w:rsid w:val="00636E6B"/>
    <w:rsid w:val="00636F6D"/>
    <w:rsid w:val="00646408"/>
    <w:rsid w:val="0064780D"/>
    <w:rsid w:val="00647F34"/>
    <w:rsid w:val="00650024"/>
    <w:rsid w:val="006514E4"/>
    <w:rsid w:val="00651551"/>
    <w:rsid w:val="00651813"/>
    <w:rsid w:val="00651AA1"/>
    <w:rsid w:val="00652F9B"/>
    <w:rsid w:val="00654224"/>
    <w:rsid w:val="00654F0A"/>
    <w:rsid w:val="006602F4"/>
    <w:rsid w:val="0066077C"/>
    <w:rsid w:val="00664231"/>
    <w:rsid w:val="0066524F"/>
    <w:rsid w:val="006664D7"/>
    <w:rsid w:val="0066663D"/>
    <w:rsid w:val="006715A0"/>
    <w:rsid w:val="006724A8"/>
    <w:rsid w:val="00673582"/>
    <w:rsid w:val="006739D4"/>
    <w:rsid w:val="00674989"/>
    <w:rsid w:val="00675CCD"/>
    <w:rsid w:val="00675EF7"/>
    <w:rsid w:val="006765D8"/>
    <w:rsid w:val="00676672"/>
    <w:rsid w:val="006776DD"/>
    <w:rsid w:val="00677F9F"/>
    <w:rsid w:val="00680634"/>
    <w:rsid w:val="00680EED"/>
    <w:rsid w:val="00685C41"/>
    <w:rsid w:val="00687C59"/>
    <w:rsid w:val="006923D9"/>
    <w:rsid w:val="00692FA9"/>
    <w:rsid w:val="006936DF"/>
    <w:rsid w:val="006954B5"/>
    <w:rsid w:val="00695644"/>
    <w:rsid w:val="00695AB9"/>
    <w:rsid w:val="00696E82"/>
    <w:rsid w:val="00697BA4"/>
    <w:rsid w:val="006A0984"/>
    <w:rsid w:val="006A0EC3"/>
    <w:rsid w:val="006A45F2"/>
    <w:rsid w:val="006A7421"/>
    <w:rsid w:val="006A7F67"/>
    <w:rsid w:val="006B003C"/>
    <w:rsid w:val="006B044C"/>
    <w:rsid w:val="006B1AA8"/>
    <w:rsid w:val="006B4E51"/>
    <w:rsid w:val="006B5B7A"/>
    <w:rsid w:val="006B61F2"/>
    <w:rsid w:val="006B723A"/>
    <w:rsid w:val="006C0648"/>
    <w:rsid w:val="006C743A"/>
    <w:rsid w:val="006D1D70"/>
    <w:rsid w:val="006D4718"/>
    <w:rsid w:val="006D62DD"/>
    <w:rsid w:val="006D6EF4"/>
    <w:rsid w:val="006E099A"/>
    <w:rsid w:val="006E0BE4"/>
    <w:rsid w:val="006E1BD0"/>
    <w:rsid w:val="006E2FA0"/>
    <w:rsid w:val="006E3FEA"/>
    <w:rsid w:val="006E48A3"/>
    <w:rsid w:val="006E4914"/>
    <w:rsid w:val="006E6E5F"/>
    <w:rsid w:val="006E7F01"/>
    <w:rsid w:val="006F1577"/>
    <w:rsid w:val="006F258F"/>
    <w:rsid w:val="006F36E1"/>
    <w:rsid w:val="006F4E49"/>
    <w:rsid w:val="006F6A7C"/>
    <w:rsid w:val="00700401"/>
    <w:rsid w:val="00700D4F"/>
    <w:rsid w:val="00702571"/>
    <w:rsid w:val="00702856"/>
    <w:rsid w:val="00704542"/>
    <w:rsid w:val="007052F1"/>
    <w:rsid w:val="007063DA"/>
    <w:rsid w:val="0070708F"/>
    <w:rsid w:val="00710B59"/>
    <w:rsid w:val="00712835"/>
    <w:rsid w:val="00713976"/>
    <w:rsid w:val="00714B07"/>
    <w:rsid w:val="007163A6"/>
    <w:rsid w:val="0072035D"/>
    <w:rsid w:val="00720F9D"/>
    <w:rsid w:val="0072118C"/>
    <w:rsid w:val="00724747"/>
    <w:rsid w:val="0072474B"/>
    <w:rsid w:val="00725413"/>
    <w:rsid w:val="00726CC3"/>
    <w:rsid w:val="00726F74"/>
    <w:rsid w:val="007304CD"/>
    <w:rsid w:val="00734BC9"/>
    <w:rsid w:val="0073521A"/>
    <w:rsid w:val="00735FEB"/>
    <w:rsid w:val="00737EE3"/>
    <w:rsid w:val="0074460F"/>
    <w:rsid w:val="0074518A"/>
    <w:rsid w:val="00745C74"/>
    <w:rsid w:val="00745EC4"/>
    <w:rsid w:val="00746A25"/>
    <w:rsid w:val="00750B97"/>
    <w:rsid w:val="007512B6"/>
    <w:rsid w:val="0075209F"/>
    <w:rsid w:val="007555D8"/>
    <w:rsid w:val="00764512"/>
    <w:rsid w:val="007649C0"/>
    <w:rsid w:val="007659C2"/>
    <w:rsid w:val="00766281"/>
    <w:rsid w:val="007662D8"/>
    <w:rsid w:val="0076639D"/>
    <w:rsid w:val="00766A5F"/>
    <w:rsid w:val="00767784"/>
    <w:rsid w:val="007700EB"/>
    <w:rsid w:val="00771CE4"/>
    <w:rsid w:val="00772274"/>
    <w:rsid w:val="007725FF"/>
    <w:rsid w:val="00773441"/>
    <w:rsid w:val="00773B94"/>
    <w:rsid w:val="00774020"/>
    <w:rsid w:val="007741AC"/>
    <w:rsid w:val="00774828"/>
    <w:rsid w:val="00775D98"/>
    <w:rsid w:val="0077672C"/>
    <w:rsid w:val="00777BD4"/>
    <w:rsid w:val="00781E46"/>
    <w:rsid w:val="00781E8B"/>
    <w:rsid w:val="00782764"/>
    <w:rsid w:val="007828F6"/>
    <w:rsid w:val="00782C1E"/>
    <w:rsid w:val="00783894"/>
    <w:rsid w:val="007838AB"/>
    <w:rsid w:val="00783CA5"/>
    <w:rsid w:val="00784375"/>
    <w:rsid w:val="007847F1"/>
    <w:rsid w:val="0078530C"/>
    <w:rsid w:val="007866C9"/>
    <w:rsid w:val="007867A4"/>
    <w:rsid w:val="0079131A"/>
    <w:rsid w:val="007914ED"/>
    <w:rsid w:val="007917B5"/>
    <w:rsid w:val="0079323E"/>
    <w:rsid w:val="007954D0"/>
    <w:rsid w:val="00797E0F"/>
    <w:rsid w:val="007A06FC"/>
    <w:rsid w:val="007A0F91"/>
    <w:rsid w:val="007A3459"/>
    <w:rsid w:val="007A4ABF"/>
    <w:rsid w:val="007A6DA0"/>
    <w:rsid w:val="007B15DF"/>
    <w:rsid w:val="007B19A1"/>
    <w:rsid w:val="007B225D"/>
    <w:rsid w:val="007B2510"/>
    <w:rsid w:val="007B2870"/>
    <w:rsid w:val="007B31FD"/>
    <w:rsid w:val="007B33D5"/>
    <w:rsid w:val="007B5FDD"/>
    <w:rsid w:val="007B6AA0"/>
    <w:rsid w:val="007C18BD"/>
    <w:rsid w:val="007C341E"/>
    <w:rsid w:val="007C352D"/>
    <w:rsid w:val="007C3C39"/>
    <w:rsid w:val="007C3CA4"/>
    <w:rsid w:val="007C4D55"/>
    <w:rsid w:val="007C7EB8"/>
    <w:rsid w:val="007D4200"/>
    <w:rsid w:val="007D4534"/>
    <w:rsid w:val="007D4F74"/>
    <w:rsid w:val="007D555F"/>
    <w:rsid w:val="007D6D6C"/>
    <w:rsid w:val="007E0B82"/>
    <w:rsid w:val="007E2B7C"/>
    <w:rsid w:val="007E3C95"/>
    <w:rsid w:val="007E3CD3"/>
    <w:rsid w:val="007E4C17"/>
    <w:rsid w:val="007E4D58"/>
    <w:rsid w:val="007E59AA"/>
    <w:rsid w:val="007E7786"/>
    <w:rsid w:val="007E7888"/>
    <w:rsid w:val="007E7FD1"/>
    <w:rsid w:val="007F0C72"/>
    <w:rsid w:val="007F0F51"/>
    <w:rsid w:val="007F1324"/>
    <w:rsid w:val="007F182F"/>
    <w:rsid w:val="007F1DC4"/>
    <w:rsid w:val="007F244E"/>
    <w:rsid w:val="007F28C9"/>
    <w:rsid w:val="007F3B63"/>
    <w:rsid w:val="007F460E"/>
    <w:rsid w:val="007F4BF3"/>
    <w:rsid w:val="007F5B6D"/>
    <w:rsid w:val="007F636F"/>
    <w:rsid w:val="007F6938"/>
    <w:rsid w:val="007F6F4B"/>
    <w:rsid w:val="007F727E"/>
    <w:rsid w:val="007F7435"/>
    <w:rsid w:val="0080168A"/>
    <w:rsid w:val="008032C0"/>
    <w:rsid w:val="008048DE"/>
    <w:rsid w:val="00804B73"/>
    <w:rsid w:val="008054DD"/>
    <w:rsid w:val="0080615B"/>
    <w:rsid w:val="0080716D"/>
    <w:rsid w:val="00807BDA"/>
    <w:rsid w:val="00810008"/>
    <w:rsid w:val="00810D81"/>
    <w:rsid w:val="0081174B"/>
    <w:rsid w:val="00811C30"/>
    <w:rsid w:val="0081277C"/>
    <w:rsid w:val="00812C7B"/>
    <w:rsid w:val="00814399"/>
    <w:rsid w:val="0081486D"/>
    <w:rsid w:val="008158D3"/>
    <w:rsid w:val="00815F79"/>
    <w:rsid w:val="008164B6"/>
    <w:rsid w:val="00817460"/>
    <w:rsid w:val="008174F6"/>
    <w:rsid w:val="00817D3F"/>
    <w:rsid w:val="00817ED8"/>
    <w:rsid w:val="00820518"/>
    <w:rsid w:val="00820E89"/>
    <w:rsid w:val="008224F1"/>
    <w:rsid w:val="00822F17"/>
    <w:rsid w:val="00822F9E"/>
    <w:rsid w:val="00823B97"/>
    <w:rsid w:val="008258FE"/>
    <w:rsid w:val="00825B7D"/>
    <w:rsid w:val="00831CCC"/>
    <w:rsid w:val="00832BA5"/>
    <w:rsid w:val="00833378"/>
    <w:rsid w:val="00833381"/>
    <w:rsid w:val="00833F8E"/>
    <w:rsid w:val="00834B57"/>
    <w:rsid w:val="00834BC1"/>
    <w:rsid w:val="008350A5"/>
    <w:rsid w:val="008370D2"/>
    <w:rsid w:val="008377D7"/>
    <w:rsid w:val="00840BB0"/>
    <w:rsid w:val="00840DBA"/>
    <w:rsid w:val="00841D26"/>
    <w:rsid w:val="00843FB8"/>
    <w:rsid w:val="00844488"/>
    <w:rsid w:val="0084460A"/>
    <w:rsid w:val="00844B36"/>
    <w:rsid w:val="00845234"/>
    <w:rsid w:val="008460D2"/>
    <w:rsid w:val="00847BD2"/>
    <w:rsid w:val="0085088D"/>
    <w:rsid w:val="00851F09"/>
    <w:rsid w:val="00852149"/>
    <w:rsid w:val="00852488"/>
    <w:rsid w:val="0085290C"/>
    <w:rsid w:val="00852E36"/>
    <w:rsid w:val="0085310A"/>
    <w:rsid w:val="0085390D"/>
    <w:rsid w:val="008540DC"/>
    <w:rsid w:val="00854C42"/>
    <w:rsid w:val="00854F8F"/>
    <w:rsid w:val="008561BD"/>
    <w:rsid w:val="00856725"/>
    <w:rsid w:val="00857066"/>
    <w:rsid w:val="00860C5B"/>
    <w:rsid w:val="00860CF4"/>
    <w:rsid w:val="0086170D"/>
    <w:rsid w:val="0086252B"/>
    <w:rsid w:val="00864E20"/>
    <w:rsid w:val="00865A05"/>
    <w:rsid w:val="00865C92"/>
    <w:rsid w:val="008663E2"/>
    <w:rsid w:val="00870552"/>
    <w:rsid w:val="00870A4E"/>
    <w:rsid w:val="00872200"/>
    <w:rsid w:val="00873049"/>
    <w:rsid w:val="00874FC4"/>
    <w:rsid w:val="008767E3"/>
    <w:rsid w:val="008772E1"/>
    <w:rsid w:val="00877B1E"/>
    <w:rsid w:val="00880349"/>
    <w:rsid w:val="008810F8"/>
    <w:rsid w:val="008819B4"/>
    <w:rsid w:val="00883EC5"/>
    <w:rsid w:val="00886193"/>
    <w:rsid w:val="00887949"/>
    <w:rsid w:val="00891A07"/>
    <w:rsid w:val="00892287"/>
    <w:rsid w:val="00892294"/>
    <w:rsid w:val="0089243D"/>
    <w:rsid w:val="00892546"/>
    <w:rsid w:val="008926F9"/>
    <w:rsid w:val="0089293A"/>
    <w:rsid w:val="00892F64"/>
    <w:rsid w:val="008931FB"/>
    <w:rsid w:val="008935DE"/>
    <w:rsid w:val="00894583"/>
    <w:rsid w:val="00894977"/>
    <w:rsid w:val="00897A0F"/>
    <w:rsid w:val="00897D62"/>
    <w:rsid w:val="008A377A"/>
    <w:rsid w:val="008A4FC2"/>
    <w:rsid w:val="008A5466"/>
    <w:rsid w:val="008A5CC6"/>
    <w:rsid w:val="008A6957"/>
    <w:rsid w:val="008A7906"/>
    <w:rsid w:val="008A792B"/>
    <w:rsid w:val="008B07E3"/>
    <w:rsid w:val="008B0994"/>
    <w:rsid w:val="008B28C0"/>
    <w:rsid w:val="008B28E5"/>
    <w:rsid w:val="008B5A05"/>
    <w:rsid w:val="008B7C3D"/>
    <w:rsid w:val="008C023B"/>
    <w:rsid w:val="008C0449"/>
    <w:rsid w:val="008C3BA9"/>
    <w:rsid w:val="008C4B52"/>
    <w:rsid w:val="008C4F9B"/>
    <w:rsid w:val="008C5BAF"/>
    <w:rsid w:val="008D067A"/>
    <w:rsid w:val="008D0B3F"/>
    <w:rsid w:val="008D4383"/>
    <w:rsid w:val="008D4BA2"/>
    <w:rsid w:val="008D55EE"/>
    <w:rsid w:val="008D5DB5"/>
    <w:rsid w:val="008D5FF5"/>
    <w:rsid w:val="008D71F5"/>
    <w:rsid w:val="008E17A6"/>
    <w:rsid w:val="008E1E59"/>
    <w:rsid w:val="008E2722"/>
    <w:rsid w:val="008E28A4"/>
    <w:rsid w:val="008E2B74"/>
    <w:rsid w:val="008E32A0"/>
    <w:rsid w:val="008E3351"/>
    <w:rsid w:val="008E342D"/>
    <w:rsid w:val="008E5573"/>
    <w:rsid w:val="008E63FA"/>
    <w:rsid w:val="008E670D"/>
    <w:rsid w:val="008F12D0"/>
    <w:rsid w:val="008F27A1"/>
    <w:rsid w:val="008F2916"/>
    <w:rsid w:val="008F2E8D"/>
    <w:rsid w:val="008F352A"/>
    <w:rsid w:val="008F36E8"/>
    <w:rsid w:val="008F43EA"/>
    <w:rsid w:val="008F4819"/>
    <w:rsid w:val="00900992"/>
    <w:rsid w:val="00901068"/>
    <w:rsid w:val="00901313"/>
    <w:rsid w:val="0090354F"/>
    <w:rsid w:val="00903A59"/>
    <w:rsid w:val="009101D5"/>
    <w:rsid w:val="009103B9"/>
    <w:rsid w:val="00910916"/>
    <w:rsid w:val="00910E35"/>
    <w:rsid w:val="0091154E"/>
    <w:rsid w:val="00914FF3"/>
    <w:rsid w:val="009207C3"/>
    <w:rsid w:val="00920EF4"/>
    <w:rsid w:val="0092240F"/>
    <w:rsid w:val="00927332"/>
    <w:rsid w:val="00931B8C"/>
    <w:rsid w:val="00931B9D"/>
    <w:rsid w:val="009320B8"/>
    <w:rsid w:val="00932436"/>
    <w:rsid w:val="009326AA"/>
    <w:rsid w:val="00933503"/>
    <w:rsid w:val="00934DC7"/>
    <w:rsid w:val="00935AB2"/>
    <w:rsid w:val="00937764"/>
    <w:rsid w:val="00937BB7"/>
    <w:rsid w:val="009414D8"/>
    <w:rsid w:val="00943B7A"/>
    <w:rsid w:val="0094524B"/>
    <w:rsid w:val="009520C0"/>
    <w:rsid w:val="00952AB9"/>
    <w:rsid w:val="00953606"/>
    <w:rsid w:val="00955BF3"/>
    <w:rsid w:val="009562B0"/>
    <w:rsid w:val="009569B3"/>
    <w:rsid w:val="00957045"/>
    <w:rsid w:val="00960CC7"/>
    <w:rsid w:val="009660B4"/>
    <w:rsid w:val="009675E4"/>
    <w:rsid w:val="00970313"/>
    <w:rsid w:val="00970C5E"/>
    <w:rsid w:val="00972E8E"/>
    <w:rsid w:val="00972FAC"/>
    <w:rsid w:val="0097404F"/>
    <w:rsid w:val="00974489"/>
    <w:rsid w:val="00976856"/>
    <w:rsid w:val="00976F4E"/>
    <w:rsid w:val="00977EEB"/>
    <w:rsid w:val="0098011D"/>
    <w:rsid w:val="00980C1C"/>
    <w:rsid w:val="009840FD"/>
    <w:rsid w:val="0098445C"/>
    <w:rsid w:val="009861EA"/>
    <w:rsid w:val="009876D5"/>
    <w:rsid w:val="009900C2"/>
    <w:rsid w:val="00990951"/>
    <w:rsid w:val="009939BE"/>
    <w:rsid w:val="00993A66"/>
    <w:rsid w:val="009956BB"/>
    <w:rsid w:val="00995ACB"/>
    <w:rsid w:val="00996B53"/>
    <w:rsid w:val="00996E6A"/>
    <w:rsid w:val="009976DC"/>
    <w:rsid w:val="00997BB5"/>
    <w:rsid w:val="009A0498"/>
    <w:rsid w:val="009A136A"/>
    <w:rsid w:val="009A1775"/>
    <w:rsid w:val="009A231C"/>
    <w:rsid w:val="009A2DD1"/>
    <w:rsid w:val="009A368C"/>
    <w:rsid w:val="009A3C0D"/>
    <w:rsid w:val="009A5036"/>
    <w:rsid w:val="009A539E"/>
    <w:rsid w:val="009A5E6E"/>
    <w:rsid w:val="009A67F0"/>
    <w:rsid w:val="009A768B"/>
    <w:rsid w:val="009B2226"/>
    <w:rsid w:val="009B34A3"/>
    <w:rsid w:val="009B3BD2"/>
    <w:rsid w:val="009B4BBF"/>
    <w:rsid w:val="009B4DEE"/>
    <w:rsid w:val="009B53ED"/>
    <w:rsid w:val="009B5F32"/>
    <w:rsid w:val="009B6E55"/>
    <w:rsid w:val="009C0892"/>
    <w:rsid w:val="009C1139"/>
    <w:rsid w:val="009C142C"/>
    <w:rsid w:val="009C39DE"/>
    <w:rsid w:val="009C4AF3"/>
    <w:rsid w:val="009C5096"/>
    <w:rsid w:val="009C5B54"/>
    <w:rsid w:val="009C5B6D"/>
    <w:rsid w:val="009C650C"/>
    <w:rsid w:val="009C6D34"/>
    <w:rsid w:val="009C701E"/>
    <w:rsid w:val="009C75E2"/>
    <w:rsid w:val="009D1525"/>
    <w:rsid w:val="009D1745"/>
    <w:rsid w:val="009D2501"/>
    <w:rsid w:val="009D374F"/>
    <w:rsid w:val="009D3E7B"/>
    <w:rsid w:val="009D3F8F"/>
    <w:rsid w:val="009D412E"/>
    <w:rsid w:val="009D4CDA"/>
    <w:rsid w:val="009E06EC"/>
    <w:rsid w:val="009E0C45"/>
    <w:rsid w:val="009E11F5"/>
    <w:rsid w:val="009E3300"/>
    <w:rsid w:val="009E5F2C"/>
    <w:rsid w:val="009E7EA5"/>
    <w:rsid w:val="009F170A"/>
    <w:rsid w:val="009F1BA5"/>
    <w:rsid w:val="009F24DD"/>
    <w:rsid w:val="009F26BA"/>
    <w:rsid w:val="009F3678"/>
    <w:rsid w:val="009F4B73"/>
    <w:rsid w:val="009F53DA"/>
    <w:rsid w:val="009F6FDC"/>
    <w:rsid w:val="00A000E1"/>
    <w:rsid w:val="00A00EEA"/>
    <w:rsid w:val="00A03703"/>
    <w:rsid w:val="00A047FD"/>
    <w:rsid w:val="00A04EE9"/>
    <w:rsid w:val="00A06559"/>
    <w:rsid w:val="00A0656C"/>
    <w:rsid w:val="00A07658"/>
    <w:rsid w:val="00A07928"/>
    <w:rsid w:val="00A11CE0"/>
    <w:rsid w:val="00A12B60"/>
    <w:rsid w:val="00A13B0F"/>
    <w:rsid w:val="00A1417A"/>
    <w:rsid w:val="00A141AB"/>
    <w:rsid w:val="00A14D7C"/>
    <w:rsid w:val="00A15F08"/>
    <w:rsid w:val="00A161A3"/>
    <w:rsid w:val="00A16246"/>
    <w:rsid w:val="00A163E8"/>
    <w:rsid w:val="00A168BB"/>
    <w:rsid w:val="00A22157"/>
    <w:rsid w:val="00A22811"/>
    <w:rsid w:val="00A230BB"/>
    <w:rsid w:val="00A24307"/>
    <w:rsid w:val="00A302DD"/>
    <w:rsid w:val="00A3369A"/>
    <w:rsid w:val="00A41FDD"/>
    <w:rsid w:val="00A439FE"/>
    <w:rsid w:val="00A45C05"/>
    <w:rsid w:val="00A46061"/>
    <w:rsid w:val="00A46264"/>
    <w:rsid w:val="00A50790"/>
    <w:rsid w:val="00A53202"/>
    <w:rsid w:val="00A54F8F"/>
    <w:rsid w:val="00A55194"/>
    <w:rsid w:val="00A55764"/>
    <w:rsid w:val="00A55BF4"/>
    <w:rsid w:val="00A604F4"/>
    <w:rsid w:val="00A60F06"/>
    <w:rsid w:val="00A65CE3"/>
    <w:rsid w:val="00A66819"/>
    <w:rsid w:val="00A671CC"/>
    <w:rsid w:val="00A67DF5"/>
    <w:rsid w:val="00A72055"/>
    <w:rsid w:val="00A72370"/>
    <w:rsid w:val="00A73D21"/>
    <w:rsid w:val="00A74890"/>
    <w:rsid w:val="00A74FCD"/>
    <w:rsid w:val="00A753C2"/>
    <w:rsid w:val="00A76356"/>
    <w:rsid w:val="00A76837"/>
    <w:rsid w:val="00A8081F"/>
    <w:rsid w:val="00A82430"/>
    <w:rsid w:val="00A8277A"/>
    <w:rsid w:val="00A8375E"/>
    <w:rsid w:val="00A85BC8"/>
    <w:rsid w:val="00A87A64"/>
    <w:rsid w:val="00A92001"/>
    <w:rsid w:val="00A9347D"/>
    <w:rsid w:val="00A93A3D"/>
    <w:rsid w:val="00A94F5F"/>
    <w:rsid w:val="00A95330"/>
    <w:rsid w:val="00AA0269"/>
    <w:rsid w:val="00AA07EF"/>
    <w:rsid w:val="00AA184A"/>
    <w:rsid w:val="00AA2345"/>
    <w:rsid w:val="00AA30E3"/>
    <w:rsid w:val="00AA4CCE"/>
    <w:rsid w:val="00AA5160"/>
    <w:rsid w:val="00AA6212"/>
    <w:rsid w:val="00AA660B"/>
    <w:rsid w:val="00AA6A0B"/>
    <w:rsid w:val="00AB1718"/>
    <w:rsid w:val="00AB1DC8"/>
    <w:rsid w:val="00AB20E4"/>
    <w:rsid w:val="00AB252C"/>
    <w:rsid w:val="00AB27E8"/>
    <w:rsid w:val="00AB297A"/>
    <w:rsid w:val="00AB2E82"/>
    <w:rsid w:val="00AB6669"/>
    <w:rsid w:val="00AB694E"/>
    <w:rsid w:val="00AB6FFE"/>
    <w:rsid w:val="00AB748A"/>
    <w:rsid w:val="00AB75F6"/>
    <w:rsid w:val="00AC1FE5"/>
    <w:rsid w:val="00AC38B5"/>
    <w:rsid w:val="00AC4057"/>
    <w:rsid w:val="00AC4DA9"/>
    <w:rsid w:val="00AC53BB"/>
    <w:rsid w:val="00AC62A4"/>
    <w:rsid w:val="00AC6514"/>
    <w:rsid w:val="00AC66A2"/>
    <w:rsid w:val="00AC68C0"/>
    <w:rsid w:val="00AC7D0A"/>
    <w:rsid w:val="00AD0E6B"/>
    <w:rsid w:val="00AD12E7"/>
    <w:rsid w:val="00AD3ACC"/>
    <w:rsid w:val="00AD55E3"/>
    <w:rsid w:val="00AD6561"/>
    <w:rsid w:val="00AD70CE"/>
    <w:rsid w:val="00AD71F0"/>
    <w:rsid w:val="00AD78D8"/>
    <w:rsid w:val="00AD79D9"/>
    <w:rsid w:val="00AE08DD"/>
    <w:rsid w:val="00AE1C14"/>
    <w:rsid w:val="00AE1C61"/>
    <w:rsid w:val="00AE3233"/>
    <w:rsid w:val="00AE38F0"/>
    <w:rsid w:val="00AE5071"/>
    <w:rsid w:val="00AE6AED"/>
    <w:rsid w:val="00AE6BDE"/>
    <w:rsid w:val="00AE7AA5"/>
    <w:rsid w:val="00AE7C93"/>
    <w:rsid w:val="00AF012E"/>
    <w:rsid w:val="00AF2997"/>
    <w:rsid w:val="00AF30F8"/>
    <w:rsid w:val="00AF4B7A"/>
    <w:rsid w:val="00AF4F58"/>
    <w:rsid w:val="00AF5382"/>
    <w:rsid w:val="00AF5628"/>
    <w:rsid w:val="00AF5BA5"/>
    <w:rsid w:val="00AF6203"/>
    <w:rsid w:val="00AF639D"/>
    <w:rsid w:val="00AF65C5"/>
    <w:rsid w:val="00B00A4C"/>
    <w:rsid w:val="00B01EE7"/>
    <w:rsid w:val="00B03B33"/>
    <w:rsid w:val="00B05453"/>
    <w:rsid w:val="00B0688C"/>
    <w:rsid w:val="00B076FF"/>
    <w:rsid w:val="00B07835"/>
    <w:rsid w:val="00B0797F"/>
    <w:rsid w:val="00B07ADE"/>
    <w:rsid w:val="00B1042A"/>
    <w:rsid w:val="00B10994"/>
    <w:rsid w:val="00B119BF"/>
    <w:rsid w:val="00B119FF"/>
    <w:rsid w:val="00B1367C"/>
    <w:rsid w:val="00B24EDE"/>
    <w:rsid w:val="00B250B4"/>
    <w:rsid w:val="00B25842"/>
    <w:rsid w:val="00B26178"/>
    <w:rsid w:val="00B2627C"/>
    <w:rsid w:val="00B265BF"/>
    <w:rsid w:val="00B30FC5"/>
    <w:rsid w:val="00B328F5"/>
    <w:rsid w:val="00B334ED"/>
    <w:rsid w:val="00B3362C"/>
    <w:rsid w:val="00B34E83"/>
    <w:rsid w:val="00B35E7B"/>
    <w:rsid w:val="00B418DD"/>
    <w:rsid w:val="00B42358"/>
    <w:rsid w:val="00B423E6"/>
    <w:rsid w:val="00B43FFF"/>
    <w:rsid w:val="00B45C82"/>
    <w:rsid w:val="00B47AAC"/>
    <w:rsid w:val="00B47C86"/>
    <w:rsid w:val="00B5449B"/>
    <w:rsid w:val="00B544F2"/>
    <w:rsid w:val="00B552C0"/>
    <w:rsid w:val="00B55C86"/>
    <w:rsid w:val="00B5762F"/>
    <w:rsid w:val="00B57868"/>
    <w:rsid w:val="00B60645"/>
    <w:rsid w:val="00B61DA7"/>
    <w:rsid w:val="00B61EF3"/>
    <w:rsid w:val="00B634F5"/>
    <w:rsid w:val="00B6351B"/>
    <w:rsid w:val="00B63648"/>
    <w:rsid w:val="00B64C06"/>
    <w:rsid w:val="00B64F86"/>
    <w:rsid w:val="00B65050"/>
    <w:rsid w:val="00B65913"/>
    <w:rsid w:val="00B71AB5"/>
    <w:rsid w:val="00B72051"/>
    <w:rsid w:val="00B72658"/>
    <w:rsid w:val="00B750EF"/>
    <w:rsid w:val="00B76493"/>
    <w:rsid w:val="00B810B2"/>
    <w:rsid w:val="00B81153"/>
    <w:rsid w:val="00B82813"/>
    <w:rsid w:val="00B83808"/>
    <w:rsid w:val="00B85433"/>
    <w:rsid w:val="00B92ED1"/>
    <w:rsid w:val="00B935E9"/>
    <w:rsid w:val="00B948E1"/>
    <w:rsid w:val="00B9527A"/>
    <w:rsid w:val="00B954B7"/>
    <w:rsid w:val="00B956EC"/>
    <w:rsid w:val="00B9690E"/>
    <w:rsid w:val="00B96EE3"/>
    <w:rsid w:val="00B97913"/>
    <w:rsid w:val="00B97BA9"/>
    <w:rsid w:val="00B97D6B"/>
    <w:rsid w:val="00BA181A"/>
    <w:rsid w:val="00BA1CBA"/>
    <w:rsid w:val="00BA28D1"/>
    <w:rsid w:val="00BA3022"/>
    <w:rsid w:val="00BA381D"/>
    <w:rsid w:val="00BA48CA"/>
    <w:rsid w:val="00BA5DDB"/>
    <w:rsid w:val="00BB049D"/>
    <w:rsid w:val="00BB1C7C"/>
    <w:rsid w:val="00BB29BE"/>
    <w:rsid w:val="00BB31C0"/>
    <w:rsid w:val="00BB3B7D"/>
    <w:rsid w:val="00BB50A7"/>
    <w:rsid w:val="00BB6059"/>
    <w:rsid w:val="00BB79F2"/>
    <w:rsid w:val="00BC2D69"/>
    <w:rsid w:val="00BC3827"/>
    <w:rsid w:val="00BC5EB9"/>
    <w:rsid w:val="00BC638E"/>
    <w:rsid w:val="00BC668C"/>
    <w:rsid w:val="00BC72F6"/>
    <w:rsid w:val="00BD046F"/>
    <w:rsid w:val="00BD07D2"/>
    <w:rsid w:val="00BD08CE"/>
    <w:rsid w:val="00BD3160"/>
    <w:rsid w:val="00BD37D8"/>
    <w:rsid w:val="00BD428C"/>
    <w:rsid w:val="00BD584E"/>
    <w:rsid w:val="00BE0EBB"/>
    <w:rsid w:val="00BE1908"/>
    <w:rsid w:val="00BE1ECE"/>
    <w:rsid w:val="00BE33F3"/>
    <w:rsid w:val="00BE37ED"/>
    <w:rsid w:val="00BE3B93"/>
    <w:rsid w:val="00BE3CFC"/>
    <w:rsid w:val="00BE5BE6"/>
    <w:rsid w:val="00BE5CCF"/>
    <w:rsid w:val="00BE68DE"/>
    <w:rsid w:val="00BF0D53"/>
    <w:rsid w:val="00BF310B"/>
    <w:rsid w:val="00BF3D24"/>
    <w:rsid w:val="00BF3EA3"/>
    <w:rsid w:val="00BF4398"/>
    <w:rsid w:val="00BF49F5"/>
    <w:rsid w:val="00BF4A68"/>
    <w:rsid w:val="00BF65A8"/>
    <w:rsid w:val="00BF73E2"/>
    <w:rsid w:val="00C00723"/>
    <w:rsid w:val="00C031E8"/>
    <w:rsid w:val="00C04794"/>
    <w:rsid w:val="00C04DDA"/>
    <w:rsid w:val="00C05C61"/>
    <w:rsid w:val="00C1274E"/>
    <w:rsid w:val="00C12CBE"/>
    <w:rsid w:val="00C139E7"/>
    <w:rsid w:val="00C1430D"/>
    <w:rsid w:val="00C157F4"/>
    <w:rsid w:val="00C17EBA"/>
    <w:rsid w:val="00C2082B"/>
    <w:rsid w:val="00C212AE"/>
    <w:rsid w:val="00C234C3"/>
    <w:rsid w:val="00C23662"/>
    <w:rsid w:val="00C241D5"/>
    <w:rsid w:val="00C2451A"/>
    <w:rsid w:val="00C260B4"/>
    <w:rsid w:val="00C263C7"/>
    <w:rsid w:val="00C26C36"/>
    <w:rsid w:val="00C276D7"/>
    <w:rsid w:val="00C30645"/>
    <w:rsid w:val="00C31A2D"/>
    <w:rsid w:val="00C34674"/>
    <w:rsid w:val="00C34A6F"/>
    <w:rsid w:val="00C359CC"/>
    <w:rsid w:val="00C35BFF"/>
    <w:rsid w:val="00C36EE3"/>
    <w:rsid w:val="00C37B08"/>
    <w:rsid w:val="00C419EC"/>
    <w:rsid w:val="00C41B13"/>
    <w:rsid w:val="00C46467"/>
    <w:rsid w:val="00C46482"/>
    <w:rsid w:val="00C464B1"/>
    <w:rsid w:val="00C477F1"/>
    <w:rsid w:val="00C4790F"/>
    <w:rsid w:val="00C5051C"/>
    <w:rsid w:val="00C523BC"/>
    <w:rsid w:val="00C536BD"/>
    <w:rsid w:val="00C53759"/>
    <w:rsid w:val="00C541C7"/>
    <w:rsid w:val="00C55E50"/>
    <w:rsid w:val="00C55FBD"/>
    <w:rsid w:val="00C567A6"/>
    <w:rsid w:val="00C56ADD"/>
    <w:rsid w:val="00C56D72"/>
    <w:rsid w:val="00C56FFF"/>
    <w:rsid w:val="00C62329"/>
    <w:rsid w:val="00C65B2E"/>
    <w:rsid w:val="00C65C80"/>
    <w:rsid w:val="00C67171"/>
    <w:rsid w:val="00C67932"/>
    <w:rsid w:val="00C70103"/>
    <w:rsid w:val="00C70191"/>
    <w:rsid w:val="00C7085B"/>
    <w:rsid w:val="00C70A4C"/>
    <w:rsid w:val="00C70F61"/>
    <w:rsid w:val="00C71F3A"/>
    <w:rsid w:val="00C72B8A"/>
    <w:rsid w:val="00C73E28"/>
    <w:rsid w:val="00C755BC"/>
    <w:rsid w:val="00C75AF8"/>
    <w:rsid w:val="00C77182"/>
    <w:rsid w:val="00C7781B"/>
    <w:rsid w:val="00C8005E"/>
    <w:rsid w:val="00C80179"/>
    <w:rsid w:val="00C80C56"/>
    <w:rsid w:val="00C84403"/>
    <w:rsid w:val="00C8453E"/>
    <w:rsid w:val="00C86445"/>
    <w:rsid w:val="00C86684"/>
    <w:rsid w:val="00C869B4"/>
    <w:rsid w:val="00C87D51"/>
    <w:rsid w:val="00C90B41"/>
    <w:rsid w:val="00C917F9"/>
    <w:rsid w:val="00C91F09"/>
    <w:rsid w:val="00C9251E"/>
    <w:rsid w:val="00C92D04"/>
    <w:rsid w:val="00C92DEE"/>
    <w:rsid w:val="00C93C32"/>
    <w:rsid w:val="00C94925"/>
    <w:rsid w:val="00C94B1C"/>
    <w:rsid w:val="00C9758E"/>
    <w:rsid w:val="00C97CC5"/>
    <w:rsid w:val="00CA0B08"/>
    <w:rsid w:val="00CA4382"/>
    <w:rsid w:val="00CA64AE"/>
    <w:rsid w:val="00CB07F6"/>
    <w:rsid w:val="00CB0CC1"/>
    <w:rsid w:val="00CB1D0B"/>
    <w:rsid w:val="00CB2CA8"/>
    <w:rsid w:val="00CB4779"/>
    <w:rsid w:val="00CB52FC"/>
    <w:rsid w:val="00CB5728"/>
    <w:rsid w:val="00CC22C9"/>
    <w:rsid w:val="00CC3AD4"/>
    <w:rsid w:val="00CC4C60"/>
    <w:rsid w:val="00CC69CA"/>
    <w:rsid w:val="00CD0562"/>
    <w:rsid w:val="00CD1E5E"/>
    <w:rsid w:val="00CD295F"/>
    <w:rsid w:val="00CD6687"/>
    <w:rsid w:val="00CE0CB4"/>
    <w:rsid w:val="00CE14A8"/>
    <w:rsid w:val="00CE29E7"/>
    <w:rsid w:val="00CE3508"/>
    <w:rsid w:val="00CE3C13"/>
    <w:rsid w:val="00CE4768"/>
    <w:rsid w:val="00CE4981"/>
    <w:rsid w:val="00CE5222"/>
    <w:rsid w:val="00CE560F"/>
    <w:rsid w:val="00CE5941"/>
    <w:rsid w:val="00CE6D68"/>
    <w:rsid w:val="00CE7D8E"/>
    <w:rsid w:val="00CE7DD6"/>
    <w:rsid w:val="00CF0917"/>
    <w:rsid w:val="00CF11C5"/>
    <w:rsid w:val="00CF129E"/>
    <w:rsid w:val="00CF14E0"/>
    <w:rsid w:val="00CF2A1A"/>
    <w:rsid w:val="00CF3401"/>
    <w:rsid w:val="00CF3597"/>
    <w:rsid w:val="00CF4B15"/>
    <w:rsid w:val="00CF588E"/>
    <w:rsid w:val="00CF6331"/>
    <w:rsid w:val="00CF6683"/>
    <w:rsid w:val="00CF707A"/>
    <w:rsid w:val="00D00754"/>
    <w:rsid w:val="00D02CE4"/>
    <w:rsid w:val="00D0365D"/>
    <w:rsid w:val="00D036EE"/>
    <w:rsid w:val="00D03BE8"/>
    <w:rsid w:val="00D06DC7"/>
    <w:rsid w:val="00D07BCA"/>
    <w:rsid w:val="00D07D8B"/>
    <w:rsid w:val="00D1250E"/>
    <w:rsid w:val="00D144F0"/>
    <w:rsid w:val="00D14F41"/>
    <w:rsid w:val="00D15E07"/>
    <w:rsid w:val="00D16FC5"/>
    <w:rsid w:val="00D177D9"/>
    <w:rsid w:val="00D178EA"/>
    <w:rsid w:val="00D17B7D"/>
    <w:rsid w:val="00D20759"/>
    <w:rsid w:val="00D20CFA"/>
    <w:rsid w:val="00D24530"/>
    <w:rsid w:val="00D253AB"/>
    <w:rsid w:val="00D255D9"/>
    <w:rsid w:val="00D26E44"/>
    <w:rsid w:val="00D2792F"/>
    <w:rsid w:val="00D2793E"/>
    <w:rsid w:val="00D30D37"/>
    <w:rsid w:val="00D31211"/>
    <w:rsid w:val="00D31EAB"/>
    <w:rsid w:val="00D32A1A"/>
    <w:rsid w:val="00D3300F"/>
    <w:rsid w:val="00D33A61"/>
    <w:rsid w:val="00D34630"/>
    <w:rsid w:val="00D357FD"/>
    <w:rsid w:val="00D36011"/>
    <w:rsid w:val="00D36520"/>
    <w:rsid w:val="00D407FC"/>
    <w:rsid w:val="00D4116A"/>
    <w:rsid w:val="00D45200"/>
    <w:rsid w:val="00D47171"/>
    <w:rsid w:val="00D47CF0"/>
    <w:rsid w:val="00D47E9D"/>
    <w:rsid w:val="00D501A2"/>
    <w:rsid w:val="00D5070F"/>
    <w:rsid w:val="00D50B98"/>
    <w:rsid w:val="00D50ECE"/>
    <w:rsid w:val="00D5367A"/>
    <w:rsid w:val="00D55529"/>
    <w:rsid w:val="00D5555B"/>
    <w:rsid w:val="00D556C8"/>
    <w:rsid w:val="00D565FE"/>
    <w:rsid w:val="00D56BB9"/>
    <w:rsid w:val="00D57702"/>
    <w:rsid w:val="00D62AD6"/>
    <w:rsid w:val="00D62EAD"/>
    <w:rsid w:val="00D63177"/>
    <w:rsid w:val="00D63747"/>
    <w:rsid w:val="00D6467A"/>
    <w:rsid w:val="00D65EC2"/>
    <w:rsid w:val="00D65F6E"/>
    <w:rsid w:val="00D67D3F"/>
    <w:rsid w:val="00D70F59"/>
    <w:rsid w:val="00D71739"/>
    <w:rsid w:val="00D725D8"/>
    <w:rsid w:val="00D72F33"/>
    <w:rsid w:val="00D73458"/>
    <w:rsid w:val="00D75500"/>
    <w:rsid w:val="00D76594"/>
    <w:rsid w:val="00D769A0"/>
    <w:rsid w:val="00D774E1"/>
    <w:rsid w:val="00D7793F"/>
    <w:rsid w:val="00D8015F"/>
    <w:rsid w:val="00D82274"/>
    <w:rsid w:val="00D8273A"/>
    <w:rsid w:val="00D83C74"/>
    <w:rsid w:val="00D83F17"/>
    <w:rsid w:val="00D86925"/>
    <w:rsid w:val="00D86F60"/>
    <w:rsid w:val="00D87B7F"/>
    <w:rsid w:val="00D9374E"/>
    <w:rsid w:val="00D938E9"/>
    <w:rsid w:val="00D95AC3"/>
    <w:rsid w:val="00D96939"/>
    <w:rsid w:val="00DA0A04"/>
    <w:rsid w:val="00DA110D"/>
    <w:rsid w:val="00DA1A90"/>
    <w:rsid w:val="00DA2359"/>
    <w:rsid w:val="00DA3BB3"/>
    <w:rsid w:val="00DA3C5F"/>
    <w:rsid w:val="00DA4DA0"/>
    <w:rsid w:val="00DA537D"/>
    <w:rsid w:val="00DA551B"/>
    <w:rsid w:val="00DB0290"/>
    <w:rsid w:val="00DB1762"/>
    <w:rsid w:val="00DB250E"/>
    <w:rsid w:val="00DB283A"/>
    <w:rsid w:val="00DB6AB8"/>
    <w:rsid w:val="00DB7CFA"/>
    <w:rsid w:val="00DB7E78"/>
    <w:rsid w:val="00DC192E"/>
    <w:rsid w:val="00DC25EB"/>
    <w:rsid w:val="00DC420A"/>
    <w:rsid w:val="00DC502B"/>
    <w:rsid w:val="00DC54C8"/>
    <w:rsid w:val="00DC54EB"/>
    <w:rsid w:val="00DC69D7"/>
    <w:rsid w:val="00DD22F8"/>
    <w:rsid w:val="00DD265E"/>
    <w:rsid w:val="00DD32D2"/>
    <w:rsid w:val="00DD3BAB"/>
    <w:rsid w:val="00DD4935"/>
    <w:rsid w:val="00DD4B37"/>
    <w:rsid w:val="00DD61A7"/>
    <w:rsid w:val="00DD6D56"/>
    <w:rsid w:val="00DD7BD9"/>
    <w:rsid w:val="00DE190E"/>
    <w:rsid w:val="00DE3284"/>
    <w:rsid w:val="00DE422B"/>
    <w:rsid w:val="00DE4BC8"/>
    <w:rsid w:val="00DE57FD"/>
    <w:rsid w:val="00DE6FE6"/>
    <w:rsid w:val="00DF1D78"/>
    <w:rsid w:val="00DF28E9"/>
    <w:rsid w:val="00DF2C79"/>
    <w:rsid w:val="00DF322E"/>
    <w:rsid w:val="00DF4F49"/>
    <w:rsid w:val="00DF6BD3"/>
    <w:rsid w:val="00DF70BC"/>
    <w:rsid w:val="00E005B3"/>
    <w:rsid w:val="00E009FF"/>
    <w:rsid w:val="00E00AA9"/>
    <w:rsid w:val="00E02245"/>
    <w:rsid w:val="00E0352F"/>
    <w:rsid w:val="00E03BE2"/>
    <w:rsid w:val="00E03FB9"/>
    <w:rsid w:val="00E04DD8"/>
    <w:rsid w:val="00E04EED"/>
    <w:rsid w:val="00E05B01"/>
    <w:rsid w:val="00E10D60"/>
    <w:rsid w:val="00E11F68"/>
    <w:rsid w:val="00E17407"/>
    <w:rsid w:val="00E17F51"/>
    <w:rsid w:val="00E2031B"/>
    <w:rsid w:val="00E2245D"/>
    <w:rsid w:val="00E2423E"/>
    <w:rsid w:val="00E24797"/>
    <w:rsid w:val="00E24E82"/>
    <w:rsid w:val="00E2568E"/>
    <w:rsid w:val="00E272F5"/>
    <w:rsid w:val="00E30782"/>
    <w:rsid w:val="00E30EAB"/>
    <w:rsid w:val="00E3115C"/>
    <w:rsid w:val="00E314A1"/>
    <w:rsid w:val="00E31839"/>
    <w:rsid w:val="00E32A2A"/>
    <w:rsid w:val="00E32B62"/>
    <w:rsid w:val="00E372D1"/>
    <w:rsid w:val="00E37A63"/>
    <w:rsid w:val="00E37AE4"/>
    <w:rsid w:val="00E37B6E"/>
    <w:rsid w:val="00E40039"/>
    <w:rsid w:val="00E40EAB"/>
    <w:rsid w:val="00E412C5"/>
    <w:rsid w:val="00E418D6"/>
    <w:rsid w:val="00E42EC3"/>
    <w:rsid w:val="00E43B6E"/>
    <w:rsid w:val="00E45A35"/>
    <w:rsid w:val="00E46F0F"/>
    <w:rsid w:val="00E47122"/>
    <w:rsid w:val="00E47951"/>
    <w:rsid w:val="00E50D6C"/>
    <w:rsid w:val="00E519C0"/>
    <w:rsid w:val="00E54FF2"/>
    <w:rsid w:val="00E559B9"/>
    <w:rsid w:val="00E56907"/>
    <w:rsid w:val="00E6057F"/>
    <w:rsid w:val="00E61A4C"/>
    <w:rsid w:val="00E64B66"/>
    <w:rsid w:val="00E66CFD"/>
    <w:rsid w:val="00E70821"/>
    <w:rsid w:val="00E7097B"/>
    <w:rsid w:val="00E70EEF"/>
    <w:rsid w:val="00E714F4"/>
    <w:rsid w:val="00E72264"/>
    <w:rsid w:val="00E7324E"/>
    <w:rsid w:val="00E74DB9"/>
    <w:rsid w:val="00E7618F"/>
    <w:rsid w:val="00E767FB"/>
    <w:rsid w:val="00E77146"/>
    <w:rsid w:val="00E77753"/>
    <w:rsid w:val="00E823DF"/>
    <w:rsid w:val="00E826DD"/>
    <w:rsid w:val="00E84AAD"/>
    <w:rsid w:val="00E90086"/>
    <w:rsid w:val="00E90B9E"/>
    <w:rsid w:val="00E92795"/>
    <w:rsid w:val="00E92A56"/>
    <w:rsid w:val="00E92C3C"/>
    <w:rsid w:val="00E93388"/>
    <w:rsid w:val="00E93726"/>
    <w:rsid w:val="00E939B3"/>
    <w:rsid w:val="00E946AF"/>
    <w:rsid w:val="00E97C2A"/>
    <w:rsid w:val="00E97F1A"/>
    <w:rsid w:val="00EA0022"/>
    <w:rsid w:val="00EA0889"/>
    <w:rsid w:val="00EA1510"/>
    <w:rsid w:val="00EA2359"/>
    <w:rsid w:val="00EA2447"/>
    <w:rsid w:val="00EA29D4"/>
    <w:rsid w:val="00EA2FFD"/>
    <w:rsid w:val="00EA70BF"/>
    <w:rsid w:val="00EB0013"/>
    <w:rsid w:val="00EB0609"/>
    <w:rsid w:val="00EB4C8D"/>
    <w:rsid w:val="00EB50CE"/>
    <w:rsid w:val="00EB67D3"/>
    <w:rsid w:val="00EB78D0"/>
    <w:rsid w:val="00EC173C"/>
    <w:rsid w:val="00EC2FE6"/>
    <w:rsid w:val="00EC359B"/>
    <w:rsid w:val="00EC3A2E"/>
    <w:rsid w:val="00EC4DBE"/>
    <w:rsid w:val="00EC59F8"/>
    <w:rsid w:val="00EC6303"/>
    <w:rsid w:val="00ED00F8"/>
    <w:rsid w:val="00ED0A74"/>
    <w:rsid w:val="00ED0E19"/>
    <w:rsid w:val="00ED141D"/>
    <w:rsid w:val="00ED21B8"/>
    <w:rsid w:val="00ED21BD"/>
    <w:rsid w:val="00ED2623"/>
    <w:rsid w:val="00ED3256"/>
    <w:rsid w:val="00ED5330"/>
    <w:rsid w:val="00ED59B6"/>
    <w:rsid w:val="00ED6BC5"/>
    <w:rsid w:val="00ED74F6"/>
    <w:rsid w:val="00ED7801"/>
    <w:rsid w:val="00ED7A24"/>
    <w:rsid w:val="00EE00AC"/>
    <w:rsid w:val="00EE0B53"/>
    <w:rsid w:val="00EE100B"/>
    <w:rsid w:val="00EE2243"/>
    <w:rsid w:val="00EE236C"/>
    <w:rsid w:val="00EE458D"/>
    <w:rsid w:val="00EE7480"/>
    <w:rsid w:val="00EF08A8"/>
    <w:rsid w:val="00EF2021"/>
    <w:rsid w:val="00EF25AA"/>
    <w:rsid w:val="00EF3045"/>
    <w:rsid w:val="00EF5E0C"/>
    <w:rsid w:val="00EF6E88"/>
    <w:rsid w:val="00F02ABB"/>
    <w:rsid w:val="00F0395E"/>
    <w:rsid w:val="00F0530A"/>
    <w:rsid w:val="00F06036"/>
    <w:rsid w:val="00F06C1B"/>
    <w:rsid w:val="00F07D4E"/>
    <w:rsid w:val="00F07E89"/>
    <w:rsid w:val="00F07F79"/>
    <w:rsid w:val="00F1133D"/>
    <w:rsid w:val="00F1192E"/>
    <w:rsid w:val="00F12C15"/>
    <w:rsid w:val="00F13550"/>
    <w:rsid w:val="00F138EF"/>
    <w:rsid w:val="00F21E5C"/>
    <w:rsid w:val="00F2476E"/>
    <w:rsid w:val="00F24863"/>
    <w:rsid w:val="00F24979"/>
    <w:rsid w:val="00F3167D"/>
    <w:rsid w:val="00F35B7D"/>
    <w:rsid w:val="00F36949"/>
    <w:rsid w:val="00F36996"/>
    <w:rsid w:val="00F37DCC"/>
    <w:rsid w:val="00F37E72"/>
    <w:rsid w:val="00F40A45"/>
    <w:rsid w:val="00F40DE9"/>
    <w:rsid w:val="00F418C7"/>
    <w:rsid w:val="00F419A2"/>
    <w:rsid w:val="00F4398C"/>
    <w:rsid w:val="00F440CA"/>
    <w:rsid w:val="00F44834"/>
    <w:rsid w:val="00F53692"/>
    <w:rsid w:val="00F54A1D"/>
    <w:rsid w:val="00F562B3"/>
    <w:rsid w:val="00F60CE5"/>
    <w:rsid w:val="00F61A60"/>
    <w:rsid w:val="00F63FA1"/>
    <w:rsid w:val="00F645F3"/>
    <w:rsid w:val="00F64621"/>
    <w:rsid w:val="00F64DAA"/>
    <w:rsid w:val="00F65729"/>
    <w:rsid w:val="00F67984"/>
    <w:rsid w:val="00F67B61"/>
    <w:rsid w:val="00F72A64"/>
    <w:rsid w:val="00F72DE4"/>
    <w:rsid w:val="00F7433B"/>
    <w:rsid w:val="00F75776"/>
    <w:rsid w:val="00F75EA9"/>
    <w:rsid w:val="00F773E7"/>
    <w:rsid w:val="00F77FC4"/>
    <w:rsid w:val="00F813CA"/>
    <w:rsid w:val="00F827B8"/>
    <w:rsid w:val="00F82F63"/>
    <w:rsid w:val="00F872EE"/>
    <w:rsid w:val="00F907A3"/>
    <w:rsid w:val="00F92478"/>
    <w:rsid w:val="00F926EC"/>
    <w:rsid w:val="00F9351C"/>
    <w:rsid w:val="00F94615"/>
    <w:rsid w:val="00F947EA"/>
    <w:rsid w:val="00F95ADB"/>
    <w:rsid w:val="00F9717E"/>
    <w:rsid w:val="00F97415"/>
    <w:rsid w:val="00F97F19"/>
    <w:rsid w:val="00FA0B34"/>
    <w:rsid w:val="00FA3211"/>
    <w:rsid w:val="00FA598E"/>
    <w:rsid w:val="00FA78E7"/>
    <w:rsid w:val="00FB1291"/>
    <w:rsid w:val="00FB3EAC"/>
    <w:rsid w:val="00FB47A6"/>
    <w:rsid w:val="00FC0294"/>
    <w:rsid w:val="00FC22D7"/>
    <w:rsid w:val="00FC561A"/>
    <w:rsid w:val="00FC6079"/>
    <w:rsid w:val="00FC645B"/>
    <w:rsid w:val="00FC7803"/>
    <w:rsid w:val="00FD0037"/>
    <w:rsid w:val="00FD0C73"/>
    <w:rsid w:val="00FD2A85"/>
    <w:rsid w:val="00FD2C05"/>
    <w:rsid w:val="00FD2C2A"/>
    <w:rsid w:val="00FD492A"/>
    <w:rsid w:val="00FD4A58"/>
    <w:rsid w:val="00FD4D9B"/>
    <w:rsid w:val="00FD555B"/>
    <w:rsid w:val="00FD5FA4"/>
    <w:rsid w:val="00FD6560"/>
    <w:rsid w:val="00FE195D"/>
    <w:rsid w:val="00FE1BB5"/>
    <w:rsid w:val="00FE1D11"/>
    <w:rsid w:val="00FE23EC"/>
    <w:rsid w:val="00FE2CF5"/>
    <w:rsid w:val="00FE4947"/>
    <w:rsid w:val="00FE5412"/>
    <w:rsid w:val="00FE71B5"/>
    <w:rsid w:val="00FF083A"/>
    <w:rsid w:val="00FF15BA"/>
    <w:rsid w:val="00FF18D9"/>
    <w:rsid w:val="00FF228F"/>
    <w:rsid w:val="00FF305F"/>
    <w:rsid w:val="00FF38D2"/>
    <w:rsid w:val="00FF52A3"/>
    <w:rsid w:val="00FF5465"/>
    <w:rsid w:val="00FF5C1A"/>
    <w:rsid w:val="00FF618F"/>
    <w:rsid w:val="00FF7476"/>
    <w:rsid w:val="01FEADA8"/>
    <w:rsid w:val="021E4B89"/>
    <w:rsid w:val="0375A661"/>
    <w:rsid w:val="0520930D"/>
    <w:rsid w:val="06D86279"/>
    <w:rsid w:val="09A65FFC"/>
    <w:rsid w:val="0B781784"/>
    <w:rsid w:val="0E5DCEDC"/>
    <w:rsid w:val="0E6D3347"/>
    <w:rsid w:val="0FE83F57"/>
    <w:rsid w:val="11023331"/>
    <w:rsid w:val="12F4302F"/>
    <w:rsid w:val="133B4D44"/>
    <w:rsid w:val="13677156"/>
    <w:rsid w:val="13D85F10"/>
    <w:rsid w:val="143E10D8"/>
    <w:rsid w:val="154D4A0D"/>
    <w:rsid w:val="168D99D8"/>
    <w:rsid w:val="184205B6"/>
    <w:rsid w:val="1AA9D7B3"/>
    <w:rsid w:val="1B0BB467"/>
    <w:rsid w:val="1BDC3FB3"/>
    <w:rsid w:val="1C631468"/>
    <w:rsid w:val="1DCF8967"/>
    <w:rsid w:val="1E60030A"/>
    <w:rsid w:val="1E75D168"/>
    <w:rsid w:val="203FEBEA"/>
    <w:rsid w:val="20DB5B97"/>
    <w:rsid w:val="213C0DD1"/>
    <w:rsid w:val="215BE517"/>
    <w:rsid w:val="23D2DED7"/>
    <w:rsid w:val="2584CE2D"/>
    <w:rsid w:val="25859876"/>
    <w:rsid w:val="2C86B139"/>
    <w:rsid w:val="2F6B3CCB"/>
    <w:rsid w:val="30066014"/>
    <w:rsid w:val="310E3E2B"/>
    <w:rsid w:val="3382B0E4"/>
    <w:rsid w:val="33B40484"/>
    <w:rsid w:val="3444671A"/>
    <w:rsid w:val="36DCC42A"/>
    <w:rsid w:val="37A6DC3A"/>
    <w:rsid w:val="3878003D"/>
    <w:rsid w:val="39B11104"/>
    <w:rsid w:val="3BB6F70D"/>
    <w:rsid w:val="3BEFDD29"/>
    <w:rsid w:val="3CC2A4B0"/>
    <w:rsid w:val="3DF94145"/>
    <w:rsid w:val="3E1E523C"/>
    <w:rsid w:val="3FAAE004"/>
    <w:rsid w:val="40C79665"/>
    <w:rsid w:val="43E5B828"/>
    <w:rsid w:val="4556D3C5"/>
    <w:rsid w:val="45C9A6A6"/>
    <w:rsid w:val="46CC1190"/>
    <w:rsid w:val="470F93D6"/>
    <w:rsid w:val="48C39165"/>
    <w:rsid w:val="48EB4734"/>
    <w:rsid w:val="490EF340"/>
    <w:rsid w:val="4A47FEE1"/>
    <w:rsid w:val="4AC445CA"/>
    <w:rsid w:val="4BF552FC"/>
    <w:rsid w:val="4DD1DFF2"/>
    <w:rsid w:val="4F17C770"/>
    <w:rsid w:val="4FD2A5EA"/>
    <w:rsid w:val="5086677E"/>
    <w:rsid w:val="50BF67CE"/>
    <w:rsid w:val="5110228B"/>
    <w:rsid w:val="535BEDE0"/>
    <w:rsid w:val="53A8EB19"/>
    <w:rsid w:val="546B0DDC"/>
    <w:rsid w:val="5472C891"/>
    <w:rsid w:val="54D14C84"/>
    <w:rsid w:val="568285A1"/>
    <w:rsid w:val="56AB367D"/>
    <w:rsid w:val="5721DD36"/>
    <w:rsid w:val="5A2E9CC8"/>
    <w:rsid w:val="5C75BB1A"/>
    <w:rsid w:val="5CC40055"/>
    <w:rsid w:val="5D75293E"/>
    <w:rsid w:val="5E86FDBC"/>
    <w:rsid w:val="641C54BF"/>
    <w:rsid w:val="6573C5A9"/>
    <w:rsid w:val="6736E137"/>
    <w:rsid w:val="68EBCACE"/>
    <w:rsid w:val="69314A35"/>
    <w:rsid w:val="6A62BC0E"/>
    <w:rsid w:val="6C48FCF2"/>
    <w:rsid w:val="6D242168"/>
    <w:rsid w:val="6D597117"/>
    <w:rsid w:val="6DA7A72B"/>
    <w:rsid w:val="6E62436F"/>
    <w:rsid w:val="76FB0420"/>
    <w:rsid w:val="7871341F"/>
    <w:rsid w:val="78F9C07F"/>
    <w:rsid w:val="7903E6D6"/>
    <w:rsid w:val="7C1B610D"/>
    <w:rsid w:val="7C33FFB4"/>
    <w:rsid w:val="7CDF71B9"/>
    <w:rsid w:val="7EA424CC"/>
    <w:rsid w:val="7FC489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FF8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45E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CF129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Flat"/>
    <w:basedOn w:val="Standaard"/>
    <w:link w:val="LijstalineaChar"/>
    <w:uiPriority w:val="34"/>
    <w:qFormat/>
    <w:pPr>
      <w:ind w:left="720"/>
      <w:contextualSpacing/>
    </w:p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3C3CB5"/>
    <w:rPr>
      <w:b/>
      <w:bCs/>
    </w:rPr>
  </w:style>
  <w:style w:type="character" w:customStyle="1" w:styleId="OnderwerpvanopmerkingChar">
    <w:name w:val="Onderwerp van opmerking Char"/>
    <w:basedOn w:val="TekstopmerkingChar"/>
    <w:link w:val="Onderwerpvanopmerking"/>
    <w:uiPriority w:val="99"/>
    <w:semiHidden/>
    <w:rsid w:val="003C3CB5"/>
    <w:rPr>
      <w:b/>
      <w:bCs/>
      <w:sz w:val="20"/>
      <w:szCs w:val="20"/>
    </w:rPr>
  </w:style>
  <w:style w:type="paragraph" w:styleId="Voetnoottekst">
    <w:name w:val="footnote text"/>
    <w:basedOn w:val="Standaard"/>
    <w:link w:val="VoetnoottekstChar"/>
    <w:uiPriority w:val="99"/>
    <w:semiHidden/>
    <w:unhideWhenUsed/>
    <w:rsid w:val="00093C8B"/>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semiHidden/>
    <w:rsid w:val="00093C8B"/>
    <w:rPr>
      <w:rFonts w:eastAsiaTheme="minorEastAsia"/>
      <w:sz w:val="20"/>
      <w:szCs w:val="20"/>
    </w:rPr>
  </w:style>
  <w:style w:type="character" w:styleId="Voetnootmarkering">
    <w:name w:val="footnote reference"/>
    <w:basedOn w:val="Standaardalinea-lettertype"/>
    <w:uiPriority w:val="99"/>
    <w:semiHidden/>
    <w:unhideWhenUsed/>
    <w:rsid w:val="00093C8B"/>
    <w:rPr>
      <w:vertAlign w:val="superscript"/>
    </w:rPr>
  </w:style>
  <w:style w:type="paragraph" w:styleId="Normaalweb">
    <w:name w:val="Normal (Web)"/>
    <w:basedOn w:val="Standaard"/>
    <w:uiPriority w:val="99"/>
    <w:unhideWhenUsed/>
    <w:rsid w:val="00093C8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rsid w:val="00545EE3"/>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3905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5DE"/>
  </w:style>
  <w:style w:type="paragraph" w:styleId="Voettekst">
    <w:name w:val="footer"/>
    <w:basedOn w:val="Standaard"/>
    <w:link w:val="VoettekstChar"/>
    <w:uiPriority w:val="99"/>
    <w:unhideWhenUsed/>
    <w:rsid w:val="003905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5DE"/>
  </w:style>
  <w:style w:type="paragraph" w:styleId="Geenafstand">
    <w:name w:val="No Spacing"/>
    <w:uiPriority w:val="1"/>
    <w:qFormat/>
    <w:rsid w:val="003905DE"/>
    <w:pPr>
      <w:spacing w:after="0" w:line="240" w:lineRule="auto"/>
    </w:p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locked/>
    <w:rsid w:val="003905DE"/>
  </w:style>
  <w:style w:type="paragraph" w:styleId="Revisie">
    <w:name w:val="Revision"/>
    <w:hidden/>
    <w:uiPriority w:val="99"/>
    <w:semiHidden/>
    <w:rsid w:val="003905DE"/>
    <w:pPr>
      <w:spacing w:after="0" w:line="240" w:lineRule="auto"/>
    </w:pPr>
  </w:style>
  <w:style w:type="character" w:styleId="Hyperlink">
    <w:name w:val="Hyperlink"/>
    <w:basedOn w:val="Standaardalinea-lettertype"/>
    <w:uiPriority w:val="99"/>
    <w:unhideWhenUsed/>
    <w:rsid w:val="00D17B7D"/>
    <w:rPr>
      <w:color w:val="0563C1" w:themeColor="hyperlink"/>
      <w:u w:val="single"/>
    </w:rPr>
  </w:style>
  <w:style w:type="character" w:styleId="Onopgelostemelding">
    <w:name w:val="Unresolved Mention"/>
    <w:basedOn w:val="Standaardalinea-lettertype"/>
    <w:uiPriority w:val="99"/>
    <w:semiHidden/>
    <w:unhideWhenUsed/>
    <w:rsid w:val="00ED59B6"/>
    <w:rPr>
      <w:color w:val="605E5C"/>
      <w:shd w:val="clear" w:color="auto" w:fill="E1DFDD"/>
    </w:rPr>
  </w:style>
  <w:style w:type="character" w:customStyle="1" w:styleId="Kop4Char">
    <w:name w:val="Kop 4 Char"/>
    <w:basedOn w:val="Standaardalinea-lettertype"/>
    <w:link w:val="Kop4"/>
    <w:uiPriority w:val="9"/>
    <w:rsid w:val="00CF129E"/>
    <w:rPr>
      <w:rFonts w:asciiTheme="majorHAnsi" w:eastAsiaTheme="majorEastAsia" w:hAnsiTheme="majorHAnsi" w:cstheme="majorBidi"/>
      <w:i/>
      <w:iCs/>
      <w:color w:val="2F5496" w:themeColor="accent1" w:themeShade="BF"/>
    </w:rPr>
  </w:style>
  <w:style w:type="paragraph" w:customStyle="1" w:styleId="Stijl1">
    <w:name w:val="Stijl1"/>
    <w:basedOn w:val="Standaard"/>
    <w:link w:val="Stijl1Char"/>
    <w:qFormat/>
    <w:rsid w:val="00CF129E"/>
  </w:style>
  <w:style w:type="character" w:customStyle="1" w:styleId="Stijl1Char">
    <w:name w:val="Stijl1 Char"/>
    <w:basedOn w:val="Standaardalinea-lettertype"/>
    <w:link w:val="Stijl1"/>
    <w:rsid w:val="00CF129E"/>
  </w:style>
  <w:style w:type="character" w:styleId="GevolgdeHyperlink">
    <w:name w:val="FollowedHyperlink"/>
    <w:basedOn w:val="Standaardalinea-lettertype"/>
    <w:uiPriority w:val="99"/>
    <w:semiHidden/>
    <w:unhideWhenUsed/>
    <w:rsid w:val="00F97F19"/>
    <w:rPr>
      <w:color w:val="954F72" w:themeColor="followedHyperlink"/>
      <w:u w:val="single"/>
    </w:rPr>
  </w:style>
  <w:style w:type="table" w:styleId="Tabelraster">
    <w:name w:val="Table Grid"/>
    <w:basedOn w:val="Standaardtabel"/>
    <w:uiPriority w:val="39"/>
    <w:rsid w:val="00834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8920">
      <w:bodyDiv w:val="1"/>
      <w:marLeft w:val="0"/>
      <w:marRight w:val="0"/>
      <w:marTop w:val="0"/>
      <w:marBottom w:val="0"/>
      <w:divBdr>
        <w:top w:val="none" w:sz="0" w:space="0" w:color="auto"/>
        <w:left w:val="none" w:sz="0" w:space="0" w:color="auto"/>
        <w:bottom w:val="none" w:sz="0" w:space="0" w:color="auto"/>
        <w:right w:val="none" w:sz="0" w:space="0" w:color="auto"/>
      </w:divBdr>
    </w:div>
    <w:div w:id="85268097">
      <w:bodyDiv w:val="1"/>
      <w:marLeft w:val="0"/>
      <w:marRight w:val="0"/>
      <w:marTop w:val="0"/>
      <w:marBottom w:val="0"/>
      <w:divBdr>
        <w:top w:val="none" w:sz="0" w:space="0" w:color="auto"/>
        <w:left w:val="none" w:sz="0" w:space="0" w:color="auto"/>
        <w:bottom w:val="none" w:sz="0" w:space="0" w:color="auto"/>
        <w:right w:val="none" w:sz="0" w:space="0" w:color="auto"/>
      </w:divBdr>
    </w:div>
    <w:div w:id="111557948">
      <w:bodyDiv w:val="1"/>
      <w:marLeft w:val="0"/>
      <w:marRight w:val="0"/>
      <w:marTop w:val="0"/>
      <w:marBottom w:val="0"/>
      <w:divBdr>
        <w:top w:val="none" w:sz="0" w:space="0" w:color="auto"/>
        <w:left w:val="none" w:sz="0" w:space="0" w:color="auto"/>
        <w:bottom w:val="none" w:sz="0" w:space="0" w:color="auto"/>
        <w:right w:val="none" w:sz="0" w:space="0" w:color="auto"/>
      </w:divBdr>
    </w:div>
    <w:div w:id="160001514">
      <w:bodyDiv w:val="1"/>
      <w:marLeft w:val="0"/>
      <w:marRight w:val="0"/>
      <w:marTop w:val="0"/>
      <w:marBottom w:val="0"/>
      <w:divBdr>
        <w:top w:val="none" w:sz="0" w:space="0" w:color="auto"/>
        <w:left w:val="none" w:sz="0" w:space="0" w:color="auto"/>
        <w:bottom w:val="none" w:sz="0" w:space="0" w:color="auto"/>
        <w:right w:val="none" w:sz="0" w:space="0" w:color="auto"/>
      </w:divBdr>
    </w:div>
    <w:div w:id="261688899">
      <w:bodyDiv w:val="1"/>
      <w:marLeft w:val="0"/>
      <w:marRight w:val="0"/>
      <w:marTop w:val="0"/>
      <w:marBottom w:val="0"/>
      <w:divBdr>
        <w:top w:val="none" w:sz="0" w:space="0" w:color="auto"/>
        <w:left w:val="none" w:sz="0" w:space="0" w:color="auto"/>
        <w:bottom w:val="none" w:sz="0" w:space="0" w:color="auto"/>
        <w:right w:val="none" w:sz="0" w:space="0" w:color="auto"/>
      </w:divBdr>
      <w:divsChild>
        <w:div w:id="134494516">
          <w:marLeft w:val="0"/>
          <w:marRight w:val="0"/>
          <w:marTop w:val="0"/>
          <w:marBottom w:val="0"/>
          <w:divBdr>
            <w:top w:val="none" w:sz="0" w:space="0" w:color="auto"/>
            <w:left w:val="none" w:sz="0" w:space="0" w:color="auto"/>
            <w:bottom w:val="none" w:sz="0" w:space="0" w:color="auto"/>
            <w:right w:val="none" w:sz="0" w:space="0" w:color="auto"/>
          </w:divBdr>
          <w:divsChild>
            <w:div w:id="985477497">
              <w:marLeft w:val="0"/>
              <w:marRight w:val="0"/>
              <w:marTop w:val="0"/>
              <w:marBottom w:val="0"/>
              <w:divBdr>
                <w:top w:val="none" w:sz="0" w:space="0" w:color="auto"/>
                <w:left w:val="none" w:sz="0" w:space="0" w:color="auto"/>
                <w:bottom w:val="none" w:sz="0" w:space="0" w:color="auto"/>
                <w:right w:val="none" w:sz="0" w:space="0" w:color="auto"/>
              </w:divBdr>
              <w:divsChild>
                <w:div w:id="94907096">
                  <w:marLeft w:val="0"/>
                  <w:marRight w:val="0"/>
                  <w:marTop w:val="0"/>
                  <w:marBottom w:val="0"/>
                  <w:divBdr>
                    <w:top w:val="none" w:sz="0" w:space="0" w:color="auto"/>
                    <w:left w:val="none" w:sz="0" w:space="0" w:color="auto"/>
                    <w:bottom w:val="none" w:sz="0" w:space="0" w:color="auto"/>
                    <w:right w:val="none" w:sz="0" w:space="0" w:color="auto"/>
                  </w:divBdr>
                  <w:divsChild>
                    <w:div w:id="1610820634">
                      <w:marLeft w:val="0"/>
                      <w:marRight w:val="0"/>
                      <w:marTop w:val="0"/>
                      <w:marBottom w:val="0"/>
                      <w:divBdr>
                        <w:top w:val="none" w:sz="0" w:space="0" w:color="auto"/>
                        <w:left w:val="none" w:sz="0" w:space="0" w:color="auto"/>
                        <w:bottom w:val="none" w:sz="0" w:space="0" w:color="auto"/>
                        <w:right w:val="none" w:sz="0" w:space="0" w:color="auto"/>
                      </w:divBdr>
                      <w:divsChild>
                        <w:div w:id="249658696">
                          <w:marLeft w:val="0"/>
                          <w:marRight w:val="0"/>
                          <w:marTop w:val="0"/>
                          <w:marBottom w:val="0"/>
                          <w:divBdr>
                            <w:top w:val="none" w:sz="0" w:space="0" w:color="auto"/>
                            <w:left w:val="none" w:sz="0" w:space="0" w:color="auto"/>
                            <w:bottom w:val="none" w:sz="0" w:space="0" w:color="auto"/>
                            <w:right w:val="none" w:sz="0" w:space="0" w:color="auto"/>
                          </w:divBdr>
                          <w:divsChild>
                            <w:div w:id="1641492090">
                              <w:marLeft w:val="0"/>
                              <w:marRight w:val="0"/>
                              <w:marTop w:val="0"/>
                              <w:marBottom w:val="0"/>
                              <w:divBdr>
                                <w:top w:val="none" w:sz="0" w:space="0" w:color="auto"/>
                                <w:left w:val="none" w:sz="0" w:space="0" w:color="auto"/>
                                <w:bottom w:val="none" w:sz="0" w:space="0" w:color="auto"/>
                                <w:right w:val="none" w:sz="0" w:space="0" w:color="auto"/>
                              </w:divBdr>
                              <w:divsChild>
                                <w:div w:id="1641687886">
                                  <w:marLeft w:val="0"/>
                                  <w:marRight w:val="0"/>
                                  <w:marTop w:val="0"/>
                                  <w:marBottom w:val="0"/>
                                  <w:divBdr>
                                    <w:top w:val="none" w:sz="0" w:space="0" w:color="auto"/>
                                    <w:left w:val="none" w:sz="0" w:space="0" w:color="auto"/>
                                    <w:bottom w:val="none" w:sz="0" w:space="0" w:color="auto"/>
                                    <w:right w:val="none" w:sz="0" w:space="0" w:color="auto"/>
                                  </w:divBdr>
                                  <w:divsChild>
                                    <w:div w:id="1642274213">
                                      <w:marLeft w:val="0"/>
                                      <w:marRight w:val="0"/>
                                      <w:marTop w:val="0"/>
                                      <w:marBottom w:val="0"/>
                                      <w:divBdr>
                                        <w:top w:val="none" w:sz="0" w:space="0" w:color="auto"/>
                                        <w:left w:val="none" w:sz="0" w:space="0" w:color="auto"/>
                                        <w:bottom w:val="none" w:sz="0" w:space="0" w:color="auto"/>
                                        <w:right w:val="none" w:sz="0" w:space="0" w:color="auto"/>
                                      </w:divBdr>
                                      <w:divsChild>
                                        <w:div w:id="1830562097">
                                          <w:marLeft w:val="0"/>
                                          <w:marRight w:val="0"/>
                                          <w:marTop w:val="0"/>
                                          <w:marBottom w:val="0"/>
                                          <w:divBdr>
                                            <w:top w:val="none" w:sz="0" w:space="0" w:color="auto"/>
                                            <w:left w:val="none" w:sz="0" w:space="0" w:color="auto"/>
                                            <w:bottom w:val="none" w:sz="0" w:space="0" w:color="auto"/>
                                            <w:right w:val="none" w:sz="0" w:space="0" w:color="auto"/>
                                          </w:divBdr>
                                          <w:divsChild>
                                            <w:div w:id="22177618">
                                              <w:marLeft w:val="0"/>
                                              <w:marRight w:val="0"/>
                                              <w:marTop w:val="0"/>
                                              <w:marBottom w:val="0"/>
                                              <w:divBdr>
                                                <w:top w:val="none" w:sz="0" w:space="0" w:color="auto"/>
                                                <w:left w:val="none" w:sz="0" w:space="0" w:color="auto"/>
                                                <w:bottom w:val="none" w:sz="0" w:space="0" w:color="auto"/>
                                                <w:right w:val="none" w:sz="0" w:space="0" w:color="auto"/>
                                              </w:divBdr>
                                              <w:divsChild>
                                                <w:div w:id="976032759">
                                                  <w:marLeft w:val="0"/>
                                                  <w:marRight w:val="0"/>
                                                  <w:marTop w:val="0"/>
                                                  <w:marBottom w:val="0"/>
                                                  <w:divBdr>
                                                    <w:top w:val="none" w:sz="0" w:space="0" w:color="auto"/>
                                                    <w:left w:val="none" w:sz="0" w:space="0" w:color="auto"/>
                                                    <w:bottom w:val="none" w:sz="0" w:space="0" w:color="auto"/>
                                                    <w:right w:val="none" w:sz="0" w:space="0" w:color="auto"/>
                                                  </w:divBdr>
                                                  <w:divsChild>
                                                    <w:div w:id="1436632390">
                                                      <w:marLeft w:val="0"/>
                                                      <w:marRight w:val="0"/>
                                                      <w:marTop w:val="0"/>
                                                      <w:marBottom w:val="0"/>
                                                      <w:divBdr>
                                                        <w:top w:val="none" w:sz="0" w:space="0" w:color="auto"/>
                                                        <w:left w:val="none" w:sz="0" w:space="0" w:color="auto"/>
                                                        <w:bottom w:val="none" w:sz="0" w:space="0" w:color="auto"/>
                                                        <w:right w:val="none" w:sz="0" w:space="0" w:color="auto"/>
                                                      </w:divBdr>
                                                      <w:divsChild>
                                                        <w:div w:id="396321601">
                                                          <w:marLeft w:val="0"/>
                                                          <w:marRight w:val="0"/>
                                                          <w:marTop w:val="0"/>
                                                          <w:marBottom w:val="0"/>
                                                          <w:divBdr>
                                                            <w:top w:val="none" w:sz="0" w:space="0" w:color="auto"/>
                                                            <w:left w:val="none" w:sz="0" w:space="0" w:color="auto"/>
                                                            <w:bottom w:val="none" w:sz="0" w:space="0" w:color="auto"/>
                                                            <w:right w:val="none" w:sz="0" w:space="0" w:color="auto"/>
                                                          </w:divBdr>
                                                          <w:divsChild>
                                                            <w:div w:id="2050301811">
                                                              <w:marLeft w:val="0"/>
                                                              <w:marRight w:val="0"/>
                                                              <w:marTop w:val="0"/>
                                                              <w:marBottom w:val="0"/>
                                                              <w:divBdr>
                                                                <w:top w:val="none" w:sz="0" w:space="0" w:color="auto"/>
                                                                <w:left w:val="none" w:sz="0" w:space="0" w:color="auto"/>
                                                                <w:bottom w:val="none" w:sz="0" w:space="0" w:color="auto"/>
                                                                <w:right w:val="none" w:sz="0" w:space="0" w:color="auto"/>
                                                              </w:divBdr>
                                                              <w:divsChild>
                                                                <w:div w:id="661664291">
                                                                  <w:marLeft w:val="0"/>
                                                                  <w:marRight w:val="0"/>
                                                                  <w:marTop w:val="0"/>
                                                                  <w:marBottom w:val="0"/>
                                                                  <w:divBdr>
                                                                    <w:top w:val="none" w:sz="0" w:space="0" w:color="auto"/>
                                                                    <w:left w:val="none" w:sz="0" w:space="0" w:color="auto"/>
                                                                    <w:bottom w:val="none" w:sz="0" w:space="0" w:color="auto"/>
                                                                    <w:right w:val="none" w:sz="0" w:space="0" w:color="auto"/>
                                                                  </w:divBdr>
                                                                  <w:divsChild>
                                                                    <w:div w:id="19027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7876028">
      <w:bodyDiv w:val="1"/>
      <w:marLeft w:val="0"/>
      <w:marRight w:val="0"/>
      <w:marTop w:val="0"/>
      <w:marBottom w:val="0"/>
      <w:divBdr>
        <w:top w:val="none" w:sz="0" w:space="0" w:color="auto"/>
        <w:left w:val="none" w:sz="0" w:space="0" w:color="auto"/>
        <w:bottom w:val="none" w:sz="0" w:space="0" w:color="auto"/>
        <w:right w:val="none" w:sz="0" w:space="0" w:color="auto"/>
      </w:divBdr>
    </w:div>
    <w:div w:id="342781258">
      <w:bodyDiv w:val="1"/>
      <w:marLeft w:val="0"/>
      <w:marRight w:val="0"/>
      <w:marTop w:val="0"/>
      <w:marBottom w:val="0"/>
      <w:divBdr>
        <w:top w:val="none" w:sz="0" w:space="0" w:color="auto"/>
        <w:left w:val="none" w:sz="0" w:space="0" w:color="auto"/>
        <w:bottom w:val="none" w:sz="0" w:space="0" w:color="auto"/>
        <w:right w:val="none" w:sz="0" w:space="0" w:color="auto"/>
      </w:divBdr>
    </w:div>
    <w:div w:id="388967854">
      <w:bodyDiv w:val="1"/>
      <w:marLeft w:val="0"/>
      <w:marRight w:val="0"/>
      <w:marTop w:val="0"/>
      <w:marBottom w:val="0"/>
      <w:divBdr>
        <w:top w:val="none" w:sz="0" w:space="0" w:color="auto"/>
        <w:left w:val="none" w:sz="0" w:space="0" w:color="auto"/>
        <w:bottom w:val="none" w:sz="0" w:space="0" w:color="auto"/>
        <w:right w:val="none" w:sz="0" w:space="0" w:color="auto"/>
      </w:divBdr>
    </w:div>
    <w:div w:id="415905050">
      <w:bodyDiv w:val="1"/>
      <w:marLeft w:val="0"/>
      <w:marRight w:val="0"/>
      <w:marTop w:val="0"/>
      <w:marBottom w:val="0"/>
      <w:divBdr>
        <w:top w:val="none" w:sz="0" w:space="0" w:color="auto"/>
        <w:left w:val="none" w:sz="0" w:space="0" w:color="auto"/>
        <w:bottom w:val="none" w:sz="0" w:space="0" w:color="auto"/>
        <w:right w:val="none" w:sz="0" w:space="0" w:color="auto"/>
      </w:divBdr>
    </w:div>
    <w:div w:id="467237236">
      <w:bodyDiv w:val="1"/>
      <w:marLeft w:val="0"/>
      <w:marRight w:val="0"/>
      <w:marTop w:val="0"/>
      <w:marBottom w:val="0"/>
      <w:divBdr>
        <w:top w:val="none" w:sz="0" w:space="0" w:color="auto"/>
        <w:left w:val="none" w:sz="0" w:space="0" w:color="auto"/>
        <w:bottom w:val="none" w:sz="0" w:space="0" w:color="auto"/>
        <w:right w:val="none" w:sz="0" w:space="0" w:color="auto"/>
      </w:divBdr>
    </w:div>
    <w:div w:id="521474950">
      <w:bodyDiv w:val="1"/>
      <w:marLeft w:val="0"/>
      <w:marRight w:val="0"/>
      <w:marTop w:val="0"/>
      <w:marBottom w:val="0"/>
      <w:divBdr>
        <w:top w:val="none" w:sz="0" w:space="0" w:color="auto"/>
        <w:left w:val="none" w:sz="0" w:space="0" w:color="auto"/>
        <w:bottom w:val="none" w:sz="0" w:space="0" w:color="auto"/>
        <w:right w:val="none" w:sz="0" w:space="0" w:color="auto"/>
      </w:divBdr>
    </w:div>
    <w:div w:id="534346378">
      <w:bodyDiv w:val="1"/>
      <w:marLeft w:val="0"/>
      <w:marRight w:val="0"/>
      <w:marTop w:val="0"/>
      <w:marBottom w:val="0"/>
      <w:divBdr>
        <w:top w:val="none" w:sz="0" w:space="0" w:color="auto"/>
        <w:left w:val="none" w:sz="0" w:space="0" w:color="auto"/>
        <w:bottom w:val="none" w:sz="0" w:space="0" w:color="auto"/>
        <w:right w:val="none" w:sz="0" w:space="0" w:color="auto"/>
      </w:divBdr>
    </w:div>
    <w:div w:id="591862601">
      <w:bodyDiv w:val="1"/>
      <w:marLeft w:val="0"/>
      <w:marRight w:val="0"/>
      <w:marTop w:val="0"/>
      <w:marBottom w:val="0"/>
      <w:divBdr>
        <w:top w:val="none" w:sz="0" w:space="0" w:color="auto"/>
        <w:left w:val="none" w:sz="0" w:space="0" w:color="auto"/>
        <w:bottom w:val="none" w:sz="0" w:space="0" w:color="auto"/>
        <w:right w:val="none" w:sz="0" w:space="0" w:color="auto"/>
      </w:divBdr>
    </w:div>
    <w:div w:id="627204198">
      <w:bodyDiv w:val="1"/>
      <w:marLeft w:val="0"/>
      <w:marRight w:val="0"/>
      <w:marTop w:val="0"/>
      <w:marBottom w:val="0"/>
      <w:divBdr>
        <w:top w:val="none" w:sz="0" w:space="0" w:color="auto"/>
        <w:left w:val="none" w:sz="0" w:space="0" w:color="auto"/>
        <w:bottom w:val="none" w:sz="0" w:space="0" w:color="auto"/>
        <w:right w:val="none" w:sz="0" w:space="0" w:color="auto"/>
      </w:divBdr>
    </w:div>
    <w:div w:id="629818803">
      <w:bodyDiv w:val="1"/>
      <w:marLeft w:val="0"/>
      <w:marRight w:val="0"/>
      <w:marTop w:val="0"/>
      <w:marBottom w:val="0"/>
      <w:divBdr>
        <w:top w:val="none" w:sz="0" w:space="0" w:color="auto"/>
        <w:left w:val="none" w:sz="0" w:space="0" w:color="auto"/>
        <w:bottom w:val="none" w:sz="0" w:space="0" w:color="auto"/>
        <w:right w:val="none" w:sz="0" w:space="0" w:color="auto"/>
      </w:divBdr>
    </w:div>
    <w:div w:id="662389289">
      <w:bodyDiv w:val="1"/>
      <w:marLeft w:val="0"/>
      <w:marRight w:val="0"/>
      <w:marTop w:val="0"/>
      <w:marBottom w:val="0"/>
      <w:divBdr>
        <w:top w:val="none" w:sz="0" w:space="0" w:color="auto"/>
        <w:left w:val="none" w:sz="0" w:space="0" w:color="auto"/>
        <w:bottom w:val="none" w:sz="0" w:space="0" w:color="auto"/>
        <w:right w:val="none" w:sz="0" w:space="0" w:color="auto"/>
      </w:divBdr>
    </w:div>
    <w:div w:id="836068848">
      <w:bodyDiv w:val="1"/>
      <w:marLeft w:val="0"/>
      <w:marRight w:val="0"/>
      <w:marTop w:val="0"/>
      <w:marBottom w:val="0"/>
      <w:divBdr>
        <w:top w:val="none" w:sz="0" w:space="0" w:color="auto"/>
        <w:left w:val="none" w:sz="0" w:space="0" w:color="auto"/>
        <w:bottom w:val="none" w:sz="0" w:space="0" w:color="auto"/>
        <w:right w:val="none" w:sz="0" w:space="0" w:color="auto"/>
      </w:divBdr>
    </w:div>
    <w:div w:id="963464724">
      <w:bodyDiv w:val="1"/>
      <w:marLeft w:val="0"/>
      <w:marRight w:val="0"/>
      <w:marTop w:val="0"/>
      <w:marBottom w:val="0"/>
      <w:divBdr>
        <w:top w:val="none" w:sz="0" w:space="0" w:color="auto"/>
        <w:left w:val="none" w:sz="0" w:space="0" w:color="auto"/>
        <w:bottom w:val="none" w:sz="0" w:space="0" w:color="auto"/>
        <w:right w:val="none" w:sz="0" w:space="0" w:color="auto"/>
      </w:divBdr>
    </w:div>
    <w:div w:id="1016887880">
      <w:bodyDiv w:val="1"/>
      <w:marLeft w:val="0"/>
      <w:marRight w:val="0"/>
      <w:marTop w:val="0"/>
      <w:marBottom w:val="0"/>
      <w:divBdr>
        <w:top w:val="none" w:sz="0" w:space="0" w:color="auto"/>
        <w:left w:val="none" w:sz="0" w:space="0" w:color="auto"/>
        <w:bottom w:val="none" w:sz="0" w:space="0" w:color="auto"/>
        <w:right w:val="none" w:sz="0" w:space="0" w:color="auto"/>
      </w:divBdr>
    </w:div>
    <w:div w:id="1064793895">
      <w:bodyDiv w:val="1"/>
      <w:marLeft w:val="0"/>
      <w:marRight w:val="0"/>
      <w:marTop w:val="0"/>
      <w:marBottom w:val="0"/>
      <w:divBdr>
        <w:top w:val="none" w:sz="0" w:space="0" w:color="auto"/>
        <w:left w:val="none" w:sz="0" w:space="0" w:color="auto"/>
        <w:bottom w:val="none" w:sz="0" w:space="0" w:color="auto"/>
        <w:right w:val="none" w:sz="0" w:space="0" w:color="auto"/>
      </w:divBdr>
    </w:div>
    <w:div w:id="1106345650">
      <w:bodyDiv w:val="1"/>
      <w:marLeft w:val="0"/>
      <w:marRight w:val="0"/>
      <w:marTop w:val="0"/>
      <w:marBottom w:val="0"/>
      <w:divBdr>
        <w:top w:val="none" w:sz="0" w:space="0" w:color="auto"/>
        <w:left w:val="none" w:sz="0" w:space="0" w:color="auto"/>
        <w:bottom w:val="none" w:sz="0" w:space="0" w:color="auto"/>
        <w:right w:val="none" w:sz="0" w:space="0" w:color="auto"/>
      </w:divBdr>
    </w:div>
    <w:div w:id="1123961576">
      <w:bodyDiv w:val="1"/>
      <w:marLeft w:val="0"/>
      <w:marRight w:val="0"/>
      <w:marTop w:val="0"/>
      <w:marBottom w:val="0"/>
      <w:divBdr>
        <w:top w:val="none" w:sz="0" w:space="0" w:color="auto"/>
        <w:left w:val="none" w:sz="0" w:space="0" w:color="auto"/>
        <w:bottom w:val="none" w:sz="0" w:space="0" w:color="auto"/>
        <w:right w:val="none" w:sz="0" w:space="0" w:color="auto"/>
      </w:divBdr>
    </w:div>
    <w:div w:id="1181357769">
      <w:bodyDiv w:val="1"/>
      <w:marLeft w:val="0"/>
      <w:marRight w:val="0"/>
      <w:marTop w:val="0"/>
      <w:marBottom w:val="0"/>
      <w:divBdr>
        <w:top w:val="none" w:sz="0" w:space="0" w:color="auto"/>
        <w:left w:val="none" w:sz="0" w:space="0" w:color="auto"/>
        <w:bottom w:val="none" w:sz="0" w:space="0" w:color="auto"/>
        <w:right w:val="none" w:sz="0" w:space="0" w:color="auto"/>
      </w:divBdr>
    </w:div>
    <w:div w:id="1217396907">
      <w:bodyDiv w:val="1"/>
      <w:marLeft w:val="0"/>
      <w:marRight w:val="0"/>
      <w:marTop w:val="0"/>
      <w:marBottom w:val="0"/>
      <w:divBdr>
        <w:top w:val="none" w:sz="0" w:space="0" w:color="auto"/>
        <w:left w:val="none" w:sz="0" w:space="0" w:color="auto"/>
        <w:bottom w:val="none" w:sz="0" w:space="0" w:color="auto"/>
        <w:right w:val="none" w:sz="0" w:space="0" w:color="auto"/>
      </w:divBdr>
    </w:div>
    <w:div w:id="1228301464">
      <w:bodyDiv w:val="1"/>
      <w:marLeft w:val="0"/>
      <w:marRight w:val="0"/>
      <w:marTop w:val="0"/>
      <w:marBottom w:val="0"/>
      <w:divBdr>
        <w:top w:val="none" w:sz="0" w:space="0" w:color="auto"/>
        <w:left w:val="none" w:sz="0" w:space="0" w:color="auto"/>
        <w:bottom w:val="none" w:sz="0" w:space="0" w:color="auto"/>
        <w:right w:val="none" w:sz="0" w:space="0" w:color="auto"/>
      </w:divBdr>
    </w:div>
    <w:div w:id="1279919009">
      <w:bodyDiv w:val="1"/>
      <w:marLeft w:val="0"/>
      <w:marRight w:val="0"/>
      <w:marTop w:val="0"/>
      <w:marBottom w:val="0"/>
      <w:divBdr>
        <w:top w:val="none" w:sz="0" w:space="0" w:color="auto"/>
        <w:left w:val="none" w:sz="0" w:space="0" w:color="auto"/>
        <w:bottom w:val="none" w:sz="0" w:space="0" w:color="auto"/>
        <w:right w:val="none" w:sz="0" w:space="0" w:color="auto"/>
      </w:divBdr>
    </w:div>
    <w:div w:id="1280988227">
      <w:bodyDiv w:val="1"/>
      <w:marLeft w:val="0"/>
      <w:marRight w:val="0"/>
      <w:marTop w:val="0"/>
      <w:marBottom w:val="0"/>
      <w:divBdr>
        <w:top w:val="none" w:sz="0" w:space="0" w:color="auto"/>
        <w:left w:val="none" w:sz="0" w:space="0" w:color="auto"/>
        <w:bottom w:val="none" w:sz="0" w:space="0" w:color="auto"/>
        <w:right w:val="none" w:sz="0" w:space="0" w:color="auto"/>
      </w:divBdr>
    </w:div>
    <w:div w:id="1297180139">
      <w:bodyDiv w:val="1"/>
      <w:marLeft w:val="0"/>
      <w:marRight w:val="0"/>
      <w:marTop w:val="0"/>
      <w:marBottom w:val="0"/>
      <w:divBdr>
        <w:top w:val="none" w:sz="0" w:space="0" w:color="auto"/>
        <w:left w:val="none" w:sz="0" w:space="0" w:color="auto"/>
        <w:bottom w:val="none" w:sz="0" w:space="0" w:color="auto"/>
        <w:right w:val="none" w:sz="0" w:space="0" w:color="auto"/>
      </w:divBdr>
    </w:div>
    <w:div w:id="1299527410">
      <w:bodyDiv w:val="1"/>
      <w:marLeft w:val="0"/>
      <w:marRight w:val="0"/>
      <w:marTop w:val="0"/>
      <w:marBottom w:val="0"/>
      <w:divBdr>
        <w:top w:val="none" w:sz="0" w:space="0" w:color="auto"/>
        <w:left w:val="none" w:sz="0" w:space="0" w:color="auto"/>
        <w:bottom w:val="none" w:sz="0" w:space="0" w:color="auto"/>
        <w:right w:val="none" w:sz="0" w:space="0" w:color="auto"/>
      </w:divBdr>
    </w:div>
    <w:div w:id="1315258761">
      <w:bodyDiv w:val="1"/>
      <w:marLeft w:val="0"/>
      <w:marRight w:val="0"/>
      <w:marTop w:val="0"/>
      <w:marBottom w:val="0"/>
      <w:divBdr>
        <w:top w:val="none" w:sz="0" w:space="0" w:color="auto"/>
        <w:left w:val="none" w:sz="0" w:space="0" w:color="auto"/>
        <w:bottom w:val="none" w:sz="0" w:space="0" w:color="auto"/>
        <w:right w:val="none" w:sz="0" w:space="0" w:color="auto"/>
      </w:divBdr>
    </w:div>
    <w:div w:id="1341156705">
      <w:bodyDiv w:val="1"/>
      <w:marLeft w:val="0"/>
      <w:marRight w:val="0"/>
      <w:marTop w:val="0"/>
      <w:marBottom w:val="0"/>
      <w:divBdr>
        <w:top w:val="none" w:sz="0" w:space="0" w:color="auto"/>
        <w:left w:val="none" w:sz="0" w:space="0" w:color="auto"/>
        <w:bottom w:val="none" w:sz="0" w:space="0" w:color="auto"/>
        <w:right w:val="none" w:sz="0" w:space="0" w:color="auto"/>
      </w:divBdr>
    </w:div>
    <w:div w:id="1425607192">
      <w:bodyDiv w:val="1"/>
      <w:marLeft w:val="0"/>
      <w:marRight w:val="0"/>
      <w:marTop w:val="0"/>
      <w:marBottom w:val="0"/>
      <w:divBdr>
        <w:top w:val="none" w:sz="0" w:space="0" w:color="auto"/>
        <w:left w:val="none" w:sz="0" w:space="0" w:color="auto"/>
        <w:bottom w:val="none" w:sz="0" w:space="0" w:color="auto"/>
        <w:right w:val="none" w:sz="0" w:space="0" w:color="auto"/>
      </w:divBdr>
    </w:div>
    <w:div w:id="1530070643">
      <w:bodyDiv w:val="1"/>
      <w:marLeft w:val="0"/>
      <w:marRight w:val="0"/>
      <w:marTop w:val="0"/>
      <w:marBottom w:val="0"/>
      <w:divBdr>
        <w:top w:val="none" w:sz="0" w:space="0" w:color="auto"/>
        <w:left w:val="none" w:sz="0" w:space="0" w:color="auto"/>
        <w:bottom w:val="none" w:sz="0" w:space="0" w:color="auto"/>
        <w:right w:val="none" w:sz="0" w:space="0" w:color="auto"/>
      </w:divBdr>
    </w:div>
    <w:div w:id="1542399505">
      <w:bodyDiv w:val="1"/>
      <w:marLeft w:val="0"/>
      <w:marRight w:val="0"/>
      <w:marTop w:val="0"/>
      <w:marBottom w:val="0"/>
      <w:divBdr>
        <w:top w:val="none" w:sz="0" w:space="0" w:color="auto"/>
        <w:left w:val="none" w:sz="0" w:space="0" w:color="auto"/>
        <w:bottom w:val="none" w:sz="0" w:space="0" w:color="auto"/>
        <w:right w:val="none" w:sz="0" w:space="0" w:color="auto"/>
      </w:divBdr>
    </w:div>
    <w:div w:id="1625885868">
      <w:bodyDiv w:val="1"/>
      <w:marLeft w:val="0"/>
      <w:marRight w:val="0"/>
      <w:marTop w:val="0"/>
      <w:marBottom w:val="0"/>
      <w:divBdr>
        <w:top w:val="none" w:sz="0" w:space="0" w:color="auto"/>
        <w:left w:val="none" w:sz="0" w:space="0" w:color="auto"/>
        <w:bottom w:val="none" w:sz="0" w:space="0" w:color="auto"/>
        <w:right w:val="none" w:sz="0" w:space="0" w:color="auto"/>
      </w:divBdr>
    </w:div>
    <w:div w:id="1740131476">
      <w:bodyDiv w:val="1"/>
      <w:marLeft w:val="0"/>
      <w:marRight w:val="0"/>
      <w:marTop w:val="0"/>
      <w:marBottom w:val="0"/>
      <w:divBdr>
        <w:top w:val="none" w:sz="0" w:space="0" w:color="auto"/>
        <w:left w:val="none" w:sz="0" w:space="0" w:color="auto"/>
        <w:bottom w:val="none" w:sz="0" w:space="0" w:color="auto"/>
        <w:right w:val="none" w:sz="0" w:space="0" w:color="auto"/>
      </w:divBdr>
      <w:divsChild>
        <w:div w:id="1688362614">
          <w:marLeft w:val="0"/>
          <w:marRight w:val="0"/>
          <w:marTop w:val="0"/>
          <w:marBottom w:val="0"/>
          <w:divBdr>
            <w:top w:val="none" w:sz="0" w:space="0" w:color="auto"/>
            <w:left w:val="none" w:sz="0" w:space="0" w:color="auto"/>
            <w:bottom w:val="none" w:sz="0" w:space="0" w:color="auto"/>
            <w:right w:val="none" w:sz="0" w:space="0" w:color="auto"/>
          </w:divBdr>
          <w:divsChild>
            <w:div w:id="1829902393">
              <w:marLeft w:val="0"/>
              <w:marRight w:val="0"/>
              <w:marTop w:val="0"/>
              <w:marBottom w:val="0"/>
              <w:divBdr>
                <w:top w:val="none" w:sz="0" w:space="0" w:color="auto"/>
                <w:left w:val="none" w:sz="0" w:space="0" w:color="auto"/>
                <w:bottom w:val="none" w:sz="0" w:space="0" w:color="auto"/>
                <w:right w:val="none" w:sz="0" w:space="0" w:color="auto"/>
              </w:divBdr>
              <w:divsChild>
                <w:div w:id="166285010">
                  <w:marLeft w:val="0"/>
                  <w:marRight w:val="0"/>
                  <w:marTop w:val="0"/>
                  <w:marBottom w:val="0"/>
                  <w:divBdr>
                    <w:top w:val="none" w:sz="0" w:space="0" w:color="auto"/>
                    <w:left w:val="none" w:sz="0" w:space="0" w:color="auto"/>
                    <w:bottom w:val="none" w:sz="0" w:space="0" w:color="auto"/>
                    <w:right w:val="none" w:sz="0" w:space="0" w:color="auto"/>
                  </w:divBdr>
                  <w:divsChild>
                    <w:div w:id="1711373237">
                      <w:marLeft w:val="0"/>
                      <w:marRight w:val="0"/>
                      <w:marTop w:val="0"/>
                      <w:marBottom w:val="0"/>
                      <w:divBdr>
                        <w:top w:val="none" w:sz="0" w:space="0" w:color="auto"/>
                        <w:left w:val="none" w:sz="0" w:space="0" w:color="auto"/>
                        <w:bottom w:val="none" w:sz="0" w:space="0" w:color="auto"/>
                        <w:right w:val="none" w:sz="0" w:space="0" w:color="auto"/>
                      </w:divBdr>
                      <w:divsChild>
                        <w:div w:id="262499965">
                          <w:marLeft w:val="0"/>
                          <w:marRight w:val="0"/>
                          <w:marTop w:val="0"/>
                          <w:marBottom w:val="0"/>
                          <w:divBdr>
                            <w:top w:val="none" w:sz="0" w:space="0" w:color="auto"/>
                            <w:left w:val="none" w:sz="0" w:space="0" w:color="auto"/>
                            <w:bottom w:val="none" w:sz="0" w:space="0" w:color="auto"/>
                            <w:right w:val="none" w:sz="0" w:space="0" w:color="auto"/>
                          </w:divBdr>
                          <w:divsChild>
                            <w:div w:id="1748453665">
                              <w:marLeft w:val="0"/>
                              <w:marRight w:val="0"/>
                              <w:marTop w:val="0"/>
                              <w:marBottom w:val="0"/>
                              <w:divBdr>
                                <w:top w:val="none" w:sz="0" w:space="0" w:color="auto"/>
                                <w:left w:val="none" w:sz="0" w:space="0" w:color="auto"/>
                                <w:bottom w:val="none" w:sz="0" w:space="0" w:color="auto"/>
                                <w:right w:val="none" w:sz="0" w:space="0" w:color="auto"/>
                              </w:divBdr>
                              <w:divsChild>
                                <w:div w:id="1263878895">
                                  <w:marLeft w:val="0"/>
                                  <w:marRight w:val="0"/>
                                  <w:marTop w:val="0"/>
                                  <w:marBottom w:val="0"/>
                                  <w:divBdr>
                                    <w:top w:val="none" w:sz="0" w:space="0" w:color="auto"/>
                                    <w:left w:val="none" w:sz="0" w:space="0" w:color="auto"/>
                                    <w:bottom w:val="none" w:sz="0" w:space="0" w:color="auto"/>
                                    <w:right w:val="none" w:sz="0" w:space="0" w:color="auto"/>
                                  </w:divBdr>
                                  <w:divsChild>
                                    <w:div w:id="1052920385">
                                      <w:marLeft w:val="0"/>
                                      <w:marRight w:val="0"/>
                                      <w:marTop w:val="0"/>
                                      <w:marBottom w:val="0"/>
                                      <w:divBdr>
                                        <w:top w:val="none" w:sz="0" w:space="0" w:color="auto"/>
                                        <w:left w:val="none" w:sz="0" w:space="0" w:color="auto"/>
                                        <w:bottom w:val="none" w:sz="0" w:space="0" w:color="auto"/>
                                        <w:right w:val="none" w:sz="0" w:space="0" w:color="auto"/>
                                      </w:divBdr>
                                      <w:divsChild>
                                        <w:div w:id="618222719">
                                          <w:marLeft w:val="0"/>
                                          <w:marRight w:val="0"/>
                                          <w:marTop w:val="0"/>
                                          <w:marBottom w:val="0"/>
                                          <w:divBdr>
                                            <w:top w:val="none" w:sz="0" w:space="0" w:color="auto"/>
                                            <w:left w:val="none" w:sz="0" w:space="0" w:color="auto"/>
                                            <w:bottom w:val="none" w:sz="0" w:space="0" w:color="auto"/>
                                            <w:right w:val="none" w:sz="0" w:space="0" w:color="auto"/>
                                          </w:divBdr>
                                          <w:divsChild>
                                            <w:div w:id="942226120">
                                              <w:marLeft w:val="0"/>
                                              <w:marRight w:val="0"/>
                                              <w:marTop w:val="0"/>
                                              <w:marBottom w:val="0"/>
                                              <w:divBdr>
                                                <w:top w:val="none" w:sz="0" w:space="0" w:color="auto"/>
                                                <w:left w:val="none" w:sz="0" w:space="0" w:color="auto"/>
                                                <w:bottom w:val="none" w:sz="0" w:space="0" w:color="auto"/>
                                                <w:right w:val="none" w:sz="0" w:space="0" w:color="auto"/>
                                              </w:divBdr>
                                              <w:divsChild>
                                                <w:div w:id="907808247">
                                                  <w:marLeft w:val="0"/>
                                                  <w:marRight w:val="0"/>
                                                  <w:marTop w:val="0"/>
                                                  <w:marBottom w:val="0"/>
                                                  <w:divBdr>
                                                    <w:top w:val="none" w:sz="0" w:space="0" w:color="auto"/>
                                                    <w:left w:val="none" w:sz="0" w:space="0" w:color="auto"/>
                                                    <w:bottom w:val="none" w:sz="0" w:space="0" w:color="auto"/>
                                                    <w:right w:val="none" w:sz="0" w:space="0" w:color="auto"/>
                                                  </w:divBdr>
                                                  <w:divsChild>
                                                    <w:div w:id="1497914796">
                                                      <w:marLeft w:val="0"/>
                                                      <w:marRight w:val="0"/>
                                                      <w:marTop w:val="0"/>
                                                      <w:marBottom w:val="0"/>
                                                      <w:divBdr>
                                                        <w:top w:val="none" w:sz="0" w:space="0" w:color="auto"/>
                                                        <w:left w:val="none" w:sz="0" w:space="0" w:color="auto"/>
                                                        <w:bottom w:val="none" w:sz="0" w:space="0" w:color="auto"/>
                                                        <w:right w:val="none" w:sz="0" w:space="0" w:color="auto"/>
                                                      </w:divBdr>
                                                      <w:divsChild>
                                                        <w:div w:id="1462068450">
                                                          <w:marLeft w:val="0"/>
                                                          <w:marRight w:val="0"/>
                                                          <w:marTop w:val="0"/>
                                                          <w:marBottom w:val="0"/>
                                                          <w:divBdr>
                                                            <w:top w:val="none" w:sz="0" w:space="0" w:color="auto"/>
                                                            <w:left w:val="none" w:sz="0" w:space="0" w:color="auto"/>
                                                            <w:bottom w:val="none" w:sz="0" w:space="0" w:color="auto"/>
                                                            <w:right w:val="none" w:sz="0" w:space="0" w:color="auto"/>
                                                          </w:divBdr>
                                                          <w:divsChild>
                                                            <w:div w:id="1471166777">
                                                              <w:marLeft w:val="0"/>
                                                              <w:marRight w:val="0"/>
                                                              <w:marTop w:val="0"/>
                                                              <w:marBottom w:val="0"/>
                                                              <w:divBdr>
                                                                <w:top w:val="none" w:sz="0" w:space="0" w:color="auto"/>
                                                                <w:left w:val="none" w:sz="0" w:space="0" w:color="auto"/>
                                                                <w:bottom w:val="none" w:sz="0" w:space="0" w:color="auto"/>
                                                                <w:right w:val="none" w:sz="0" w:space="0" w:color="auto"/>
                                                              </w:divBdr>
                                                              <w:divsChild>
                                                                <w:div w:id="1386752906">
                                                                  <w:marLeft w:val="0"/>
                                                                  <w:marRight w:val="0"/>
                                                                  <w:marTop w:val="0"/>
                                                                  <w:marBottom w:val="0"/>
                                                                  <w:divBdr>
                                                                    <w:top w:val="none" w:sz="0" w:space="0" w:color="auto"/>
                                                                    <w:left w:val="none" w:sz="0" w:space="0" w:color="auto"/>
                                                                    <w:bottom w:val="none" w:sz="0" w:space="0" w:color="auto"/>
                                                                    <w:right w:val="none" w:sz="0" w:space="0" w:color="auto"/>
                                                                  </w:divBdr>
                                                                  <w:divsChild>
                                                                    <w:div w:id="3708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8309642">
      <w:bodyDiv w:val="1"/>
      <w:marLeft w:val="0"/>
      <w:marRight w:val="0"/>
      <w:marTop w:val="0"/>
      <w:marBottom w:val="0"/>
      <w:divBdr>
        <w:top w:val="none" w:sz="0" w:space="0" w:color="auto"/>
        <w:left w:val="none" w:sz="0" w:space="0" w:color="auto"/>
        <w:bottom w:val="none" w:sz="0" w:space="0" w:color="auto"/>
        <w:right w:val="none" w:sz="0" w:space="0" w:color="auto"/>
      </w:divBdr>
    </w:div>
    <w:div w:id="1755009648">
      <w:bodyDiv w:val="1"/>
      <w:marLeft w:val="0"/>
      <w:marRight w:val="0"/>
      <w:marTop w:val="0"/>
      <w:marBottom w:val="0"/>
      <w:divBdr>
        <w:top w:val="none" w:sz="0" w:space="0" w:color="auto"/>
        <w:left w:val="none" w:sz="0" w:space="0" w:color="auto"/>
        <w:bottom w:val="none" w:sz="0" w:space="0" w:color="auto"/>
        <w:right w:val="none" w:sz="0" w:space="0" w:color="auto"/>
      </w:divBdr>
    </w:div>
    <w:div w:id="1788504480">
      <w:bodyDiv w:val="1"/>
      <w:marLeft w:val="0"/>
      <w:marRight w:val="0"/>
      <w:marTop w:val="0"/>
      <w:marBottom w:val="0"/>
      <w:divBdr>
        <w:top w:val="none" w:sz="0" w:space="0" w:color="auto"/>
        <w:left w:val="none" w:sz="0" w:space="0" w:color="auto"/>
        <w:bottom w:val="none" w:sz="0" w:space="0" w:color="auto"/>
        <w:right w:val="none" w:sz="0" w:space="0" w:color="auto"/>
      </w:divBdr>
    </w:div>
    <w:div w:id="1790976523">
      <w:bodyDiv w:val="1"/>
      <w:marLeft w:val="0"/>
      <w:marRight w:val="0"/>
      <w:marTop w:val="0"/>
      <w:marBottom w:val="0"/>
      <w:divBdr>
        <w:top w:val="none" w:sz="0" w:space="0" w:color="auto"/>
        <w:left w:val="none" w:sz="0" w:space="0" w:color="auto"/>
        <w:bottom w:val="none" w:sz="0" w:space="0" w:color="auto"/>
        <w:right w:val="none" w:sz="0" w:space="0" w:color="auto"/>
      </w:divBdr>
    </w:div>
    <w:div w:id="1830442173">
      <w:bodyDiv w:val="1"/>
      <w:marLeft w:val="0"/>
      <w:marRight w:val="0"/>
      <w:marTop w:val="0"/>
      <w:marBottom w:val="0"/>
      <w:divBdr>
        <w:top w:val="none" w:sz="0" w:space="0" w:color="auto"/>
        <w:left w:val="none" w:sz="0" w:space="0" w:color="auto"/>
        <w:bottom w:val="none" w:sz="0" w:space="0" w:color="auto"/>
        <w:right w:val="none" w:sz="0" w:space="0" w:color="auto"/>
      </w:divBdr>
    </w:div>
    <w:div w:id="1833986512">
      <w:bodyDiv w:val="1"/>
      <w:marLeft w:val="0"/>
      <w:marRight w:val="0"/>
      <w:marTop w:val="0"/>
      <w:marBottom w:val="0"/>
      <w:divBdr>
        <w:top w:val="none" w:sz="0" w:space="0" w:color="auto"/>
        <w:left w:val="none" w:sz="0" w:space="0" w:color="auto"/>
        <w:bottom w:val="none" w:sz="0" w:space="0" w:color="auto"/>
        <w:right w:val="none" w:sz="0" w:space="0" w:color="auto"/>
      </w:divBdr>
    </w:div>
    <w:div w:id="1843474881">
      <w:bodyDiv w:val="1"/>
      <w:marLeft w:val="0"/>
      <w:marRight w:val="0"/>
      <w:marTop w:val="0"/>
      <w:marBottom w:val="0"/>
      <w:divBdr>
        <w:top w:val="none" w:sz="0" w:space="0" w:color="auto"/>
        <w:left w:val="none" w:sz="0" w:space="0" w:color="auto"/>
        <w:bottom w:val="none" w:sz="0" w:space="0" w:color="auto"/>
        <w:right w:val="none" w:sz="0" w:space="0" w:color="auto"/>
      </w:divBdr>
    </w:div>
    <w:div w:id="1861578392">
      <w:bodyDiv w:val="1"/>
      <w:marLeft w:val="0"/>
      <w:marRight w:val="0"/>
      <w:marTop w:val="0"/>
      <w:marBottom w:val="0"/>
      <w:divBdr>
        <w:top w:val="none" w:sz="0" w:space="0" w:color="auto"/>
        <w:left w:val="none" w:sz="0" w:space="0" w:color="auto"/>
        <w:bottom w:val="none" w:sz="0" w:space="0" w:color="auto"/>
        <w:right w:val="none" w:sz="0" w:space="0" w:color="auto"/>
      </w:divBdr>
    </w:div>
    <w:div w:id="1898932913">
      <w:bodyDiv w:val="1"/>
      <w:marLeft w:val="0"/>
      <w:marRight w:val="0"/>
      <w:marTop w:val="0"/>
      <w:marBottom w:val="0"/>
      <w:divBdr>
        <w:top w:val="none" w:sz="0" w:space="0" w:color="auto"/>
        <w:left w:val="none" w:sz="0" w:space="0" w:color="auto"/>
        <w:bottom w:val="none" w:sz="0" w:space="0" w:color="auto"/>
        <w:right w:val="none" w:sz="0" w:space="0" w:color="auto"/>
      </w:divBdr>
    </w:div>
    <w:div w:id="1941258742">
      <w:bodyDiv w:val="1"/>
      <w:marLeft w:val="0"/>
      <w:marRight w:val="0"/>
      <w:marTop w:val="0"/>
      <w:marBottom w:val="0"/>
      <w:divBdr>
        <w:top w:val="none" w:sz="0" w:space="0" w:color="auto"/>
        <w:left w:val="none" w:sz="0" w:space="0" w:color="auto"/>
        <w:bottom w:val="none" w:sz="0" w:space="0" w:color="auto"/>
        <w:right w:val="none" w:sz="0" w:space="0" w:color="auto"/>
      </w:divBdr>
    </w:div>
    <w:div w:id="2007857210">
      <w:bodyDiv w:val="1"/>
      <w:marLeft w:val="0"/>
      <w:marRight w:val="0"/>
      <w:marTop w:val="0"/>
      <w:marBottom w:val="0"/>
      <w:divBdr>
        <w:top w:val="none" w:sz="0" w:space="0" w:color="auto"/>
        <w:left w:val="none" w:sz="0" w:space="0" w:color="auto"/>
        <w:bottom w:val="none" w:sz="0" w:space="0" w:color="auto"/>
        <w:right w:val="none" w:sz="0" w:space="0" w:color="auto"/>
      </w:divBdr>
    </w:div>
    <w:div w:id="2046758741">
      <w:bodyDiv w:val="1"/>
      <w:marLeft w:val="0"/>
      <w:marRight w:val="0"/>
      <w:marTop w:val="0"/>
      <w:marBottom w:val="0"/>
      <w:divBdr>
        <w:top w:val="none" w:sz="0" w:space="0" w:color="auto"/>
        <w:left w:val="none" w:sz="0" w:space="0" w:color="auto"/>
        <w:bottom w:val="none" w:sz="0" w:space="0" w:color="auto"/>
        <w:right w:val="none" w:sz="0" w:space="0" w:color="auto"/>
      </w:divBdr>
    </w:div>
    <w:div w:id="2111074738">
      <w:bodyDiv w:val="1"/>
      <w:marLeft w:val="0"/>
      <w:marRight w:val="0"/>
      <w:marTop w:val="0"/>
      <w:marBottom w:val="0"/>
      <w:divBdr>
        <w:top w:val="none" w:sz="0" w:space="0" w:color="auto"/>
        <w:left w:val="none" w:sz="0" w:space="0" w:color="auto"/>
        <w:bottom w:val="none" w:sz="0" w:space="0" w:color="auto"/>
        <w:right w:val="none" w:sz="0" w:space="0" w:color="auto"/>
      </w:divBdr>
    </w:div>
    <w:div w:id="212068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nederlandsmaterialenobservatorium.nl/publicaties/activating-strategic-raw-materials/" TargetMode="External"/><Relationship Id="rId13" Type="http://schemas.openxmlformats.org/officeDocument/2006/relationships/hyperlink" Target="https://eur-lex.europa.eu/eli/reg/2023/1542/oj" TargetMode="External"/><Relationship Id="rId3" Type="http://schemas.openxmlformats.org/officeDocument/2006/relationships/hyperlink" Target="https://open.overheid.nl/documenten/3b73fb43-3b62-4b3e-a430-257e21077a71/file" TargetMode="External"/><Relationship Id="rId7" Type="http://schemas.openxmlformats.org/officeDocument/2006/relationships/hyperlink" Target="https://www.rijksoverheid.nl/documenten/rapporten/2024/06/13/tno-het-potentieel-om-kritieke-grondstoffen-uit-de-nederlandse-urban-minde-terug-te-winnen-verkenning" TargetMode="External"/><Relationship Id="rId12" Type="http://schemas.openxmlformats.org/officeDocument/2006/relationships/hyperlink" Target="https://www.rijksoverheid.nl/documenten/rapporten/2025/09/26/bijlage-2-eindrapport-ruimtevraag-circulaire-economie-op-bedrijventerreinen" TargetMode="External"/><Relationship Id="rId2" Type="http://schemas.openxmlformats.org/officeDocument/2006/relationships/hyperlink" Target="https://iea.blob.core.windows.net/assets/d041f616-2f49-4694-861c-97d489ed1856/RecyclingofCriticalMinerals.pdf" TargetMode="External"/><Relationship Id="rId1" Type="http://schemas.openxmlformats.org/officeDocument/2006/relationships/hyperlink" Target="https://www.oecd.org/en/topics/export-restrictions-on-critical-raw-materials.html" TargetMode="External"/><Relationship Id="rId6" Type="http://schemas.openxmlformats.org/officeDocument/2006/relationships/hyperlink" Target="https://www.rijksoverheid.nl/documenten/2023/02/03/nationaal-programma-circulaire-economie-2023-2030" TargetMode="External"/><Relationship Id="rId11" Type="http://schemas.openxmlformats.org/officeDocument/2006/relationships/hyperlink" Target="https://www.rijksoverheid.nl/documenten/rapporten/2025/09/26/bijlage-2-eindrapport-ruimtevraag-circulaire-economie-op-bedrijventerreinen" TargetMode="External"/><Relationship Id="rId5" Type="http://schemas.openxmlformats.org/officeDocument/2006/relationships/hyperlink" Target="https://www.kabinetsformatie2025.nl/documenten/2026/01/30/aan-de-slag---coalitieakkoord-2026-2030" TargetMode="External"/><Relationship Id="rId10" Type="http://schemas.openxmlformats.org/officeDocument/2006/relationships/hyperlink" Target="https://www.rijksoverheid.nl/documenten/rapporten/2025/06/20/nationale-prognose-ruimtebehoefte-industrieclusters" TargetMode="External"/><Relationship Id="rId4" Type="http://schemas.openxmlformats.org/officeDocument/2006/relationships/hyperlink" Target="https://open.overheid.nl/details/5a66d11d-4888-4c94-b92e-a8acf9426f78" TargetMode="External"/><Relationship Id="rId9" Type="http://schemas.openxmlformats.org/officeDocument/2006/relationships/hyperlink" Target="https://circulairmaterialenplan.nl/materialen/elektr-on-ische-apparatuur/" TargetMode="External"/><Relationship Id="rId14" Type="http://schemas.openxmlformats.org/officeDocument/2006/relationships/hyperlink" Target="https://environment.ec.europa.eu/document/5f7ff5e2-ebe9-4bd4-a139-db881bd6398f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11</ap:Pages>
  <ap:Words>5012</ap:Words>
  <ap:Characters>27569</ap:Characters>
  <ap:DocSecurity>0</ap:DocSecurity>
  <ap:Lines>229</ap:Lines>
  <ap:Paragraphs>65</ap:Paragraphs>
  <ap:ScaleCrop>false</ap:ScaleCrop>
  <ap:LinksUpToDate>false</ap:LinksUpToDate>
  <ap:CharactersWithSpaces>32516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2026-06-25T10:39:00.0000000Z</dcterms:created>
  <dcterms:modified xsi:type="dcterms:W3CDTF">2026-06-25T10:39:00.0000000Z</dcterms:modified>
  <version/>
  <category/>
</coreProperties>
</file>