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25E" w:rsidRDefault="00CB725E" w14:paraId="5E046913" w14:textId="77777777"/>
    <w:p w:rsidRPr="009C09F0" w:rsidR="000925C4" w:rsidRDefault="000925C4" w14:paraId="2A38F7B9" w14:textId="2396749D">
      <w:r w:rsidRPr="009C09F0">
        <w:t>TOELICHTING OP INHOUD EN ACHTERGROND VAN DE NEDERLANDSE KRITIEKE GRONDSTOFFENLIJST</w:t>
      </w:r>
    </w:p>
    <w:p w:rsidRPr="009C09F0" w:rsidR="00FF6520" w:rsidP="00FF6520" w:rsidRDefault="00FF6520" w14:paraId="009E8730" w14:textId="404C89CA">
      <w:r w:rsidRPr="009C09F0">
        <w:t xml:space="preserve">De Nederlandse Kritieke Grondstoffenlijst (NKG) </w:t>
      </w:r>
      <w:r w:rsidRPr="002D2C39" w:rsidR="00847A67">
        <w:t xml:space="preserve">is de lijst van </w:t>
      </w:r>
      <w:r w:rsidRPr="009C09F0" w:rsidR="00847A67">
        <w:t xml:space="preserve">kritieke grondstoffen </w:t>
      </w:r>
      <w:r w:rsidRPr="009C09F0" w:rsidR="00315A1C">
        <w:t>voor Nederland</w:t>
      </w:r>
      <w:r w:rsidRPr="009C09F0" w:rsidR="00847A67">
        <w:t> </w:t>
      </w:r>
      <w:r w:rsidRPr="009C09F0" w:rsidR="00315A1C">
        <w:t>opgesteld door</w:t>
      </w:r>
      <w:r w:rsidRPr="009C09F0" w:rsidR="00847A67">
        <w:t xml:space="preserve"> het Nederlands Materialen Observatorium (NMO). De EU lijst van 34 kritieke en strategische grondstoffen dient al</w:t>
      </w:r>
      <w:r w:rsidRPr="009C09F0" w:rsidR="00315A1C">
        <w:t>s</w:t>
      </w:r>
      <w:r w:rsidRPr="009C09F0" w:rsidR="00847A67">
        <w:t xml:space="preserve"> basis voor deze lijst. De NKG </w:t>
      </w:r>
      <w:r w:rsidRPr="009C09F0">
        <w:t xml:space="preserve">is samengesteld met als </w:t>
      </w:r>
      <w:r w:rsidRPr="009C09F0" w:rsidR="00670143">
        <w:t xml:space="preserve">doel </w:t>
      </w:r>
      <w:r w:rsidRPr="009C09F0">
        <w:t>aan te geven welke grondstoffen voor Nederland als kritiek kunnen worden beschouwd</w:t>
      </w:r>
      <w:r w:rsidRPr="009C09F0" w:rsidR="0068530E">
        <w:t xml:space="preserve">. </w:t>
      </w:r>
      <w:r w:rsidRPr="009C09F0" w:rsidR="004074F2">
        <w:t xml:space="preserve">De selectie </w:t>
      </w:r>
      <w:r w:rsidRPr="009C09F0" w:rsidR="00CC21B8">
        <w:t xml:space="preserve">is gebaseerd op </w:t>
      </w:r>
      <w:r w:rsidRPr="009C09F0" w:rsidR="00D6320B">
        <w:t xml:space="preserve">een inschatting </w:t>
      </w:r>
      <w:r w:rsidRPr="009C09F0">
        <w:t>van de risico</w:t>
      </w:r>
      <w:r w:rsidRPr="009C09F0" w:rsidR="00D6320B">
        <w:t>’</w:t>
      </w:r>
      <w:r w:rsidRPr="009C09F0">
        <w:t>s</w:t>
      </w:r>
      <w:r w:rsidRPr="009C09F0" w:rsidR="00D6320B">
        <w:t xml:space="preserve"> op leveringsonderbreking</w:t>
      </w:r>
      <w:r w:rsidRPr="009C09F0">
        <w:t xml:space="preserve"> en de mate waarin de toegevoegde waarde van Nederlandse industriële sectoren is blootgesteld aan die risico’s.</w:t>
      </w:r>
      <w:r w:rsidRPr="009C09F0" w:rsidR="00B33D3D">
        <w:t xml:space="preserve"> </w:t>
      </w:r>
    </w:p>
    <w:p w:rsidRPr="009C09F0" w:rsidR="00C16450" w:rsidP="00FF6520" w:rsidRDefault="008D7C85" w14:paraId="79A84A6A" w14:textId="200426B5">
      <w:r w:rsidRPr="00B21854">
        <w:rPr>
          <w:i/>
          <w:iCs/>
        </w:rPr>
        <w:t xml:space="preserve">Welke </w:t>
      </w:r>
      <w:r w:rsidRPr="00B21854" w:rsidR="008558EA">
        <w:rPr>
          <w:i/>
          <w:iCs/>
        </w:rPr>
        <w:t xml:space="preserve">kritieke </w:t>
      </w:r>
      <w:r w:rsidRPr="00B21854">
        <w:rPr>
          <w:i/>
          <w:iCs/>
        </w:rPr>
        <w:t xml:space="preserve">grondstoffen kennen een hoog </w:t>
      </w:r>
      <w:r w:rsidRPr="00B21854" w:rsidR="008558EA">
        <w:rPr>
          <w:i/>
          <w:iCs/>
        </w:rPr>
        <w:t>leveringsrisico</w:t>
      </w:r>
      <w:r w:rsidRPr="00B21854" w:rsidR="009C3ECA">
        <w:rPr>
          <w:i/>
          <w:iCs/>
        </w:rPr>
        <w:t>?</w:t>
      </w:r>
      <w:r w:rsidRPr="00B4673F" w:rsidR="005B6FCE">
        <w:br/>
      </w:r>
      <w:r w:rsidRPr="009C09F0" w:rsidR="008558EA">
        <w:t>Het uitgangspunt voor</w:t>
      </w:r>
      <w:r w:rsidRPr="009C09F0" w:rsidR="007E0558">
        <w:t xml:space="preserve"> de</w:t>
      </w:r>
      <w:r w:rsidRPr="009C09F0" w:rsidR="008558EA">
        <w:t xml:space="preserve"> NKG is de lijst </w:t>
      </w:r>
      <w:r w:rsidRPr="009C09F0" w:rsidR="00713B0D">
        <w:t xml:space="preserve">met </w:t>
      </w:r>
      <w:r w:rsidRPr="009C09F0" w:rsidR="008558EA">
        <w:t>kritieke en strateg</w:t>
      </w:r>
      <w:r w:rsidRPr="009C09F0" w:rsidR="007E0558">
        <w:t>i</w:t>
      </w:r>
      <w:r w:rsidRPr="009C09F0" w:rsidR="008558EA">
        <w:t xml:space="preserve">sche grondstoffen die door de EU </w:t>
      </w:r>
      <w:r w:rsidRPr="009C09F0" w:rsidR="007E0558">
        <w:t xml:space="preserve">is vastgesteld. </w:t>
      </w:r>
      <w:r w:rsidRPr="009C09F0" w:rsidR="00410C6E">
        <w:t xml:space="preserve">Voor de grondstoffen uit die lijst is onderzocht welke grondstoffen voor Nederland kritiek zijn. </w:t>
      </w:r>
    </w:p>
    <w:p w:rsidRPr="009C09F0" w:rsidR="00C16450" w:rsidP="00FF6520" w:rsidRDefault="00C16450" w14:paraId="3D49BDFF" w14:textId="77777777">
      <w:r w:rsidRPr="009C09F0">
        <w:t>Daarbij is een grens bepaald om de mate van risico voor de levering van de producten te meten. Dat is gedaan aan de hand van de volgende twee criteria:</w:t>
      </w:r>
    </w:p>
    <w:p w:rsidRPr="009C09F0" w:rsidR="00F621CB" w:rsidP="00B21854" w:rsidRDefault="00C16450" w14:paraId="40B6FF85" w14:textId="04510C81">
      <w:pPr>
        <w:pStyle w:val="Lijstalinea"/>
        <w:numPr>
          <w:ilvl w:val="0"/>
          <w:numId w:val="5"/>
        </w:numPr>
      </w:pPr>
      <w:r w:rsidRPr="009C09F0">
        <w:t>De mate</w:t>
      </w:r>
      <w:r w:rsidRPr="009C09F0" w:rsidR="00FF6520">
        <w:t xml:space="preserve"> waarin wereldwijde levering </w:t>
      </w:r>
      <w:r w:rsidRPr="009C09F0" w:rsidR="008B72B1">
        <w:t xml:space="preserve">of productie </w:t>
      </w:r>
      <w:r w:rsidRPr="009C09F0" w:rsidR="00FF6520">
        <w:t>uit één land afkomstig is</w:t>
      </w:r>
      <w:r w:rsidRPr="009C09F0">
        <w:t>.</w:t>
      </w:r>
      <w:r w:rsidR="00F621CB">
        <w:t xml:space="preserve"> </w:t>
      </w:r>
      <w:r w:rsidRPr="009C09F0">
        <w:t xml:space="preserve">Het risico is hoog als één land zorgt voor meer dan 65 procent van de wereldwijde productie. </w:t>
      </w:r>
      <w:r w:rsidRPr="009C09F0" w:rsidR="00FF6520">
        <w:t xml:space="preserve"> </w:t>
      </w:r>
    </w:p>
    <w:p w:rsidRPr="009C09F0" w:rsidR="00FF6520" w:rsidP="00B21854" w:rsidRDefault="00C16450" w14:paraId="21B2D4B9" w14:textId="7DC2A7F4">
      <w:pPr>
        <w:pStyle w:val="Lijstalinea"/>
        <w:numPr>
          <w:ilvl w:val="0"/>
          <w:numId w:val="5"/>
        </w:numPr>
      </w:pPr>
      <w:r w:rsidRPr="009C09F0">
        <w:t>De mate waarin dit land</w:t>
      </w:r>
      <w:r w:rsidRPr="009C09F0" w:rsidR="00FF6520">
        <w:t xml:space="preserve"> een lage waardering </w:t>
      </w:r>
      <w:r w:rsidRPr="009C09F0">
        <w:t xml:space="preserve">krijgt voor </w:t>
      </w:r>
      <w:r w:rsidRPr="009C09F0" w:rsidR="008769E1">
        <w:t>bestuurlijke kwaliteit</w:t>
      </w:r>
      <w:r w:rsidR="00F621CB">
        <w:t xml:space="preserve">. </w:t>
      </w:r>
      <w:r w:rsidRPr="009C09F0">
        <w:t xml:space="preserve">Deze waardering wordt bepaald door </w:t>
      </w:r>
      <w:r w:rsidRPr="009C09F0" w:rsidR="00FF6520">
        <w:t>de Wereldbank</w:t>
      </w:r>
      <w:r w:rsidRPr="009C09F0" w:rsidR="000B4791">
        <w:t xml:space="preserve"> </w:t>
      </w:r>
      <w:r w:rsidRPr="009C09F0" w:rsidR="00426FA7">
        <w:t xml:space="preserve">op basis van de zogenaamde World </w:t>
      </w:r>
      <w:proofErr w:type="spellStart"/>
      <w:r w:rsidRPr="009C09F0" w:rsidR="00426FA7">
        <w:t>Governance</w:t>
      </w:r>
      <w:proofErr w:type="spellEnd"/>
      <w:r w:rsidRPr="009C09F0" w:rsidR="00426FA7">
        <w:t xml:space="preserve"> Index</w:t>
      </w:r>
      <w:r w:rsidRPr="009C09F0" w:rsidR="0089072F">
        <w:t>.</w:t>
      </w:r>
    </w:p>
    <w:p w:rsidRPr="009C09F0" w:rsidR="007518B5" w:rsidP="007518B5" w:rsidRDefault="00FF6520" w14:paraId="5E9CA110" w14:textId="29932AAA">
      <w:r w:rsidRPr="003D1768">
        <w:rPr>
          <w:i/>
          <w:iCs/>
        </w:rPr>
        <w:t>Hoe is economische blootstelling van sectoren aan een grondstof bepaald?</w:t>
      </w:r>
      <w:r w:rsidRPr="003D1768" w:rsidR="005B6FCE">
        <w:rPr>
          <w:i/>
          <w:iCs/>
        </w:rPr>
        <w:br/>
      </w:r>
      <w:r w:rsidRPr="009C09F0" w:rsidR="007518B5">
        <w:t xml:space="preserve">Het economisch belang laat zien hoe afhankelijk een sector is van bepaalde (minstens één van de geselecteerde) </w:t>
      </w:r>
      <w:r w:rsidR="00407D0F">
        <w:t>krit</w:t>
      </w:r>
      <w:r w:rsidR="000930BA">
        <w:t xml:space="preserve">ieke </w:t>
      </w:r>
      <w:r w:rsidRPr="009C09F0" w:rsidR="007518B5">
        <w:t xml:space="preserve">grondstoffen. </w:t>
      </w:r>
      <w:r w:rsidR="009C09F0">
        <w:t>Dat</w:t>
      </w:r>
      <w:r w:rsidRPr="009C09F0" w:rsidR="007518B5">
        <w:t xml:space="preserve"> noemen we </w:t>
      </w:r>
      <w:r w:rsidR="009C09F0">
        <w:t xml:space="preserve">ook wel </w:t>
      </w:r>
      <w:r w:rsidRPr="009C09F0" w:rsidR="007518B5">
        <w:t xml:space="preserve">economische blootstelling. In Nederland hebben we veel Original Equipment </w:t>
      </w:r>
      <w:proofErr w:type="spellStart"/>
      <w:r w:rsidRPr="009C09F0" w:rsidR="007518B5">
        <w:t>Manufacturers</w:t>
      </w:r>
      <w:proofErr w:type="spellEnd"/>
      <w:r w:rsidRPr="009C09F0" w:rsidR="007518B5">
        <w:t xml:space="preserve"> (</w:t>
      </w:r>
      <w:proofErr w:type="spellStart"/>
      <w:r w:rsidRPr="009C09F0" w:rsidR="007518B5">
        <w:t>OEMs</w:t>
      </w:r>
      <w:proofErr w:type="spellEnd"/>
      <w:r w:rsidRPr="009C09F0" w:rsidR="007518B5">
        <w:t>)</w:t>
      </w:r>
      <w:r w:rsidRPr="009C09F0" w:rsidR="00545924">
        <w:t>. Dat zijn fabrieken</w:t>
      </w:r>
      <w:r w:rsidRPr="009C09F0" w:rsidR="007518B5">
        <w:t xml:space="preserve"> die complexe producten produce</w:t>
      </w:r>
      <w:r w:rsidRPr="009C09F0" w:rsidR="00545924">
        <w:t>ren</w:t>
      </w:r>
      <w:r w:rsidRPr="009C09F0" w:rsidR="007518B5">
        <w:t>, assemble</w:t>
      </w:r>
      <w:r w:rsidRPr="009C09F0" w:rsidR="00545924">
        <w:t>ren</w:t>
      </w:r>
      <w:r w:rsidRPr="009C09F0" w:rsidR="007518B5">
        <w:t xml:space="preserve"> en exporte</w:t>
      </w:r>
      <w:r w:rsidRPr="009C09F0" w:rsidR="00545924">
        <w:t>ren. Deze bedrijven gebruiken bijna altijd één of meer grondstoffen waarvoor een leveringsrisico bestaat</w:t>
      </w:r>
      <w:r w:rsidRPr="009C09F0" w:rsidR="007518B5">
        <w:t>, De Nederlandse industrie loopt hierdoor een groot risico als deze grondstoffen plotseling niet meer leverbaar zijn.</w:t>
      </w:r>
    </w:p>
    <w:p w:rsidRPr="009C09F0" w:rsidR="00713B0D" w:rsidP="002A25BE" w:rsidRDefault="00FF6520" w14:paraId="565087CC" w14:textId="612F89F4">
      <w:r w:rsidRPr="009C09F0">
        <w:t xml:space="preserve">De mate van economisch belang van de </w:t>
      </w:r>
      <w:r w:rsidRPr="009C09F0" w:rsidR="009B5A8C">
        <w:t xml:space="preserve">grondstoffen op de </w:t>
      </w:r>
      <w:r w:rsidRPr="009C09F0">
        <w:t xml:space="preserve">NKG wordt gebaseerd op de </w:t>
      </w:r>
      <w:r w:rsidRPr="009C09F0" w:rsidR="00713B0D">
        <w:t>t</w:t>
      </w:r>
      <w:r w:rsidRPr="009C09F0">
        <w:t xml:space="preserve">oegevoegde </w:t>
      </w:r>
      <w:r w:rsidRPr="009C09F0" w:rsidR="00713B0D">
        <w:t>w</w:t>
      </w:r>
      <w:r w:rsidRPr="009C09F0">
        <w:t>aarde per sector.</w:t>
      </w:r>
      <w:r w:rsidRPr="009C09F0" w:rsidR="009B5A8C">
        <w:t xml:space="preserve"> De toegevoegde waarde is de economische waarde die een sector creëert: het is de omzet minus de inkoopwaarde van grondstoffen en diensten. Voor dit onderzoek is gekeken naar de toegevoegde waarde van de volgende sectoren:</w:t>
      </w:r>
    </w:p>
    <w:p w:rsidRPr="009C09F0" w:rsidR="00713B0D" w:rsidP="00713B0D" w:rsidRDefault="00D44EEF" w14:paraId="201709D9" w14:textId="3CA8C41A">
      <w:pPr>
        <w:pStyle w:val="Lijstalinea"/>
        <w:numPr>
          <w:ilvl w:val="0"/>
          <w:numId w:val="1"/>
        </w:numPr>
      </w:pPr>
      <w:r w:rsidRPr="009C09F0">
        <w:t xml:space="preserve">chemie </w:t>
      </w:r>
    </w:p>
    <w:p w:rsidRPr="009C09F0" w:rsidR="00713B0D" w:rsidP="00713B0D" w:rsidRDefault="007725DA" w14:paraId="5A6706F4" w14:textId="6D865CA6">
      <w:pPr>
        <w:pStyle w:val="Lijstalinea"/>
        <w:numPr>
          <w:ilvl w:val="0"/>
          <w:numId w:val="1"/>
        </w:numPr>
      </w:pPr>
      <w:r w:rsidRPr="009C09F0">
        <w:t>rubber</w:t>
      </w:r>
      <w:r w:rsidRPr="009C09F0" w:rsidR="00A12DA9">
        <w:t>-</w:t>
      </w:r>
      <w:r w:rsidRPr="009C09F0">
        <w:t xml:space="preserve"> en kunststof</w:t>
      </w:r>
      <w:r w:rsidRPr="009C09F0" w:rsidR="00A12DA9">
        <w:t>industrie</w:t>
      </w:r>
      <w:r w:rsidRPr="009C09F0">
        <w:t xml:space="preserve"> </w:t>
      </w:r>
    </w:p>
    <w:p w:rsidRPr="009C09F0" w:rsidR="00713B0D" w:rsidP="00713B0D" w:rsidRDefault="005E7639" w14:paraId="34F38EF0" w14:textId="340A4BF8">
      <w:pPr>
        <w:pStyle w:val="Lijstalinea"/>
        <w:numPr>
          <w:ilvl w:val="0"/>
          <w:numId w:val="1"/>
        </w:numPr>
      </w:pPr>
      <w:r w:rsidRPr="009C09F0">
        <w:lastRenderedPageBreak/>
        <w:t>bouwmaterialen</w:t>
      </w:r>
      <w:r w:rsidRPr="009C09F0" w:rsidR="00A12DA9">
        <w:t>industrie</w:t>
      </w:r>
      <w:r w:rsidRPr="009C09F0" w:rsidR="001F7409">
        <w:t xml:space="preserve">  </w:t>
      </w:r>
    </w:p>
    <w:p w:rsidRPr="009C09F0" w:rsidR="00713B0D" w:rsidP="00713B0D" w:rsidRDefault="00496B07" w14:paraId="17135941" w14:textId="650BB215">
      <w:pPr>
        <w:pStyle w:val="Lijstalinea"/>
        <w:numPr>
          <w:ilvl w:val="0"/>
          <w:numId w:val="1"/>
        </w:numPr>
      </w:pPr>
      <w:r w:rsidRPr="009C09F0">
        <w:t>basismetaal</w:t>
      </w:r>
      <w:r w:rsidRPr="009C09F0" w:rsidR="00A12DA9">
        <w:t>industrie</w:t>
      </w:r>
      <w:r w:rsidRPr="009C09F0">
        <w:t xml:space="preserve"> </w:t>
      </w:r>
    </w:p>
    <w:p w:rsidRPr="009C09F0" w:rsidR="00713B0D" w:rsidP="00713B0D" w:rsidRDefault="008846FE" w14:paraId="7318D29F" w14:textId="1E491C04">
      <w:pPr>
        <w:pStyle w:val="Lijstalinea"/>
        <w:numPr>
          <w:ilvl w:val="0"/>
          <w:numId w:val="1"/>
        </w:numPr>
      </w:pPr>
      <w:r w:rsidRPr="009C09F0">
        <w:t>metaalproducten</w:t>
      </w:r>
      <w:r w:rsidRPr="009C09F0" w:rsidR="00A12DA9">
        <w:t>industrie</w:t>
      </w:r>
      <w:r w:rsidRPr="009C09F0">
        <w:t xml:space="preserve"> </w:t>
      </w:r>
    </w:p>
    <w:p w:rsidRPr="009C09F0" w:rsidR="00713B0D" w:rsidP="00713B0D" w:rsidRDefault="00163F36" w14:paraId="2FBE8754" w14:textId="4196D3F8">
      <w:pPr>
        <w:pStyle w:val="Lijstalinea"/>
        <w:numPr>
          <w:ilvl w:val="0"/>
          <w:numId w:val="1"/>
        </w:numPr>
      </w:pPr>
      <w:r w:rsidRPr="009C09F0">
        <w:t>elektrotechnische</w:t>
      </w:r>
      <w:r w:rsidRPr="009C09F0" w:rsidR="00A12DA9">
        <w:t xml:space="preserve"> industrie</w:t>
      </w:r>
      <w:r w:rsidRPr="009C09F0" w:rsidR="00D01122">
        <w:t xml:space="preserve"> </w:t>
      </w:r>
    </w:p>
    <w:p w:rsidRPr="009C09F0" w:rsidR="00713B0D" w:rsidP="00713B0D" w:rsidRDefault="009D790A" w14:paraId="68ADC548" w14:textId="7F09BAD6">
      <w:pPr>
        <w:pStyle w:val="Lijstalinea"/>
        <w:numPr>
          <w:ilvl w:val="0"/>
          <w:numId w:val="1"/>
        </w:numPr>
      </w:pPr>
      <w:r w:rsidRPr="009C09F0">
        <w:t>elektrische apparat</w:t>
      </w:r>
      <w:r w:rsidRPr="009C09F0" w:rsidR="00F72CEC">
        <w:t>enindustrie</w:t>
      </w:r>
      <w:r w:rsidRPr="009C09F0">
        <w:t xml:space="preserve"> </w:t>
      </w:r>
    </w:p>
    <w:p w:rsidRPr="009C09F0" w:rsidR="00713B0D" w:rsidP="00713B0D" w:rsidRDefault="006E3919" w14:paraId="0CDB2131" w14:textId="1EB8FB07">
      <w:pPr>
        <w:pStyle w:val="Lijstalinea"/>
        <w:numPr>
          <w:ilvl w:val="0"/>
          <w:numId w:val="1"/>
        </w:numPr>
      </w:pPr>
      <w:r w:rsidRPr="009C09F0">
        <w:t>machine</w:t>
      </w:r>
      <w:r w:rsidRPr="009C09F0" w:rsidR="00F72CEC">
        <w:t>-industrie</w:t>
      </w:r>
      <w:r w:rsidRPr="009C09F0">
        <w:t xml:space="preserve"> </w:t>
      </w:r>
    </w:p>
    <w:p w:rsidRPr="009C09F0" w:rsidR="00713B0D" w:rsidP="00713B0D" w:rsidRDefault="00462239" w14:paraId="3A949FCF" w14:textId="7105C5CB">
      <w:pPr>
        <w:pStyle w:val="Lijstalinea"/>
        <w:numPr>
          <w:ilvl w:val="0"/>
          <w:numId w:val="1"/>
        </w:numPr>
      </w:pPr>
      <w:r w:rsidRPr="009C09F0">
        <w:t>auto</w:t>
      </w:r>
      <w:r w:rsidRPr="009C09F0" w:rsidR="00F72CEC">
        <w:t xml:space="preserve">-industrie </w:t>
      </w:r>
    </w:p>
    <w:p w:rsidRPr="009C09F0" w:rsidR="00713B0D" w:rsidP="00713B0D" w:rsidRDefault="005E1BC0" w14:paraId="3C19E498" w14:textId="221859E7">
      <w:pPr>
        <w:pStyle w:val="Lijstalinea"/>
        <w:numPr>
          <w:ilvl w:val="0"/>
          <w:numId w:val="1"/>
        </w:numPr>
      </w:pPr>
      <w:r w:rsidRPr="009C09F0">
        <w:t>overige transportmiddelen</w:t>
      </w:r>
      <w:r w:rsidRPr="009C09F0" w:rsidR="005443A6">
        <w:t xml:space="preserve">industrie </w:t>
      </w:r>
    </w:p>
    <w:p w:rsidRPr="009C09F0" w:rsidR="00713B0D" w:rsidP="00713B0D" w:rsidRDefault="00D33DC1" w14:paraId="5B6168C5" w14:textId="1B3DA57F">
      <w:pPr>
        <w:pStyle w:val="Lijstalinea"/>
        <w:numPr>
          <w:ilvl w:val="0"/>
          <w:numId w:val="1"/>
        </w:numPr>
      </w:pPr>
      <w:r w:rsidRPr="009C09F0">
        <w:t xml:space="preserve">en </w:t>
      </w:r>
      <w:r w:rsidRPr="009C09F0" w:rsidR="009162AE">
        <w:t xml:space="preserve">overige </w:t>
      </w:r>
      <w:r w:rsidRPr="009C09F0" w:rsidR="00A12DA9">
        <w:t xml:space="preserve">industrie </w:t>
      </w:r>
    </w:p>
    <w:p w:rsidRPr="009C09F0" w:rsidR="003F54BB" w:rsidP="00713B0D" w:rsidRDefault="00FF6520" w14:paraId="7141937D" w14:textId="347C09A2">
      <w:r w:rsidRPr="009C09F0">
        <w:t xml:space="preserve">Deze gegevens </w:t>
      </w:r>
      <w:r w:rsidRPr="009C09F0" w:rsidR="00DC25D4">
        <w:t>zijn op gedetailleerd (SBI4)</w:t>
      </w:r>
      <w:r w:rsidRPr="009C09F0">
        <w:t xml:space="preserve"> niveau</w:t>
      </w:r>
      <w:r w:rsidRPr="009C09F0" w:rsidR="009B5A8C">
        <w:t xml:space="preserve"> </w:t>
      </w:r>
      <w:r w:rsidR="000B250C">
        <w:t xml:space="preserve">vastgesteld </w:t>
      </w:r>
      <w:r w:rsidRPr="009C09F0" w:rsidR="009B5A8C">
        <w:t xml:space="preserve">met data uit 2023 van het Centraal Bureau voor de Statistiek (CBS). Dat is de meest specifieke en nauwkeurige categorie binnen de </w:t>
      </w:r>
      <w:hyperlink w:tgtFrame="_blank" w:history="1" r:id="rId7">
        <w:r w:rsidRPr="009C09F0" w:rsidR="009B5A8C">
          <w:rPr>
            <w:rStyle w:val="Hyperlink"/>
          </w:rPr>
          <w:t>Standaard Bedrijfsindeling (SBI)</w:t>
        </w:r>
      </w:hyperlink>
      <w:r w:rsidRPr="009C09F0" w:rsidR="009B5A8C">
        <w:t xml:space="preserve"> van het CBS. </w:t>
      </w:r>
      <w:r w:rsidRPr="009C09F0">
        <w:t xml:space="preserve"> </w:t>
      </w:r>
    </w:p>
    <w:p w:rsidRPr="009C09F0" w:rsidR="00FF6520" w:rsidP="00FF6520" w:rsidRDefault="00EE55AE" w14:paraId="301EB373" w14:textId="64395F47">
      <w:r>
        <w:t>H</w:t>
      </w:r>
      <w:r w:rsidR="00F621CB">
        <w:t xml:space="preserve">et </w:t>
      </w:r>
      <w:r w:rsidRPr="00B21854" w:rsidR="007518B5">
        <w:t xml:space="preserve">NMO </w:t>
      </w:r>
      <w:r w:rsidR="000B250C">
        <w:t xml:space="preserve">adviseert op basis van deze argumenten de volgende grondstoffen op te nemen op </w:t>
      </w:r>
      <w:r w:rsidRPr="00B21854" w:rsidR="007518B5">
        <w:t>de NK</w:t>
      </w:r>
      <w:r w:rsidR="00F621CB">
        <w:t>G.</w:t>
      </w:r>
      <w:r w:rsidRPr="00B21854" w:rsidR="007518B5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77"/>
      </w:tblGrid>
      <w:tr w:rsidRPr="009C09F0" w:rsidR="00244656" w:rsidTr="007B43BC" w14:paraId="5CEC7ED1" w14:textId="35469C59">
        <w:trPr>
          <w:trHeight w:val="320"/>
        </w:trPr>
        <w:tc>
          <w:tcPr>
            <w:tcW w:w="1980" w:type="dxa"/>
            <w:noWrap/>
            <w:vAlign w:val="center"/>
            <w:hideMark/>
          </w:tcPr>
          <w:p w:rsidRPr="009C09F0" w:rsidR="00244656" w:rsidP="00244656" w:rsidRDefault="00244656" w14:paraId="24D71E1E" w14:textId="1CB8B52E">
            <w:pPr>
              <w:rPr>
                <w:vertAlign w:val="superscript"/>
              </w:rPr>
            </w:pPr>
            <w:proofErr w:type="spellStart"/>
            <w:r w:rsidRPr="009C09F0">
              <w:t>Bismut</w:t>
            </w:r>
            <w:r w:rsidRPr="009C09F0">
              <w:rPr>
                <w:vertAlign w:val="superscript"/>
              </w:rPr>
              <w:t>o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:rsidRPr="009C09F0" w:rsidR="00244656" w:rsidP="00244656" w:rsidRDefault="00244656" w14:paraId="6BAB287B" w14:textId="6AAE8DCD">
            <w:pPr>
              <w:rPr>
                <w:vertAlign w:val="superscript"/>
              </w:rPr>
            </w:pPr>
            <w:proofErr w:type="spellStart"/>
            <w:r w:rsidRPr="009C09F0">
              <w:t>Germanium</w:t>
            </w:r>
            <w:r w:rsidRPr="009C09F0">
              <w:rPr>
                <w:vertAlign w:val="superscript"/>
              </w:rPr>
              <w:t>o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:rsidRPr="009C09F0" w:rsidR="00244656" w:rsidP="00244656" w:rsidRDefault="00244656" w14:paraId="203CF0BE" w14:textId="1236CDD5">
            <w:pPr>
              <w:rPr>
                <w:vertAlign w:val="superscript"/>
              </w:rPr>
            </w:pPr>
            <w:r w:rsidRPr="009C09F0">
              <w:t>Magnesium (metaal)</w:t>
            </w:r>
            <w:r w:rsidRPr="009C09F0">
              <w:rPr>
                <w:vertAlign w:val="superscript"/>
              </w:rPr>
              <w:t>o</w:t>
            </w:r>
          </w:p>
        </w:tc>
        <w:tc>
          <w:tcPr>
            <w:tcW w:w="1979" w:type="dxa"/>
            <w:vAlign w:val="center"/>
          </w:tcPr>
          <w:p w:rsidRPr="009C09F0" w:rsidR="00244656" w:rsidP="00244656" w:rsidRDefault="00244656" w14:paraId="70E8CB62" w14:textId="5767E192">
            <w:r w:rsidRPr="009C09F0">
              <w:t>Silicium-</w:t>
            </w:r>
            <w:proofErr w:type="spellStart"/>
            <w:r w:rsidRPr="009C09F0">
              <w:t>metaal</w:t>
            </w:r>
            <w:r w:rsidRPr="009C09F0">
              <w:rPr>
                <w:vertAlign w:val="superscript"/>
              </w:rPr>
              <w:t>o</w:t>
            </w:r>
            <w:proofErr w:type="spellEnd"/>
          </w:p>
        </w:tc>
      </w:tr>
      <w:tr w:rsidRPr="009C09F0" w:rsidR="00244656" w:rsidTr="007B43BC" w14:paraId="42478212" w14:textId="1C3F7AC9">
        <w:trPr>
          <w:trHeight w:val="320"/>
        </w:trPr>
        <w:tc>
          <w:tcPr>
            <w:tcW w:w="1980" w:type="dxa"/>
            <w:noWrap/>
            <w:vAlign w:val="center"/>
            <w:hideMark/>
          </w:tcPr>
          <w:p w:rsidRPr="009C09F0" w:rsidR="00244656" w:rsidP="00244656" w:rsidRDefault="00244656" w14:paraId="77C9F0F0" w14:textId="5482E3A8">
            <w:pPr>
              <w:rPr>
                <w:vertAlign w:val="superscript"/>
              </w:rPr>
            </w:pPr>
            <w:proofErr w:type="spellStart"/>
            <w:r w:rsidRPr="009C09F0">
              <w:t>Coking</w:t>
            </w:r>
            <w:proofErr w:type="spellEnd"/>
            <w:r w:rsidRPr="009C09F0">
              <w:t xml:space="preserve"> </w:t>
            </w:r>
            <w:proofErr w:type="spellStart"/>
            <w:r w:rsidRPr="009C09F0">
              <w:t>Coal</w:t>
            </w:r>
            <w:r w:rsidRPr="009C09F0">
              <w:rPr>
                <w:vertAlign w:val="superscript"/>
              </w:rPr>
              <w:t>o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:rsidRPr="009C09F0" w:rsidR="00244656" w:rsidP="00244656" w:rsidRDefault="00244656" w14:paraId="192D1F4D" w14:textId="70E95DE3">
            <w:r w:rsidRPr="009C09F0">
              <w:t>(Natuurlijk) grafiet</w:t>
            </w:r>
          </w:p>
        </w:tc>
        <w:tc>
          <w:tcPr>
            <w:tcW w:w="2552" w:type="dxa"/>
            <w:noWrap/>
            <w:vAlign w:val="center"/>
          </w:tcPr>
          <w:p w:rsidRPr="009C09F0" w:rsidR="00244656" w:rsidP="00244656" w:rsidRDefault="00244656" w14:paraId="7316870A" w14:textId="5B831442">
            <w:r w:rsidRPr="009C09F0">
              <w:t>Niobium</w:t>
            </w:r>
          </w:p>
        </w:tc>
        <w:tc>
          <w:tcPr>
            <w:tcW w:w="1979" w:type="dxa"/>
            <w:vAlign w:val="center"/>
          </w:tcPr>
          <w:p w:rsidRPr="009C09F0" w:rsidR="00244656" w:rsidP="00244656" w:rsidRDefault="00244656" w14:paraId="4A5623BF" w14:textId="47457388">
            <w:r w:rsidRPr="009C09F0">
              <w:t>Vanadium</w:t>
            </w:r>
          </w:p>
        </w:tc>
      </w:tr>
      <w:tr w:rsidRPr="009C09F0" w:rsidR="00244656" w:rsidTr="007B43BC" w14:paraId="5A6EF3A4" w14:textId="7E11080D">
        <w:trPr>
          <w:trHeight w:val="320"/>
        </w:trPr>
        <w:tc>
          <w:tcPr>
            <w:tcW w:w="1980" w:type="dxa"/>
            <w:noWrap/>
            <w:vAlign w:val="center"/>
          </w:tcPr>
          <w:p w:rsidRPr="009C09F0" w:rsidR="00244656" w:rsidP="00244656" w:rsidRDefault="00821B48" w14:paraId="4C55B4B2" w14:textId="70CF51A6">
            <w:pPr>
              <w:rPr>
                <w:vertAlign w:val="superscript"/>
              </w:rPr>
            </w:pPr>
            <w:r>
              <w:t>Fluorspar</w:t>
            </w:r>
          </w:p>
        </w:tc>
        <w:tc>
          <w:tcPr>
            <w:tcW w:w="2551" w:type="dxa"/>
            <w:noWrap/>
            <w:vAlign w:val="center"/>
          </w:tcPr>
          <w:p w:rsidRPr="009C09F0" w:rsidR="00244656" w:rsidP="00244656" w:rsidRDefault="00244656" w14:paraId="0F01E76F" w14:textId="43C3BA30">
            <w:r w:rsidRPr="009C09F0">
              <w:t>Kobalt</w:t>
            </w:r>
          </w:p>
        </w:tc>
        <w:tc>
          <w:tcPr>
            <w:tcW w:w="2552" w:type="dxa"/>
            <w:noWrap/>
            <w:vAlign w:val="center"/>
          </w:tcPr>
          <w:p w:rsidRPr="009C09F0" w:rsidR="00244656" w:rsidP="00244656" w:rsidRDefault="00244656" w14:paraId="57184DD6" w14:textId="4EAD0470">
            <w:r w:rsidRPr="009C09F0">
              <w:t>Platinagroep-</w:t>
            </w:r>
            <w:proofErr w:type="spellStart"/>
            <w:r w:rsidRPr="009C09F0">
              <w:t>metalen</w:t>
            </w:r>
            <w:r w:rsidRPr="009C09F0">
              <w:rPr>
                <w:vertAlign w:val="superscript"/>
              </w:rPr>
              <w:t>o</w:t>
            </w:r>
            <w:proofErr w:type="spellEnd"/>
          </w:p>
        </w:tc>
        <w:tc>
          <w:tcPr>
            <w:tcW w:w="1979" w:type="dxa"/>
            <w:vAlign w:val="center"/>
          </w:tcPr>
          <w:p w:rsidRPr="009C09F0" w:rsidR="00244656" w:rsidP="00244656" w:rsidRDefault="00244656" w14:paraId="6E6EC9B0" w14:textId="4E6E0BE9">
            <w:r w:rsidRPr="009C09F0">
              <w:t>Wolfraam</w:t>
            </w:r>
          </w:p>
        </w:tc>
      </w:tr>
      <w:tr w:rsidRPr="009C09F0" w:rsidR="00821B48" w:rsidTr="007B43BC" w14:paraId="0F9FBDA2" w14:textId="1E70E55B">
        <w:trPr>
          <w:trHeight w:val="320"/>
        </w:trPr>
        <w:tc>
          <w:tcPr>
            <w:tcW w:w="1980" w:type="dxa"/>
            <w:noWrap/>
            <w:vAlign w:val="center"/>
          </w:tcPr>
          <w:p w:rsidRPr="009C09F0" w:rsidR="00821B48" w:rsidP="00821B48" w:rsidRDefault="00821B48" w14:paraId="14525689" w14:textId="24BC8852">
            <w:proofErr w:type="spellStart"/>
            <w:r w:rsidRPr="009C09F0">
              <w:t>Fosfor</w:t>
            </w:r>
            <w:r w:rsidRPr="009C09F0">
              <w:rPr>
                <w:vertAlign w:val="superscript"/>
              </w:rPr>
              <w:t>o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:rsidRPr="009C09F0" w:rsidR="00821B48" w:rsidP="00821B48" w:rsidRDefault="00821B48" w14:paraId="35CE8A2E" w14:textId="0D63AAE6">
            <w:pPr>
              <w:rPr>
                <w:vertAlign w:val="superscript"/>
              </w:rPr>
            </w:pPr>
            <w:proofErr w:type="spellStart"/>
            <w:r w:rsidRPr="009C09F0">
              <w:t>Lithium</w:t>
            </w:r>
            <w:r w:rsidRPr="009C09F0">
              <w:rPr>
                <w:vertAlign w:val="superscript"/>
              </w:rPr>
              <w:t>o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:rsidRPr="009C09F0" w:rsidR="00821B48" w:rsidP="00821B48" w:rsidRDefault="00821B48" w14:paraId="4F97DA55" w14:textId="76A8BF69">
            <w:r w:rsidRPr="009C09F0">
              <w:t>Scandium</w:t>
            </w:r>
            <w:r w:rsidRPr="009C09F0">
              <w:rPr>
                <w:vertAlign w:val="superscript"/>
              </w:rPr>
              <w:t>0</w:t>
            </w:r>
          </w:p>
        </w:tc>
        <w:tc>
          <w:tcPr>
            <w:tcW w:w="1979" w:type="dxa"/>
            <w:vAlign w:val="center"/>
          </w:tcPr>
          <w:p w:rsidRPr="009C09F0" w:rsidR="00821B48" w:rsidP="00821B48" w:rsidRDefault="00821B48" w14:paraId="6C1BA068" w14:textId="6ECBCBDF">
            <w:r w:rsidRPr="009C09F0">
              <w:t>Zeldzame aardmetalen</w:t>
            </w:r>
          </w:p>
        </w:tc>
      </w:tr>
      <w:tr w:rsidRPr="009C09F0" w:rsidR="00821B48" w:rsidTr="007B43BC" w14:paraId="1D3090E0" w14:textId="77777777">
        <w:trPr>
          <w:trHeight w:val="320"/>
        </w:trPr>
        <w:tc>
          <w:tcPr>
            <w:tcW w:w="1980" w:type="dxa"/>
            <w:noWrap/>
            <w:vAlign w:val="center"/>
          </w:tcPr>
          <w:p w:rsidRPr="009C09F0" w:rsidR="00821B48" w:rsidP="00821B48" w:rsidRDefault="00821B48" w14:paraId="1125ED8E" w14:textId="0014C392">
            <w:r w:rsidRPr="009C09F0">
              <w:t>Gallium</w:t>
            </w:r>
            <w:r w:rsidRPr="009C09F0">
              <w:rPr>
                <w:vertAlign w:val="superscript"/>
              </w:rPr>
              <w:t>0</w:t>
            </w:r>
          </w:p>
        </w:tc>
        <w:tc>
          <w:tcPr>
            <w:tcW w:w="2551" w:type="dxa"/>
            <w:noWrap/>
            <w:vAlign w:val="center"/>
          </w:tcPr>
          <w:p w:rsidRPr="009C09F0" w:rsidR="00821B48" w:rsidP="00821B48" w:rsidRDefault="00821B48" w14:paraId="77172C1C" w14:textId="77777777"/>
        </w:tc>
        <w:tc>
          <w:tcPr>
            <w:tcW w:w="2552" w:type="dxa"/>
            <w:noWrap/>
            <w:vAlign w:val="center"/>
          </w:tcPr>
          <w:p w:rsidRPr="009C09F0" w:rsidR="00821B48" w:rsidP="00821B48" w:rsidRDefault="00821B48" w14:paraId="4F0431F8" w14:textId="77777777"/>
        </w:tc>
        <w:tc>
          <w:tcPr>
            <w:tcW w:w="1979" w:type="dxa"/>
            <w:vAlign w:val="center"/>
          </w:tcPr>
          <w:p w:rsidRPr="009C09F0" w:rsidR="00821B48" w:rsidP="00821B48" w:rsidRDefault="00821B48" w14:paraId="6EFDE469" w14:textId="77777777"/>
        </w:tc>
      </w:tr>
    </w:tbl>
    <w:p w:rsidRPr="009C09F0" w:rsidR="000925C4" w:rsidRDefault="00FF6520" w14:paraId="7B430495" w14:textId="03F7A872">
      <w:r w:rsidRPr="009C09F0">
        <w:rPr>
          <w:sz w:val="20"/>
          <w:szCs w:val="20"/>
          <w:vertAlign w:val="superscript"/>
        </w:rPr>
        <w:t xml:space="preserve">o </w:t>
      </w:r>
      <w:r w:rsidRPr="009C09F0">
        <w:rPr>
          <w:sz w:val="20"/>
          <w:szCs w:val="20"/>
        </w:rPr>
        <w:t xml:space="preserve">Grondstoffen die </w:t>
      </w:r>
      <w:proofErr w:type="spellStart"/>
      <w:r w:rsidRPr="009C09F0">
        <w:rPr>
          <w:sz w:val="20"/>
          <w:szCs w:val="20"/>
        </w:rPr>
        <w:t>a.g.v.</w:t>
      </w:r>
      <w:proofErr w:type="spellEnd"/>
      <w:r w:rsidRPr="009C09F0">
        <w:rPr>
          <w:sz w:val="20"/>
          <w:szCs w:val="20"/>
        </w:rPr>
        <w:t xml:space="preserve"> de processingfase als kritiek worden bestempeld.</w:t>
      </w:r>
      <w:r w:rsidRPr="009C09F0" w:rsidR="00A533C4">
        <w:rPr>
          <w:sz w:val="20"/>
          <w:szCs w:val="20"/>
        </w:rPr>
        <w:t xml:space="preserve"> De overige materialen zijn krit</w:t>
      </w:r>
      <w:r w:rsidRPr="009C09F0" w:rsidR="00B809D9">
        <w:rPr>
          <w:sz w:val="20"/>
          <w:szCs w:val="20"/>
        </w:rPr>
        <w:t>i</w:t>
      </w:r>
      <w:r w:rsidRPr="009C09F0" w:rsidR="00A533C4">
        <w:rPr>
          <w:sz w:val="20"/>
          <w:szCs w:val="20"/>
        </w:rPr>
        <w:t xml:space="preserve">ek op basis van de </w:t>
      </w:r>
      <w:r w:rsidRPr="009C09F0" w:rsidR="00B809D9">
        <w:rPr>
          <w:sz w:val="20"/>
          <w:szCs w:val="20"/>
        </w:rPr>
        <w:t>(land)-</w:t>
      </w:r>
      <w:r w:rsidRPr="009C09F0" w:rsidR="00A533C4">
        <w:rPr>
          <w:sz w:val="20"/>
          <w:szCs w:val="20"/>
        </w:rPr>
        <w:t>concentratie van primaire winning.</w:t>
      </w:r>
      <w:r w:rsidRPr="009C09F0">
        <w:rPr>
          <w:sz w:val="20"/>
          <w:szCs w:val="20"/>
        </w:rPr>
        <w:br/>
      </w:r>
    </w:p>
    <w:sectPr w:rsidRPr="009C09F0" w:rsidR="000925C4" w:rsidSect="00220CDF">
      <w:headerReference w:type="default" r:id="rId8"/>
      <w:footerReference w:type="even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DF21" w14:textId="77777777" w:rsidR="00C53AD7" w:rsidRDefault="00C53AD7" w:rsidP="00587401">
      <w:pPr>
        <w:spacing w:after="0" w:line="240" w:lineRule="auto"/>
      </w:pPr>
      <w:r>
        <w:separator/>
      </w:r>
    </w:p>
  </w:endnote>
  <w:endnote w:type="continuationSeparator" w:id="0">
    <w:p w14:paraId="45532C5F" w14:textId="77777777" w:rsidR="00C53AD7" w:rsidRDefault="00C53AD7" w:rsidP="0058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S Me Pro Light">
    <w:altName w:val="Calibri"/>
    <w:panose1 w:val="00000000000000000000"/>
    <w:charset w:val="00"/>
    <w:family w:val="modern"/>
    <w:notTrueType/>
    <w:pitch w:val="variable"/>
    <w:sig w:usb0="A00002EF" w:usb1="4000606A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605E" w14:textId="63D01609" w:rsidR="00220CDF" w:rsidRDefault="00220C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B75E47" wp14:editId="71A88E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70205"/>
              <wp:effectExtent l="0" t="0" r="2540" b="0"/>
              <wp:wrapNone/>
              <wp:docPr id="1651505281" name="Tekstvak 2" descr="Intern gebruik">
                <a:extLst xmlns:a="http://schemas.openxmlformats.org/drawingml/2006/main">
                  <a:ext uri="{FF2B5EF4-FFF2-40B4-BE49-F238E27FC236}">
                    <a16:creationId xmlns:a16="http://schemas.microsoft.com/office/drawing/2014/main" id="{15A126B0-E95B-4B19-A3BC-CD2C23F15C1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D399D" w14:textId="77777777" w:rsidR="00220CDF" w:rsidRPr="009C09F0" w:rsidRDefault="00220CDF" w:rsidP="009C09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09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75E4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" filled="f" stroked="f">
              <v:textbox style="mso-fit-shape-to-text:t" inset="20pt,0,0,15pt">
                <w:txbxContent>
                  <w:p w14:paraId="12BD399D" w14:textId="77777777" w:rsidR="00220CDF" w:rsidRPr="009C09F0" w:rsidRDefault="00220CDF" w:rsidP="009C09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09F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59A1" w14:textId="75FD133A" w:rsidR="00220CDF" w:rsidRDefault="00220C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7B3441" wp14:editId="549068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70205"/>
              <wp:effectExtent l="0" t="0" r="2540" b="0"/>
              <wp:wrapNone/>
              <wp:docPr id="2073863109" name="Tekstvak 1" descr="Intern gebruik">
                <a:extLst xmlns:a="http://schemas.openxmlformats.org/drawingml/2006/main">
                  <a:ext uri="{FF2B5EF4-FFF2-40B4-BE49-F238E27FC236}">
                    <a16:creationId xmlns:a16="http://schemas.microsoft.com/office/drawing/2014/main" id="{DB7B2ED5-A981-46ED-9EEA-D739884C331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2837B" w14:textId="77777777" w:rsidR="00220CDF" w:rsidRPr="009C09F0" w:rsidRDefault="00220CDF" w:rsidP="009C09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09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B344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9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" filled="f" stroked="f">
              <v:textbox style="mso-fit-shape-to-text:t" inset="20pt,0,0,15pt">
                <w:txbxContent>
                  <w:p w14:paraId="4702837B" w14:textId="77777777" w:rsidR="00220CDF" w:rsidRPr="009C09F0" w:rsidRDefault="00220CDF" w:rsidP="009C09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C09F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1E9A" w14:textId="77777777" w:rsidR="00C53AD7" w:rsidRDefault="00C53AD7" w:rsidP="00587401">
      <w:pPr>
        <w:spacing w:after="0" w:line="240" w:lineRule="auto"/>
      </w:pPr>
      <w:r>
        <w:separator/>
      </w:r>
    </w:p>
  </w:footnote>
  <w:footnote w:type="continuationSeparator" w:id="0">
    <w:p w14:paraId="719D1127" w14:textId="77777777" w:rsidR="00C53AD7" w:rsidRDefault="00C53AD7" w:rsidP="0058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5900" w14:textId="3921E161" w:rsidR="00220CDF" w:rsidRDefault="00220CDF">
    <w:pPr>
      <w:pStyle w:val="Koptekst"/>
    </w:pPr>
    <w:r w:rsidRPr="009C09F0">
      <w:rPr>
        <w:noProof/>
      </w:rPr>
      <w:drawing>
        <wp:anchor distT="0" distB="0" distL="114300" distR="114300" simplePos="0" relativeHeight="251658243" behindDoc="1" locked="1" layoutInCell="1" allowOverlap="1" wp14:anchorId="2DEF3291" wp14:editId="4C73ACC2">
          <wp:simplePos x="0" y="0"/>
          <wp:positionH relativeFrom="page">
            <wp:posOffset>4957445</wp:posOffset>
          </wp:positionH>
          <wp:positionV relativeFrom="page">
            <wp:posOffset>239395</wp:posOffset>
          </wp:positionV>
          <wp:extent cx="2243455" cy="372110"/>
          <wp:effectExtent l="0" t="0" r="4445" b="8890"/>
          <wp:wrapNone/>
          <wp:docPr id="826417291" name="Afbeelding 5">
            <a:extLst xmlns:a="http://schemas.openxmlformats.org/drawingml/2006/main">
              <a:ext uri="{FF2B5EF4-FFF2-40B4-BE49-F238E27FC236}">
                <a16:creationId xmlns:a16="http://schemas.microsoft.com/office/drawing/2014/main" id="{789CDFC1-D78A-41A0-9927-2359292198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88236" name="TNO Logo Blu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55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96F"/>
    <w:multiLevelType w:val="hybridMultilevel"/>
    <w:tmpl w:val="84C88D22"/>
    <w:lvl w:ilvl="0" w:tplc="BE24FA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1C8E"/>
    <w:multiLevelType w:val="hybridMultilevel"/>
    <w:tmpl w:val="5B2E5A00"/>
    <w:lvl w:ilvl="0" w:tplc="BE24FA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132E"/>
    <w:multiLevelType w:val="hybridMultilevel"/>
    <w:tmpl w:val="113EFDEA"/>
    <w:lvl w:ilvl="0" w:tplc="BE24FA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6FF7"/>
    <w:multiLevelType w:val="hybridMultilevel"/>
    <w:tmpl w:val="A3E2B9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716A2"/>
    <w:multiLevelType w:val="hybridMultilevel"/>
    <w:tmpl w:val="7DDA7E26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i w:val="0"/>
      </w:r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7A5E12"/>
    <w:multiLevelType w:val="hybridMultilevel"/>
    <w:tmpl w:val="8DD25064"/>
    <w:lvl w:ilvl="0" w:tplc="09B6E004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82750">
    <w:abstractNumId w:val="2"/>
  </w:num>
  <w:num w:numId="2" w16cid:durableId="1281566962">
    <w:abstractNumId w:val="5"/>
  </w:num>
  <w:num w:numId="3" w16cid:durableId="1888494763">
    <w:abstractNumId w:val="1"/>
  </w:num>
  <w:num w:numId="4" w16cid:durableId="1936554874">
    <w:abstractNumId w:val="4"/>
  </w:num>
  <w:num w:numId="5" w16cid:durableId="842359159">
    <w:abstractNumId w:val="3"/>
  </w:num>
  <w:num w:numId="6" w16cid:durableId="85183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C4"/>
    <w:rsid w:val="000017AE"/>
    <w:rsid w:val="00011849"/>
    <w:rsid w:val="00017628"/>
    <w:rsid w:val="00017FFD"/>
    <w:rsid w:val="000209F9"/>
    <w:rsid w:val="00023C26"/>
    <w:rsid w:val="000331B5"/>
    <w:rsid w:val="0003700C"/>
    <w:rsid w:val="00037010"/>
    <w:rsid w:val="00044E1F"/>
    <w:rsid w:val="00051997"/>
    <w:rsid w:val="00052F25"/>
    <w:rsid w:val="00056B5A"/>
    <w:rsid w:val="0006069E"/>
    <w:rsid w:val="000637C2"/>
    <w:rsid w:val="00064C4C"/>
    <w:rsid w:val="00070F33"/>
    <w:rsid w:val="000825B0"/>
    <w:rsid w:val="000829F4"/>
    <w:rsid w:val="00085D46"/>
    <w:rsid w:val="00091F7F"/>
    <w:rsid w:val="000925C4"/>
    <w:rsid w:val="000930BA"/>
    <w:rsid w:val="00094D24"/>
    <w:rsid w:val="00097FCB"/>
    <w:rsid w:val="000A3FD3"/>
    <w:rsid w:val="000B0977"/>
    <w:rsid w:val="000B250C"/>
    <w:rsid w:val="000B2DF8"/>
    <w:rsid w:val="000B4076"/>
    <w:rsid w:val="000B4791"/>
    <w:rsid w:val="000B77E7"/>
    <w:rsid w:val="000C3686"/>
    <w:rsid w:val="000C4ED1"/>
    <w:rsid w:val="000D0830"/>
    <w:rsid w:val="000F6C09"/>
    <w:rsid w:val="0011300D"/>
    <w:rsid w:val="001141CA"/>
    <w:rsid w:val="00122577"/>
    <w:rsid w:val="001342DF"/>
    <w:rsid w:val="001448CE"/>
    <w:rsid w:val="001452C0"/>
    <w:rsid w:val="001475EB"/>
    <w:rsid w:val="00155FA0"/>
    <w:rsid w:val="00161858"/>
    <w:rsid w:val="00163F36"/>
    <w:rsid w:val="001671BB"/>
    <w:rsid w:val="001779DB"/>
    <w:rsid w:val="00182EBE"/>
    <w:rsid w:val="0019237D"/>
    <w:rsid w:val="001A0A56"/>
    <w:rsid w:val="001A4255"/>
    <w:rsid w:val="001A4295"/>
    <w:rsid w:val="001B462E"/>
    <w:rsid w:val="001B6A5C"/>
    <w:rsid w:val="001C395D"/>
    <w:rsid w:val="001D46F8"/>
    <w:rsid w:val="001D51F7"/>
    <w:rsid w:val="001E2D52"/>
    <w:rsid w:val="001E4A6A"/>
    <w:rsid w:val="001F7409"/>
    <w:rsid w:val="0020092F"/>
    <w:rsid w:val="00220CDF"/>
    <w:rsid w:val="00222EE5"/>
    <w:rsid w:val="002311DE"/>
    <w:rsid w:val="002319F9"/>
    <w:rsid w:val="00233C26"/>
    <w:rsid w:val="002412D6"/>
    <w:rsid w:val="00242016"/>
    <w:rsid w:val="002426E9"/>
    <w:rsid w:val="00244656"/>
    <w:rsid w:val="00245923"/>
    <w:rsid w:val="00251569"/>
    <w:rsid w:val="00256682"/>
    <w:rsid w:val="002600C1"/>
    <w:rsid w:val="00262BCB"/>
    <w:rsid w:val="002662EA"/>
    <w:rsid w:val="002663CC"/>
    <w:rsid w:val="00272557"/>
    <w:rsid w:val="00274BC1"/>
    <w:rsid w:val="00281B6C"/>
    <w:rsid w:val="002908CA"/>
    <w:rsid w:val="002A25BE"/>
    <w:rsid w:val="002B2BB5"/>
    <w:rsid w:val="002B3162"/>
    <w:rsid w:val="002B67C2"/>
    <w:rsid w:val="002C21E4"/>
    <w:rsid w:val="002D2C9C"/>
    <w:rsid w:val="002D3ACB"/>
    <w:rsid w:val="002D4111"/>
    <w:rsid w:val="002E01E9"/>
    <w:rsid w:val="002E4818"/>
    <w:rsid w:val="002F5523"/>
    <w:rsid w:val="002F63D1"/>
    <w:rsid w:val="00301842"/>
    <w:rsid w:val="00301E33"/>
    <w:rsid w:val="0030640E"/>
    <w:rsid w:val="0031470D"/>
    <w:rsid w:val="00315A1C"/>
    <w:rsid w:val="003168ED"/>
    <w:rsid w:val="00316A44"/>
    <w:rsid w:val="003271AE"/>
    <w:rsid w:val="00327589"/>
    <w:rsid w:val="00345337"/>
    <w:rsid w:val="003534D7"/>
    <w:rsid w:val="00355C6B"/>
    <w:rsid w:val="003572FB"/>
    <w:rsid w:val="003A1D9A"/>
    <w:rsid w:val="003B45FB"/>
    <w:rsid w:val="003B5E26"/>
    <w:rsid w:val="003B7600"/>
    <w:rsid w:val="003C2E6F"/>
    <w:rsid w:val="003C7370"/>
    <w:rsid w:val="003D1768"/>
    <w:rsid w:val="003E26A5"/>
    <w:rsid w:val="003E5A92"/>
    <w:rsid w:val="003E68AA"/>
    <w:rsid w:val="003E7761"/>
    <w:rsid w:val="003F01FB"/>
    <w:rsid w:val="003F2529"/>
    <w:rsid w:val="003F308E"/>
    <w:rsid w:val="003F54BB"/>
    <w:rsid w:val="00403758"/>
    <w:rsid w:val="004074F2"/>
    <w:rsid w:val="00407D0F"/>
    <w:rsid w:val="00410C6E"/>
    <w:rsid w:val="00426FA7"/>
    <w:rsid w:val="00432752"/>
    <w:rsid w:val="00435233"/>
    <w:rsid w:val="004431D9"/>
    <w:rsid w:val="004469FF"/>
    <w:rsid w:val="0045097A"/>
    <w:rsid w:val="00451015"/>
    <w:rsid w:val="00451473"/>
    <w:rsid w:val="00460DE3"/>
    <w:rsid w:val="00462239"/>
    <w:rsid w:val="00465A00"/>
    <w:rsid w:val="00474006"/>
    <w:rsid w:val="00480423"/>
    <w:rsid w:val="00496B07"/>
    <w:rsid w:val="004A70C6"/>
    <w:rsid w:val="004B2A92"/>
    <w:rsid w:val="004C1AB6"/>
    <w:rsid w:val="004D1C86"/>
    <w:rsid w:val="004E2A52"/>
    <w:rsid w:val="004E3348"/>
    <w:rsid w:val="00513282"/>
    <w:rsid w:val="00526902"/>
    <w:rsid w:val="005443A6"/>
    <w:rsid w:val="00545924"/>
    <w:rsid w:val="00547E6F"/>
    <w:rsid w:val="00550937"/>
    <w:rsid w:val="00551164"/>
    <w:rsid w:val="005633A9"/>
    <w:rsid w:val="00570C78"/>
    <w:rsid w:val="00572175"/>
    <w:rsid w:val="00572FFF"/>
    <w:rsid w:val="005735A9"/>
    <w:rsid w:val="00573884"/>
    <w:rsid w:val="00573C11"/>
    <w:rsid w:val="00576303"/>
    <w:rsid w:val="00580E13"/>
    <w:rsid w:val="00582E34"/>
    <w:rsid w:val="00585951"/>
    <w:rsid w:val="00587401"/>
    <w:rsid w:val="00594E8C"/>
    <w:rsid w:val="005A2208"/>
    <w:rsid w:val="005A4AA6"/>
    <w:rsid w:val="005A60E6"/>
    <w:rsid w:val="005B6FCE"/>
    <w:rsid w:val="005B7B48"/>
    <w:rsid w:val="005C1385"/>
    <w:rsid w:val="005C584E"/>
    <w:rsid w:val="005D1D61"/>
    <w:rsid w:val="005D4DC6"/>
    <w:rsid w:val="005E1BC0"/>
    <w:rsid w:val="005E7639"/>
    <w:rsid w:val="005F2412"/>
    <w:rsid w:val="005F3DEE"/>
    <w:rsid w:val="00600D4C"/>
    <w:rsid w:val="00603068"/>
    <w:rsid w:val="00606B5F"/>
    <w:rsid w:val="00607531"/>
    <w:rsid w:val="006111CD"/>
    <w:rsid w:val="006126F8"/>
    <w:rsid w:val="00614567"/>
    <w:rsid w:val="00622EBC"/>
    <w:rsid w:val="00625A8F"/>
    <w:rsid w:val="0063247B"/>
    <w:rsid w:val="00642F27"/>
    <w:rsid w:val="00655D75"/>
    <w:rsid w:val="006567D3"/>
    <w:rsid w:val="00660933"/>
    <w:rsid w:val="006671B2"/>
    <w:rsid w:val="00670143"/>
    <w:rsid w:val="0068530E"/>
    <w:rsid w:val="00694330"/>
    <w:rsid w:val="006A37FC"/>
    <w:rsid w:val="006B02BD"/>
    <w:rsid w:val="006B7ED3"/>
    <w:rsid w:val="006E0859"/>
    <w:rsid w:val="006E3919"/>
    <w:rsid w:val="0070328B"/>
    <w:rsid w:val="007032FB"/>
    <w:rsid w:val="00713B0D"/>
    <w:rsid w:val="0071470E"/>
    <w:rsid w:val="0071524A"/>
    <w:rsid w:val="00723F62"/>
    <w:rsid w:val="0072615B"/>
    <w:rsid w:val="00730836"/>
    <w:rsid w:val="00732791"/>
    <w:rsid w:val="0073306D"/>
    <w:rsid w:val="0074342F"/>
    <w:rsid w:val="0075132E"/>
    <w:rsid w:val="007518B5"/>
    <w:rsid w:val="00752C8F"/>
    <w:rsid w:val="00752EDF"/>
    <w:rsid w:val="007531CC"/>
    <w:rsid w:val="00756128"/>
    <w:rsid w:val="00757567"/>
    <w:rsid w:val="007575C2"/>
    <w:rsid w:val="007653A5"/>
    <w:rsid w:val="007725DA"/>
    <w:rsid w:val="00774003"/>
    <w:rsid w:val="0077556B"/>
    <w:rsid w:val="00782280"/>
    <w:rsid w:val="00782683"/>
    <w:rsid w:val="007834B5"/>
    <w:rsid w:val="00791093"/>
    <w:rsid w:val="007A7617"/>
    <w:rsid w:val="007B43BC"/>
    <w:rsid w:val="007B64FE"/>
    <w:rsid w:val="007C35A7"/>
    <w:rsid w:val="007C5B9D"/>
    <w:rsid w:val="007D0F37"/>
    <w:rsid w:val="007E0558"/>
    <w:rsid w:val="007E209A"/>
    <w:rsid w:val="007E770D"/>
    <w:rsid w:val="007F2D97"/>
    <w:rsid w:val="00800D2B"/>
    <w:rsid w:val="00804D3A"/>
    <w:rsid w:val="008055CF"/>
    <w:rsid w:val="00820A23"/>
    <w:rsid w:val="00821B48"/>
    <w:rsid w:val="008455D8"/>
    <w:rsid w:val="00845CB5"/>
    <w:rsid w:val="00847A67"/>
    <w:rsid w:val="008501B8"/>
    <w:rsid w:val="0085492F"/>
    <w:rsid w:val="008558EA"/>
    <w:rsid w:val="00855EC3"/>
    <w:rsid w:val="00863A93"/>
    <w:rsid w:val="00864379"/>
    <w:rsid w:val="00865D03"/>
    <w:rsid w:val="0086616A"/>
    <w:rsid w:val="00867126"/>
    <w:rsid w:val="008769E1"/>
    <w:rsid w:val="008775AA"/>
    <w:rsid w:val="00881F37"/>
    <w:rsid w:val="008846FE"/>
    <w:rsid w:val="0089072F"/>
    <w:rsid w:val="008A1DF7"/>
    <w:rsid w:val="008B20E4"/>
    <w:rsid w:val="008B6334"/>
    <w:rsid w:val="008B72B1"/>
    <w:rsid w:val="008C18CC"/>
    <w:rsid w:val="008C4C6C"/>
    <w:rsid w:val="008D295B"/>
    <w:rsid w:val="008D7C85"/>
    <w:rsid w:val="008E44B2"/>
    <w:rsid w:val="008E47A7"/>
    <w:rsid w:val="008F570F"/>
    <w:rsid w:val="009019D4"/>
    <w:rsid w:val="00901D1D"/>
    <w:rsid w:val="009028D9"/>
    <w:rsid w:val="0090535E"/>
    <w:rsid w:val="009137D9"/>
    <w:rsid w:val="00915E3F"/>
    <w:rsid w:val="009162AE"/>
    <w:rsid w:val="00930216"/>
    <w:rsid w:val="00941804"/>
    <w:rsid w:val="00947ABA"/>
    <w:rsid w:val="00950F02"/>
    <w:rsid w:val="00952933"/>
    <w:rsid w:val="00953352"/>
    <w:rsid w:val="00953E7F"/>
    <w:rsid w:val="00956257"/>
    <w:rsid w:val="009603A8"/>
    <w:rsid w:val="00967A2E"/>
    <w:rsid w:val="00971E31"/>
    <w:rsid w:val="009756A8"/>
    <w:rsid w:val="009763A2"/>
    <w:rsid w:val="009839DB"/>
    <w:rsid w:val="00987631"/>
    <w:rsid w:val="00995BF4"/>
    <w:rsid w:val="009B0B13"/>
    <w:rsid w:val="009B3AFA"/>
    <w:rsid w:val="009B5A8C"/>
    <w:rsid w:val="009C09F0"/>
    <w:rsid w:val="009C3516"/>
    <w:rsid w:val="009C3ECA"/>
    <w:rsid w:val="009C7E50"/>
    <w:rsid w:val="009D517E"/>
    <w:rsid w:val="009D790A"/>
    <w:rsid w:val="009E06D1"/>
    <w:rsid w:val="009E233D"/>
    <w:rsid w:val="009F2EDF"/>
    <w:rsid w:val="00A12C17"/>
    <w:rsid w:val="00A12DA9"/>
    <w:rsid w:val="00A168B8"/>
    <w:rsid w:val="00A47870"/>
    <w:rsid w:val="00A526F1"/>
    <w:rsid w:val="00A533C4"/>
    <w:rsid w:val="00A5669F"/>
    <w:rsid w:val="00A57697"/>
    <w:rsid w:val="00A57A2F"/>
    <w:rsid w:val="00A61566"/>
    <w:rsid w:val="00A677F8"/>
    <w:rsid w:val="00A75CEB"/>
    <w:rsid w:val="00A80F74"/>
    <w:rsid w:val="00A84EF0"/>
    <w:rsid w:val="00A864C0"/>
    <w:rsid w:val="00A90F8C"/>
    <w:rsid w:val="00AA2A30"/>
    <w:rsid w:val="00AA6AB9"/>
    <w:rsid w:val="00AB159D"/>
    <w:rsid w:val="00AB6BA3"/>
    <w:rsid w:val="00AF49B0"/>
    <w:rsid w:val="00B02CF9"/>
    <w:rsid w:val="00B139B3"/>
    <w:rsid w:val="00B14E30"/>
    <w:rsid w:val="00B211A3"/>
    <w:rsid w:val="00B21854"/>
    <w:rsid w:val="00B2275C"/>
    <w:rsid w:val="00B32107"/>
    <w:rsid w:val="00B33D3D"/>
    <w:rsid w:val="00B404FC"/>
    <w:rsid w:val="00B43F7B"/>
    <w:rsid w:val="00B4624E"/>
    <w:rsid w:val="00B4673F"/>
    <w:rsid w:val="00B62BBB"/>
    <w:rsid w:val="00B66439"/>
    <w:rsid w:val="00B7101A"/>
    <w:rsid w:val="00B71AB3"/>
    <w:rsid w:val="00B75DA2"/>
    <w:rsid w:val="00B809D9"/>
    <w:rsid w:val="00B8562B"/>
    <w:rsid w:val="00B95236"/>
    <w:rsid w:val="00B96F00"/>
    <w:rsid w:val="00BB138A"/>
    <w:rsid w:val="00BC2DF5"/>
    <w:rsid w:val="00BC728C"/>
    <w:rsid w:val="00BD30D4"/>
    <w:rsid w:val="00BD3F6D"/>
    <w:rsid w:val="00BD42B2"/>
    <w:rsid w:val="00BD467E"/>
    <w:rsid w:val="00BD51DB"/>
    <w:rsid w:val="00BF1ABF"/>
    <w:rsid w:val="00BF7AEC"/>
    <w:rsid w:val="00C103A5"/>
    <w:rsid w:val="00C11004"/>
    <w:rsid w:val="00C13C8D"/>
    <w:rsid w:val="00C16450"/>
    <w:rsid w:val="00C22F8C"/>
    <w:rsid w:val="00C3164B"/>
    <w:rsid w:val="00C34AB4"/>
    <w:rsid w:val="00C441D8"/>
    <w:rsid w:val="00C46E82"/>
    <w:rsid w:val="00C5306B"/>
    <w:rsid w:val="00C53AD7"/>
    <w:rsid w:val="00C602D6"/>
    <w:rsid w:val="00C61610"/>
    <w:rsid w:val="00C61877"/>
    <w:rsid w:val="00C62827"/>
    <w:rsid w:val="00C6370D"/>
    <w:rsid w:val="00C85A66"/>
    <w:rsid w:val="00C92362"/>
    <w:rsid w:val="00C926A3"/>
    <w:rsid w:val="00C96768"/>
    <w:rsid w:val="00C96ECD"/>
    <w:rsid w:val="00CB013B"/>
    <w:rsid w:val="00CB1E4A"/>
    <w:rsid w:val="00CB3932"/>
    <w:rsid w:val="00CB725E"/>
    <w:rsid w:val="00CC21B8"/>
    <w:rsid w:val="00CD01E9"/>
    <w:rsid w:val="00CD2659"/>
    <w:rsid w:val="00CD3F64"/>
    <w:rsid w:val="00CD7181"/>
    <w:rsid w:val="00CE43BA"/>
    <w:rsid w:val="00CE47EE"/>
    <w:rsid w:val="00CE5CAF"/>
    <w:rsid w:val="00CF47B5"/>
    <w:rsid w:val="00D01122"/>
    <w:rsid w:val="00D025A0"/>
    <w:rsid w:val="00D05DCA"/>
    <w:rsid w:val="00D12608"/>
    <w:rsid w:val="00D12D39"/>
    <w:rsid w:val="00D25495"/>
    <w:rsid w:val="00D25FEC"/>
    <w:rsid w:val="00D33DC1"/>
    <w:rsid w:val="00D44EEF"/>
    <w:rsid w:val="00D560C3"/>
    <w:rsid w:val="00D57D96"/>
    <w:rsid w:val="00D6320B"/>
    <w:rsid w:val="00D670B8"/>
    <w:rsid w:val="00D70F78"/>
    <w:rsid w:val="00D73873"/>
    <w:rsid w:val="00D7391B"/>
    <w:rsid w:val="00D84859"/>
    <w:rsid w:val="00D86440"/>
    <w:rsid w:val="00D86CD1"/>
    <w:rsid w:val="00D90975"/>
    <w:rsid w:val="00D94579"/>
    <w:rsid w:val="00D95A1D"/>
    <w:rsid w:val="00DA4E06"/>
    <w:rsid w:val="00DA73DC"/>
    <w:rsid w:val="00DA7AEE"/>
    <w:rsid w:val="00DB7D41"/>
    <w:rsid w:val="00DC25D4"/>
    <w:rsid w:val="00DE21CC"/>
    <w:rsid w:val="00DF0D9C"/>
    <w:rsid w:val="00DF1D0D"/>
    <w:rsid w:val="00DF3BD6"/>
    <w:rsid w:val="00DF4D8D"/>
    <w:rsid w:val="00E20CA8"/>
    <w:rsid w:val="00E302E1"/>
    <w:rsid w:val="00E356AD"/>
    <w:rsid w:val="00E370B6"/>
    <w:rsid w:val="00E37262"/>
    <w:rsid w:val="00E40C2D"/>
    <w:rsid w:val="00E40DD8"/>
    <w:rsid w:val="00E5106D"/>
    <w:rsid w:val="00E53D06"/>
    <w:rsid w:val="00E57C3D"/>
    <w:rsid w:val="00E602BD"/>
    <w:rsid w:val="00E62CDE"/>
    <w:rsid w:val="00E6421D"/>
    <w:rsid w:val="00E65770"/>
    <w:rsid w:val="00E717F9"/>
    <w:rsid w:val="00E7489A"/>
    <w:rsid w:val="00E757A0"/>
    <w:rsid w:val="00E760A3"/>
    <w:rsid w:val="00E833E6"/>
    <w:rsid w:val="00E85650"/>
    <w:rsid w:val="00E92F40"/>
    <w:rsid w:val="00EA0DD5"/>
    <w:rsid w:val="00EB3EFA"/>
    <w:rsid w:val="00EC045E"/>
    <w:rsid w:val="00EC0859"/>
    <w:rsid w:val="00EC0C3B"/>
    <w:rsid w:val="00EC5094"/>
    <w:rsid w:val="00EE2422"/>
    <w:rsid w:val="00EE55AE"/>
    <w:rsid w:val="00F01CED"/>
    <w:rsid w:val="00F11B01"/>
    <w:rsid w:val="00F11CD3"/>
    <w:rsid w:val="00F16903"/>
    <w:rsid w:val="00F17744"/>
    <w:rsid w:val="00F24C65"/>
    <w:rsid w:val="00F323CB"/>
    <w:rsid w:val="00F42CBF"/>
    <w:rsid w:val="00F4636A"/>
    <w:rsid w:val="00F55F29"/>
    <w:rsid w:val="00F56163"/>
    <w:rsid w:val="00F60127"/>
    <w:rsid w:val="00F621CB"/>
    <w:rsid w:val="00F641EB"/>
    <w:rsid w:val="00F71972"/>
    <w:rsid w:val="00F71FA8"/>
    <w:rsid w:val="00F72CEC"/>
    <w:rsid w:val="00F877E3"/>
    <w:rsid w:val="00F90A75"/>
    <w:rsid w:val="00F94B03"/>
    <w:rsid w:val="00F9689B"/>
    <w:rsid w:val="00FA52CE"/>
    <w:rsid w:val="00FA76FE"/>
    <w:rsid w:val="00FD16CB"/>
    <w:rsid w:val="00FE0B86"/>
    <w:rsid w:val="00FF36E0"/>
    <w:rsid w:val="00FF6520"/>
    <w:rsid w:val="00FF7429"/>
    <w:rsid w:val="1BD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0B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25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25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25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25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25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25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25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25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25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25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25C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925C4"/>
    <w:pPr>
      <w:spacing w:after="0" w:line="260" w:lineRule="atLeast"/>
    </w:pPr>
    <w:rPr>
      <w:rFonts w:ascii="FS Me Pro Light" w:eastAsia="Times New Roman" w:hAnsi="FS Me Pro Light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7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7401"/>
  </w:style>
  <w:style w:type="paragraph" w:styleId="Voettekst">
    <w:name w:val="footer"/>
    <w:basedOn w:val="Standaard"/>
    <w:link w:val="VoettekstChar"/>
    <w:uiPriority w:val="99"/>
    <w:unhideWhenUsed/>
    <w:rsid w:val="00587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7401"/>
  </w:style>
  <w:style w:type="character" w:styleId="Verwijzingopmerking">
    <w:name w:val="annotation reference"/>
    <w:basedOn w:val="Standaardalinea-lettertype"/>
    <w:uiPriority w:val="99"/>
    <w:semiHidden/>
    <w:unhideWhenUsed/>
    <w:rsid w:val="00847A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7A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7A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7A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7A6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7A6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B5A8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5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goto?url=CAESkAEB7keqTarapDGmEg46s8Y3zrMpQcU9f7dqKFxiYXR_PGZ6HZO0BWyqSlzKdv-luPWi4EEfKwG2AdtwYkqjDN_haP7yyDA0EaCLRFfgKipt-d3HczWY9cdVglxJcXdrKuNNaGcaRlpkA45FPyjKkR-KOdDjrpyxv2aTYcSeVKyHfGuShjLE1dLyYLBZrF-i0Ts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560</ap:Words>
  <ap:Characters>3080</ap:Characters>
  <ap:DocSecurity>0</ap:DocSecurity>
  <ap:Lines>25</ap:Lines>
  <ap:Paragraphs>7</ap:Paragraphs>
  <ap:ScaleCrop>false</ap:ScaleCrop>
  <ap:LinksUpToDate>false</ap:LinksUpToDate>
  <ap:CharactersWithSpaces>3633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2026-06-25T10:37:00.0000000Z</dcterms:created>
  <dcterms:modified xsi:type="dcterms:W3CDTF">2026-06-25T10:38:00.0000000Z</dcterms:modified>
  <version/>
  <category/>
</coreProperties>
</file>