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Look w:val="07E0"/>
      </w:tblPr>
      <w:tblGrid>
        <w:gridCol w:w="2440"/>
        <w:gridCol w:w="5240"/>
      </w:tblGrid>
      <w:tr w14:paraId="7CDDCB21" w14:textId="77777777">
        <w:tblPrEx>
          <w:tblW w:w="0" w:type="auto"/>
          <w:tblLayout w:type="fixed"/>
          <w:tblLook w:val="07E0"/>
        </w:tblPrEx>
        <w:trPr>
          <w:trHeight w:val="200"/>
        </w:trPr>
        <w:tc>
          <w:tcPr>
            <w:tcW w:w="2440" w:type="dxa"/>
            <w:tcBorders>
              <w:bottom w:val="dotted" w:color="000000" w:sz="6" w:space="0"/>
            </w:tcBorders>
          </w:tcPr>
          <w:p w:rsidRPr="00F75FBF" w:rsidR="000C0DBA" w14:paraId="212F8CE1" w14:textId="77777777">
            <w:pPr>
              <w:rPr>
                <w:sz w:val="16"/>
                <w:szCs w:val="16"/>
              </w:rPr>
            </w:pPr>
          </w:p>
        </w:tc>
        <w:tc>
          <w:tcPr>
            <w:tcW w:w="5240" w:type="dxa"/>
            <w:tcBorders>
              <w:bottom w:val="dotted" w:color="000000" w:sz="6" w:space="0"/>
            </w:tcBorders>
          </w:tcPr>
          <w:p w:rsidR="000C0DBA" w14:paraId="383C5035" w14:textId="77777777"/>
        </w:tc>
      </w:tr>
      <w:tr w14:paraId="0FF967C1" w14:textId="77777777">
        <w:tblPrEx>
          <w:tblW w:w="0" w:type="auto"/>
          <w:tblLayout w:type="fixed"/>
          <w:tblLook w:val="07E0"/>
        </w:tblPrEx>
        <w:trPr>
          <w:trHeight w:val="200"/>
        </w:trPr>
        <w:tc>
          <w:tcPr>
            <w:tcW w:w="2440" w:type="dxa"/>
            <w:tcBorders>
              <w:top w:val="dotted" w:color="000000" w:sz="6" w:space="0"/>
            </w:tcBorders>
          </w:tcPr>
          <w:p w:rsidR="000C0DBA" w14:paraId="63C6B4EF" w14:textId="77777777"/>
        </w:tc>
        <w:tc>
          <w:tcPr>
            <w:tcW w:w="5240" w:type="dxa"/>
            <w:tcBorders>
              <w:top w:val="dotted" w:color="000000" w:sz="6" w:space="0"/>
            </w:tcBorders>
          </w:tcPr>
          <w:p w:rsidR="000C0DBA" w14:paraId="59183014" w14:textId="77777777"/>
        </w:tc>
      </w:tr>
      <w:tr w14:paraId="3155E436" w14:textId="77777777">
        <w:tblPrEx>
          <w:tblW w:w="0" w:type="auto"/>
          <w:tblLayout w:type="fixed"/>
          <w:tblLook w:val="07E0"/>
        </w:tblPrEx>
        <w:trPr>
          <w:trHeight w:val="240"/>
        </w:trPr>
        <w:tc>
          <w:tcPr>
            <w:tcW w:w="2440" w:type="dxa"/>
          </w:tcPr>
          <w:p w:rsidR="000C0DBA" w14:paraId="6E0E0D95" w14:textId="77777777">
            <w:pPr>
              <w:pStyle w:val="Referentiegegevens"/>
            </w:pPr>
            <w:r>
              <w:t>Bijlage nummer</w:t>
            </w:r>
          </w:p>
        </w:tc>
        <w:tc>
          <w:tcPr>
            <w:tcW w:w="5240" w:type="dxa"/>
          </w:tcPr>
          <w:p w:rsidR="000C0DBA" w14:paraId="2C2C0F5B" w14:textId="77777777">
            <w:r>
              <w:t>1</w:t>
            </w:r>
          </w:p>
        </w:tc>
      </w:tr>
      <w:tr w14:paraId="7057BB75" w14:textId="77777777">
        <w:tblPrEx>
          <w:tblW w:w="0" w:type="auto"/>
          <w:tblLayout w:type="fixed"/>
          <w:tblLook w:val="07E0"/>
        </w:tblPrEx>
        <w:trPr>
          <w:trHeight w:val="240"/>
        </w:trPr>
        <w:tc>
          <w:tcPr>
            <w:tcW w:w="2440" w:type="dxa"/>
          </w:tcPr>
          <w:p w:rsidR="000C0DBA" w14:paraId="4720B067" w14:textId="77777777">
            <w:pPr>
              <w:pStyle w:val="Referentiegegevens"/>
            </w:pPr>
            <w:r>
              <w:t>Horend bij</w:t>
            </w:r>
          </w:p>
        </w:tc>
        <w:tc>
          <w:tcPr>
            <w:tcW w:w="5240" w:type="dxa"/>
          </w:tcPr>
          <w:p w:rsidR="000C0DBA" w14:paraId="4C1C2F84" w14:textId="77777777">
            <w:r>
              <w:t xml:space="preserve">Brief </w:t>
            </w:r>
            <w:r>
              <w:t>inzake</w:t>
            </w:r>
            <w:r>
              <w:t xml:space="preserve"> het niet uitvoeren van de op 21 mei 2025 door de Tweede Kamer aangenomen motie over niet-topfunctionarissen onder de WNT brengen</w:t>
            </w:r>
          </w:p>
        </w:tc>
      </w:tr>
      <w:tr w14:paraId="39FE1D8F" w14:textId="77777777">
        <w:tblPrEx>
          <w:tblW w:w="0" w:type="auto"/>
          <w:tblLayout w:type="fixed"/>
          <w:tblLook w:val="07E0"/>
        </w:tblPrEx>
        <w:trPr>
          <w:trHeight w:val="240"/>
        </w:trPr>
        <w:tc>
          <w:tcPr>
            <w:tcW w:w="2440" w:type="dxa"/>
          </w:tcPr>
          <w:p w:rsidR="000C0DBA" w14:paraId="70BF75E8" w14:textId="77777777">
            <w:pPr>
              <w:pStyle w:val="Referentiegegevens"/>
            </w:pPr>
            <w:r>
              <w:t>Datum</w:t>
            </w:r>
          </w:p>
        </w:tc>
        <w:tc>
          <w:tcPr>
            <w:tcW w:w="5240" w:type="dxa"/>
          </w:tcPr>
          <w:p w:rsidR="00751BFD" w14:paraId="7C1B2F9A" w14:textId="77777777"/>
        </w:tc>
      </w:tr>
      <w:tr w14:paraId="5B29FF47" w14:textId="77777777">
        <w:tblPrEx>
          <w:tblW w:w="0" w:type="auto"/>
          <w:tblLayout w:type="fixed"/>
          <w:tblLook w:val="07E0"/>
        </w:tblPrEx>
        <w:trPr>
          <w:trHeight w:val="240"/>
        </w:trPr>
        <w:tc>
          <w:tcPr>
            <w:tcW w:w="2440" w:type="dxa"/>
          </w:tcPr>
          <w:p w:rsidR="000C0DBA" w14:paraId="64C0BF1A" w14:textId="77777777">
            <w:pPr>
              <w:pStyle w:val="Referentiegegevens"/>
            </w:pPr>
            <w:r>
              <w:t>Onze referentie</w:t>
            </w:r>
          </w:p>
        </w:tc>
        <w:tc>
          <w:tcPr>
            <w:tcW w:w="5240" w:type="dxa"/>
          </w:tcPr>
          <w:p w:rsidR="00751BFD" w14:paraId="51704593" w14:textId="77777777"/>
        </w:tc>
      </w:tr>
      <w:tr w14:paraId="3237EA2B" w14:textId="77777777">
        <w:tblPrEx>
          <w:tblW w:w="0" w:type="auto"/>
          <w:tblLayout w:type="fixed"/>
          <w:tblLook w:val="07E0"/>
        </w:tblPrEx>
        <w:trPr>
          <w:trHeight w:val="240"/>
        </w:trPr>
        <w:tc>
          <w:tcPr>
            <w:tcW w:w="2440" w:type="dxa"/>
          </w:tcPr>
          <w:p w:rsidR="000C0DBA" w14:paraId="75332FB1" w14:textId="77777777">
            <w:pPr>
              <w:pStyle w:val="Referentiegegevens"/>
            </w:pPr>
          </w:p>
        </w:tc>
        <w:tc>
          <w:tcPr>
            <w:tcW w:w="5240" w:type="dxa"/>
          </w:tcPr>
          <w:p w:rsidR="000C0DBA" w14:paraId="47B97E87" w14:textId="77777777"/>
        </w:tc>
      </w:tr>
      <w:tr w14:paraId="155AFB62" w14:textId="77777777">
        <w:tblPrEx>
          <w:tblW w:w="0" w:type="auto"/>
          <w:tblLayout w:type="fixed"/>
          <w:tblLook w:val="07E0"/>
        </w:tblPrEx>
        <w:trPr>
          <w:trHeight w:val="200"/>
        </w:trPr>
        <w:tc>
          <w:tcPr>
            <w:tcW w:w="2440" w:type="dxa"/>
            <w:tcBorders>
              <w:bottom w:val="dotted" w:color="000000" w:sz="6" w:space="0"/>
            </w:tcBorders>
          </w:tcPr>
          <w:p w:rsidR="000C0DBA" w14:paraId="261F4765" w14:textId="77777777"/>
        </w:tc>
        <w:tc>
          <w:tcPr>
            <w:tcW w:w="5240" w:type="dxa"/>
            <w:tcBorders>
              <w:bottom w:val="dotted" w:color="000000" w:sz="6" w:space="0"/>
            </w:tcBorders>
          </w:tcPr>
          <w:p w:rsidR="000C0DBA" w14:paraId="1902A404" w14:textId="77777777"/>
        </w:tc>
      </w:tr>
      <w:tr w14:paraId="591227D3" w14:textId="77777777">
        <w:tblPrEx>
          <w:tblW w:w="0" w:type="auto"/>
          <w:tblLayout w:type="fixed"/>
          <w:tblLook w:val="07E0"/>
        </w:tblPrEx>
        <w:trPr>
          <w:trHeight w:val="200"/>
        </w:trPr>
        <w:tc>
          <w:tcPr>
            <w:tcW w:w="2440" w:type="dxa"/>
          </w:tcPr>
          <w:p w:rsidR="000C0DBA" w14:paraId="5E6A8E7B" w14:textId="77777777"/>
        </w:tc>
        <w:tc>
          <w:tcPr>
            <w:tcW w:w="5240" w:type="dxa"/>
          </w:tcPr>
          <w:p w:rsidR="000C0DBA" w14:paraId="38E8E125" w14:textId="77777777"/>
        </w:tc>
      </w:tr>
    </w:tbl>
    <w:p w:rsidR="00867733" w:rsidP="00085CB2" w14:paraId="288EAC42" w14:textId="77777777">
      <w:pPr>
        <w:rPr>
          <w:i/>
          <w:iCs/>
        </w:rPr>
      </w:pPr>
    </w:p>
    <w:p w:rsidR="00867733" w:rsidP="00085CB2" w14:paraId="04733B51" w14:textId="77777777">
      <w:pPr>
        <w:rPr>
          <w:i/>
          <w:iCs/>
        </w:rPr>
      </w:pPr>
    </w:p>
    <w:p w:rsidR="00867733" w:rsidP="00867733" w14:paraId="53B75603" w14:textId="77777777">
      <w:pPr>
        <w:rPr>
          <w:i/>
          <w:iCs/>
        </w:rPr>
      </w:pPr>
      <w:r>
        <w:rPr>
          <w:i/>
          <w:iCs/>
        </w:rPr>
        <w:t>Aanleiding</w:t>
      </w:r>
      <w:r w:rsidRPr="00986230">
        <w:rPr>
          <w:i/>
          <w:iCs/>
        </w:rPr>
        <w:t xml:space="preserve"> </w:t>
      </w:r>
    </w:p>
    <w:p w:rsidR="00867733" w:rsidP="00867733" w14:paraId="3B6B84C9" w14:textId="77777777">
      <w:pPr>
        <w:rPr>
          <w:i/>
          <w:iCs/>
        </w:rPr>
      </w:pPr>
    </w:p>
    <w:p w:rsidRPr="00FE5285" w:rsidR="00244081" w:rsidP="00244081" w14:paraId="26D1E8BD" w14:textId="77777777">
      <w:pPr>
        <w:pStyle w:val="ListParagraph"/>
        <w:numPr>
          <w:ilvl w:val="0"/>
          <w:numId w:val="7"/>
        </w:numPr>
        <w:rPr>
          <w:u w:val="single"/>
        </w:rPr>
      </w:pPr>
      <w:r>
        <w:t>Voor de afdoening van</w:t>
      </w:r>
      <w:r>
        <w:t xml:space="preserve"> de </w:t>
      </w:r>
      <w:r>
        <w:rPr>
          <w:bCs/>
        </w:rPr>
        <w:t>motie van de leden Van Baarle en Van Nispen</w:t>
      </w:r>
      <w:r>
        <w:rPr>
          <w:rStyle w:val="FootnoteReference"/>
          <w:bCs/>
        </w:rPr>
        <w:footnoteReference w:id="2"/>
      </w:r>
      <w:r>
        <w:rPr>
          <w:bCs/>
        </w:rPr>
        <w:t xml:space="preserve"> heeft het ministerie van BZK </w:t>
      </w:r>
      <w:r w:rsidR="0042006F">
        <w:rPr>
          <w:bCs/>
        </w:rPr>
        <w:t xml:space="preserve">geïnventariseerd hoeveel </w:t>
      </w:r>
      <w:r>
        <w:rPr>
          <w:bCs/>
        </w:rPr>
        <w:t xml:space="preserve">niet-topfunctionarissen </w:t>
      </w:r>
      <w:r w:rsidR="0042006F">
        <w:rPr>
          <w:bCs/>
        </w:rPr>
        <w:t>in 2023</w:t>
      </w:r>
      <w:r>
        <w:rPr>
          <w:rStyle w:val="FootnoteReference"/>
          <w:bCs/>
        </w:rPr>
        <w:footnoteReference w:id="3"/>
      </w:r>
      <w:r w:rsidR="0042006F">
        <w:rPr>
          <w:bCs/>
        </w:rPr>
        <w:t xml:space="preserve"> </w:t>
      </w:r>
      <w:r>
        <w:rPr>
          <w:bCs/>
        </w:rPr>
        <w:t>meer verdien</w:t>
      </w:r>
      <w:r w:rsidR="00F472E6">
        <w:rPr>
          <w:bCs/>
        </w:rPr>
        <w:t>d</w:t>
      </w:r>
      <w:r>
        <w:rPr>
          <w:bCs/>
        </w:rPr>
        <w:t>en dan het drempelbedrag.</w:t>
      </w:r>
    </w:p>
    <w:p w:rsidRPr="00FE5285" w:rsidR="005D5B3C" w:rsidP="005D5B3C" w14:paraId="5DDA6CB5" w14:textId="77777777">
      <w:pPr>
        <w:pStyle w:val="ListParagraph"/>
        <w:numPr>
          <w:ilvl w:val="0"/>
          <w:numId w:val="7"/>
        </w:numPr>
        <w:rPr>
          <w:u w:val="single"/>
        </w:rPr>
      </w:pPr>
      <w:r>
        <w:t xml:space="preserve">Voor het onderzoek is gebruik gemaakt van de WNT-verantwoordingen </w:t>
      </w:r>
      <w:r w:rsidR="007D62BD">
        <w:t>van</w:t>
      </w:r>
      <w:r>
        <w:t xml:space="preserve"> </w:t>
      </w:r>
      <w:r w:rsidR="007D62BD">
        <w:t>een selectie van WNT-</w:t>
      </w:r>
      <w:r>
        <w:t xml:space="preserve">instellingen </w:t>
      </w:r>
      <w:r w:rsidR="00FD57E7">
        <w:t>over het jaar 2023</w:t>
      </w:r>
      <w:r w:rsidR="006A7D0B">
        <w:t>.</w:t>
      </w:r>
      <w:r w:rsidR="00FD57E7">
        <w:t xml:space="preserve"> </w:t>
      </w:r>
      <w:r w:rsidR="006A7D0B">
        <w:t>Deze</w:t>
      </w:r>
      <w:r w:rsidR="007D62BD">
        <w:t xml:space="preserve"> zijn afgezet tegen de in</w:t>
      </w:r>
      <w:r>
        <w:t xml:space="preserve"> </w:t>
      </w:r>
      <w:r w:rsidR="007D62BD">
        <w:t>de WNT-jaarrapportage over 2015</w:t>
      </w:r>
      <w:r>
        <w:rPr>
          <w:rStyle w:val="FootnoteReference"/>
        </w:rPr>
        <w:footnoteReference w:id="4"/>
      </w:r>
      <w:r w:rsidR="007D62BD">
        <w:t xml:space="preserve"> gemelde overschrijdingen van het drempelbedrag door niet-topfunctionarissen. </w:t>
      </w:r>
    </w:p>
    <w:p w:rsidRPr="00FE5285" w:rsidR="005D5B3C" w:rsidP="005D5B3C" w14:paraId="1F8931A0" w14:textId="77777777">
      <w:pPr>
        <w:pStyle w:val="ListParagraph"/>
        <w:numPr>
          <w:ilvl w:val="0"/>
          <w:numId w:val="7"/>
        </w:numPr>
        <w:rPr>
          <w:rStyle w:val="CommentReference"/>
          <w:sz w:val="18"/>
          <w:szCs w:val="18"/>
          <w:u w:val="single"/>
        </w:rPr>
      </w:pPr>
      <w:r>
        <w:t xml:space="preserve">WNT-instellingen zijn verplicht in hun WNT-verantwoording op te nemen als een niet-topfunctionaris </w:t>
      </w:r>
      <w:r w:rsidR="00C75FBB">
        <w:t xml:space="preserve">in dienstbetrekking </w:t>
      </w:r>
      <w:r>
        <w:t>meer verdient dan het drempelbedrag. Het drempelbedrag is het algemeen bezoldigingsmaximum</w:t>
      </w:r>
      <w:r w:rsidRPr="00FE5285" w:rsidR="00FE5285">
        <w:t xml:space="preserve"> </w:t>
      </w:r>
      <w:r w:rsidR="00F472E6">
        <w:t xml:space="preserve">(223.000 euro in 2023) </w:t>
      </w:r>
      <w:r>
        <w:t>gecorrigeerd voor de omvang van het dienstverband</w:t>
      </w:r>
      <w:r w:rsidR="00FE5285">
        <w:t>.</w:t>
      </w:r>
    </w:p>
    <w:p w:rsidRPr="00F01DD4" w:rsidR="005D5B3C" w:rsidP="005D5B3C" w14:paraId="6D4180BE" w14:textId="77777777">
      <w:pPr>
        <w:pStyle w:val="ListParagraph"/>
        <w:numPr>
          <w:ilvl w:val="0"/>
          <w:numId w:val="7"/>
        </w:numPr>
        <w:rPr>
          <w:u w:val="single"/>
        </w:rPr>
      </w:pPr>
      <w:r>
        <w:rPr>
          <w:rStyle w:val="CommentReference"/>
        </w:rPr>
        <w:t>D</w:t>
      </w:r>
      <w:r>
        <w:t xml:space="preserve">e WNT-instellingen moeten daarbij o.a. de hoogte van de bezoldiging, de reden van de overschrijding van het drempelbedrag en de functie van de medewerker publiceren. </w:t>
      </w:r>
      <w:r w:rsidR="007D62BD">
        <w:t xml:space="preserve">De naam van de niet-topfunctionaris wordt niet gepubliceerd. </w:t>
      </w:r>
      <w:r>
        <w:t xml:space="preserve"> </w:t>
      </w:r>
    </w:p>
    <w:p w:rsidRPr="00FE5285" w:rsidR="00244081" w:rsidP="005D5B3C" w14:paraId="04F4ED04" w14:textId="77777777">
      <w:pPr>
        <w:pStyle w:val="ListParagraph"/>
        <w:numPr>
          <w:ilvl w:val="0"/>
          <w:numId w:val="7"/>
        </w:numPr>
        <w:rPr>
          <w:u w:val="single"/>
        </w:rPr>
      </w:pPr>
      <w:r>
        <w:t>Voordat is gekozen dit onderzoek zelf uit te voeren is het CBS gevraagd een onderzoek uit te voeren. Op basis van hun databestanden konden zij echter geen sluitend antwoord formuleren op de onderzoeksvraag. Zo kan het CBS bijv. niet in kaart brengen wie er wél/geen topfunctionaris is.</w:t>
      </w:r>
    </w:p>
    <w:p w:rsidR="00244081" w:rsidP="00244081" w14:paraId="43356CD3" w14:textId="77777777">
      <w:pPr>
        <w:rPr>
          <w:u w:val="single"/>
        </w:rPr>
      </w:pPr>
    </w:p>
    <w:p w:rsidR="0061725B" w14:paraId="739CA13B" w14:textId="77777777">
      <w:pPr>
        <w:spacing w:line="240" w:lineRule="auto"/>
        <w:rPr>
          <w:i/>
          <w:iCs/>
          <w:u w:val="single"/>
        </w:rPr>
      </w:pPr>
      <w:r>
        <w:rPr>
          <w:i/>
          <w:iCs/>
          <w:u w:val="single"/>
        </w:rPr>
        <w:br w:type="page"/>
      </w:r>
    </w:p>
    <w:p w:rsidRPr="005D5B3C" w:rsidR="00244081" w:rsidP="00FE5285" w14:paraId="5AE258AE" w14:textId="77777777">
      <w:pPr>
        <w:rPr>
          <w:i/>
          <w:iCs/>
          <w:u w:val="single"/>
        </w:rPr>
      </w:pPr>
      <w:r w:rsidRPr="00FE5285">
        <w:rPr>
          <w:i/>
          <w:iCs/>
          <w:u w:val="single"/>
        </w:rPr>
        <w:t>Onderzoeksverantwoording</w:t>
      </w:r>
    </w:p>
    <w:p w:rsidR="00E01425" w:rsidP="00E01425" w14:paraId="3870FBFB" w14:textId="77777777">
      <w:pPr>
        <w:pStyle w:val="ListParagraph"/>
        <w:numPr>
          <w:ilvl w:val="0"/>
          <w:numId w:val="6"/>
        </w:numPr>
        <w:ind w:left="284" w:hanging="284"/>
      </w:pPr>
      <w:r>
        <w:t xml:space="preserve">In het onderzoek is geprobeerd een zo volledig mogelijk beeld te scheppen van niet-topfunctionarissen bij WNT-instellingen die meer verdienen dan het drempelbedrag. </w:t>
      </w:r>
    </w:p>
    <w:p w:rsidRPr="0061725B" w:rsidR="00E01425" w:rsidP="00E01425" w14:paraId="617F8DD2" w14:textId="77777777">
      <w:pPr>
        <w:pStyle w:val="ListParagraph"/>
        <w:numPr>
          <w:ilvl w:val="0"/>
          <w:numId w:val="6"/>
        </w:numPr>
        <w:ind w:left="284" w:hanging="284"/>
      </w:pPr>
      <w:r>
        <w:t xml:space="preserve">Hiervoor is eerst </w:t>
      </w:r>
      <w:r w:rsidR="005D5B3C">
        <w:t xml:space="preserve">de WNT-jaarrapportage 2015 geanalyseerd om in beeld te </w:t>
      </w:r>
      <w:r w:rsidRPr="0061725B" w:rsidR="005D5B3C">
        <w:t xml:space="preserve">brengen </w:t>
      </w:r>
      <w:r w:rsidRPr="0061725B">
        <w:t xml:space="preserve">hoeveel niet-topfunctionarissen in dat jaar een bezoldiging boven het drempelbedrag </w:t>
      </w:r>
      <w:r w:rsidRPr="0061725B" w:rsidR="00C75FBB">
        <w:t xml:space="preserve">(178.000 euro in 2015) </w:t>
      </w:r>
      <w:r w:rsidRPr="0061725B">
        <w:t xml:space="preserve">ontvingen. </w:t>
      </w:r>
    </w:p>
    <w:p w:rsidRPr="0061725B" w:rsidR="00E01425" w:rsidP="00FE5285" w14:paraId="75708F9F" w14:textId="77777777">
      <w:pPr>
        <w:pStyle w:val="ListParagraph"/>
        <w:numPr>
          <w:ilvl w:val="0"/>
          <w:numId w:val="6"/>
        </w:numPr>
        <w:ind w:left="284" w:hanging="284"/>
      </w:pPr>
      <w:r w:rsidRPr="0061725B">
        <w:t xml:space="preserve">Vervolgens is gekeken </w:t>
      </w:r>
      <w:r w:rsidRPr="0061725B" w:rsidR="003228E7">
        <w:t xml:space="preserve">naar de </w:t>
      </w:r>
      <w:r w:rsidRPr="0061725B">
        <w:t xml:space="preserve">gegevens van niet-topfunctionarissen die in 2023 </w:t>
      </w:r>
      <w:r w:rsidR="00667279">
        <w:t xml:space="preserve">een bezoldiging boven </w:t>
      </w:r>
      <w:r w:rsidRPr="0061725B">
        <w:t xml:space="preserve">het drempelbedrag (223.000 euro in 2023) </w:t>
      </w:r>
      <w:r w:rsidR="00667279">
        <w:t>ontvingen</w:t>
      </w:r>
      <w:r w:rsidRPr="0061725B">
        <w:t xml:space="preserve">. </w:t>
      </w:r>
      <w:r w:rsidRPr="0061725B" w:rsidR="00C75FBB">
        <w:t>Er is gekeken naar verslagjaar 2023, omdat t</w:t>
      </w:r>
      <w:r w:rsidRPr="0061725B">
        <w:t xml:space="preserve">en tijde van de uitvoer van het onderzoek de meest recente verantwoordingen </w:t>
      </w:r>
      <w:r w:rsidRPr="0061725B" w:rsidR="00C75FBB">
        <w:t xml:space="preserve">zagen </w:t>
      </w:r>
      <w:r w:rsidRPr="0061725B">
        <w:t xml:space="preserve">op het kalenderjaar 2023. </w:t>
      </w:r>
    </w:p>
    <w:p w:rsidRPr="0061725B" w:rsidR="00867733" w:rsidP="00FE5285" w14:paraId="7A42BAE6" w14:textId="77777777">
      <w:pPr>
        <w:pStyle w:val="ListParagraph"/>
        <w:numPr>
          <w:ilvl w:val="0"/>
          <w:numId w:val="6"/>
        </w:numPr>
        <w:ind w:left="284" w:hanging="284"/>
      </w:pPr>
      <w:r w:rsidRPr="0061725B">
        <w:rPr>
          <w:bCs/>
          <w:color w:val="auto"/>
        </w:rPr>
        <w:t xml:space="preserve">Voor het onderzoek </w:t>
      </w:r>
      <w:r w:rsidRPr="0061725B" w:rsidR="00E01425">
        <w:rPr>
          <w:bCs/>
        </w:rPr>
        <w:t xml:space="preserve">is </w:t>
      </w:r>
      <w:r w:rsidRPr="0061725B">
        <w:rPr>
          <w:bCs/>
        </w:rPr>
        <w:t xml:space="preserve">gekeken naar de WNT-verantwoording van instellingen: </w:t>
      </w:r>
    </w:p>
    <w:p w:rsidRPr="00B70840" w:rsidR="00867733" w:rsidP="00867733" w14:paraId="6D08F85F" w14:textId="77777777">
      <w:pPr>
        <w:pStyle w:val="ListParagraph"/>
        <w:numPr>
          <w:ilvl w:val="1"/>
          <w:numId w:val="7"/>
        </w:numPr>
        <w:ind w:left="993"/>
      </w:pPr>
      <w:r>
        <w:rPr>
          <w:bCs/>
        </w:rPr>
        <w:t>waarvan</w:t>
      </w:r>
      <w:r>
        <w:rPr>
          <w:bCs/>
        </w:rPr>
        <w:t xml:space="preserve"> op basis van cijfers </w:t>
      </w:r>
      <w:r w:rsidR="00F472E6">
        <w:rPr>
          <w:bCs/>
        </w:rPr>
        <w:t xml:space="preserve">over </w:t>
      </w:r>
      <w:r>
        <w:rPr>
          <w:bCs/>
        </w:rPr>
        <w:t xml:space="preserve">2015 de kans het grootst werd </w:t>
      </w:r>
      <w:r w:rsidRPr="0061725B">
        <w:rPr>
          <w:bCs/>
        </w:rPr>
        <w:t>geacht dat zij niet-topfunctionarissen in dienst hadden die meer</w:t>
      </w:r>
      <w:r>
        <w:rPr>
          <w:bCs/>
        </w:rPr>
        <w:t xml:space="preserve"> verdienen dan het </w:t>
      </w:r>
      <w:r w:rsidR="00F472E6">
        <w:rPr>
          <w:bCs/>
        </w:rPr>
        <w:t>drempelbedrag</w:t>
      </w:r>
      <w:r>
        <w:rPr>
          <w:bCs/>
        </w:rPr>
        <w:t>,</w:t>
      </w:r>
    </w:p>
    <w:p w:rsidR="00867733" w:rsidP="00867733" w14:paraId="0C2D473B" w14:textId="77777777">
      <w:pPr>
        <w:pStyle w:val="ListParagraph"/>
        <w:numPr>
          <w:ilvl w:val="1"/>
          <w:numId w:val="7"/>
        </w:numPr>
        <w:ind w:left="993"/>
      </w:pPr>
      <w:r>
        <w:t>instellingen</w:t>
      </w:r>
      <w:r>
        <w:t xml:space="preserve"> met de hoogste baten of het grootste aantal medewerkers </w:t>
      </w:r>
    </w:p>
    <w:p w:rsidR="00867733" w:rsidP="00867733" w14:paraId="40125982" w14:textId="77777777">
      <w:pPr>
        <w:pStyle w:val="ListParagraph"/>
        <w:numPr>
          <w:ilvl w:val="1"/>
          <w:numId w:val="7"/>
        </w:numPr>
        <w:ind w:left="993"/>
      </w:pPr>
      <w:r>
        <w:t>instellingen</w:t>
      </w:r>
      <w:r>
        <w:t xml:space="preserve"> die eerder in het nieuws zijn gekomen i.v.m. relatief hoge bezoldiging van niet-topfunctionarissen </w:t>
      </w:r>
    </w:p>
    <w:p w:rsidR="00867733" w:rsidP="00867733" w14:paraId="1B00971C" w14:textId="77777777">
      <w:pPr>
        <w:pStyle w:val="ListParagraph"/>
        <w:numPr>
          <w:ilvl w:val="1"/>
          <w:numId w:val="7"/>
        </w:numPr>
        <w:ind w:left="993"/>
      </w:pPr>
      <w:r>
        <w:rPr>
          <w:bCs/>
        </w:rPr>
        <w:t>alle</w:t>
      </w:r>
      <w:r>
        <w:rPr>
          <w:bCs/>
        </w:rPr>
        <w:t xml:space="preserve"> instellingen uit de OCW-sectoren (omdat deze gegevens digitaal door de instellingen bij DUO worden aangeleverd),</w:t>
      </w:r>
      <w:r>
        <w:t xml:space="preserve"> </w:t>
      </w:r>
    </w:p>
    <w:p w:rsidR="00867733" w:rsidP="00867733" w14:paraId="00B1E092" w14:textId="77777777">
      <w:pPr>
        <w:pStyle w:val="ListParagraph"/>
        <w:numPr>
          <w:ilvl w:val="1"/>
          <w:numId w:val="7"/>
        </w:numPr>
        <w:ind w:left="993"/>
      </w:pPr>
      <w:r>
        <w:t>een</w:t>
      </w:r>
      <w:r>
        <w:t xml:space="preserve"> selectie van </w:t>
      </w:r>
      <w:r>
        <w:t xml:space="preserve">ministeries, provincies, waterschappen, gemeentes, bekende ZBO’s, ziekenhuizen en woningcorporaties. </w:t>
      </w:r>
    </w:p>
    <w:p w:rsidR="00867733" w:rsidP="00867733" w14:paraId="4300FAE2" w14:textId="77777777">
      <w:pPr>
        <w:rPr>
          <w:i/>
          <w:iCs/>
        </w:rPr>
      </w:pPr>
    </w:p>
    <w:p w:rsidR="00867733" w:rsidP="00867733" w14:paraId="17A592A3" w14:textId="77777777">
      <w:pPr>
        <w:rPr>
          <w:i/>
          <w:iCs/>
        </w:rPr>
      </w:pPr>
      <w:r w:rsidRPr="00FE5285">
        <w:rPr>
          <w:i/>
          <w:iCs/>
        </w:rPr>
        <w:t>Uitkomst</w:t>
      </w:r>
      <w:r w:rsidR="003228E7">
        <w:rPr>
          <w:i/>
          <w:iCs/>
        </w:rPr>
        <w:t>en</w:t>
      </w:r>
      <w:r w:rsidRPr="00FE5285">
        <w:rPr>
          <w:i/>
          <w:iCs/>
        </w:rPr>
        <w:t xml:space="preserve"> onderzoek niet-topfunctionarissen</w:t>
      </w:r>
      <w:r w:rsidR="00B3613A">
        <w:rPr>
          <w:i/>
          <w:iCs/>
        </w:rPr>
        <w:t xml:space="preserve"> (2023)</w:t>
      </w:r>
    </w:p>
    <w:p w:rsidRPr="00B6656A" w:rsidR="00244081" w:rsidP="00244081" w14:paraId="45F730AF" w14:textId="77777777">
      <w:pPr>
        <w:pStyle w:val="ListParagraph"/>
        <w:numPr>
          <w:ilvl w:val="0"/>
          <w:numId w:val="10"/>
        </w:numPr>
        <w:ind w:left="284" w:hanging="284"/>
        <w:rPr>
          <w:i/>
          <w:iCs/>
        </w:rPr>
      </w:pPr>
      <w:r>
        <w:t xml:space="preserve">In 2015 </w:t>
      </w:r>
      <w:r w:rsidR="00B7381A">
        <w:t xml:space="preserve">ontvingen </w:t>
      </w:r>
      <w:r>
        <w:t xml:space="preserve">in totaal 4.692 niet-topfunctionarissen </w:t>
      </w:r>
      <w:r w:rsidR="006A7D0B">
        <w:t xml:space="preserve">een bezoldiging die hoger was </w:t>
      </w:r>
      <w:r w:rsidR="00B7381A">
        <w:t>dan het drempelbedrag</w:t>
      </w:r>
      <w:r>
        <w:t xml:space="preserve">. </w:t>
      </w:r>
      <w:r w:rsidR="00C75FBB">
        <w:t xml:space="preserve">Onder deze niet-topfunctionarissen bevinden </w:t>
      </w:r>
      <w:r w:rsidRPr="006B1C2B" w:rsidR="00C75FBB">
        <w:t xml:space="preserve">zich </w:t>
      </w:r>
      <w:r w:rsidRPr="006B1C2B">
        <w:rPr>
          <w:strike/>
        </w:rPr>
        <w:t xml:space="preserve"> </w:t>
      </w:r>
      <w:r w:rsidRPr="006B1C2B">
        <w:t>ook</w:t>
      </w:r>
      <w:r w:rsidRPr="006B1C2B">
        <w:t xml:space="preserve"> medisch specialisten,</w:t>
      </w:r>
      <w:r>
        <w:t xml:space="preserve"> deze zijn uitgezonderd van de openbaarmakingsplicht van de WNT. </w:t>
      </w:r>
    </w:p>
    <w:p w:rsidRPr="00B74F17" w:rsidR="00244081" w:rsidP="00244081" w14:paraId="37138FA1" w14:textId="77777777">
      <w:pPr>
        <w:pStyle w:val="ListParagraph"/>
        <w:numPr>
          <w:ilvl w:val="0"/>
          <w:numId w:val="10"/>
        </w:numPr>
        <w:ind w:left="284" w:hanging="284"/>
        <w:rPr>
          <w:i/>
          <w:iCs/>
        </w:rPr>
      </w:pPr>
      <w:r>
        <w:t xml:space="preserve">Zonder de cijfers over </w:t>
      </w:r>
      <w:r>
        <w:t>Wtzi</w:t>
      </w:r>
      <w:r>
        <w:t xml:space="preserve">-instellingen en jeugdzorg, waarvan het merendeel </w:t>
      </w:r>
      <w:r w:rsidRPr="00B74F17">
        <w:t xml:space="preserve">medisch specialist was, ging het in 2015 om 388 niet-topfunctionarissen die meer verdienden dan </w:t>
      </w:r>
      <w:r w:rsidR="006A7D0B">
        <w:t>het drempelbedrag</w:t>
      </w:r>
      <w:r w:rsidRPr="00B74F17">
        <w:t xml:space="preserve">. </w:t>
      </w:r>
    </w:p>
    <w:p w:rsidRPr="006B1C2B" w:rsidR="00267AF1" w:rsidP="003604B5" w14:paraId="0479D61A" w14:textId="77777777">
      <w:pPr>
        <w:pStyle w:val="ListParagraph"/>
        <w:numPr>
          <w:ilvl w:val="0"/>
          <w:numId w:val="7"/>
        </w:numPr>
        <w:ind w:left="284" w:hanging="284"/>
      </w:pPr>
      <w:r w:rsidRPr="006B1C2B">
        <w:t xml:space="preserve">In 2023 </w:t>
      </w:r>
      <w:r w:rsidR="00667279">
        <w:t>ontvingen</w:t>
      </w:r>
      <w:r w:rsidRPr="00A91335">
        <w:t xml:space="preserve"> </w:t>
      </w:r>
      <w:r w:rsidRPr="00A91335" w:rsidR="009833FA">
        <w:t xml:space="preserve">265 </w:t>
      </w:r>
      <w:r w:rsidRPr="00752070" w:rsidR="009833FA">
        <w:t>niet-topfunctionarissen</w:t>
      </w:r>
      <w:r w:rsidRPr="00A91335" w:rsidR="00D21C9E">
        <w:t xml:space="preserve"> </w:t>
      </w:r>
      <w:r w:rsidR="00667279">
        <w:t xml:space="preserve">een bezoldiging die hoger was </w:t>
      </w:r>
      <w:r w:rsidRPr="00A91335" w:rsidR="009215E1">
        <w:t xml:space="preserve">dan </w:t>
      </w:r>
      <w:r w:rsidRPr="00A91335" w:rsidR="00D21C9E">
        <w:t>het drempelbedrag</w:t>
      </w:r>
      <w:r w:rsidRPr="00A91335" w:rsidR="00A27567">
        <w:t xml:space="preserve">. </w:t>
      </w:r>
      <w:r w:rsidRPr="00A91335" w:rsidR="009833FA">
        <w:t>M</w:t>
      </w:r>
      <w:r w:rsidRPr="00A91335" w:rsidR="000959A4">
        <w:t>edisch specialisten zijn</w:t>
      </w:r>
      <w:r w:rsidRPr="00A91335">
        <w:t xml:space="preserve"> daarbij niet</w:t>
      </w:r>
      <w:r w:rsidRPr="00A91335" w:rsidR="000959A4">
        <w:t xml:space="preserve"> meegenomen</w:t>
      </w:r>
      <w:r w:rsidRPr="00A91335" w:rsidR="00D30304">
        <w:t>,</w:t>
      </w:r>
      <w:r w:rsidRPr="00A91335" w:rsidR="000959A4">
        <w:t xml:space="preserve"> </w:t>
      </w:r>
      <w:r w:rsidRPr="00A91335" w:rsidR="007629A1">
        <w:t xml:space="preserve">aangezien </w:t>
      </w:r>
      <w:r w:rsidRPr="00A91335" w:rsidR="009446AF">
        <w:t>hun bezoldiging als medisch</w:t>
      </w:r>
      <w:r w:rsidR="009446AF">
        <w:t xml:space="preserve"> specialist </w:t>
      </w:r>
      <w:r w:rsidR="000959A4">
        <w:t xml:space="preserve">uitgezonderd </w:t>
      </w:r>
      <w:r w:rsidR="009446AF">
        <w:t>is</w:t>
      </w:r>
      <w:r w:rsidR="000959A4">
        <w:t xml:space="preserve"> van de openbaarmakingsplicht uit de WNT</w:t>
      </w:r>
      <w:r>
        <w:t xml:space="preserve"> en van hen </w:t>
      </w:r>
      <w:r>
        <w:t>derhalve</w:t>
      </w:r>
      <w:r>
        <w:t xml:space="preserve"> geen informatie voor handen i</w:t>
      </w:r>
      <w:r w:rsidR="006B1C2B">
        <w:t>s.</w:t>
      </w:r>
    </w:p>
    <w:p w:rsidR="006B1C2B" w:rsidP="0061725B" w14:paraId="51176947" w14:textId="77777777">
      <w:pPr>
        <w:pStyle w:val="ListParagraph"/>
        <w:numPr>
          <w:ilvl w:val="0"/>
          <w:numId w:val="7"/>
        </w:numPr>
        <w:ind w:left="284" w:hanging="284"/>
      </w:pPr>
      <w:r w:rsidRPr="00B74F17">
        <w:t xml:space="preserve">Gemiddeld wordt het </w:t>
      </w:r>
      <w:r w:rsidR="00667279">
        <w:t>drempelbedrag</w:t>
      </w:r>
      <w:r w:rsidRPr="00B74F17">
        <w:t xml:space="preserve"> (223.000 euro in 2023) met </w:t>
      </w:r>
      <w:r>
        <w:t>36.064</w:t>
      </w:r>
      <w:r w:rsidRPr="006B1C2B">
        <w:t xml:space="preserve"> </w:t>
      </w:r>
      <w:r w:rsidRPr="006B1C2B">
        <w:t>euro</w:t>
      </w:r>
      <w:r w:rsidRPr="00B74F17">
        <w:t xml:space="preserve"> overschreden. De mediaan </w:t>
      </w:r>
      <w:r w:rsidR="00B7381A">
        <w:t xml:space="preserve">van de overschrijding </w:t>
      </w:r>
      <w:r w:rsidRPr="00B74F17">
        <w:t xml:space="preserve">is </w:t>
      </w:r>
      <w:r w:rsidRPr="006B1C2B">
        <w:t>28.912</w:t>
      </w:r>
      <w:r w:rsidRPr="00B74F17">
        <w:t xml:space="preserve"> euro. </w:t>
      </w:r>
    </w:p>
    <w:p w:rsidR="00B46A12" w:rsidP="0061725B" w14:paraId="0A2EADBA" w14:textId="77777777">
      <w:pPr>
        <w:pStyle w:val="ListParagraph"/>
        <w:numPr>
          <w:ilvl w:val="0"/>
          <w:numId w:val="7"/>
        </w:numPr>
        <w:ind w:left="284" w:hanging="284"/>
      </w:pPr>
      <w:r>
        <w:t>Bijna een kwart van (23,8%) de niet-topfunctionaris die meer verdienden dan het drempelbedrag hadden een overschrijding van het drempelbedrag van minder dan 10.000</w:t>
      </w:r>
      <w:r w:rsidR="00A27567">
        <w:t xml:space="preserve"> euro</w:t>
      </w:r>
      <w:r>
        <w:t xml:space="preserve">. </w:t>
      </w:r>
    </w:p>
    <w:p w:rsidR="00B46A12" w:rsidP="0061725B" w14:paraId="3BCB5F62" w14:textId="77777777">
      <w:pPr>
        <w:pStyle w:val="ListParagraph"/>
        <w:numPr>
          <w:ilvl w:val="0"/>
          <w:numId w:val="7"/>
        </w:numPr>
        <w:ind w:left="284" w:hanging="284"/>
      </w:pPr>
      <w:r>
        <w:t>Ongeveer</w:t>
      </w:r>
      <w:r>
        <w:t xml:space="preserve"> de helft (51,7%) van de niet-topfunctionarissen die meer verdienden dan het drempelbedrag hadden een overschrijding van het drempelbedrag van minder dan 30.000 euro. </w:t>
      </w:r>
    </w:p>
    <w:p w:rsidR="00B46A12" w:rsidP="00BA3260" w14:paraId="04170FE4" w14:textId="77777777">
      <w:pPr>
        <w:pStyle w:val="ListParagraph"/>
        <w:numPr>
          <w:ilvl w:val="0"/>
          <w:numId w:val="7"/>
        </w:numPr>
        <w:ind w:left="284" w:hanging="284"/>
      </w:pPr>
      <w:r>
        <w:t xml:space="preserve">De redenen van overschrijding zijn uiteenlopend. Soms is er sprake van een incidentele vergoeding zoals een jubileumgratificatie, de afkoop van </w:t>
      </w:r>
      <w:r>
        <w:t>vakantieuren</w:t>
      </w:r>
      <w:r>
        <w:t xml:space="preserve"> bij einde dienstverband of een uitvindersvergoeding</w:t>
      </w:r>
      <w:r w:rsidR="00F41349">
        <w:t>.</w:t>
      </w:r>
      <w:r>
        <w:t xml:space="preserve"> In andere </w:t>
      </w:r>
      <w:r>
        <w:t xml:space="preserve">gevallen is er sprake van een structurele vergoeding, bijvoorbeeld omdat de vergoeding in lijn is met de voor de niet-topfunctionaris geldende cao. </w:t>
      </w:r>
    </w:p>
    <w:p w:rsidR="007B6FEF" w:rsidP="007B6FEF" w14:paraId="03C956C7" w14:textId="77777777">
      <w:pPr>
        <w:pStyle w:val="ListParagraph"/>
        <w:numPr>
          <w:ilvl w:val="0"/>
          <w:numId w:val="7"/>
        </w:numPr>
        <w:ind w:left="284" w:hanging="284"/>
      </w:pPr>
      <w:r w:rsidRPr="00B74F17">
        <w:t xml:space="preserve">Veruit de meeste niet-topfunctionarissen </w:t>
      </w:r>
      <w:r>
        <w:t xml:space="preserve">uit het onderzoek </w:t>
      </w:r>
      <w:r w:rsidRPr="00B74F17">
        <w:t xml:space="preserve">die meer verdienen dan het </w:t>
      </w:r>
      <w:r w:rsidR="0076186E">
        <w:t>drempelbedrag</w:t>
      </w:r>
      <w:r w:rsidRPr="00B74F17">
        <w:t xml:space="preserve"> werken bij de Luchtverkeersleiding Nederland</w:t>
      </w:r>
      <w:r>
        <w:t xml:space="preserve"> </w:t>
      </w:r>
      <w:r w:rsidR="0061725B">
        <w:t>50,2</w:t>
      </w:r>
      <w:r>
        <w:t>%</w:t>
      </w:r>
      <w:r w:rsidRPr="00B74F17">
        <w:t xml:space="preserve"> (</w:t>
      </w:r>
      <w:r>
        <w:t>n</w:t>
      </w:r>
      <w:r w:rsidRPr="00B74F17">
        <w:t>=133). Verder werkt het gros bij</w:t>
      </w:r>
      <w:r w:rsidR="0061725B">
        <w:t xml:space="preserve"> een instelling voor wetenschappelijk onderwijs 16,6% (n=44), </w:t>
      </w:r>
      <w:r w:rsidRPr="00B74F17">
        <w:t xml:space="preserve">een academisch ziekenhuis, topklinisch ziekenhuis of integraal kankercentrum </w:t>
      </w:r>
      <w:r w:rsidR="0061725B">
        <w:t>15,1</w:t>
      </w:r>
      <w:r>
        <w:t xml:space="preserve">% </w:t>
      </w:r>
      <w:r w:rsidRPr="00B74F17">
        <w:t>(</w:t>
      </w:r>
      <w:r>
        <w:t>n</w:t>
      </w:r>
      <w:r w:rsidRPr="00B74F17">
        <w:t>=40</w:t>
      </w:r>
      <w:r w:rsidR="00B7381A">
        <w:t>, exclusief medisch specialisten</w:t>
      </w:r>
      <w:r w:rsidRPr="00B74F17">
        <w:t>),</w:t>
      </w:r>
      <w:r w:rsidRPr="00AF3E1C" w:rsidR="00AF3E1C">
        <w:t xml:space="preserve"> </w:t>
      </w:r>
      <w:r w:rsidRPr="00B74F17" w:rsidR="00AF3E1C">
        <w:t xml:space="preserve">De Nederlandsche Bank (DNB) </w:t>
      </w:r>
      <w:r w:rsidR="0061725B">
        <w:t>6,8</w:t>
      </w:r>
      <w:r w:rsidR="00AF3E1C">
        <w:t xml:space="preserve">% </w:t>
      </w:r>
      <w:r w:rsidRPr="00B74F17" w:rsidR="00AF3E1C">
        <w:t>(</w:t>
      </w:r>
      <w:r w:rsidR="00AF3E1C">
        <w:t>n</w:t>
      </w:r>
      <w:r w:rsidRPr="00B74F17" w:rsidR="00AF3E1C">
        <w:t>=18)</w:t>
      </w:r>
      <w:r w:rsidR="00AF3E1C">
        <w:t>,</w:t>
      </w:r>
      <w:r w:rsidRPr="00B74F17">
        <w:t xml:space="preserve"> </w:t>
      </w:r>
      <w:r w:rsidRPr="00B74F17" w:rsidR="00AF3E1C">
        <w:t xml:space="preserve">een zorgverzekeraar </w:t>
      </w:r>
      <w:r w:rsidR="0061725B">
        <w:t>3,8</w:t>
      </w:r>
      <w:r w:rsidR="00AF3E1C">
        <w:t xml:space="preserve">% </w:t>
      </w:r>
      <w:r w:rsidRPr="00B74F17" w:rsidR="00AF3E1C">
        <w:t>(</w:t>
      </w:r>
      <w:r w:rsidR="00AF3E1C">
        <w:t>n</w:t>
      </w:r>
      <w:r w:rsidRPr="00B74F17" w:rsidR="00AF3E1C">
        <w:t>=10)</w:t>
      </w:r>
      <w:r w:rsidR="00AF3E1C">
        <w:t>,</w:t>
      </w:r>
      <w:r w:rsidRPr="00B74F17" w:rsidR="00AF3E1C">
        <w:t xml:space="preserve"> </w:t>
      </w:r>
      <w:r w:rsidR="00047352">
        <w:t>S</w:t>
      </w:r>
      <w:r w:rsidRPr="00B74F17">
        <w:t>anquin</w:t>
      </w:r>
      <w:r w:rsidRPr="00B74F17">
        <w:t xml:space="preserve"> </w:t>
      </w:r>
      <w:r>
        <w:t>2,</w:t>
      </w:r>
      <w:r w:rsidR="0061725B">
        <w:t>3</w:t>
      </w:r>
      <w:r>
        <w:t xml:space="preserve">% </w:t>
      </w:r>
      <w:r w:rsidRPr="00B74F17">
        <w:t>(</w:t>
      </w:r>
      <w:r>
        <w:t>n</w:t>
      </w:r>
      <w:r w:rsidRPr="00B74F17">
        <w:t>=6)</w:t>
      </w:r>
      <w:r w:rsidR="00AF3E1C">
        <w:t xml:space="preserve"> en</w:t>
      </w:r>
      <w:r w:rsidRPr="00B74F17">
        <w:t xml:space="preserve"> TNO</w:t>
      </w:r>
      <w:r>
        <w:t xml:space="preserve"> 2,</w:t>
      </w:r>
      <w:r w:rsidR="0061725B">
        <w:t>3</w:t>
      </w:r>
      <w:r>
        <w:t>%</w:t>
      </w:r>
      <w:r w:rsidRPr="00B74F17">
        <w:t xml:space="preserve"> (</w:t>
      </w:r>
      <w:r>
        <w:t>n</w:t>
      </w:r>
      <w:r w:rsidRPr="00B74F17">
        <w:t>=6</w:t>
      </w:r>
      <w:r w:rsidR="0061725B">
        <w:t>)</w:t>
      </w:r>
      <w:r w:rsidR="00B7381A">
        <w:t>.D</w:t>
      </w:r>
      <w:r w:rsidR="0061725B">
        <w:t>aarnaast</w:t>
      </w:r>
      <w:r w:rsidR="0061725B">
        <w:t xml:space="preserve"> zijn er 8 niet-topfunctionarissen met een bezoldiging hoger dan het drempelbedrag die werken bij een overige WNT-instelling.</w:t>
      </w:r>
    </w:p>
    <w:p w:rsidRPr="006B1C2B" w:rsidR="000C0DBA" w:rsidP="00085CB2" w14:paraId="5E12C591" w14:textId="77777777">
      <w:pPr>
        <w:rPr>
          <w:color w:val="FF0000"/>
        </w:rPr>
      </w:pPr>
    </w:p>
    <w:sectPr w:rsidSect="00085CB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176" w14:paraId="4A7354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176" w14:paraId="4FE35F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176" w14:paraId="380EA7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9F8" w14:paraId="0C4CA0A4" w14:textId="77777777">
      <w:pPr>
        <w:spacing w:line="240" w:lineRule="auto"/>
      </w:pPr>
      <w:r>
        <w:separator/>
      </w:r>
    </w:p>
  </w:footnote>
  <w:footnote w:type="continuationSeparator" w:id="1">
    <w:p w:rsidR="007069F8" w14:paraId="1A7035A2" w14:textId="77777777">
      <w:pPr>
        <w:spacing w:line="240" w:lineRule="auto"/>
      </w:pPr>
      <w:r>
        <w:continuationSeparator/>
      </w:r>
    </w:p>
  </w:footnote>
  <w:footnote w:id="2">
    <w:p w:rsidR="00244081" w:rsidRPr="005250DF" w:rsidP="00244081" w14:paraId="6CBD683B" w14:textId="77777777">
      <w:pPr>
        <w:pStyle w:val="FootnoteText"/>
        <w:rPr>
          <w:rStyle w:val="FootnoteReference"/>
        </w:rPr>
      </w:pPr>
      <w:r w:rsidRPr="005250DF">
        <w:rPr>
          <w:rStyle w:val="FootnoteReference"/>
        </w:rPr>
        <w:footnoteRef/>
      </w:r>
      <w:r w:rsidRPr="005250DF">
        <w:rPr>
          <w:rStyle w:val="FootnoteReference"/>
        </w:rPr>
        <w:t xml:space="preserve"> </w:t>
      </w:r>
      <w:r w:rsidRPr="00FE5285">
        <w:rPr>
          <w:sz w:val="14"/>
          <w:szCs w:val="14"/>
        </w:rPr>
        <w:t>Tweede Kamer, vergaderjaar 2024–2025, 31 490, nr. 377.</w:t>
      </w:r>
    </w:p>
  </w:footnote>
  <w:footnote w:id="3">
    <w:p w:rsidR="0042006F" w14:paraId="3954A0E9" w14:textId="77777777">
      <w:pPr>
        <w:pStyle w:val="FootnoteText"/>
      </w:pPr>
      <w:r>
        <w:rPr>
          <w:rStyle w:val="FootnoteReference"/>
        </w:rPr>
        <w:footnoteRef/>
      </w:r>
      <w:r>
        <w:t xml:space="preserve"> </w:t>
      </w:r>
      <w:r w:rsidRPr="004967D9">
        <w:rPr>
          <w:sz w:val="14"/>
          <w:szCs w:val="14"/>
        </w:rPr>
        <w:t>Dit was bij aanvang van het onderzoek het meest recente jaar waarover gegevens beschikbaar waren.</w:t>
      </w:r>
    </w:p>
  </w:footnote>
  <w:footnote w:id="4">
    <w:p w:rsidR="007D62BD" w:rsidRPr="00F41349" w:rsidP="007D62BD" w14:paraId="7EADDFAF" w14:textId="77777777">
      <w:pPr>
        <w:pStyle w:val="FootnoteText"/>
      </w:pPr>
      <w:r>
        <w:rPr>
          <w:rStyle w:val="FootnoteReference"/>
        </w:rPr>
        <w:footnoteRef/>
      </w:r>
      <w:r>
        <w:t xml:space="preserve"> </w:t>
      </w:r>
      <w:r w:rsidRPr="00F75FBF">
        <w:rPr>
          <w:sz w:val="14"/>
          <w:szCs w:val="14"/>
        </w:rPr>
        <w:t>2015 was het laatste jaar waarin aan de Tweede Kamer is gerapporteerd over bezoldigingsgegevens van topfunctionarissen en niet-topfunctionarissen op basis van aan de minister van BZK gemelde gegevens; vanaf 2016 worden alleen nog maar overtredingen en handhavingsmaatregelen gerapporteerd</w:t>
      </w:r>
      <w:r w:rsidRPr="00F413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176" w14:paraId="6B05DE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BA" w14:paraId="65C4C48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C0DBA" w14:textId="77777777">
                          <w:pPr>
                            <w:pStyle w:val="WitregelW2"/>
                          </w:pPr>
                        </w:p>
                        <w:p w:rsidR="000C0DBA" w14:textId="77777777">
                          <w:pPr>
                            <w:pStyle w:val="Referentiegegevensbold"/>
                          </w:pPr>
                          <w:r>
                            <w:t>Datum</w:t>
                          </w:r>
                        </w:p>
                        <w:p w:rsidR="00A42E44" w:rsidRPr="00A42E44" w:rsidP="00A42E44" w14:textId="77777777">
                          <w:r>
                            <w:t>2</w:t>
                          </w:r>
                          <w:r w:rsidR="00DD053D">
                            <w:t xml:space="preserve"> juli</w:t>
                          </w:r>
                          <w:r>
                            <w:t xml:space="preserve"> 2026</w:t>
                          </w:r>
                        </w:p>
                        <w:p w:rsidR="000C0DBA" w14:textId="77777777">
                          <w:pPr>
                            <w:pStyle w:val="WitregelW1"/>
                          </w:pPr>
                        </w:p>
                        <w:p w:rsidR="000C0DBA" w14:textId="77777777">
                          <w:pPr>
                            <w:pStyle w:val="Referentiegegevensbold"/>
                          </w:pPr>
                          <w:r>
                            <w:t>Onze referentie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0C0DBA" w14:paraId="00F60563" w14:textId="77777777">
                    <w:pPr>
                      <w:pStyle w:val="WitregelW2"/>
                    </w:pPr>
                  </w:p>
                  <w:p w:rsidR="000C0DBA" w14:paraId="793944DC" w14:textId="77777777">
                    <w:pPr>
                      <w:pStyle w:val="Referentiegegevensbold"/>
                    </w:pPr>
                    <w:r>
                      <w:t>Datum</w:t>
                    </w:r>
                  </w:p>
                  <w:p w:rsidR="00A42E44" w:rsidRPr="00A42E44" w:rsidP="00A42E44" w14:paraId="251397F9" w14:textId="77777777">
                    <w:r>
                      <w:t>2</w:t>
                    </w:r>
                    <w:r w:rsidR="00DD053D">
                      <w:t xml:space="preserve"> juli</w:t>
                    </w:r>
                    <w:r>
                      <w:t xml:space="preserve"> 2026</w:t>
                    </w:r>
                  </w:p>
                  <w:p w:rsidR="000C0DBA" w14:paraId="7BB9E79F" w14:textId="77777777">
                    <w:pPr>
                      <w:pStyle w:val="WitregelW1"/>
                    </w:pPr>
                  </w:p>
                  <w:p w:rsidR="000C0DBA" w14:paraId="25F7B97F" w14:textId="77777777">
                    <w:pPr>
                      <w:pStyle w:val="Referentiegegevensbold"/>
                    </w:pPr>
                    <w:r>
                      <w:t>Onze referentie</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8A15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A1582" w14:paraId="6890658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A15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8A1582" w14:paraId="7287CD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8A15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e07-aa3c-11ea-a756-beb5f67e67be" o:spid="_x0000_s2052" type="#_x0000_t202" style="width:377.25pt;height:12.75pt;margin-top:154.7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A1582" w14:paraId="2E6218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0DBA" w14:paraId="433F4581" w14:textId="77777777">
    <w:pPr>
      <w:spacing w:after="4835" w:line="14" w:lineRule="exact"/>
    </w:pPr>
    <w:r>
      <w:rPr>
        <w:noProof/>
      </w:rPr>
      <mc:AlternateContent>
        <mc:Choice Requires="wps">
          <w:drawing>
            <wp:anchor distT="0" distB="0" distL="0" distR="0" simplePos="0" relativeHeight="251666432" behindDoc="0" locked="1" layoutInCell="1" allowOverlap="1">
              <wp:simplePos x="0" y="0"/>
              <wp:positionH relativeFrom="page">
                <wp:posOffset>1007744</wp:posOffset>
              </wp:positionH>
              <wp:positionV relativeFrom="page">
                <wp:posOffset>1954530</wp:posOffset>
              </wp:positionV>
              <wp:extent cx="2875915" cy="208915"/>
              <wp:effectExtent l="0" t="0" r="0" b="0"/>
              <wp:wrapNone/>
              <wp:docPr id="5" name="46ff9a2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5915" cy="208915"/>
                      </a:xfrm>
                      <a:prstGeom prst="rect">
                        <a:avLst/>
                      </a:prstGeom>
                      <a:noFill/>
                    </wps:spPr>
                    <wps:txbx>
                      <w:txbxContent>
                        <w:p w:rsidR="008A15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f9a2f-aa3c-11ea-a756-beb5f67e67be" o:spid="_x0000_s2053" type="#_x0000_t202" style="width:226.45pt;height:16.45pt;margin-top:153.9pt;margin-left:79.3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A1582" w14:paraId="36C1824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2325" cy="323850"/>
                      </a:xfrm>
                      <a:prstGeom prst="rect">
                        <a:avLst/>
                      </a:prstGeom>
                      <a:noFill/>
                    </wps:spPr>
                    <wps:txbx>
                      <w:txbxContent>
                        <w:p w:rsidR="00751BFD" w14:textId="77777777">
                          <w:r>
                            <w:fldChar w:fldCharType="begin"/>
                          </w:r>
                          <w:r>
                            <w:instrText xml:space="preserve"> DOCPROPERTY  "Onderwerp"  \* MERGEFORMAT </w:instrText>
                          </w:r>
                          <w:r>
                            <w:fldChar w:fldCharType="separate"/>
                          </w:r>
                          <w:r w:rsidR="007A2176">
                            <w:t>Uitkomsten onderzoek bezoldiging niet-topfunctionaris WNT</w:t>
                          </w:r>
                          <w:r w:rsidR="007A2176">
                            <w:fldChar w:fldCharType="end"/>
                          </w:r>
                        </w:p>
                      </w:txbxContent>
                    </wps:txbx>
                    <wps:bodyPr vert="horz" wrap="square" lIns="0" tIns="0" rIns="0" bIns="0" anchor="t" anchorCtr="0"/>
                  </wps:wsp>
                </a:graphicData>
              </a:graphic>
            </wp:anchor>
          </w:drawing>
        </mc:Choice>
        <mc:Fallback>
          <w:pict>
            <v:shape id="46feebd0-aa3c-11ea-a756-beb5f67e67be" o:spid="_x0000_s2054" type="#_x0000_t202" style="width:264.75pt;height:25.5pt;margin-top:215.75pt;margin-left:190.4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51BFD" w14:paraId="2DE12205" w14:textId="77777777">
                    <w:r>
                      <w:fldChar w:fldCharType="begin"/>
                    </w:r>
                    <w:r>
                      <w:instrText xml:space="preserve"> DOCPROPERTY  "Onderwerp"  \* MERGEFORMAT </w:instrText>
                    </w:r>
                    <w:r>
                      <w:fldChar w:fldCharType="separate"/>
                    </w:r>
                    <w:r w:rsidR="007A2176">
                      <w:t>Uitkomsten onderzoek bezoldiging niet-topfunctionaris WNT</w:t>
                    </w:r>
                    <w:r w:rsidR="007A2176">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C0DBA" w14:textId="77777777">
                          <w:pPr>
                            <w:pStyle w:val="WitregelW1"/>
                          </w:pPr>
                        </w:p>
                        <w:p w:rsidR="000C0DBA" w:rsidRPr="00085CB2" w14:textId="77777777">
                          <w:pPr>
                            <w:pStyle w:val="WitregelW2"/>
                            <w:rPr>
                              <w:lang w:val="en-US"/>
                            </w:rPr>
                          </w:pPr>
                        </w:p>
                        <w:p w:rsidR="000C0DBA" w14:textId="77777777">
                          <w:pPr>
                            <w:pStyle w:val="Referentiegegevensbold"/>
                          </w:pPr>
                          <w:r>
                            <w:t>Onze referentie</w:t>
                          </w:r>
                        </w:p>
                        <w:p w:rsidR="00751BFD" w14:textId="77777777">
                          <w:pPr>
                            <w:pStyle w:val="Referentiegegevens"/>
                          </w:pPr>
                        </w:p>
                      </w:txbxContent>
                    </wps:txbx>
                    <wps:bodyPr vert="horz" wrap="square" lIns="0" tIns="0" rIns="0" bIns="0" anchor="t" anchorCtr="0"/>
                  </wps:wsp>
                </a:graphicData>
              </a:graphic>
            </wp:anchor>
          </w:drawing>
        </mc:Choice>
        <mc:Fallback>
          <w:pict>
            <v:shape id="46feec20-aa3c-11ea-a756-beb5f67e67be" o:spid="_x0000_s2055"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C0DBA" w14:paraId="0957977F" w14:textId="77777777">
                    <w:pPr>
                      <w:pStyle w:val="WitregelW1"/>
                    </w:pPr>
                  </w:p>
                  <w:p w:rsidR="000C0DBA" w:rsidRPr="00085CB2" w14:paraId="005BA3E1" w14:textId="77777777">
                    <w:pPr>
                      <w:pStyle w:val="WitregelW2"/>
                      <w:rPr>
                        <w:lang w:val="en-US"/>
                      </w:rPr>
                    </w:pPr>
                  </w:p>
                  <w:p w:rsidR="000C0DBA" w14:paraId="56AA9FD1" w14:textId="77777777">
                    <w:pPr>
                      <w:pStyle w:val="Referentiegegevensbold"/>
                    </w:pPr>
                    <w:r>
                      <w:t>Onze referentie</w:t>
                    </w:r>
                  </w:p>
                  <w:p w:rsidR="00751BFD" w14:paraId="6AC1EDCA"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8A15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6"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8A1582" w14:paraId="36303F5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A15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8A1582" w14:paraId="0D4A4F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C0DBA" w14:textId="77777777">
                          <w:pPr>
                            <w:spacing w:line="240" w:lineRule="auto"/>
                          </w:pPr>
                          <w:r>
                            <w:rPr>
                              <w:noProof/>
                            </w:rPr>
                            <w:drawing>
                              <wp:inline distT="0" distB="0" distL="0" distR="0">
                                <wp:extent cx="467995" cy="1583865"/>
                                <wp:effectExtent l="0" t="0" r="0" b="0"/>
                                <wp:docPr id="147251395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7251395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C0DBA" w14:paraId="7340C527" w14:textId="77777777">
                    <w:pPr>
                      <w:spacing w:line="240" w:lineRule="auto"/>
                    </w:pPr>
                    <w:drawing>
                      <wp:inline distT="0" distB="0" distL="0" distR="0">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C0DBA" w14:textId="77777777">
                          <w:pPr>
                            <w:spacing w:line="240" w:lineRule="auto"/>
                          </w:pPr>
                          <w:r>
                            <w:rPr>
                              <w:noProof/>
                            </w:rPr>
                            <w:drawing>
                              <wp:inline distT="0" distB="0" distL="0" distR="0">
                                <wp:extent cx="2339975" cy="1582834"/>
                                <wp:effectExtent l="0" t="0" r="0" b="0"/>
                                <wp:docPr id="57934823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793482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0C0DBA" w14:paraId="0743B3C8" w14:textId="77777777">
                    <w:pPr>
                      <w:spacing w:line="240" w:lineRule="auto"/>
                    </w:pPr>
                    <w:drawing>
                      <wp:inline distT="0" distB="0" distL="0" distR="0">
                        <wp:extent cx="2339975" cy="1582834"/>
                        <wp:effectExtent l="0" t="0" r="0" b="0"/>
                        <wp:docPr id="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533400"/>
                      </a:xfrm>
                      <a:prstGeom prst="rect">
                        <a:avLst/>
                      </a:prstGeom>
                      <a:noFill/>
                    </wps:spPr>
                    <wps:txbx>
                      <w:txbxContent>
                        <w:p w:rsidR="000C0DBA" w14:textId="77777777">
                          <w:pPr>
                            <w:spacing w:line="240" w:lineRule="auto"/>
                          </w:pPr>
                          <w:r>
                            <w:rPr>
                              <w:noProof/>
                            </w:rPr>
                            <w:drawing>
                              <wp:inline distT="0" distB="0" distL="0" distR="0">
                                <wp:extent cx="1238250" cy="536370"/>
                                <wp:effectExtent l="0" t="0" r="0" b="0"/>
                                <wp:docPr id="1385823936" name="Document_name_-_annex" descr="bijlage"/>
                                <wp:cNvGraphicFramePr/>
                                <a:graphic xmlns:a="http://schemas.openxmlformats.org/drawingml/2006/main">
                                  <a:graphicData uri="http://schemas.openxmlformats.org/drawingml/2006/picture">
                                    <pic:pic xmlns:pic="http://schemas.openxmlformats.org/drawingml/2006/picture">
                                      <pic:nvPicPr>
                                        <pic:cNvPr id="1385823936"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f31b-aa3c-11ea-a756-beb5f67e67be" o:spid="_x0000_s2060" type="#_x0000_t202" style="width:97.5pt;height:42pt;margin-top:196.6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C0DBA" w14:paraId="091BAB8A" w14:textId="77777777">
                    <w:pPr>
                      <w:spacing w:line="240" w:lineRule="auto"/>
                    </w:pPr>
                    <w:drawing>
                      <wp:inline distT="0" distB="0" distL="0" distR="0">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E126CE"/>
    <w:multiLevelType w:val="multilevel"/>
    <w:tmpl w:val="6B0AF7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647643E"/>
    <w:multiLevelType w:val="multilevel"/>
    <w:tmpl w:val="76BD7D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714F766"/>
    <w:multiLevelType w:val="multilevel"/>
    <w:tmpl w:val="F18AB5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DBB05E1"/>
    <w:multiLevelType w:val="multilevel"/>
    <w:tmpl w:val="FD7AD3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01C7167"/>
    <w:multiLevelType w:val="hybridMultilevel"/>
    <w:tmpl w:val="04FC86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14B95E0"/>
    <w:multiLevelType w:val="multilevel"/>
    <w:tmpl w:val="7BE6F8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02CA2CCC"/>
    <w:multiLevelType w:val="hybridMultilevel"/>
    <w:tmpl w:val="73B2E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8F58D6"/>
    <w:multiLevelType w:val="hybridMultilevel"/>
    <w:tmpl w:val="C10A2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1851C0"/>
    <w:multiLevelType w:val="hybridMultilevel"/>
    <w:tmpl w:val="01F0C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0D7C2C"/>
    <w:multiLevelType w:val="hybridMultilevel"/>
    <w:tmpl w:val="2C925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F596B"/>
    <w:multiLevelType w:val="hybridMultilevel"/>
    <w:tmpl w:val="31249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FD62FE"/>
    <w:multiLevelType w:val="hybridMultilevel"/>
    <w:tmpl w:val="CDEEB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6596151">
    <w:abstractNumId w:val="0"/>
  </w:num>
  <w:num w:numId="2" w16cid:durableId="1511605196">
    <w:abstractNumId w:val="2"/>
  </w:num>
  <w:num w:numId="3" w16cid:durableId="97217666">
    <w:abstractNumId w:val="5"/>
  </w:num>
  <w:num w:numId="4" w16cid:durableId="196547000">
    <w:abstractNumId w:val="3"/>
  </w:num>
  <w:num w:numId="5" w16cid:durableId="1811432588">
    <w:abstractNumId w:val="1"/>
  </w:num>
  <w:num w:numId="6" w16cid:durableId="1993168926">
    <w:abstractNumId w:val="10"/>
  </w:num>
  <w:num w:numId="7" w16cid:durableId="498690724">
    <w:abstractNumId w:val="11"/>
  </w:num>
  <w:num w:numId="8" w16cid:durableId="1482501130">
    <w:abstractNumId w:val="9"/>
  </w:num>
  <w:num w:numId="9" w16cid:durableId="1719478648">
    <w:abstractNumId w:val="7"/>
  </w:num>
  <w:num w:numId="10" w16cid:durableId="338041968">
    <w:abstractNumId w:val="8"/>
  </w:num>
  <w:num w:numId="11" w16cid:durableId="1676180711">
    <w:abstractNumId w:val="6"/>
  </w:num>
  <w:num w:numId="12" w16cid:durableId="728502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BA"/>
    <w:rsid w:val="000057E6"/>
    <w:rsid w:val="00033703"/>
    <w:rsid w:val="0004710A"/>
    <w:rsid w:val="00047352"/>
    <w:rsid w:val="0005402C"/>
    <w:rsid w:val="000564A9"/>
    <w:rsid w:val="00063E46"/>
    <w:rsid w:val="00076633"/>
    <w:rsid w:val="00082023"/>
    <w:rsid w:val="00085CB2"/>
    <w:rsid w:val="000959A4"/>
    <w:rsid w:val="000C0DBA"/>
    <w:rsid w:val="000E74A3"/>
    <w:rsid w:val="00140AB0"/>
    <w:rsid w:val="00150BD2"/>
    <w:rsid w:val="00154AEE"/>
    <w:rsid w:val="00174CE0"/>
    <w:rsid w:val="001A26F9"/>
    <w:rsid w:val="001B6E9B"/>
    <w:rsid w:val="001C2042"/>
    <w:rsid w:val="001E1B3D"/>
    <w:rsid w:val="001F16EC"/>
    <w:rsid w:val="001F7798"/>
    <w:rsid w:val="00200CF2"/>
    <w:rsid w:val="0020228A"/>
    <w:rsid w:val="00203FF6"/>
    <w:rsid w:val="00220137"/>
    <w:rsid w:val="00223483"/>
    <w:rsid w:val="00226BF3"/>
    <w:rsid w:val="00244081"/>
    <w:rsid w:val="00256583"/>
    <w:rsid w:val="00267AF1"/>
    <w:rsid w:val="00275EFF"/>
    <w:rsid w:val="002A1DC3"/>
    <w:rsid w:val="002B1E5A"/>
    <w:rsid w:val="002C1D80"/>
    <w:rsid w:val="002D1F33"/>
    <w:rsid w:val="002E1DE2"/>
    <w:rsid w:val="003051C0"/>
    <w:rsid w:val="003228E7"/>
    <w:rsid w:val="00334D8A"/>
    <w:rsid w:val="003604B5"/>
    <w:rsid w:val="003607EA"/>
    <w:rsid w:val="00361B29"/>
    <w:rsid w:val="00366DE2"/>
    <w:rsid w:val="003A1C3E"/>
    <w:rsid w:val="003B6170"/>
    <w:rsid w:val="003D7AF5"/>
    <w:rsid w:val="003E5047"/>
    <w:rsid w:val="00402360"/>
    <w:rsid w:val="00402750"/>
    <w:rsid w:val="004072CD"/>
    <w:rsid w:val="00416D08"/>
    <w:rsid w:val="0042006F"/>
    <w:rsid w:val="004364B2"/>
    <w:rsid w:val="004605FA"/>
    <w:rsid w:val="00487950"/>
    <w:rsid w:val="004967D9"/>
    <w:rsid w:val="004B68CA"/>
    <w:rsid w:val="004C307E"/>
    <w:rsid w:val="004C55BA"/>
    <w:rsid w:val="004E2F3B"/>
    <w:rsid w:val="004E56E7"/>
    <w:rsid w:val="004E60A0"/>
    <w:rsid w:val="004F2940"/>
    <w:rsid w:val="004F3096"/>
    <w:rsid w:val="00506616"/>
    <w:rsid w:val="005250DF"/>
    <w:rsid w:val="00527C79"/>
    <w:rsid w:val="00540E93"/>
    <w:rsid w:val="00572D96"/>
    <w:rsid w:val="0057685E"/>
    <w:rsid w:val="005B48FB"/>
    <w:rsid w:val="005B7029"/>
    <w:rsid w:val="005D3138"/>
    <w:rsid w:val="005D4796"/>
    <w:rsid w:val="005D4929"/>
    <w:rsid w:val="005D4993"/>
    <w:rsid w:val="005D5B3C"/>
    <w:rsid w:val="005E1D0A"/>
    <w:rsid w:val="005E69FD"/>
    <w:rsid w:val="006052B6"/>
    <w:rsid w:val="0061725B"/>
    <w:rsid w:val="00621EF6"/>
    <w:rsid w:val="00631D9A"/>
    <w:rsid w:val="00646D6E"/>
    <w:rsid w:val="00655E27"/>
    <w:rsid w:val="00667279"/>
    <w:rsid w:val="0067200F"/>
    <w:rsid w:val="00674605"/>
    <w:rsid w:val="0067536D"/>
    <w:rsid w:val="006771CF"/>
    <w:rsid w:val="00695193"/>
    <w:rsid w:val="006A411A"/>
    <w:rsid w:val="006A52FE"/>
    <w:rsid w:val="006A59D5"/>
    <w:rsid w:val="006A7D0B"/>
    <w:rsid w:val="006B1C2B"/>
    <w:rsid w:val="006B2C1B"/>
    <w:rsid w:val="006C2CDA"/>
    <w:rsid w:val="006D3C9B"/>
    <w:rsid w:val="006F20B2"/>
    <w:rsid w:val="00701D8A"/>
    <w:rsid w:val="007069F8"/>
    <w:rsid w:val="00706ED5"/>
    <w:rsid w:val="007074D0"/>
    <w:rsid w:val="00732669"/>
    <w:rsid w:val="00736CCB"/>
    <w:rsid w:val="00751BFD"/>
    <w:rsid w:val="00752070"/>
    <w:rsid w:val="0076186E"/>
    <w:rsid w:val="007629A1"/>
    <w:rsid w:val="00780D8C"/>
    <w:rsid w:val="007873E6"/>
    <w:rsid w:val="00794631"/>
    <w:rsid w:val="00796D9E"/>
    <w:rsid w:val="00797878"/>
    <w:rsid w:val="007A0449"/>
    <w:rsid w:val="007A2176"/>
    <w:rsid w:val="007B6FEF"/>
    <w:rsid w:val="007D62BD"/>
    <w:rsid w:val="007E06B2"/>
    <w:rsid w:val="007F1714"/>
    <w:rsid w:val="007F77ED"/>
    <w:rsid w:val="00800663"/>
    <w:rsid w:val="00806A63"/>
    <w:rsid w:val="00867733"/>
    <w:rsid w:val="008A1582"/>
    <w:rsid w:val="008C1323"/>
    <w:rsid w:val="008C1988"/>
    <w:rsid w:val="008D1118"/>
    <w:rsid w:val="0091200E"/>
    <w:rsid w:val="009215E1"/>
    <w:rsid w:val="009356C8"/>
    <w:rsid w:val="009446AF"/>
    <w:rsid w:val="00950ADE"/>
    <w:rsid w:val="009615BD"/>
    <w:rsid w:val="009833FA"/>
    <w:rsid w:val="00986230"/>
    <w:rsid w:val="009A2ACC"/>
    <w:rsid w:val="009B000C"/>
    <w:rsid w:val="009B158B"/>
    <w:rsid w:val="009C12DF"/>
    <w:rsid w:val="009C77DC"/>
    <w:rsid w:val="009D06FD"/>
    <w:rsid w:val="009E6A5A"/>
    <w:rsid w:val="009F1A76"/>
    <w:rsid w:val="009F37E7"/>
    <w:rsid w:val="009F4498"/>
    <w:rsid w:val="00A07ADC"/>
    <w:rsid w:val="00A27567"/>
    <w:rsid w:val="00A331BC"/>
    <w:rsid w:val="00A42E44"/>
    <w:rsid w:val="00A50854"/>
    <w:rsid w:val="00A54FFB"/>
    <w:rsid w:val="00A564CE"/>
    <w:rsid w:val="00A8254E"/>
    <w:rsid w:val="00A91335"/>
    <w:rsid w:val="00AE2E51"/>
    <w:rsid w:val="00AE65D2"/>
    <w:rsid w:val="00AF3E1C"/>
    <w:rsid w:val="00B033D5"/>
    <w:rsid w:val="00B16CBA"/>
    <w:rsid w:val="00B30048"/>
    <w:rsid w:val="00B32224"/>
    <w:rsid w:val="00B3613A"/>
    <w:rsid w:val="00B420EB"/>
    <w:rsid w:val="00B46A12"/>
    <w:rsid w:val="00B5286A"/>
    <w:rsid w:val="00B537D1"/>
    <w:rsid w:val="00B57233"/>
    <w:rsid w:val="00B6003D"/>
    <w:rsid w:val="00B6119F"/>
    <w:rsid w:val="00B613C0"/>
    <w:rsid w:val="00B6656A"/>
    <w:rsid w:val="00B70840"/>
    <w:rsid w:val="00B7381A"/>
    <w:rsid w:val="00B74F17"/>
    <w:rsid w:val="00BA3260"/>
    <w:rsid w:val="00BB450E"/>
    <w:rsid w:val="00BC4817"/>
    <w:rsid w:val="00C460A9"/>
    <w:rsid w:val="00C61209"/>
    <w:rsid w:val="00C729D6"/>
    <w:rsid w:val="00C75FBB"/>
    <w:rsid w:val="00C82621"/>
    <w:rsid w:val="00C91E75"/>
    <w:rsid w:val="00CA056D"/>
    <w:rsid w:val="00CD1C03"/>
    <w:rsid w:val="00D00BC5"/>
    <w:rsid w:val="00D21C9E"/>
    <w:rsid w:val="00D30304"/>
    <w:rsid w:val="00D30668"/>
    <w:rsid w:val="00D66616"/>
    <w:rsid w:val="00D87BF4"/>
    <w:rsid w:val="00DD053D"/>
    <w:rsid w:val="00DD4CAF"/>
    <w:rsid w:val="00E01425"/>
    <w:rsid w:val="00E07A5C"/>
    <w:rsid w:val="00E148CB"/>
    <w:rsid w:val="00E31A0D"/>
    <w:rsid w:val="00E439DD"/>
    <w:rsid w:val="00E45A79"/>
    <w:rsid w:val="00E677F6"/>
    <w:rsid w:val="00E805CB"/>
    <w:rsid w:val="00E84D3A"/>
    <w:rsid w:val="00E90DE1"/>
    <w:rsid w:val="00EB10D5"/>
    <w:rsid w:val="00EC51B8"/>
    <w:rsid w:val="00EE1A5F"/>
    <w:rsid w:val="00F01DD4"/>
    <w:rsid w:val="00F24884"/>
    <w:rsid w:val="00F41349"/>
    <w:rsid w:val="00F472E6"/>
    <w:rsid w:val="00F74F6E"/>
    <w:rsid w:val="00F75FBF"/>
    <w:rsid w:val="00F82006"/>
    <w:rsid w:val="00FA44BF"/>
    <w:rsid w:val="00FB249D"/>
    <w:rsid w:val="00FD0AE8"/>
    <w:rsid w:val="00FD57E7"/>
    <w:rsid w:val="00FE4475"/>
    <w:rsid w:val="00FE5285"/>
    <w:rsid w:val="00FF5DD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115764"/>
  <w15:docId w15:val="{B8592F36-BCC0-43B8-9ABF-73F4EF83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85CB2"/>
    <w:pPr>
      <w:tabs>
        <w:tab w:val="center" w:pos="4536"/>
        <w:tab w:val="right" w:pos="9072"/>
      </w:tabs>
      <w:spacing w:line="240" w:lineRule="auto"/>
    </w:pPr>
  </w:style>
  <w:style w:type="character" w:customStyle="1" w:styleId="KoptekstChar">
    <w:name w:val="Koptekst Char"/>
    <w:basedOn w:val="DefaultParagraphFont"/>
    <w:link w:val="Header"/>
    <w:uiPriority w:val="99"/>
    <w:rsid w:val="00085CB2"/>
    <w:rPr>
      <w:rFonts w:ascii="Verdana" w:hAnsi="Verdana"/>
      <w:color w:val="000000"/>
      <w:sz w:val="18"/>
      <w:szCs w:val="18"/>
    </w:rPr>
  </w:style>
  <w:style w:type="paragraph" w:styleId="Footer">
    <w:name w:val="footer"/>
    <w:basedOn w:val="Normal"/>
    <w:link w:val="VoettekstChar"/>
    <w:uiPriority w:val="99"/>
    <w:unhideWhenUsed/>
    <w:rsid w:val="00085CB2"/>
    <w:pPr>
      <w:tabs>
        <w:tab w:val="center" w:pos="4536"/>
        <w:tab w:val="right" w:pos="9072"/>
      </w:tabs>
      <w:spacing w:line="240" w:lineRule="auto"/>
    </w:pPr>
  </w:style>
  <w:style w:type="character" w:customStyle="1" w:styleId="VoettekstChar">
    <w:name w:val="Voettekst Char"/>
    <w:basedOn w:val="DefaultParagraphFont"/>
    <w:link w:val="Footer"/>
    <w:uiPriority w:val="99"/>
    <w:rsid w:val="00085CB2"/>
    <w:rPr>
      <w:rFonts w:ascii="Verdana" w:hAnsi="Verdana"/>
      <w:color w:val="000000"/>
      <w:sz w:val="18"/>
      <w:szCs w:val="18"/>
    </w:rPr>
  </w:style>
  <w:style w:type="paragraph" w:styleId="ListParagraph">
    <w:name w:val="List Paragraph"/>
    <w:basedOn w:val="Normal"/>
    <w:uiPriority w:val="34"/>
    <w:qFormat/>
    <w:rsid w:val="00085CB2"/>
    <w:pPr>
      <w:spacing w:line="240" w:lineRule="exact"/>
      <w:ind w:left="720"/>
      <w:contextualSpacing/>
    </w:pPr>
  </w:style>
  <w:style w:type="character" w:styleId="CommentReference">
    <w:name w:val="annotation reference"/>
    <w:basedOn w:val="DefaultParagraphFont"/>
    <w:uiPriority w:val="99"/>
    <w:semiHidden/>
    <w:unhideWhenUsed/>
    <w:rsid w:val="00085CB2"/>
    <w:rPr>
      <w:sz w:val="16"/>
      <w:szCs w:val="16"/>
    </w:rPr>
  </w:style>
  <w:style w:type="paragraph" w:styleId="CommentText">
    <w:name w:val="annotation text"/>
    <w:basedOn w:val="Normal"/>
    <w:link w:val="TekstopmerkingChar"/>
    <w:uiPriority w:val="99"/>
    <w:unhideWhenUsed/>
    <w:rsid w:val="00085CB2"/>
    <w:pPr>
      <w:spacing w:line="240" w:lineRule="auto"/>
    </w:pPr>
    <w:rPr>
      <w:sz w:val="20"/>
      <w:szCs w:val="20"/>
    </w:rPr>
  </w:style>
  <w:style w:type="character" w:customStyle="1" w:styleId="TekstopmerkingChar">
    <w:name w:val="Tekst opmerking Char"/>
    <w:basedOn w:val="DefaultParagraphFont"/>
    <w:link w:val="CommentText"/>
    <w:uiPriority w:val="99"/>
    <w:rsid w:val="00085CB2"/>
    <w:rPr>
      <w:rFonts w:ascii="Verdana" w:hAnsi="Verdana"/>
      <w:color w:val="000000"/>
    </w:rPr>
  </w:style>
  <w:style w:type="paragraph" w:styleId="Revision">
    <w:name w:val="Revision"/>
    <w:hidden/>
    <w:uiPriority w:val="99"/>
    <w:semiHidden/>
    <w:rsid w:val="009A2ACC"/>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9A2ACC"/>
    <w:rPr>
      <w:b/>
      <w:bCs/>
    </w:rPr>
  </w:style>
  <w:style w:type="character" w:customStyle="1" w:styleId="OnderwerpvanopmerkingChar">
    <w:name w:val="Onderwerp van opmerking Char"/>
    <w:basedOn w:val="TekstopmerkingChar"/>
    <w:link w:val="CommentSubject"/>
    <w:uiPriority w:val="99"/>
    <w:semiHidden/>
    <w:rsid w:val="009A2ACC"/>
    <w:rPr>
      <w:rFonts w:ascii="Verdana" w:hAnsi="Verdana"/>
      <w:b/>
      <w:bCs/>
      <w:color w:val="000000"/>
    </w:rPr>
  </w:style>
  <w:style w:type="paragraph" w:styleId="FootnoteText">
    <w:name w:val="footnote text"/>
    <w:basedOn w:val="Normal"/>
    <w:link w:val="VoetnoottekstChar"/>
    <w:uiPriority w:val="99"/>
    <w:semiHidden/>
    <w:unhideWhenUsed/>
    <w:rsid w:val="00244081"/>
    <w:pPr>
      <w:spacing w:line="240" w:lineRule="auto"/>
    </w:pPr>
    <w:rPr>
      <w:sz w:val="20"/>
      <w:szCs w:val="20"/>
    </w:rPr>
  </w:style>
  <w:style w:type="character" w:customStyle="1" w:styleId="VoetnoottekstChar">
    <w:name w:val="Voetnoottekst Char"/>
    <w:basedOn w:val="DefaultParagraphFont"/>
    <w:link w:val="FootnoteText"/>
    <w:uiPriority w:val="99"/>
    <w:semiHidden/>
    <w:rsid w:val="00244081"/>
    <w:rPr>
      <w:rFonts w:ascii="Verdana" w:hAnsi="Verdana"/>
      <w:color w:val="000000"/>
    </w:rPr>
  </w:style>
  <w:style w:type="character" w:styleId="FootnoteReference">
    <w:name w:val="footnote reference"/>
    <w:basedOn w:val="DefaultParagraphFont"/>
    <w:uiPriority w:val="99"/>
    <w:semiHidden/>
    <w:unhideWhenUsed/>
    <w:rsid w:val="00244081"/>
    <w:rPr>
      <w:vertAlign w:val="superscript"/>
    </w:rPr>
  </w:style>
  <w:style w:type="character" w:styleId="UnresolvedMention">
    <w:name w:val="Unresolved Mention"/>
    <w:basedOn w:val="DefaultParagraphFont"/>
    <w:uiPriority w:val="99"/>
    <w:semiHidden/>
    <w:unhideWhenUsed/>
    <w:rsid w:val="00A5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788</ap:Words>
  <ap:Characters>4335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Bijlage  - Uitkomsten onderzoek  bezoldiging niet-topfunctionaris WNT 2025</vt:lpstr>
    </vt:vector>
  </ap:TitlesOfParts>
  <ap:LinksUpToDate>false</ap:LinksUpToDate>
  <ap:CharactersWithSpaces>5113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2026-07-07T10:38:00.0000000Z</dcterms:created>
  <dcterms:modified xsi:type="dcterms:W3CDTF">2026-07-07T10:38:00.0000000Z</dcterms:modified>
  <dc:creator/>
  <lastModifiedBy/>
  <dc:description>------------------------</dc:description>
  <dc:subject/>
  <keywords/>
  <version/>
  <category/>
</coreProperties>
</file>