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2026Z15901</w:t>
        <w:br/>
      </w:r>
      <w:proofErr w:type="spellEnd"/>
    </w:p>
    <w:p>
      <w:pPr>
        <w:pStyle w:val="Normal"/>
        <w:rPr>
          <w:b w:val="1"/>
          <w:bCs w:val="1"/>
        </w:rPr>
      </w:pPr>
      <w:r w:rsidR="250AE766">
        <w:rPr>
          <w:b w:val="0"/>
          <w:bCs w:val="0"/>
        </w:rPr>
        <w:t>(ingezonden 7 juli 2026)</w:t>
        <w:br/>
      </w:r>
    </w:p>
    <w:p>
      <w:r>
        <w:t xml:space="preserve">Vragen van het lid Wiersma (BBB) en het lid Kostić (PvdD) aan de staatssecretaris van Infrastructuur en Waterstaat over de taskforce staalslakken en de uitwerking van de handreiking.</w:t>
      </w:r>
      <w:r>
        <w:br/>
      </w:r>
    </w:p>
    <w:p>
      <w:r>
        <w:t xml:space="preserve">1.          </w:t>
      </w:r>
      <w:r>
        <w:br/>
      </w:r>
    </w:p>
    <w:p>
      <w:r>
        <w:t xml:space="preserve">Wat zijn precies het doel, de opdracht en de beoogde resultaten van de ingestelde taskforce rondom staalslakken?</w:t>
      </w:r>
      <w:r>
        <w:br/>
      </w:r>
    </w:p>
    <w:p>
      <w:r>
        <w:t xml:space="preserve">2.          </w:t>
      </w:r>
      <w:r>
        <w:br/>
      </w:r>
    </w:p>
    <w:p>
      <w:r>
        <w:t xml:space="preserve">Welke organisaties, bestuurslagen en overige partijen nemen deel aan deze taskforce? Kunt u een volledig overzicht van de deelnemers aan de Kamer doen toekomen?</w:t>
      </w:r>
      <w:r>
        <w:br/>
      </w:r>
    </w:p>
    <w:p>
      <w:r>
        <w:t xml:space="preserve">3.          </w:t>
      </w:r>
      <w:r>
        <w:br/>
      </w:r>
    </w:p>
    <w:p>
      <w:r>
        <w:t xml:space="preserve">Op welke wijze wordt geborgd dat de taskforce evenwichtig is samengesteld en verschillende maatschappelijke en bestuurlijke belangen vertegenwoordigt? </w:t>
      </w:r>
      <w:r>
        <w:br/>
      </w:r>
    </w:p>
    <w:p>
      <w:r>
        <w:t xml:space="preserve">4.          </w:t>
      </w:r>
      <w:r>
        <w:br/>
      </w:r>
    </w:p>
    <w:p>
      <w:r>
        <w:t xml:space="preserve">Is vanuit de provincie Zeeland ook de gedeputeerde met natuur in portefeuille bij de taskforce betrokken? Zo nee, waarom niet?</w:t>
      </w:r>
      <w:r>
        <w:br/>
      </w:r>
    </w:p>
    <w:p>
      <w:r>
        <w:t xml:space="preserve">5.          </w:t>
      </w:r>
      <w:r>
        <w:br/>
      </w:r>
    </w:p>
    <w:p>
      <w:r>
        <w:t xml:space="preserve">Kunt u bevestigen dat provincies, gemeenten en waterschappen, ondanks de landelijke handreiking aangekondigd in de Kamerbrief van 5 juni 2026 (Kamerstuk 30015, nr. 152), bevoegd blijven om verdergaande maatregelen te treffen, waaronder een lokaal verbod of aanvullende beperkingen op de toepassing van staalslakken, indien zij dat noodzakelijk achten?</w:t>
      </w:r>
      <w:r>
        <w:br/>
      </w:r>
    </w:p>
    <w:p>
      <w:r>
        <w:t xml:space="preserve">6.          </w:t>
      </w:r>
      <w:r>
        <w:br/>
      </w:r>
    </w:p>
    <w:p>
      <w:r>
        <w:t xml:space="preserve">Wie is verantwoordelijk voor het opstellen van de landelijke handreiking, welke wetenschappelijke kennis en onafhankelijke deskundigen worden hierbij betrokken, en op welke wijze wordt de onafhankelijkheid en wetenschappelijke kwaliteit van de handreiking geborgd?</w:t>
      </w:r>
      <w:r>
        <w:br/>
      </w:r>
    </w:p>
    <w:p>
      <w:r>
        <w:t xml:space="preserve">7.          </w:t>
      </w:r>
      <w:r>
        <w:br/>
      </w:r>
    </w:p>
    <w:p>
      <w:r>
        <w:t xml:space="preserve">Wie worden uitgenodigd voor de expertsessies die in de tweede helft van dit jaar worden georganiseerd? Kunt u bevestigen dat daarbij niet alleen onderzoeksinstellingen en overheden, maar ook vertegenwoordigers van omwonendenorganisaties, onafhankelijke wetenschappers, juristen en andere relevante maatschappelijke organisaties worden betrokken? Zo nee, waarom niet?</w:t>
      </w:r>
      <w:r>
        <w:br/>
      </w:r>
    </w:p>
    <w:p>
      <w:r>
        <w:t xml:space="preserve">8.          </w:t>
      </w:r>
      <w:r>
        <w:br/>
      </w:r>
    </w:p>
    <w:p>
      <w:r>
        <w:t xml:space="preserve">Snapt u dat het geen vertrouwen wekt bij burgers dat een burgemeester die staalslakken prima vindt en weigerde die te verwijderen voor zijn inwoners, als voorzitter van de taskforce in een belangrijke positie is gezet om te helpen bij het invullen van beleid over staalslakken?</w:t>
      </w:r>
      <w:r>
        <w:br/>
      </w:r>
    </w:p>
    <w:p>
      <w:r>
        <w:t xml:space="preserve">9.          </w:t>
      </w:r>
      <w:r>
        <w:br/>
      </w:r>
    </w:p>
    <w:p>
      <w:r>
        <w:t xml:space="preserve">Wat is de precieze opdracht van de taskforce, die voortkomt uit de aangehouden motie van het VNG-congres vorig jaar over een schadefonds voor staalslakken? Mag de taskforce het ook hebben over geld voor het herstellen van schade van staalslakken, zoals dus bedoeld was? Zo nee, waarom wordt afgeweken van de originele intenties en hoe gaat het schadefonds dan worden opgepakt?</w:t>
      </w:r>
      <w:r>
        <w:br/>
      </w:r>
    </w:p>
    <w:p>
      <w:r>
        <w:t xml:space="preserve">10.       </w:t>
      </w:r>
      <w:r>
        <w:br/>
      </w:r>
    </w:p>
    <w:p>
      <w:r>
        <w:t xml:space="preserve">Hoe staat het ervoor met de uitvoering van motie van de leden Wiersma en Kostić over het verbod op het storten en toepassen van staalslakken in Zeeuwse wateren handhaven totdat is aangetoond dat toepassing hiervan veilig is (Kamerstuk 30015, nr. 145)?</w:t>
      </w:r>
      <w:r>
        <w:br/>
      </w:r>
    </w:p>
    <w:p>
      <w:r>
        <w:t xml:space="preserve">11.       </w:t>
      </w:r>
      <w:r>
        <w:br/>
      </w:r>
    </w:p>
    <w:p>
      <w:r>
        <w:t xml:space="preserve">Kunt u de bovenstaande vragen één voor één beantwoorden en op tijd?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