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21F95" w:rsidTr="00621F95" w14:paraId="5F4D66DC" w14:textId="77777777">
        <w:sdt>
          <w:sdtPr>
            <w:tag w:val="bmZaakNummerAdvies"/>
            <w:id w:val="1998996274"/>
            <w:lock w:val="sdtLocked"/>
            <w:placeholder>
              <w:docPart w:val="DefaultPlaceholder_-1854013440"/>
            </w:placeholder>
          </w:sdtPr>
          <w:sdtContent>
            <w:tc>
              <w:tcPr>
                <w:tcW w:w="4251" w:type="dxa"/>
              </w:tcPr>
              <w:p w:rsidR="00621F95" w:rsidRDefault="00621F95" w14:paraId="25A9CB34" w14:textId="4AD6F643">
                <w:r>
                  <w:t>No. W19.25.00218/IV</w:t>
                </w:r>
              </w:p>
            </w:tc>
          </w:sdtContent>
        </w:sdt>
        <w:sdt>
          <w:sdtPr>
            <w:tag w:val="bmDatumAdvies"/>
            <w:id w:val="599915378"/>
            <w:lock w:val="sdtLocked"/>
            <w:placeholder>
              <w:docPart w:val="DefaultPlaceholder_-1854013440"/>
            </w:placeholder>
          </w:sdtPr>
          <w:sdtContent>
            <w:tc>
              <w:tcPr>
                <w:tcW w:w="4252" w:type="dxa"/>
              </w:tcPr>
              <w:p w:rsidR="00621F95" w:rsidRDefault="00621F95" w14:paraId="7DE54322" w14:textId="33209E6C">
                <w:r>
                  <w:t>'s-Gravenhage, 1</w:t>
                </w:r>
                <w:r w:rsidR="00EC3E8B">
                  <w:t>2</w:t>
                </w:r>
                <w:r>
                  <w:t xml:space="preserve"> november 2025</w:t>
                </w:r>
              </w:p>
            </w:tc>
          </w:sdtContent>
        </w:sdt>
      </w:tr>
    </w:tbl>
    <w:p w:rsidR="00621F95" w:rsidRDefault="00621F95" w14:paraId="6F5B7881" w14:textId="77777777"/>
    <w:p w:rsidR="00621F95" w:rsidRDefault="00621F95" w14:paraId="3F938568" w14:textId="77777777"/>
    <w:p w:rsidR="001978DD" w:rsidRDefault="00000000" w14:paraId="444CADD0" w14:textId="02DD63AE">
      <w:sdt>
        <w:sdtPr>
          <w:tag w:val="bmAanhef"/>
          <w:id w:val="197525943"/>
          <w:lock w:val="sdtLocked"/>
          <w:placeholder>
            <w:docPart w:val="DefaultPlaceholder_-1854013440"/>
          </w:placeholder>
        </w:sdtPr>
        <w:sdtContent>
          <w:r w:rsidR="00621F95">
            <w:rPr>
              <w:color w:val="000000"/>
            </w:rPr>
            <w:t>Bij Kabinetsmissive van 9 juli 2025, no.2025001564, heeft Uwe Majesteit, op voordracht van de Minister van Klimaat en Groene Groei</w:t>
          </w:r>
          <w:r w:rsidR="00B02BB4">
            <w:rPr>
              <w:color w:val="000000"/>
            </w:rPr>
            <w:t>,</w:t>
          </w:r>
          <w:r w:rsidR="00621F95">
            <w:rPr>
              <w:color w:val="000000"/>
            </w:rPr>
            <w:t xml:space="preserve"> mede namens de Staatssecretaris Fiscaliteit, Belastingdienst en Douane, bij de Afdeling advisering van de Raad van State ter overweging aanhangig gemaakt het voorstel van wet tot wijziging van de Energiewet ter implementatie van het EU wetgevingspakket inzake het verbeteren van de opzet van de elektriciteitsmarkt van de Unie en de verbetering van de bescherming van de Unie tegen marktmanipulatie op de groothandelsmarkt voor energie, met memorie van toelichting.</w:t>
          </w:r>
        </w:sdtContent>
      </w:sdt>
    </w:p>
    <w:p w:rsidR="001978DD" w:rsidRDefault="001978DD" w14:paraId="444CADD1" w14:textId="77777777"/>
    <w:sdt>
      <w:sdtPr>
        <w:tag w:val="bmVrijeTekst1"/>
        <w:id w:val="360556458"/>
        <w:lock w:val="sdtLocked"/>
        <w:placeholder>
          <w:docPart w:val="DefaultPlaceholder_-1854013440"/>
        </w:placeholder>
      </w:sdtPr>
      <w:sdtContent>
        <w:p w:rsidR="006C3AFD" w:rsidRDefault="00460FF9" w14:paraId="1E0FCB1F" w14:textId="787D4B25">
          <w:r>
            <w:t xml:space="preserve">Het </w:t>
          </w:r>
          <w:r w:rsidR="006B7D22">
            <w:t>wets</w:t>
          </w:r>
          <w:r>
            <w:t>voorstel geeft uitvoering aan regelingen van de Europese Unie</w:t>
          </w:r>
          <w:r w:rsidR="00823C42">
            <w:t xml:space="preserve"> voor de energiemarkt</w:t>
          </w:r>
          <w:r w:rsidR="006746F1">
            <w:t>.</w:t>
          </w:r>
          <w:r w:rsidR="00E92A9F">
            <w:t xml:space="preserve"> </w:t>
          </w:r>
          <w:r w:rsidR="006746F1">
            <w:t>D</w:t>
          </w:r>
          <w:r w:rsidR="00E92A9F">
            <w:t xml:space="preserve">ie </w:t>
          </w:r>
          <w:r w:rsidR="006746F1">
            <w:t xml:space="preserve">regelingen zijn </w:t>
          </w:r>
          <w:r w:rsidR="00E92A9F">
            <w:t>tot stand gekomen na</w:t>
          </w:r>
          <w:r w:rsidR="009E181F">
            <w:t>ar aanleiding van</w:t>
          </w:r>
          <w:r w:rsidR="00E92A9F">
            <w:t xml:space="preserve"> de sterke stijging van de energieprijzen</w:t>
          </w:r>
          <w:r w:rsidR="006773E9">
            <w:t xml:space="preserve"> </w:t>
          </w:r>
          <w:r w:rsidR="00F34511">
            <w:t xml:space="preserve">na </w:t>
          </w:r>
          <w:r w:rsidR="001F3682">
            <w:t xml:space="preserve">het uitbreken van </w:t>
          </w:r>
          <w:r w:rsidR="006773E9">
            <w:t xml:space="preserve">de </w:t>
          </w:r>
          <w:r w:rsidR="001F3682">
            <w:t xml:space="preserve">Oekraïne-oorlog en het opleggen van </w:t>
          </w:r>
          <w:r w:rsidR="00F34511">
            <w:t xml:space="preserve">economische sancties </w:t>
          </w:r>
          <w:r w:rsidR="001F3682">
            <w:t>aan</w:t>
          </w:r>
          <w:r w:rsidR="00F34511">
            <w:t xml:space="preserve"> Rusland</w:t>
          </w:r>
          <w:r w:rsidR="00823C42">
            <w:t>.</w:t>
          </w:r>
          <w:r w:rsidR="00770973">
            <w:t xml:space="preserve"> </w:t>
          </w:r>
          <w:r w:rsidR="005E181D">
            <w:t xml:space="preserve">Zo </w:t>
          </w:r>
          <w:r w:rsidR="00770973">
            <w:t xml:space="preserve">komen </w:t>
          </w:r>
          <w:r w:rsidR="005E181D">
            <w:t xml:space="preserve">er </w:t>
          </w:r>
          <w:r w:rsidR="00770973">
            <w:t xml:space="preserve">maatregelen om de flexibiliteit in het energienetwerk te verhogen, zoals flexibele </w:t>
          </w:r>
          <w:r w:rsidR="00C25348">
            <w:t>aansluitovereenkomsten</w:t>
          </w:r>
          <w:r w:rsidRPr="00445FFA" w:rsidR="00445FFA">
            <w:t xml:space="preserve"> waarin vooraf is afgesproken </w:t>
          </w:r>
          <w:r w:rsidR="006C4D81">
            <w:t>d</w:t>
          </w:r>
          <w:r w:rsidRPr="006C4D81" w:rsidR="006C4D81">
            <w:t>at het gebruik van een aansluiting kan worden beperkt</w:t>
          </w:r>
          <w:r w:rsidR="000650FC">
            <w:t>.</w:t>
          </w:r>
        </w:p>
        <w:p w:rsidR="006C3AFD" w:rsidRDefault="006C3AFD" w14:paraId="3ED52CA3" w14:textId="77777777"/>
        <w:p w:rsidR="00AE5EBC" w:rsidRDefault="001573AB" w14:paraId="3EBE5757" w14:textId="4F38DAC1">
          <w:r>
            <w:t xml:space="preserve">Op dit moment </w:t>
          </w:r>
          <w:r w:rsidR="00E00770">
            <w:t>kunnen afnemers van elektriciteit die elektriciteit terugleveren</w:t>
          </w:r>
          <w:r w:rsidR="00365406">
            <w:t xml:space="preserve"> energie </w:t>
          </w:r>
          <w:r w:rsidR="003A18F8">
            <w:t xml:space="preserve">(op papier) </w:t>
          </w:r>
          <w:r w:rsidR="00365406">
            <w:t>delen met andere afnemers</w:t>
          </w:r>
          <w:r w:rsidR="0012594B">
            <w:t>, mits ze klant zijn bij dezelfde leverancier</w:t>
          </w:r>
          <w:r w:rsidR="00941C55">
            <w:t xml:space="preserve">; </w:t>
          </w:r>
          <w:r w:rsidR="003C79C5">
            <w:t xml:space="preserve">het voorstel regelt dat </w:t>
          </w:r>
          <w:r w:rsidR="00941C55">
            <w:t>afnemers ook energie kunnen delen als ze verschillende leveranciers hebben.</w:t>
          </w:r>
          <w:r w:rsidR="00942463">
            <w:t xml:space="preserve"> </w:t>
          </w:r>
          <w:r w:rsidR="00AE5EBC">
            <w:t xml:space="preserve">De Afdeling </w:t>
          </w:r>
          <w:r w:rsidR="00B34ADA">
            <w:t>constateert</w:t>
          </w:r>
          <w:r w:rsidR="00AE5EBC">
            <w:t xml:space="preserve"> dat het </w:t>
          </w:r>
          <w:r w:rsidR="00AD79A3">
            <w:t>energiedelen</w:t>
          </w:r>
          <w:r w:rsidR="00907D0A">
            <w:t xml:space="preserve"> </w:t>
          </w:r>
          <w:r w:rsidR="0022166B">
            <w:t xml:space="preserve">zoals vormgegeven in de Europese regelingen </w:t>
          </w:r>
          <w:r w:rsidR="00907D0A">
            <w:t>complex is</w:t>
          </w:r>
          <w:r w:rsidR="0022166B">
            <w:t>, maar</w:t>
          </w:r>
          <w:r w:rsidR="00907D0A">
            <w:t xml:space="preserve"> </w:t>
          </w:r>
          <w:r w:rsidR="0022166B">
            <w:t xml:space="preserve">dat de </w:t>
          </w:r>
          <w:r w:rsidR="00F15890">
            <w:t xml:space="preserve">vertaling in </w:t>
          </w:r>
          <w:r w:rsidR="00EC4B60">
            <w:t>het Nederlandse wetsvoorstel</w:t>
          </w:r>
          <w:r w:rsidR="007E325A">
            <w:t xml:space="preserve"> </w:t>
          </w:r>
          <w:r w:rsidR="001D4D0D">
            <w:t xml:space="preserve">zo </w:t>
          </w:r>
          <w:r w:rsidR="00793957">
            <w:t xml:space="preserve">eenvoudig mogelijk </w:t>
          </w:r>
          <w:r w:rsidR="001D4D0D">
            <w:t xml:space="preserve">is gehouden. </w:t>
          </w:r>
          <w:r w:rsidR="00C46636">
            <w:t xml:space="preserve">Gekozen is voor </w:t>
          </w:r>
          <w:r w:rsidR="008506B3">
            <w:t>een model waarbij alleen energie kan worden gedeeld volgens een vooraf overeengekomen percentage</w:t>
          </w:r>
          <w:r w:rsidR="0087031D">
            <w:t xml:space="preserve">; deze keus </w:t>
          </w:r>
          <w:r w:rsidR="00C11531">
            <w:t>vraagt om een uitgebreidere toelichting waarin de weging van de voor-</w:t>
          </w:r>
          <w:r w:rsidR="0091125F">
            <w:t xml:space="preserve"> </w:t>
          </w:r>
          <w:r w:rsidR="00C11531">
            <w:t>en nadelen van zowel vaste als dynamische verdeelsleutels beter inzichtelijk wordt gemaakt</w:t>
          </w:r>
          <w:r w:rsidR="0087031D">
            <w:t>.</w:t>
          </w:r>
        </w:p>
        <w:p w:rsidR="005017C1" w:rsidRDefault="005017C1" w14:paraId="11C7A056" w14:textId="77777777"/>
        <w:p w:rsidR="005017C1" w:rsidRDefault="00AD79A3" w14:paraId="761219E3" w14:textId="5A733B7E">
          <w:r>
            <w:t>Energiedelen</w:t>
          </w:r>
          <w:r w:rsidR="005017C1">
            <w:t xml:space="preserve"> kan gevolgen hebben voor de btw-heffing.</w:t>
          </w:r>
          <w:r w:rsidR="00B744FA">
            <w:t xml:space="preserve"> De toelichting gaat daar slechts summier op in. De Afdeling adviseert </w:t>
          </w:r>
          <w:r w:rsidR="008B281A">
            <w:t xml:space="preserve">meer informatie hierover op te nemen in </w:t>
          </w:r>
          <w:r w:rsidR="00B744FA">
            <w:t>de toelichting.</w:t>
          </w:r>
        </w:p>
        <w:p w:rsidR="006C0A44" w:rsidRDefault="006C0A44" w14:paraId="18A168AC" w14:textId="77777777"/>
        <w:p w:rsidR="00D814A5" w:rsidRDefault="006C0A44" w14:paraId="793800FC" w14:textId="4F031DED">
          <w:r>
            <w:t xml:space="preserve">Het voorstel </w:t>
          </w:r>
          <w:r w:rsidR="00B41034">
            <w:t xml:space="preserve">regelt dat </w:t>
          </w:r>
          <w:r w:rsidRPr="00B41034" w:rsidR="00B41034">
            <w:t>de minister, om redenen van nationale veiligheid</w:t>
          </w:r>
          <w:r w:rsidR="00461BE4">
            <w:t>,</w:t>
          </w:r>
          <w:r w:rsidRPr="00B41034" w:rsidR="00B41034">
            <w:t xml:space="preserve"> bindende aanwijzingen kan geven aan elektriciteits- of aardgasbedrijven</w:t>
          </w:r>
          <w:r w:rsidR="00461BE4">
            <w:t xml:space="preserve"> om </w:t>
          </w:r>
          <w:r w:rsidRPr="00B41034" w:rsidR="00B41034">
            <w:t xml:space="preserve">de leveringszekerheid </w:t>
          </w:r>
          <w:r w:rsidR="00461BE4">
            <w:t>veilig te stellen.</w:t>
          </w:r>
          <w:r w:rsidR="00671CC1">
            <w:t xml:space="preserve"> </w:t>
          </w:r>
          <w:r w:rsidR="00BA2CFD">
            <w:t>Hoewel</w:t>
          </w:r>
          <w:r w:rsidR="008D6F47">
            <w:t xml:space="preserve"> </w:t>
          </w:r>
          <w:r w:rsidR="00844754">
            <w:t xml:space="preserve">dat een </w:t>
          </w:r>
          <w:r w:rsidRPr="00080EFA" w:rsidR="00844754">
            <w:t>verstandig voorstel</w:t>
          </w:r>
          <w:r w:rsidR="00844754">
            <w:t xml:space="preserve"> </w:t>
          </w:r>
          <w:r w:rsidR="008D6F47">
            <w:t xml:space="preserve">is, </w:t>
          </w:r>
          <w:r w:rsidR="002C153A">
            <w:t xml:space="preserve">merkt </w:t>
          </w:r>
          <w:r w:rsidR="008D6F47">
            <w:t xml:space="preserve">de Afdeling </w:t>
          </w:r>
          <w:r w:rsidR="002C153A">
            <w:t xml:space="preserve">op dat deze </w:t>
          </w:r>
          <w:r w:rsidR="00514198">
            <w:t>bevoegdheid erg ruim is geformuleerd</w:t>
          </w:r>
          <w:r w:rsidR="008159DE">
            <w:t>.</w:t>
          </w:r>
          <w:r w:rsidR="00514198">
            <w:t xml:space="preserve"> </w:t>
          </w:r>
          <w:r w:rsidR="008159DE">
            <w:t xml:space="preserve">Zij </w:t>
          </w:r>
          <w:r w:rsidR="0016431B">
            <w:t xml:space="preserve">adviseert </w:t>
          </w:r>
          <w:r w:rsidR="00640105">
            <w:t xml:space="preserve">de bevoegdheid beter in te passen in het Europese </w:t>
          </w:r>
          <w:r w:rsidR="00780767">
            <w:t xml:space="preserve">stelsel. </w:t>
          </w:r>
        </w:p>
        <w:p w:rsidR="00D814A5" w:rsidRDefault="00D814A5" w14:paraId="5653A0B5" w14:textId="77777777"/>
        <w:p w:rsidR="006C0A44" w:rsidRDefault="00064612" w14:paraId="024342D2" w14:textId="7B869305">
          <w:r>
            <w:t>Bij de u</w:t>
          </w:r>
          <w:r w:rsidR="00766F3A">
            <w:t xml:space="preserve">itoefening van deze bevoegdheid </w:t>
          </w:r>
          <w:r>
            <w:t xml:space="preserve">valt </w:t>
          </w:r>
          <w:r w:rsidR="009523C3">
            <w:t xml:space="preserve">er </w:t>
          </w:r>
          <w:r w:rsidR="00B54BEC">
            <w:t xml:space="preserve">bovendien </w:t>
          </w:r>
          <w:r>
            <w:t xml:space="preserve">niet </w:t>
          </w:r>
          <w:r w:rsidR="009523C3">
            <w:t xml:space="preserve">aan </w:t>
          </w:r>
          <w:r>
            <w:t xml:space="preserve">te ontkomen </w:t>
          </w:r>
          <w:r w:rsidR="009523C3">
            <w:t xml:space="preserve">om </w:t>
          </w:r>
          <w:r w:rsidR="008D277E">
            <w:t>voor alle afnemers van energie</w:t>
          </w:r>
          <w:r w:rsidR="00D92714">
            <w:t xml:space="preserve">prioriteiten </w:t>
          </w:r>
          <w:r w:rsidR="008D277E">
            <w:t>vast te stellen</w:t>
          </w:r>
          <w:r w:rsidR="002B12DE">
            <w:t xml:space="preserve">. </w:t>
          </w:r>
          <w:r w:rsidR="00330544">
            <w:t>Een dergelijke</w:t>
          </w:r>
          <w:r w:rsidRPr="002674D0" w:rsidR="00330544">
            <w:t xml:space="preserve"> afweging van prioriteiten </w:t>
          </w:r>
          <w:r w:rsidR="00330544">
            <w:t xml:space="preserve">met het oog op de nationale veiligheid is een zaak van algemeen regeringsbeleid. </w:t>
          </w:r>
          <w:r w:rsidRPr="002674D0" w:rsidR="009E0DF5">
            <w:t>De</w:t>
          </w:r>
          <w:r w:rsidR="00C864CB">
            <w:t xml:space="preserve"> Afdeling merkt op </w:t>
          </w:r>
          <w:r w:rsidR="007B4CD0">
            <w:t xml:space="preserve">het in de rede ligt </w:t>
          </w:r>
          <w:r w:rsidR="009C727B">
            <w:t>die afweging</w:t>
          </w:r>
          <w:r w:rsidRPr="002674D0" w:rsidR="00ED5A8D">
            <w:t xml:space="preserve"> te </w:t>
          </w:r>
          <w:r w:rsidRPr="002674D0" w:rsidR="006C35C3">
            <w:t>m</w:t>
          </w:r>
          <w:r w:rsidRPr="002674D0" w:rsidR="00ED5A8D">
            <w:t>ak</w:t>
          </w:r>
          <w:r w:rsidR="008F4EB9">
            <w:t>en</w:t>
          </w:r>
          <w:r w:rsidRPr="002674D0" w:rsidR="00ED5A8D">
            <w:t xml:space="preserve"> bij koninklijk besluit </w:t>
          </w:r>
          <w:r w:rsidRPr="002674D0" w:rsidR="00645B3B">
            <w:t xml:space="preserve">op voordracht van de </w:t>
          </w:r>
          <w:r w:rsidRPr="002674D0" w:rsidR="008159DE">
            <w:t>m</w:t>
          </w:r>
          <w:r w:rsidRPr="002674D0" w:rsidR="00645B3B">
            <w:t>inister van Justitie en Veiligheid.</w:t>
          </w:r>
          <w:r w:rsidR="00645B3B">
            <w:t xml:space="preserve"> </w:t>
          </w:r>
          <w:r w:rsidR="00780767">
            <w:t xml:space="preserve">Daarnaast stelt </w:t>
          </w:r>
          <w:r w:rsidR="00EF17C3">
            <w:t>de Afdeling</w:t>
          </w:r>
          <w:r w:rsidR="00780767">
            <w:t xml:space="preserve"> </w:t>
          </w:r>
          <w:r w:rsidR="000B07E7">
            <w:t xml:space="preserve">de </w:t>
          </w:r>
          <w:r w:rsidR="00780767">
            <w:t>vra</w:t>
          </w:r>
          <w:r w:rsidR="000B07E7">
            <w:t>a</w:t>
          </w:r>
          <w:r w:rsidR="00780767">
            <w:t xml:space="preserve">g </w:t>
          </w:r>
          <w:r w:rsidR="000B07E7">
            <w:t xml:space="preserve">of de vrije </w:t>
          </w:r>
          <w:r w:rsidR="00DE20A7">
            <w:t>energie</w:t>
          </w:r>
          <w:r w:rsidR="000B07E7">
            <w:t xml:space="preserve">markt </w:t>
          </w:r>
          <w:r w:rsidR="00624410">
            <w:t xml:space="preserve">voldoende </w:t>
          </w:r>
          <w:r w:rsidR="00624410">
            <w:lastRenderedPageBreak/>
            <w:t xml:space="preserve">is afgestemd op </w:t>
          </w:r>
          <w:r w:rsidR="00DE20A7">
            <w:t>de geopolitieke ontwikkelingen</w:t>
          </w:r>
          <w:r w:rsidR="00624410">
            <w:t xml:space="preserve"> van de laatste jaren</w:t>
          </w:r>
          <w:r w:rsidR="004F28CC">
            <w:t>, ook in het licht van het stelsel van noodbevoegdheden</w:t>
          </w:r>
          <w:r w:rsidR="00DE20A7">
            <w:t>.</w:t>
          </w:r>
          <w:r w:rsidR="009123B6">
            <w:t xml:space="preserve"> </w:t>
          </w:r>
        </w:p>
        <w:p w:rsidR="00F826D9" w:rsidRDefault="00F826D9" w14:paraId="76887A3F" w14:textId="77777777"/>
        <w:p w:rsidR="005F0EC3" w:rsidP="005F0EC3" w:rsidRDefault="005F0EC3" w14:paraId="463A9497" w14:textId="3D5993CF">
          <w:r>
            <w:t>Verder stelt de Afdeling de vraag waarom ervan is afgezien wettelijk instrument</w:t>
          </w:r>
          <w:r w:rsidR="00C82037">
            <w:t>en</w:t>
          </w:r>
          <w:r>
            <w:t xml:space="preserve"> te introduceren om te kunnen ingrijpen bij een plotselinge, sterke stijging van de energieprijzen; de Elek</w:t>
          </w:r>
          <w:r w:rsidR="0050303C">
            <w:t>t</w:t>
          </w:r>
          <w:r>
            <w:t>riciteitsrichtlijn biedt daar wel de mogelijkheid voor.</w:t>
          </w:r>
        </w:p>
        <w:p w:rsidR="005F0EC3" w:rsidP="005F0EC3" w:rsidRDefault="005F0EC3" w14:paraId="50633EC5" w14:textId="77777777"/>
        <w:p w:rsidR="00C32BF7" w:rsidP="00C32BF7" w:rsidRDefault="00C32BF7" w14:paraId="2B122B82" w14:textId="74C323A5">
          <w:r>
            <w:t xml:space="preserve">De Autoriteit Consument en Markt (ACM), die toezicht houdt op de energiemarkt, krijgt meer mogelijkheden </w:t>
          </w:r>
          <w:r w:rsidR="00A5589A">
            <w:t xml:space="preserve">om </w:t>
          </w:r>
          <w:r>
            <w:t xml:space="preserve">samen te werken met de Europese toezichthouder en met zusterorganisaties in andere EU-lidstaten. De Afdeling </w:t>
          </w:r>
          <w:r w:rsidR="006B3115">
            <w:t>doet een suggestie om de internationale toezichttaken van de ACM overzichtelijker te regelen.</w:t>
          </w:r>
        </w:p>
        <w:p w:rsidR="00907700" w:rsidP="00C32BF7" w:rsidRDefault="00907700" w14:paraId="2E3E31DC" w14:textId="77777777"/>
        <w:p w:rsidR="00907700" w:rsidP="00C32BF7" w:rsidRDefault="00687E02" w14:paraId="18E28417" w14:textId="0E82D365">
          <w:r w:rsidRPr="00687E02">
            <w:t xml:space="preserve">In verband </w:t>
          </w:r>
          <w:r w:rsidR="00987D26">
            <w:t>met deze opmerkingen</w:t>
          </w:r>
          <w:r w:rsidRPr="00687E02">
            <w:t xml:space="preserve"> is aanpassing wenselijk van het wetsvoorstel en de toelichting.</w:t>
          </w:r>
        </w:p>
        <w:p w:rsidR="00C32BF7" w:rsidP="00C32BF7" w:rsidRDefault="00C32BF7" w14:paraId="731BE4C7" w14:textId="77777777"/>
        <w:p w:rsidR="001978DD" w:rsidRDefault="009D6675" w14:paraId="444CADD2" w14:textId="6005838A">
          <w:r>
            <w:t xml:space="preserve">1. </w:t>
          </w:r>
          <w:r>
            <w:tab/>
          </w:r>
          <w:r w:rsidR="00AD79A3">
            <w:rPr>
              <w:u w:val="single"/>
            </w:rPr>
            <w:t>Energiedelen</w:t>
          </w:r>
        </w:p>
        <w:p w:rsidR="006B7D22" w:rsidRDefault="006B7D22" w14:paraId="17E731AE" w14:textId="77777777"/>
        <w:p w:rsidR="00CE6154" w:rsidRDefault="00EF0F03" w14:paraId="4AF3059D" w14:textId="5BDDC527">
          <w:r>
            <w:t xml:space="preserve">In </w:t>
          </w:r>
          <w:r w:rsidR="007B63A6">
            <w:t xml:space="preserve">de </w:t>
          </w:r>
          <w:r w:rsidR="002B4646">
            <w:t>Energiewet</w:t>
          </w:r>
          <w:r w:rsidR="005D335E">
            <w:rPr>
              <w:rStyle w:val="Voetnootmarkering"/>
            </w:rPr>
            <w:footnoteReference w:id="2"/>
          </w:r>
          <w:r w:rsidR="002B4646">
            <w:t xml:space="preserve"> </w:t>
          </w:r>
          <w:r w:rsidR="007B63A6">
            <w:t xml:space="preserve">krijgen eindafnemers </w:t>
          </w:r>
          <w:r w:rsidR="00A0423E">
            <w:t xml:space="preserve">(bedrijven en consumenten) </w:t>
          </w:r>
          <w:r w:rsidR="00FE1F81">
            <w:t>die zelf ook elektriciteit terugleveren</w:t>
          </w:r>
          <w:r w:rsidR="00FE1F81">
            <w:rPr>
              <w:rStyle w:val="Voetnootmarkering"/>
            </w:rPr>
            <w:footnoteReference w:id="3"/>
          </w:r>
          <w:r w:rsidR="00FE1F81">
            <w:t xml:space="preserve"> </w:t>
          </w:r>
          <w:r w:rsidR="007B63A6">
            <w:t>het recht energie te delen</w:t>
          </w:r>
          <w:r w:rsidR="002B4730">
            <w:t>.</w:t>
          </w:r>
          <w:r w:rsidR="007B63A6">
            <w:rPr>
              <w:rStyle w:val="Voetnootmarkering"/>
            </w:rPr>
            <w:footnoteReference w:id="4"/>
          </w:r>
          <w:r w:rsidR="00E9734C">
            <w:t xml:space="preserve"> </w:t>
          </w:r>
          <w:r w:rsidR="007B63A6">
            <w:t xml:space="preserve">Het wetsvoorstel breidt </w:t>
          </w:r>
          <w:r w:rsidR="00D01D33">
            <w:t xml:space="preserve">dit </w:t>
          </w:r>
          <w:r w:rsidR="002B4730">
            <w:t>recht</w:t>
          </w:r>
          <w:r w:rsidR="00F1413F">
            <w:t xml:space="preserve"> </w:t>
          </w:r>
          <w:r w:rsidR="007B63A6">
            <w:t>uit</w:t>
          </w:r>
          <w:r w:rsidR="006C42B1">
            <w:t>:</w:t>
          </w:r>
          <w:r w:rsidR="007B63A6">
            <w:t xml:space="preserve"> </w:t>
          </w:r>
          <w:r w:rsidR="003A4250">
            <w:t>eind</w:t>
          </w:r>
          <w:r w:rsidR="000E1937">
            <w:t>afnemers kunnen voortaan ook</w:t>
          </w:r>
          <w:r w:rsidR="007B63A6">
            <w:t xml:space="preserve"> </w:t>
          </w:r>
          <w:r w:rsidR="00AD79A3">
            <w:t>energiedelen</w:t>
          </w:r>
          <w:r w:rsidR="00461760">
            <w:t xml:space="preserve"> met</w:t>
          </w:r>
          <w:r w:rsidR="007B63A6">
            <w:t xml:space="preserve"> eindafnemers die klant zijn bij een andere leverancier.</w:t>
          </w:r>
          <w:r w:rsidR="004724F6">
            <w:t xml:space="preserve"> </w:t>
          </w:r>
          <w:r w:rsidR="009765CE">
            <w:t xml:space="preserve">Dit vloeit voort uit een wijziging van </w:t>
          </w:r>
          <w:r w:rsidR="00B521D8">
            <w:t>de</w:t>
          </w:r>
          <w:r w:rsidR="002A1C8A">
            <w:t xml:space="preserve"> </w:t>
          </w:r>
          <w:r w:rsidR="00162ECB">
            <w:t>Elektriciteitsr</w:t>
          </w:r>
          <w:r w:rsidR="002A1C8A">
            <w:t>ichtlijn.</w:t>
          </w:r>
          <w:r w:rsidR="002A1C8A">
            <w:rPr>
              <w:rStyle w:val="Voetnootmarkering"/>
            </w:rPr>
            <w:footnoteReference w:id="5"/>
          </w:r>
          <w:r w:rsidR="002A1C8A">
            <w:t xml:space="preserve"> </w:t>
          </w:r>
        </w:p>
        <w:p w:rsidR="00247A7B" w:rsidRDefault="00247A7B" w14:paraId="0A49C143" w14:textId="77777777"/>
        <w:p w:rsidR="00B74BF3" w:rsidRDefault="00AD79A3" w14:paraId="5968F00B" w14:textId="5CBFF623">
          <w:r>
            <w:t>Energiedelen</w:t>
          </w:r>
          <w:r w:rsidR="00F5107E">
            <w:t xml:space="preserve"> houdt in dat</w:t>
          </w:r>
          <w:r w:rsidR="00247A7B">
            <w:t xml:space="preserve"> een deel van de</w:t>
          </w:r>
          <w:r w:rsidRPr="0067016A" w:rsidR="00247A7B">
            <w:t xml:space="preserve"> </w:t>
          </w:r>
          <w:r w:rsidRPr="0067016A" w:rsidR="005535E2">
            <w:t>terug</w:t>
          </w:r>
          <w:r w:rsidRPr="0067016A" w:rsidR="00D34C84">
            <w:t>geleverde</w:t>
          </w:r>
          <w:r w:rsidRPr="0067016A" w:rsidR="00247A7B">
            <w:t xml:space="preserve"> elektriciteit </w:t>
          </w:r>
          <w:r w:rsidR="00247A7B">
            <w:t xml:space="preserve">administratief </w:t>
          </w:r>
          <w:r w:rsidR="003A4250">
            <w:t xml:space="preserve">wordt </w:t>
          </w:r>
          <w:r w:rsidR="00247A7B">
            <w:t>overgezet naar de energieontvanger</w:t>
          </w:r>
          <w:r w:rsidR="004A7939">
            <w:t>.</w:t>
          </w:r>
          <w:r w:rsidR="005214CB">
            <w:t xml:space="preserve"> </w:t>
          </w:r>
          <w:r w:rsidR="004A7939">
            <w:t>A</w:t>
          </w:r>
          <w:r w:rsidR="005214CB">
            <w:t xml:space="preserve">dministratief omdat de elektriciteit niet </w:t>
          </w:r>
          <w:r w:rsidR="004D3EE1">
            <w:t>f</w:t>
          </w:r>
          <w:r w:rsidR="00D320BE">
            <w:t>ysiek</w:t>
          </w:r>
          <w:r w:rsidR="004D3EE1">
            <w:t xml:space="preserve"> </w:t>
          </w:r>
          <w:r w:rsidR="0045303B">
            <w:t>wordt overgebracht naar de</w:t>
          </w:r>
          <w:r w:rsidR="00C57509">
            <w:t xml:space="preserve"> energieontvanger</w:t>
          </w:r>
          <w:r w:rsidR="008079D6">
            <w:t xml:space="preserve">. De eindafnemers die </w:t>
          </w:r>
          <w:r>
            <w:t>energiedelen</w:t>
          </w:r>
          <w:r w:rsidR="008079D6">
            <w:t xml:space="preserve"> hoeven ook niet in elkaars nabijheid </w:t>
          </w:r>
          <w:r w:rsidR="007A7E6D">
            <w:t>te wonen</w:t>
          </w:r>
          <w:r w:rsidR="00247A7B">
            <w:t>. De elektriciteit die</w:t>
          </w:r>
          <w:r w:rsidR="004B24EF">
            <w:t xml:space="preserve"> een energiegever deelt </w:t>
          </w:r>
          <w:r w:rsidR="00241F31">
            <w:t xml:space="preserve">trekt hij af van het volume </w:t>
          </w:r>
          <w:r w:rsidR="00A444CD">
            <w:t>d</w:t>
          </w:r>
          <w:r w:rsidR="00241F31">
            <w:t xml:space="preserve">at hij </w:t>
          </w:r>
          <w:r w:rsidR="00400F5B">
            <w:t>aan zi</w:t>
          </w:r>
          <w:r w:rsidR="00DA6FE7">
            <w:t xml:space="preserve">jn leverancier </w:t>
          </w:r>
          <w:r w:rsidR="00FD6968">
            <w:t xml:space="preserve">teruglevert, en </w:t>
          </w:r>
          <w:r w:rsidR="00AC3D84">
            <w:t xml:space="preserve">trekt de energieontvanger af van het volume </w:t>
          </w:r>
          <w:r w:rsidR="00081034">
            <w:t>d</w:t>
          </w:r>
          <w:r w:rsidR="00AC3D84">
            <w:t xml:space="preserve">at hij </w:t>
          </w:r>
          <w:r w:rsidR="00441EFD">
            <w:t>van zijn leverancier afneemt</w:t>
          </w:r>
          <w:r w:rsidR="00AC3D84">
            <w:t>.</w:t>
          </w:r>
          <w:r w:rsidR="00470034">
            <w:t xml:space="preserve"> </w:t>
          </w:r>
          <w:r w:rsidRPr="00CE6154" w:rsidR="00CE6154">
            <w:t xml:space="preserve">Het doel van </w:t>
          </w:r>
          <w:r>
            <w:t>energiedelen</w:t>
          </w:r>
          <w:r w:rsidRPr="00CE6154" w:rsidR="00CE6154">
            <w:t xml:space="preserve"> is om eindafnemers minder afhankelijk te maken van reguliere leveranciers</w:t>
          </w:r>
          <w:r w:rsidR="00EB4728">
            <w:t xml:space="preserve"> en </w:t>
          </w:r>
          <w:r w:rsidR="00B74BF3">
            <w:t>om</w:t>
          </w:r>
          <w:r w:rsidRPr="00CE6154" w:rsidR="00B74BF3">
            <w:t xml:space="preserve"> </w:t>
          </w:r>
          <w:r w:rsidRPr="00CE6154" w:rsidR="00CE6154">
            <w:t xml:space="preserve">veerkracht te creëren tegen </w:t>
          </w:r>
          <w:r w:rsidR="00D63E79">
            <w:t>volatiele en hog</w:t>
          </w:r>
          <w:r w:rsidRPr="00CE6154" w:rsidR="00CE6154">
            <w:t xml:space="preserve">e groothandelsprijzen. </w:t>
          </w:r>
          <w:r w:rsidR="00267E7F">
            <w:t xml:space="preserve">Bij de implementatie van </w:t>
          </w:r>
          <w:r>
            <w:t>energiedelen</w:t>
          </w:r>
          <w:r w:rsidR="00267E7F">
            <w:t xml:space="preserve"> is bijzondere aandacht voor k</w:t>
          </w:r>
          <w:r w:rsidR="009F27F9">
            <w:t>wetsbare huishoudens en huishoudens die geconfronteerd worden met energiearmoede</w:t>
          </w:r>
          <w:r w:rsidR="00267E7F">
            <w:t>.</w:t>
          </w:r>
          <w:r w:rsidR="00267E7F">
            <w:rPr>
              <w:rStyle w:val="Voetnootmarkering"/>
            </w:rPr>
            <w:footnoteReference w:id="6"/>
          </w:r>
          <w:r w:rsidR="008477AF">
            <w:t xml:space="preserve"> </w:t>
          </w:r>
        </w:p>
        <w:p w:rsidR="00B74BF3" w:rsidRDefault="00B74BF3" w14:paraId="7B44F6C7" w14:textId="77777777"/>
        <w:p w:rsidR="009F27F9" w:rsidRDefault="008477AF" w14:paraId="0F12C8D2" w14:textId="2073ED09">
          <w:r>
            <w:lastRenderedPageBreak/>
            <w:t xml:space="preserve">De wijze waarop het recht op </w:t>
          </w:r>
          <w:r w:rsidR="00AD79A3">
            <w:t>energiedelen</w:t>
          </w:r>
          <w:r>
            <w:t xml:space="preserve"> wordt geïmplementeerd, geeft </w:t>
          </w:r>
          <w:r w:rsidR="007629AD">
            <w:t xml:space="preserve">de Afdeling </w:t>
          </w:r>
          <w:r>
            <w:t xml:space="preserve">aanleiding tot enkele </w:t>
          </w:r>
          <w:r w:rsidR="00BE397E">
            <w:t>opmerking</w:t>
          </w:r>
          <w:r w:rsidR="00EB4728">
            <w:t>en</w:t>
          </w:r>
          <w:r>
            <w:t>.</w:t>
          </w:r>
        </w:p>
        <w:p w:rsidR="00164CE8" w:rsidRDefault="00164CE8" w14:paraId="09CD108F" w14:textId="77777777"/>
        <w:p w:rsidR="00A57B28" w:rsidRDefault="00C678C0" w14:paraId="77BDFCFC" w14:textId="36E2A6A0">
          <w:r>
            <w:t>a.</w:t>
          </w:r>
          <w:r>
            <w:tab/>
          </w:r>
          <w:r w:rsidRPr="00951E7B" w:rsidR="007807B7">
            <w:rPr>
              <w:i/>
              <w:iCs/>
            </w:rPr>
            <w:t xml:space="preserve">Gekozen model </w:t>
          </w:r>
          <w:r w:rsidRPr="00951E7B" w:rsidR="00221F59">
            <w:rPr>
              <w:i/>
              <w:iCs/>
            </w:rPr>
            <w:t xml:space="preserve">voor </w:t>
          </w:r>
          <w:r w:rsidR="00AD79A3">
            <w:rPr>
              <w:i/>
              <w:iCs/>
            </w:rPr>
            <w:t>energiedelen</w:t>
          </w:r>
          <w:r w:rsidR="00164CE8">
            <w:br/>
          </w:r>
          <w:r w:rsidR="00F57D85">
            <w:t xml:space="preserve">Vergeleken met </w:t>
          </w:r>
          <w:r w:rsidR="00AD79A3">
            <w:t>energiedelen</w:t>
          </w:r>
          <w:r w:rsidR="00F57D85">
            <w:t xml:space="preserve"> tussen eindafnemers met dezelfde leverancier, is </w:t>
          </w:r>
          <w:r w:rsidR="00AD79A3">
            <w:t>energiedelen</w:t>
          </w:r>
          <w:r w:rsidR="00164CE8">
            <w:t xml:space="preserve"> </w:t>
          </w:r>
          <w:r w:rsidR="002712EF">
            <w:t xml:space="preserve">met vrije leverancierskeuze administratief en procedureel </w:t>
          </w:r>
          <w:r w:rsidR="00F57D85">
            <w:t xml:space="preserve">complexer. </w:t>
          </w:r>
          <w:r w:rsidR="003F2C15">
            <w:t>Dat komt ook naar voren in de doenvermogentoets die in de toelichting is opgenomen.</w:t>
          </w:r>
          <w:r w:rsidR="003F2C15">
            <w:rPr>
              <w:rStyle w:val="Voetnootmarkering"/>
            </w:rPr>
            <w:footnoteReference w:id="7"/>
          </w:r>
          <w:r w:rsidR="003F2C15">
            <w:t xml:space="preserve"> </w:t>
          </w:r>
          <w:r w:rsidR="00322AC9">
            <w:t>Het wetsvoorstel kiest</w:t>
          </w:r>
          <w:r w:rsidR="00C15DDD">
            <w:t xml:space="preserve"> voor een model waarbij de complexiteit zoveel mogelijk wordt beperkt. </w:t>
          </w:r>
          <w:r w:rsidR="00355331">
            <w:t xml:space="preserve">Onduidelijk is of </w:t>
          </w:r>
          <w:r w:rsidR="00AD79A3">
            <w:t>energiedelen</w:t>
          </w:r>
          <w:r w:rsidR="00355331">
            <w:t xml:space="preserve"> de netcongestie zal verminderen of verergeren.</w:t>
          </w:r>
          <w:r w:rsidR="00355331">
            <w:rPr>
              <w:rStyle w:val="Voetnootmarkering"/>
            </w:rPr>
            <w:footnoteReference w:id="8"/>
          </w:r>
          <w:r w:rsidR="00355331">
            <w:t xml:space="preserve"> Het wetsvoorstel voorziet in de mogelijkheid om het </w:t>
          </w:r>
          <w:r w:rsidR="00AD79A3">
            <w:t>energiedelen</w:t>
          </w:r>
          <w:r w:rsidR="00355331">
            <w:t xml:space="preserve"> geografisch te beperken.</w:t>
          </w:r>
          <w:r w:rsidR="00355331">
            <w:rPr>
              <w:rStyle w:val="Voetnootmarkering"/>
            </w:rPr>
            <w:footnoteReference w:id="9"/>
          </w:r>
          <w:r w:rsidR="00355331">
            <w:t xml:space="preserve"> </w:t>
          </w:r>
          <w:r w:rsidR="00831CBD">
            <w:t>Dat</w:t>
          </w:r>
          <w:r w:rsidR="00355331">
            <w:t xml:space="preserve"> zou misschien kunnen helpen om verergering van de netcongestie</w:t>
          </w:r>
          <w:r w:rsidR="00831CBD">
            <w:t xml:space="preserve"> door </w:t>
          </w:r>
          <w:r w:rsidR="00AD79A3">
            <w:t>energiedelen</w:t>
          </w:r>
          <w:r w:rsidR="00355331">
            <w:t>, mocht die zich voordoen, te beperken.</w:t>
          </w:r>
        </w:p>
        <w:p w:rsidR="00A57B28" w:rsidRDefault="00A57B28" w14:paraId="4F3970EF" w14:textId="77777777"/>
        <w:p w:rsidR="00EE4D30" w:rsidRDefault="00F73313" w14:paraId="37D547AE" w14:textId="41A750B8">
          <w:r>
            <w:t xml:space="preserve">Leveranciers zijn verantwoordelijk </w:t>
          </w:r>
          <w:r w:rsidR="00B9413C">
            <w:t xml:space="preserve">voor </w:t>
          </w:r>
          <w:r w:rsidR="007F6BA3">
            <w:t>de</w:t>
          </w:r>
          <w:r w:rsidR="00B9413C">
            <w:t xml:space="preserve"> balans</w:t>
          </w:r>
          <w:r w:rsidR="003C1AA8">
            <w:t xml:space="preserve"> </w:t>
          </w:r>
          <w:r w:rsidR="00B9413C">
            <w:t xml:space="preserve">tussen vraag en aanbod van elektriciteit </w:t>
          </w:r>
          <w:r>
            <w:t>binnen hun portfolio van klanten.</w:t>
          </w:r>
          <w:r w:rsidR="006663B1">
            <w:rPr>
              <w:rStyle w:val="Voetnootmarkering"/>
            </w:rPr>
            <w:footnoteReference w:id="10"/>
          </w:r>
          <w:r>
            <w:t xml:space="preserve"> </w:t>
          </w:r>
          <w:r w:rsidR="007239D1">
            <w:t>Wanneer eindafnemers met verschillende lev</w:t>
          </w:r>
          <w:r w:rsidR="00E41631">
            <w:t>eranciers elektriciteit delen</w:t>
          </w:r>
          <w:r w:rsidR="00A52BDA">
            <w:t>,</w:t>
          </w:r>
          <w:r w:rsidR="008D1E95">
            <w:t xml:space="preserve"> worden volumes elektriciteit </w:t>
          </w:r>
          <w:r w:rsidR="00BB295B">
            <w:t xml:space="preserve">verplaatst tussen </w:t>
          </w:r>
          <w:r w:rsidR="000146BE">
            <w:t>de portfolio’s van de leveranciers</w:t>
          </w:r>
          <w:r w:rsidR="00C837C3">
            <w:t>.</w:t>
          </w:r>
          <w:r w:rsidR="0094291C">
            <w:t xml:space="preserve"> </w:t>
          </w:r>
          <w:r w:rsidR="002C105E">
            <w:t xml:space="preserve">Om de verschuivingen </w:t>
          </w:r>
          <w:r w:rsidR="00DF45B7">
            <w:t xml:space="preserve">tussen </w:t>
          </w:r>
          <w:r w:rsidR="00635E15">
            <w:t xml:space="preserve">de </w:t>
          </w:r>
          <w:r w:rsidR="00DF45B7">
            <w:t xml:space="preserve">portfolio’s </w:t>
          </w:r>
          <w:r w:rsidR="00635E15">
            <w:t xml:space="preserve">als gevolg van </w:t>
          </w:r>
          <w:r w:rsidR="00AD79A3">
            <w:t>energiedelen</w:t>
          </w:r>
          <w:r w:rsidR="00635E15">
            <w:t xml:space="preserve"> beter</w:t>
          </w:r>
          <w:r w:rsidR="002C105E">
            <w:t xml:space="preserve"> voorspelbaar te maken en daarmee de kosten van </w:t>
          </w:r>
          <w:r w:rsidR="00AD79A3">
            <w:t>energiedelen</w:t>
          </w:r>
          <w:r w:rsidR="002C105E">
            <w:t xml:space="preserve"> te bep</w:t>
          </w:r>
          <w:r w:rsidR="00562234">
            <w:t xml:space="preserve">erken, is </w:t>
          </w:r>
          <w:r w:rsidR="008E4BA6">
            <w:t xml:space="preserve">ervoor </w:t>
          </w:r>
          <w:r w:rsidR="00562234">
            <w:t xml:space="preserve">gekozen </w:t>
          </w:r>
          <w:r w:rsidR="005D1A80">
            <w:t xml:space="preserve">om in </w:t>
          </w:r>
          <w:r w:rsidR="00897589">
            <w:t>het voorstel</w:t>
          </w:r>
          <w:r w:rsidR="005D1A80">
            <w:t xml:space="preserve"> een vaste verdeelsleutel voor te schrijven.</w:t>
          </w:r>
          <w:r w:rsidR="005D1A80">
            <w:rPr>
              <w:rStyle w:val="Voetnootmarkering"/>
            </w:rPr>
            <w:footnoteReference w:id="11"/>
          </w:r>
          <w:r w:rsidR="0077068C">
            <w:t xml:space="preserve"> </w:t>
          </w:r>
          <w:r w:rsidR="00677883">
            <w:t>Deelnemers</w:t>
          </w:r>
          <w:r w:rsidR="00C837C3">
            <w:t xml:space="preserve"> leggen</w:t>
          </w:r>
          <w:r w:rsidR="00291DD2">
            <w:t xml:space="preserve"> in </w:t>
          </w:r>
          <w:r w:rsidR="00F0129C">
            <w:t>dit</w:t>
          </w:r>
          <w:r w:rsidR="00291DD2">
            <w:t xml:space="preserve"> model</w:t>
          </w:r>
          <w:r w:rsidR="00677883">
            <w:t xml:space="preserve"> vooraf vast welk percentage </w:t>
          </w:r>
          <w:r w:rsidR="00B475BE">
            <w:t xml:space="preserve">van de </w:t>
          </w:r>
          <w:r w:rsidR="005273FC">
            <w:t>teruggeleverde</w:t>
          </w:r>
          <w:r w:rsidR="00B475BE">
            <w:t xml:space="preserve"> elektriciteit </w:t>
          </w:r>
          <w:r w:rsidR="00677883">
            <w:t>van de energiegever wordt gedeeld met de energieontvanger</w:t>
          </w:r>
          <w:r w:rsidR="00BF2E96">
            <w:t>.</w:t>
          </w:r>
          <w:r w:rsidR="00AD4970">
            <w:t xml:space="preserve"> Daardoor k</w:t>
          </w:r>
          <w:r w:rsidR="000C424D">
            <w:t xml:space="preserve">an de leverancier van de </w:t>
          </w:r>
          <w:r w:rsidR="0042583C">
            <w:t xml:space="preserve">energiegever inschatten hoeveel minder elektriciteit er </w:t>
          </w:r>
          <w:r w:rsidR="00B922C4">
            <w:t xml:space="preserve">(administratief) </w:t>
          </w:r>
          <w:r w:rsidR="0042583C">
            <w:t xml:space="preserve">wordt opgewekt en de leverancier van de energieontvanger inschatten hoeveel meer elektriciteit </w:t>
          </w:r>
          <w:r w:rsidR="00DB7734">
            <w:t xml:space="preserve">er binnen zijn portfolio </w:t>
          </w:r>
          <w:r w:rsidR="007C4DAF">
            <w:t xml:space="preserve">(administratief) </w:t>
          </w:r>
          <w:r w:rsidR="00DB7734">
            <w:t>wordt opgewekt.</w:t>
          </w:r>
        </w:p>
        <w:p w:rsidR="004D32D6" w:rsidRDefault="004D32D6" w14:paraId="35CE0F72" w14:textId="77777777"/>
        <w:p w:rsidR="00F55032" w:rsidRDefault="00AD79A3" w14:paraId="41C18013" w14:textId="24A6D8B2">
          <w:r>
            <w:t>Energiedelen</w:t>
          </w:r>
          <w:r w:rsidR="00921F90">
            <w:t xml:space="preserve"> kan ook plaatsvinden met een dynamische verdeelsleutel. </w:t>
          </w:r>
          <w:r w:rsidRPr="00A622DF" w:rsidR="00A622DF">
            <w:t xml:space="preserve">Een dynamische verdeelsleutel betekent dat alleen de elektriciteit gedeeld wordt die is </w:t>
          </w:r>
          <w:r w:rsidR="003404F1">
            <w:t>teruggeleverd</w:t>
          </w:r>
          <w:r w:rsidRPr="00A622DF" w:rsidR="003404F1">
            <w:t xml:space="preserve"> </w:t>
          </w:r>
          <w:r w:rsidRPr="00A622DF" w:rsidR="00A622DF">
            <w:t xml:space="preserve">door de energiegever </w:t>
          </w:r>
          <w:r w:rsidR="00A622DF">
            <w:t>e</w:t>
          </w:r>
          <w:r w:rsidRPr="00A622DF" w:rsidR="00A622DF">
            <w:t xml:space="preserve">n die gelijktijdig door de verbruiker wordt verbruikt. </w:t>
          </w:r>
          <w:r w:rsidR="002C44D5">
            <w:t>Di</w:t>
          </w:r>
          <w:r w:rsidR="005560E7">
            <w:t xml:space="preserve">t zou voorkomen </w:t>
          </w:r>
          <w:r w:rsidR="00586A46">
            <w:t xml:space="preserve">dat </w:t>
          </w:r>
          <w:r w:rsidR="001C2682">
            <w:t xml:space="preserve">de energieontvanger </w:t>
          </w:r>
          <w:r w:rsidR="00E2672E">
            <w:t xml:space="preserve">met hem gedeelde elektriciteit </w:t>
          </w:r>
          <w:r w:rsidR="006C4FAB">
            <w:t>moet terugleveren.</w:t>
          </w:r>
          <w:r w:rsidR="009E2DD5">
            <w:t xml:space="preserve"> </w:t>
          </w:r>
          <w:r w:rsidR="006B0A39">
            <w:t xml:space="preserve">Een dynamische verdeelsleutel </w:t>
          </w:r>
          <w:r w:rsidR="00160F7A">
            <w:t xml:space="preserve">zou </w:t>
          </w:r>
          <w:r w:rsidR="00F87DE6">
            <w:t xml:space="preserve">daarmee </w:t>
          </w:r>
          <w:r w:rsidR="0065433A">
            <w:t xml:space="preserve">kunnen bijdragen aan een vorm van </w:t>
          </w:r>
          <w:r>
            <w:t>energiedelen</w:t>
          </w:r>
          <w:r w:rsidR="0065433A">
            <w:t xml:space="preserve"> die minder doenvermogen vraagt van deelnemers</w:t>
          </w:r>
          <w:r w:rsidR="00E15804">
            <w:t>.</w:t>
          </w:r>
          <w:r w:rsidR="00842427">
            <w:t xml:space="preserve"> De toelichting </w:t>
          </w:r>
          <w:r w:rsidR="00070158">
            <w:t xml:space="preserve">wijst op </w:t>
          </w:r>
          <w:r w:rsidR="00BE4004">
            <w:t>enkele nadelen, zoals</w:t>
          </w:r>
          <w:r w:rsidR="00070158">
            <w:t xml:space="preserve"> hogere totale kosten </w:t>
          </w:r>
          <w:r w:rsidR="0028071B">
            <w:t xml:space="preserve">voor zowel deelnemers als niet-deelnemers </w:t>
          </w:r>
          <w:r w:rsidR="0059276E">
            <w:t>bij</w:t>
          </w:r>
          <w:r w:rsidR="00070158">
            <w:t xml:space="preserve"> dit model</w:t>
          </w:r>
          <w:r w:rsidR="005F77A8">
            <w:t xml:space="preserve">, maar </w:t>
          </w:r>
          <w:r w:rsidR="00EE7212">
            <w:t xml:space="preserve">maakt de weging </w:t>
          </w:r>
          <w:r w:rsidR="00101687">
            <w:t>van</w:t>
          </w:r>
          <w:r w:rsidR="004B5AA3">
            <w:t xml:space="preserve"> de voor- en nadelen beperkt inzichtelijk.</w:t>
          </w:r>
          <w:r w:rsidR="0090037B">
            <w:rPr>
              <w:rStyle w:val="Voetnootmarkering"/>
            </w:rPr>
            <w:footnoteReference w:id="12"/>
          </w:r>
        </w:p>
        <w:p w:rsidR="00FC250D" w:rsidRDefault="00FC250D" w14:paraId="46D72971" w14:textId="77777777"/>
        <w:p w:rsidR="00C678C0" w:rsidRDefault="00FC250D" w14:paraId="2FD74D4F" w14:textId="6BD176FD">
          <w:r>
            <w:t xml:space="preserve">De Afdeling </w:t>
          </w:r>
          <w:r w:rsidR="0059276E">
            <w:t xml:space="preserve">adviseert de toelichting op dit punt aan te vullen en </w:t>
          </w:r>
          <w:r w:rsidR="00C3553C">
            <w:t xml:space="preserve">weging van </w:t>
          </w:r>
          <w:r w:rsidR="00BC66ED">
            <w:t xml:space="preserve">de </w:t>
          </w:r>
          <w:r w:rsidR="00C3553C">
            <w:t xml:space="preserve">voor- en nadelen van </w:t>
          </w:r>
          <w:r w:rsidR="00BC66ED">
            <w:t>zowel vaste als dynamische</w:t>
          </w:r>
          <w:r w:rsidR="00C3553C">
            <w:t xml:space="preserve"> verdeelsleutels</w:t>
          </w:r>
          <w:r w:rsidR="0059276E">
            <w:t xml:space="preserve"> daarmee beter inzichtelijk te maken.</w:t>
          </w:r>
          <w:r w:rsidR="0059276E">
            <w:br/>
          </w:r>
        </w:p>
        <w:p w:rsidRPr="00951E7B" w:rsidR="00BE397E" w:rsidP="00951E7B" w:rsidRDefault="00FE0B0A" w14:paraId="492C81AA" w14:textId="2E69CB6F">
          <w:pPr>
            <w:pStyle w:val="Lijstalinea"/>
            <w:ind w:left="0"/>
          </w:pPr>
          <w:r>
            <w:t>b</w:t>
          </w:r>
          <w:r w:rsidR="00C678C0">
            <w:t>.</w:t>
          </w:r>
          <w:r w:rsidR="00C678C0">
            <w:tab/>
          </w:r>
          <w:r w:rsidR="00BE397E">
            <w:rPr>
              <w:i/>
              <w:iCs/>
            </w:rPr>
            <w:t>Fiscale gevolgen</w:t>
          </w:r>
        </w:p>
        <w:p w:rsidRPr="00784677" w:rsidR="00FA2A0D" w:rsidP="00FA2A0D" w:rsidRDefault="00FA2A0D" w14:paraId="6871683E" w14:textId="77777777">
          <w:pPr>
            <w:pStyle w:val="Voetnoottekst"/>
            <w:rPr>
              <w:szCs w:val="22"/>
            </w:rPr>
          </w:pPr>
          <w:r w:rsidRPr="00EC6029">
            <w:rPr>
              <w:sz w:val="22"/>
              <w:szCs w:val="22"/>
            </w:rPr>
            <w:t xml:space="preserve">Energiedelen kan </w:t>
          </w:r>
          <w:r w:rsidRPr="00784677">
            <w:rPr>
              <w:sz w:val="22"/>
              <w:szCs w:val="22"/>
            </w:rPr>
            <w:t>fiscale gevolgen hebben voor onder meer de energiebelasting en de omzetbelasting.</w:t>
          </w:r>
          <w:r w:rsidRPr="00784677">
            <w:rPr>
              <w:rStyle w:val="Voetnootmarkering"/>
              <w:sz w:val="22"/>
              <w:szCs w:val="22"/>
            </w:rPr>
            <w:t xml:space="preserve"> </w:t>
          </w:r>
          <w:r w:rsidRPr="00784677">
            <w:rPr>
              <w:sz w:val="22"/>
              <w:szCs w:val="22"/>
            </w:rPr>
            <w:t>Voor energieontvangers heeft deelname aan energiedelen fiscale gevolgen voor de energiebelasting. De toelichting gaat hierop in bij de behandeling van de belangrijkste wijzigingen van de implementatie van het Electricity Market Design-pakket.</w:t>
          </w:r>
          <w:r w:rsidRPr="00784677">
            <w:rPr>
              <w:rStyle w:val="Voetnootmarkering"/>
              <w:sz w:val="22"/>
              <w:szCs w:val="22"/>
            </w:rPr>
            <w:footnoteReference w:id="13"/>
          </w:r>
          <w:r w:rsidRPr="00784677">
            <w:rPr>
              <w:sz w:val="22"/>
              <w:szCs w:val="22"/>
            </w:rPr>
            <w:t xml:space="preserve"> Dat energiedelen voor de deelnemers</w:t>
          </w:r>
          <w:r w:rsidRPr="00784677">
            <w:rPr>
              <w:rStyle w:val="Voetnootmarkering"/>
              <w:sz w:val="22"/>
              <w:szCs w:val="22"/>
            </w:rPr>
            <w:footnoteReference w:id="14"/>
          </w:r>
          <w:r w:rsidRPr="00784677">
            <w:rPr>
              <w:sz w:val="22"/>
              <w:szCs w:val="22"/>
            </w:rPr>
            <w:t xml:space="preserve"> ook gevolgen voor de omzetbelasting kan hebben, komt in de toelichting minder expliciet aan de orde en wordt alleen benoemd bij de behandeling van de reacties op de internetconsultatie.</w:t>
          </w:r>
          <w:r w:rsidRPr="00784677">
            <w:rPr>
              <w:rStyle w:val="Voetnootmarkering"/>
              <w:sz w:val="22"/>
              <w:szCs w:val="22"/>
            </w:rPr>
            <w:footnoteReference w:id="15"/>
          </w:r>
          <w:r w:rsidRPr="00784677">
            <w:rPr>
              <w:sz w:val="22"/>
              <w:szCs w:val="22"/>
            </w:rPr>
            <w:t xml:space="preserve"> </w:t>
          </w:r>
        </w:p>
        <w:p w:rsidRPr="00784677" w:rsidR="00FA2A0D" w:rsidP="00FA2A0D" w:rsidRDefault="00FA2A0D" w14:paraId="61B8F98C" w14:textId="77777777">
          <w:pPr>
            <w:rPr>
              <w:szCs w:val="22"/>
            </w:rPr>
          </w:pPr>
        </w:p>
        <w:p w:rsidRPr="00243F59" w:rsidR="00FA2A0D" w:rsidP="00FA2A0D" w:rsidRDefault="00FA2A0D" w14:paraId="104A66B3" w14:textId="07489A68">
          <w:pPr>
            <w:rPr>
              <w:szCs w:val="22"/>
            </w:rPr>
          </w:pPr>
          <w:r w:rsidRPr="00784677">
            <w:rPr>
              <w:szCs w:val="22"/>
            </w:rPr>
            <w:t>De toelichting dient onder meer in te gaan op de lasten voor burgers, bedrijven en instellingen die samenhangen met energiedelen.</w:t>
          </w:r>
          <w:r w:rsidRPr="00784677">
            <w:rPr>
              <w:rStyle w:val="Voetnootmarkering"/>
              <w:szCs w:val="22"/>
            </w:rPr>
            <w:footnoteReference w:id="16"/>
          </w:r>
          <w:r w:rsidRPr="00784677">
            <w:rPr>
              <w:szCs w:val="22"/>
            </w:rPr>
            <w:t xml:space="preserve"> Dit brengt mee dat de toelichting in algemene zin ook inzicht moet bieden in wat de mogelijke fiscale gevolgen van energiedelen voor energiedelers, energieontvangers en energieleveranciers zijn. Het ligt hierbij in de rede dat voor de omzetbelasting onder meer aandacht wordt besteed aan de registratiedrempel voor kleine ondernemers</w:t>
          </w:r>
          <w:r w:rsidRPr="00784677">
            <w:rPr>
              <w:rStyle w:val="Voetnootmarkering"/>
              <w:szCs w:val="22"/>
            </w:rPr>
            <w:footnoteReference w:id="17"/>
          </w:r>
          <w:r w:rsidRPr="00784677">
            <w:rPr>
              <w:szCs w:val="22"/>
            </w:rPr>
            <w:t xml:space="preserve"> en de kleineondernemersregeli</w:t>
          </w:r>
          <w:r w:rsidRPr="00243F59">
            <w:rPr>
              <w:szCs w:val="22"/>
            </w:rPr>
            <w:t>ng.</w:t>
          </w:r>
        </w:p>
        <w:p w:rsidRPr="00243F59" w:rsidR="00FA2A0D" w:rsidP="00FA2A0D" w:rsidRDefault="00FA2A0D" w14:paraId="115297A7" w14:textId="77777777">
          <w:pPr>
            <w:rPr>
              <w:szCs w:val="22"/>
            </w:rPr>
          </w:pPr>
        </w:p>
        <w:p w:rsidRPr="00EC385B" w:rsidR="00FA2A0D" w:rsidP="00FA2A0D" w:rsidRDefault="00FA2A0D" w14:paraId="70F72437" w14:textId="545633E5">
          <w:pPr>
            <w:pStyle w:val="Voetnoottekst"/>
            <w:rPr>
              <w:sz w:val="22"/>
              <w:szCs w:val="22"/>
            </w:rPr>
          </w:pPr>
          <w:r w:rsidRPr="00766276">
            <w:rPr>
              <w:sz w:val="22"/>
              <w:szCs w:val="22"/>
            </w:rPr>
            <w:t>De Afdeling adviseert de toelichting op dit punt aan te vullen en in een afzonderlijke paragraaf in te gaan op de mogelijke fiscale gevolgen van energiedelen voor energiedelers, energieontvangers en energieleveranciers.</w:t>
          </w:r>
        </w:p>
        <w:p w:rsidR="00E20999" w:rsidRDefault="00E20999" w14:paraId="1E9D5EE2" w14:textId="77777777"/>
        <w:p w:rsidR="00E20999" w:rsidRDefault="00391DC8" w14:paraId="32AED4F6" w14:textId="414BE979">
          <w:r>
            <w:t>2</w:t>
          </w:r>
          <w:r w:rsidR="00334EB6">
            <w:t>.</w:t>
          </w:r>
          <w:r w:rsidR="00334EB6">
            <w:tab/>
          </w:r>
          <w:r w:rsidRPr="00577553" w:rsidR="00334EB6">
            <w:rPr>
              <w:u w:val="single"/>
            </w:rPr>
            <w:t xml:space="preserve">Maatregelen </w:t>
          </w:r>
          <w:r w:rsidRPr="00577553" w:rsidR="00577553">
            <w:rPr>
              <w:u w:val="single"/>
            </w:rPr>
            <w:t>ter bescherming van de nationale veiligheid</w:t>
          </w:r>
        </w:p>
        <w:p w:rsidR="00577553" w:rsidRDefault="00577553" w14:paraId="55E8A9BB" w14:textId="77777777"/>
        <w:p w:rsidR="006E280F" w:rsidRDefault="00D60B58" w14:paraId="7E1A9DE3" w14:textId="77777777">
          <w:r>
            <w:t xml:space="preserve">Het wetsvoorstel </w:t>
          </w:r>
          <w:r w:rsidR="002861CB">
            <w:t>bepaalt dat</w:t>
          </w:r>
          <w:r>
            <w:t xml:space="preserve"> de minister</w:t>
          </w:r>
          <w:r w:rsidR="00997513">
            <w:t xml:space="preserve">, </w:t>
          </w:r>
          <w:r w:rsidRPr="00997513" w:rsidR="00997513">
            <w:t>om redenen van nationale veiligheid, waaronder economische veiligheid</w:t>
          </w:r>
          <w:r w:rsidR="00997513">
            <w:t>,</w:t>
          </w:r>
          <w:r>
            <w:t xml:space="preserve"> bindende aanwijzingen </w:t>
          </w:r>
          <w:r w:rsidR="00C247AA">
            <w:t xml:space="preserve">kan </w:t>
          </w:r>
          <w:r>
            <w:t xml:space="preserve">geven aan </w:t>
          </w:r>
          <w:r w:rsidRPr="00850BD0" w:rsidR="00850BD0">
            <w:t>elektriciteits- of aardgasbedrijven</w:t>
          </w:r>
          <w:r w:rsidR="00633D5F">
            <w:t>.</w:t>
          </w:r>
          <w:r w:rsidR="003A5555">
            <w:t xml:space="preserve"> Zo'n aanwijzing moet </w:t>
          </w:r>
          <w:r w:rsidRPr="003A5555" w:rsidR="003A5555">
            <w:t xml:space="preserve">gericht </w:t>
          </w:r>
          <w:r w:rsidR="003A5555">
            <w:t xml:space="preserve">zijn </w:t>
          </w:r>
          <w:r w:rsidRPr="003A5555" w:rsidR="003A5555">
            <w:t>op de voorzieningszekerheid of leveringszekerheid van elektriciteit of gas</w:t>
          </w:r>
          <w:r w:rsidR="006604A2">
            <w:t>.</w:t>
          </w:r>
          <w:r w:rsidR="006604A2">
            <w:rPr>
              <w:rStyle w:val="Voetnootmarkering"/>
            </w:rPr>
            <w:footnoteReference w:id="18"/>
          </w:r>
          <w:r w:rsidR="00610917">
            <w:t xml:space="preserve"> In de toelichting wordt deze aanwijzing getypeerd als het opleggen van een </w:t>
          </w:r>
          <w:r w:rsidR="00610917">
            <w:lastRenderedPageBreak/>
            <w:t>openbaredienstverplichting</w:t>
          </w:r>
          <w:r w:rsidR="00160367">
            <w:t>, zoals toegestaan in</w:t>
          </w:r>
          <w:r w:rsidR="00610917">
            <w:t xml:space="preserve"> de </w:t>
          </w:r>
          <w:r w:rsidRPr="00CD126F" w:rsidR="00CD126F">
            <w:t>Elektriciteitsrichtlijn en de Gasrichtlijn.</w:t>
          </w:r>
          <w:r w:rsidR="00CD126F">
            <w:rPr>
              <w:rStyle w:val="Voetnootmarkering"/>
            </w:rPr>
            <w:footnoteReference w:id="19"/>
          </w:r>
          <w:r w:rsidR="007458D2">
            <w:t xml:space="preserve"> </w:t>
          </w:r>
        </w:p>
        <w:p w:rsidR="006E280F" w:rsidRDefault="006E280F" w14:paraId="133E8EDB" w14:textId="77777777"/>
        <w:p w:rsidR="002129CE" w:rsidRDefault="006E0DC8" w14:paraId="17CD361E" w14:textId="4A82B3F5">
          <w:r>
            <w:t>H</w:t>
          </w:r>
          <w:r w:rsidRPr="005B0971" w:rsidR="005B0971">
            <w:t>et opleggen van een openbaredienstverplichting is een toegestane uitzondering</w:t>
          </w:r>
          <w:r w:rsidR="00A9205B">
            <w:t xml:space="preserve"> op</w:t>
          </w:r>
          <w:r w:rsidR="00807FA8">
            <w:t xml:space="preserve"> </w:t>
          </w:r>
          <w:r w:rsidR="001B4D25">
            <w:t xml:space="preserve">de </w:t>
          </w:r>
          <w:r w:rsidR="00807FA8">
            <w:t>strikte uitgangspunt</w:t>
          </w:r>
          <w:r w:rsidR="002129CE">
            <w:t>en</w:t>
          </w:r>
          <w:r w:rsidR="00807FA8">
            <w:t xml:space="preserve"> </w:t>
          </w:r>
          <w:r w:rsidR="000273A7">
            <w:t>van de Europese regelingen op het gebied van energie</w:t>
          </w:r>
          <w:r w:rsidR="002129CE">
            <w:t>:</w:t>
          </w:r>
        </w:p>
        <w:p w:rsidR="002129CE" w:rsidP="00621F95" w:rsidRDefault="00807FA8" w14:paraId="2D48B3A8" w14:textId="2E21732E">
          <w:pPr>
            <w:pStyle w:val="Lijstalinea"/>
            <w:numPr>
              <w:ilvl w:val="0"/>
              <w:numId w:val="5"/>
            </w:numPr>
            <w:ind w:left="426" w:hanging="426"/>
          </w:pPr>
          <w:r>
            <w:t xml:space="preserve">dat </w:t>
          </w:r>
          <w:r w:rsidR="009444D5">
            <w:t xml:space="preserve">er geen onderscheid mag worden gemaakt tussen </w:t>
          </w:r>
          <w:r>
            <w:t>de afnemers van energie</w:t>
          </w:r>
          <w:r w:rsidR="001B4D25">
            <w:t>,</w:t>
          </w:r>
          <w:r>
            <w:t xml:space="preserve"> </w:t>
          </w:r>
          <w:r w:rsidR="009444D5">
            <w:t>en</w:t>
          </w:r>
        </w:p>
        <w:p w:rsidR="00E350A8" w:rsidP="00621F95" w:rsidRDefault="009444D5" w14:paraId="161E5CAF" w14:textId="544C7B82">
          <w:pPr>
            <w:pStyle w:val="Lijstalinea"/>
            <w:numPr>
              <w:ilvl w:val="0"/>
              <w:numId w:val="5"/>
            </w:numPr>
            <w:ind w:left="426" w:hanging="426"/>
          </w:pPr>
          <w:r>
            <w:t xml:space="preserve">dat de tarieven en andere voorwaarden voor </w:t>
          </w:r>
          <w:r w:rsidR="00CE15CC">
            <w:t>aansluiten en transporteren</w:t>
          </w:r>
          <w:r>
            <w:t xml:space="preserve"> worden vastgesteld door de </w:t>
          </w:r>
          <w:r w:rsidR="007E475F">
            <w:t>– onafhankelijke – nationale regulerende instantie, in Nederland de ACM</w:t>
          </w:r>
          <w:r w:rsidR="00520ECE">
            <w:t>.</w:t>
          </w:r>
          <w:r w:rsidR="00EA5F77">
            <w:rPr>
              <w:rStyle w:val="Voetnootmarkering"/>
            </w:rPr>
            <w:footnoteReference w:id="20"/>
          </w:r>
          <w:r w:rsidR="00520ECE">
            <w:t xml:space="preserve"> </w:t>
          </w:r>
        </w:p>
        <w:p w:rsidR="008640F3" w:rsidRDefault="008640F3" w14:paraId="3FE359F4" w14:textId="77777777"/>
        <w:p w:rsidR="002056D0" w:rsidRDefault="00D0508E" w14:paraId="39F7D807" w14:textId="2BF7F323">
          <w:r>
            <w:t>a.</w:t>
          </w:r>
          <w:r>
            <w:tab/>
          </w:r>
          <w:r w:rsidRPr="00D0508E">
            <w:rPr>
              <w:i/>
              <w:iCs/>
            </w:rPr>
            <w:t>Afbakening</w:t>
          </w:r>
        </w:p>
        <w:p w:rsidR="00363817" w:rsidP="00C5183D" w:rsidRDefault="00FC1539" w14:paraId="39E7C56E" w14:textId="0E8DE8F9">
          <w:r>
            <w:t xml:space="preserve">De </w:t>
          </w:r>
          <w:r w:rsidR="00E80F6C">
            <w:t>aanwijzings</w:t>
          </w:r>
          <w:r>
            <w:t xml:space="preserve">bevoegdheid </w:t>
          </w:r>
          <w:r w:rsidR="00354722">
            <w:t xml:space="preserve">is </w:t>
          </w:r>
          <w:r w:rsidR="00D52452">
            <w:t xml:space="preserve">volgens de toelichting </w:t>
          </w:r>
          <w:r w:rsidR="00354722">
            <w:t>bedoeld om</w:t>
          </w:r>
          <w:r w:rsidR="00711290">
            <w:t xml:space="preserve"> </w:t>
          </w:r>
          <w:r>
            <w:t>de weerbaarheid van overheid, bedrijven en burgers tegen verhoogde militaire en hybride dreigingen</w:t>
          </w:r>
          <w:r w:rsidR="008C7C1A">
            <w:t xml:space="preserve"> </w:t>
          </w:r>
          <w:r w:rsidR="00D52452">
            <w:t xml:space="preserve">te </w:t>
          </w:r>
          <w:r w:rsidR="008C7C1A">
            <w:t>versterken</w:t>
          </w:r>
          <w:r>
            <w:t>, de continuïteit van vitale infrastructuur en processen</w:t>
          </w:r>
          <w:r w:rsidR="002325E0">
            <w:t xml:space="preserve"> </w:t>
          </w:r>
          <w:r w:rsidR="00D52452">
            <w:t xml:space="preserve">te </w:t>
          </w:r>
          <w:r w:rsidR="002325E0">
            <w:t>waarborgen</w:t>
          </w:r>
          <w:r>
            <w:t xml:space="preserve"> en de economische veiligheid</w:t>
          </w:r>
          <w:r w:rsidR="00B67434">
            <w:t xml:space="preserve"> </w:t>
          </w:r>
          <w:r w:rsidR="00D52452">
            <w:t xml:space="preserve">te </w:t>
          </w:r>
          <w:r w:rsidR="00B67434">
            <w:t>beschermen</w:t>
          </w:r>
          <w:r>
            <w:t>. De veranderde geopolitieke context zorgt voor extra uitdagingen om een betrouwbare energievoorziening te garanderen</w:t>
          </w:r>
          <w:r w:rsidR="00203463">
            <w:t xml:space="preserve">, </w:t>
          </w:r>
          <w:r w:rsidR="00E145B3">
            <w:t>vooral</w:t>
          </w:r>
          <w:r>
            <w:t xml:space="preserve"> voor de bedrijfstakken en overheidsinstellingen die op essentiële wijze bijdragen aan de bescherming van de nationale veiligheid</w:t>
          </w:r>
          <w:r w:rsidR="0037252A">
            <w:t xml:space="preserve">, zoals </w:t>
          </w:r>
          <w:r>
            <w:t xml:space="preserve">defensie, politie en opsporingsdiensten, </w:t>
          </w:r>
          <w:r w:rsidR="0037252A">
            <w:t xml:space="preserve">en </w:t>
          </w:r>
          <w:r>
            <w:t>inlichtingen- en veiligheidsdiensten</w:t>
          </w:r>
          <w:r w:rsidR="0037252A">
            <w:t>, maar ook</w:t>
          </w:r>
          <w:r w:rsidR="0095710B">
            <w:t xml:space="preserve"> </w:t>
          </w:r>
          <w:r w:rsidR="00C5183D">
            <w:t xml:space="preserve">voor </w:t>
          </w:r>
          <w:r>
            <w:t>bedrijven die unieke productieprocessen, kennis of toelevering verzekeren</w:t>
          </w:r>
          <w:r w:rsidR="00955715">
            <w:t>, zo stelt de toelichting</w:t>
          </w:r>
          <w:r>
            <w:t>.</w:t>
          </w:r>
          <w:r w:rsidR="00955715">
            <w:rPr>
              <w:rStyle w:val="Voetnootmarkering"/>
            </w:rPr>
            <w:footnoteReference w:id="21"/>
          </w:r>
        </w:p>
        <w:p w:rsidR="00C5183D" w:rsidP="00C5183D" w:rsidRDefault="00C5183D" w14:paraId="548C3169" w14:textId="77777777"/>
        <w:p w:rsidR="008F4070" w:rsidP="00FC1539" w:rsidRDefault="00363817" w14:paraId="4E2911F5" w14:textId="3FF09000">
          <w:r>
            <w:t xml:space="preserve">De Afdeling onderschrijft </w:t>
          </w:r>
          <w:r w:rsidR="003A359D">
            <w:t xml:space="preserve">dat </w:t>
          </w:r>
          <w:r>
            <w:t>het be</w:t>
          </w:r>
          <w:r w:rsidR="000E7133">
            <w:t>lang</w:t>
          </w:r>
          <w:r w:rsidR="003A359D">
            <w:t>rijk is om</w:t>
          </w:r>
          <w:r w:rsidR="000E7133">
            <w:t xml:space="preserve"> </w:t>
          </w:r>
          <w:r w:rsidR="00477858">
            <w:t xml:space="preserve">te voorzien in </w:t>
          </w:r>
          <w:r w:rsidR="00531610">
            <w:t xml:space="preserve">een </w:t>
          </w:r>
          <w:r w:rsidR="000E7133">
            <w:t>aanwijzingsbevoegdheid</w:t>
          </w:r>
          <w:r w:rsidR="005B4675">
            <w:t xml:space="preserve"> </w:t>
          </w:r>
          <w:r w:rsidR="00477858">
            <w:t xml:space="preserve">en om deze niet toe te kennen aan </w:t>
          </w:r>
          <w:r w:rsidR="00F770B9">
            <w:t>de ACM</w:t>
          </w:r>
          <w:r w:rsidR="000E7133">
            <w:t xml:space="preserve">. Gelet op de geopolitieke dreiging moet het mogelijk zijn </w:t>
          </w:r>
          <w:r w:rsidR="00525754">
            <w:t xml:space="preserve">om </w:t>
          </w:r>
          <w:r w:rsidR="000E7133">
            <w:t>o</w:t>
          </w:r>
          <w:r w:rsidR="00D376B8">
            <w:t xml:space="preserve">nderscheid </w:t>
          </w:r>
          <w:r w:rsidR="00207798">
            <w:t xml:space="preserve">te maken </w:t>
          </w:r>
          <w:r w:rsidR="00D376B8">
            <w:t>tussen afnemers van energie</w:t>
          </w:r>
          <w:r w:rsidR="00207798">
            <w:t xml:space="preserve">, als dat noodzakelijk is </w:t>
          </w:r>
          <w:r w:rsidR="007B77DD">
            <w:t xml:space="preserve">om </w:t>
          </w:r>
          <w:r w:rsidR="00D376B8">
            <w:t xml:space="preserve">de levering aan vitale overheidsorganisaties en bedrijven </w:t>
          </w:r>
          <w:r w:rsidR="007B77DD">
            <w:t xml:space="preserve">te </w:t>
          </w:r>
          <w:r w:rsidR="00D376B8">
            <w:t>waarborg</w:t>
          </w:r>
          <w:r w:rsidR="007B77DD">
            <w:t>en</w:t>
          </w:r>
          <w:r w:rsidR="00397ADA">
            <w:t xml:space="preserve">. </w:t>
          </w:r>
          <w:r w:rsidR="009C3C3E">
            <w:t>D</w:t>
          </w:r>
          <w:r w:rsidR="008F4070">
            <w:t xml:space="preserve">e ACM </w:t>
          </w:r>
          <w:r w:rsidR="009C3C3E">
            <w:t xml:space="preserve">is </w:t>
          </w:r>
          <w:r w:rsidR="008F4070">
            <w:t xml:space="preserve">minder </w:t>
          </w:r>
          <w:r w:rsidR="00813C88">
            <w:t>toegerust</w:t>
          </w:r>
          <w:r w:rsidR="008F4070">
            <w:t xml:space="preserve"> </w:t>
          </w:r>
          <w:r w:rsidR="003F27B9">
            <w:t xml:space="preserve">om </w:t>
          </w:r>
          <w:r w:rsidR="006A0653">
            <w:t xml:space="preserve">zo'n </w:t>
          </w:r>
          <w:r w:rsidR="003F27B9">
            <w:t>onderscheid te maken tussen afnemers</w:t>
          </w:r>
          <w:r w:rsidR="00B746B3">
            <w:t xml:space="preserve"> </w:t>
          </w:r>
          <w:r w:rsidR="007B77DD">
            <w:t>op niet-economische gronden</w:t>
          </w:r>
          <w:r w:rsidR="0025111A">
            <w:t xml:space="preserve">, </w:t>
          </w:r>
          <w:r w:rsidR="000F34A1">
            <w:t xml:space="preserve">ook omdat </w:t>
          </w:r>
          <w:r w:rsidR="00AE6557">
            <w:t xml:space="preserve">informatie over nationale veiligheid </w:t>
          </w:r>
          <w:r w:rsidR="00FA7C0C">
            <w:t xml:space="preserve">daarvoor van belang kan zijn. </w:t>
          </w:r>
          <w:r w:rsidR="00930B76">
            <w:t>D</w:t>
          </w:r>
          <w:r w:rsidR="00FA7C0C">
            <w:t xml:space="preserve">at is informatie </w:t>
          </w:r>
          <w:r w:rsidR="00AE6557">
            <w:t>waarover zij niet beschikt en ook niet hoort te beschikken.</w:t>
          </w:r>
          <w:r w:rsidR="00C54EB0">
            <w:t xml:space="preserve"> </w:t>
          </w:r>
        </w:p>
        <w:p w:rsidR="008F4070" w:rsidP="00FC1539" w:rsidRDefault="008F4070" w14:paraId="69ACAA3C" w14:textId="77777777"/>
        <w:p w:rsidR="006E280F" w:rsidP="00E42D0C" w:rsidRDefault="00397ADA" w14:paraId="6827D08A" w14:textId="77777777">
          <w:r>
            <w:t xml:space="preserve">Wel </w:t>
          </w:r>
          <w:r w:rsidR="00092954">
            <w:t>valt</w:t>
          </w:r>
          <w:r>
            <w:t xml:space="preserve"> op dat de aanwijzingsbevoegdheid ruim </w:t>
          </w:r>
          <w:r w:rsidR="002E1100">
            <w:t xml:space="preserve">en vrij onbepaald </w:t>
          </w:r>
          <w:r>
            <w:t>is geformuleerd</w:t>
          </w:r>
          <w:r w:rsidR="002E1100">
            <w:t xml:space="preserve">. Daardoor geeft </w:t>
          </w:r>
          <w:r w:rsidR="00BE65A1">
            <w:t>de omschrijving van de bevoegdheid weinig concreet houvast</w:t>
          </w:r>
          <w:r w:rsidR="009037ED">
            <w:t xml:space="preserve"> voor alle betrokken partijen</w:t>
          </w:r>
          <w:r w:rsidR="001C0FAA">
            <w:t>.</w:t>
          </w:r>
          <w:r w:rsidR="00B8146C">
            <w:t xml:space="preserve"> </w:t>
          </w:r>
          <w:r w:rsidR="009E786E">
            <w:t xml:space="preserve">Volgens de toelichting </w:t>
          </w:r>
          <w:r w:rsidRPr="002F3DEF" w:rsidR="009E786E">
            <w:t>is niet te voorzien welke situaties zich zullen voordoen en welke verplichting op dat moment het meest passend is</w:t>
          </w:r>
          <w:r w:rsidR="009E786E">
            <w:t xml:space="preserve">; </w:t>
          </w:r>
          <w:r w:rsidR="009E786E">
            <w:lastRenderedPageBreak/>
            <w:t>daarom</w:t>
          </w:r>
          <w:r w:rsidRPr="002F3DEF" w:rsidR="009E786E">
            <w:t xml:space="preserve"> kunnen de openbaredienstverplichtingen niet op voorhand nader worden geconcretiseerd.</w:t>
          </w:r>
          <w:r w:rsidR="009E786E">
            <w:rPr>
              <w:rStyle w:val="Voetnootmarkering"/>
            </w:rPr>
            <w:footnoteReference w:id="22"/>
          </w:r>
          <w:r w:rsidR="009E786E">
            <w:t xml:space="preserve"> </w:t>
          </w:r>
        </w:p>
        <w:p w:rsidR="006E280F" w:rsidP="00E42D0C" w:rsidRDefault="006E280F" w14:paraId="4AFC85D0" w14:textId="77777777"/>
        <w:p w:rsidR="006425BF" w:rsidP="00E42D0C" w:rsidRDefault="009E786E" w14:paraId="4A329E76" w14:textId="4B5273C8">
          <w:r>
            <w:t xml:space="preserve">De Afdeling </w:t>
          </w:r>
          <w:r w:rsidR="006E280F">
            <w:t xml:space="preserve">merkt op </w:t>
          </w:r>
          <w:r>
            <w:t xml:space="preserve">dat hiermee niet kan worden volstaan. </w:t>
          </w:r>
          <w:r w:rsidR="009110CC">
            <w:t xml:space="preserve">De aanwijzingsbevoegdheid </w:t>
          </w:r>
          <w:r w:rsidR="00415208">
            <w:t xml:space="preserve">is een </w:t>
          </w:r>
          <w:r w:rsidR="00874332">
            <w:t xml:space="preserve">instrument </w:t>
          </w:r>
          <w:r w:rsidR="00415208">
            <w:t xml:space="preserve">waarmee de minister de </w:t>
          </w:r>
          <w:r w:rsidR="00874332">
            <w:t xml:space="preserve">taken en bevoegdheden van de ACM </w:t>
          </w:r>
          <w:r w:rsidR="004166A0">
            <w:t xml:space="preserve">kan doorkruisen en kan ingrijpen in de marktordening. </w:t>
          </w:r>
          <w:r w:rsidR="006A3794">
            <w:t xml:space="preserve">Bovendien kan hij met die bevoegdheid </w:t>
          </w:r>
          <w:r w:rsidRPr="006A3794" w:rsidR="006A3794">
            <w:t>ingr</w:t>
          </w:r>
          <w:r w:rsidR="006A3794">
            <w:t>ij</w:t>
          </w:r>
          <w:r w:rsidRPr="006A3794" w:rsidR="006A3794">
            <w:t>pen in de bedrijfsvoering van elektriciteits- en gasbedrijven</w:t>
          </w:r>
          <w:r w:rsidR="006A3794">
            <w:t xml:space="preserve">. </w:t>
          </w:r>
          <w:r w:rsidR="004166A0">
            <w:t>Zo'n bevoegdheid moet zo nauwkeurig mogelijk zijn afgebakend.</w:t>
          </w:r>
          <w:r w:rsidR="00602D92">
            <w:rPr>
              <w:rStyle w:val="Voetnootmarkering"/>
            </w:rPr>
            <w:footnoteReference w:id="23"/>
          </w:r>
          <w:r w:rsidR="00930B76">
            <w:t xml:space="preserve"> </w:t>
          </w:r>
        </w:p>
        <w:p w:rsidR="006425BF" w:rsidP="00E42D0C" w:rsidRDefault="006425BF" w14:paraId="0F634F36" w14:textId="77777777"/>
        <w:p w:rsidR="000260AD" w:rsidP="00FC1539" w:rsidRDefault="007A1CBC" w14:paraId="359A4294" w14:textId="5E4B8B59">
          <w:r>
            <w:t xml:space="preserve">Die afbakening kan worden gevonden </w:t>
          </w:r>
          <w:r w:rsidR="006A5356">
            <w:t xml:space="preserve">door </w:t>
          </w:r>
          <w:r w:rsidR="00317BCD">
            <w:t xml:space="preserve">aan te sluiten bij de </w:t>
          </w:r>
          <w:r w:rsidR="004F2FAE">
            <w:t>voorwaarden die hiervoor zijn gesteld</w:t>
          </w:r>
          <w:r w:rsidR="004316D3">
            <w:t xml:space="preserve"> in de </w:t>
          </w:r>
          <w:r w:rsidRPr="00CD126F" w:rsidR="004316D3">
            <w:t>Elektriciteitsrichtlijn en de Gasrichtlijn</w:t>
          </w:r>
          <w:r w:rsidR="004316D3">
            <w:t>.</w:t>
          </w:r>
          <w:r w:rsidR="003C008F">
            <w:t xml:space="preserve"> </w:t>
          </w:r>
          <w:r w:rsidR="00FF2188">
            <w:t xml:space="preserve">Die richtlijnen </w:t>
          </w:r>
          <w:r w:rsidR="00895B64">
            <w:t xml:space="preserve">bepalen dat </w:t>
          </w:r>
          <w:r w:rsidR="00672632">
            <w:t xml:space="preserve">een </w:t>
          </w:r>
          <w:r w:rsidRPr="00672632" w:rsidR="00672632">
            <w:t>openbaredienstverplichting</w:t>
          </w:r>
          <w:r w:rsidR="00672632">
            <w:t xml:space="preserve"> </w:t>
          </w:r>
          <w:r w:rsidRPr="00672632" w:rsidR="00672632">
            <w:t xml:space="preserve">betrekking </w:t>
          </w:r>
          <w:r w:rsidR="00112F23">
            <w:t xml:space="preserve">kan </w:t>
          </w:r>
          <w:r w:rsidRPr="00672632" w:rsidR="00672632">
            <w:t>hebben op de zekerheid</w:t>
          </w:r>
          <w:r w:rsidR="00F54F98">
            <w:t xml:space="preserve"> –</w:t>
          </w:r>
          <w:r w:rsidRPr="00672632" w:rsidR="00672632">
            <w:t xml:space="preserve"> waaronder de voorzieningszekerheid</w:t>
          </w:r>
          <w:r w:rsidR="00F54F98">
            <w:t xml:space="preserve"> –</w:t>
          </w:r>
          <w:r w:rsidR="00982FFE">
            <w:t>,</w:t>
          </w:r>
          <w:r w:rsidRPr="00672632" w:rsidR="00672632">
            <w:t xml:space="preserve"> de regelmaat, de kwaliteit en de prijs van de leveringen, alsmede op de bescherming van het milieu</w:t>
          </w:r>
          <w:r w:rsidR="00120F0D">
            <w:t>,</w:t>
          </w:r>
          <w:r w:rsidR="00F54F98">
            <w:t xml:space="preserve"> </w:t>
          </w:r>
          <w:r w:rsidR="00112F23">
            <w:t xml:space="preserve">inclusief </w:t>
          </w:r>
          <w:r w:rsidRPr="00672632" w:rsidR="00672632">
            <w:t>energie-efficiëntie</w:t>
          </w:r>
          <w:r w:rsidR="00120F0D">
            <w:t>,</w:t>
          </w:r>
          <w:r w:rsidRPr="00672632" w:rsidR="00672632">
            <w:t xml:space="preserve"> energie uit hernieuwbare bronnen en bescherming van het klimaat.</w:t>
          </w:r>
          <w:r w:rsidR="00E42D0C">
            <w:t xml:space="preserve"> Deze verplichtingen </w:t>
          </w:r>
          <w:r w:rsidR="00ED3477">
            <w:t xml:space="preserve">moeten </w:t>
          </w:r>
          <w:r w:rsidR="00E42D0C">
            <w:t xml:space="preserve">duidelijk </w:t>
          </w:r>
          <w:r w:rsidR="00ED3477">
            <w:t xml:space="preserve">zijn </w:t>
          </w:r>
          <w:r w:rsidR="00E42D0C">
            <w:t>gedefinieerd, transparant, niet-discriminerend en controleerbaar</w:t>
          </w:r>
          <w:r w:rsidR="00ED3477">
            <w:t xml:space="preserve"> zijn</w:t>
          </w:r>
          <w:r w:rsidR="00E42D0C">
            <w:t xml:space="preserve">, en de gelijke toegang van </w:t>
          </w:r>
          <w:r w:rsidR="0086573B">
            <w:t>energie</w:t>
          </w:r>
          <w:r w:rsidR="00E42D0C">
            <w:t>bedrijven van de Unie tot nationale consumenten</w:t>
          </w:r>
          <w:r w:rsidR="00ED3477">
            <w:t xml:space="preserve"> waarborgen</w:t>
          </w:r>
          <w:r w:rsidR="00E42D0C">
            <w:t>.</w:t>
          </w:r>
          <w:r w:rsidR="00EA032A">
            <w:rPr>
              <w:rStyle w:val="Voetnootmarkering"/>
            </w:rPr>
            <w:footnoteReference w:id="24"/>
          </w:r>
        </w:p>
        <w:p w:rsidR="004C5BEE" w:rsidP="00FC1539" w:rsidRDefault="004C5BEE" w14:paraId="6E48BC74" w14:textId="77777777"/>
        <w:p w:rsidR="000260AD" w:rsidP="00FC1539" w:rsidRDefault="00A50256" w14:paraId="3C8E5DF6" w14:textId="2605BAE7">
          <w:r>
            <w:t>De Afdeling adviseert bij de formulering van de aanwijzingsbevoegdheid uit te gaan van eenduidige begrippen en aan te sluiten bij</w:t>
          </w:r>
          <w:r w:rsidR="00C77576">
            <w:t xml:space="preserve"> de</w:t>
          </w:r>
          <w:r>
            <w:t xml:space="preserve"> voorwaarden die hiervoor zijn gesteld</w:t>
          </w:r>
          <w:r w:rsidR="00B25E90">
            <w:t xml:space="preserve"> in de Elektriciteitsrichtlijn en de Gasrichtlijn</w:t>
          </w:r>
          <w:r>
            <w:t xml:space="preserve">. </w:t>
          </w:r>
        </w:p>
        <w:p w:rsidR="00116B35" w:rsidP="00FC1539" w:rsidRDefault="00116B35" w14:paraId="7BB55B0E" w14:textId="77777777"/>
        <w:p w:rsidR="000765F3" w:rsidP="000765F3" w:rsidRDefault="000765F3" w14:paraId="35F56AA4" w14:textId="526106BE">
          <w:r>
            <w:t>b.</w:t>
          </w:r>
          <w:r>
            <w:tab/>
          </w:r>
          <w:r w:rsidR="00AD782E">
            <w:rPr>
              <w:i/>
              <w:iCs/>
            </w:rPr>
            <w:t>De verantwoordelijke minister; i</w:t>
          </w:r>
          <w:r>
            <w:rPr>
              <w:i/>
              <w:iCs/>
            </w:rPr>
            <w:t>ntegrale afweging</w:t>
          </w:r>
        </w:p>
        <w:p w:rsidR="000765F3" w:rsidP="000765F3" w:rsidRDefault="000765F3" w14:paraId="2308ECF2" w14:textId="5D9EDA4A">
          <w:r>
            <w:t>De</w:t>
          </w:r>
          <w:r w:rsidRPr="0020199F">
            <w:t xml:space="preserve"> bindende aanwijzing </w:t>
          </w:r>
          <w:r>
            <w:t xml:space="preserve">wordt opgelegd door </w:t>
          </w:r>
          <w:r w:rsidRPr="0020199F">
            <w:t xml:space="preserve">de </w:t>
          </w:r>
          <w:r w:rsidR="008202F0">
            <w:t>m</w:t>
          </w:r>
          <w:r w:rsidRPr="0020199F">
            <w:t xml:space="preserve">inister van Klimaat en Groene Groei in overeenstemming met </w:t>
          </w:r>
          <w:r>
            <w:t>"</w:t>
          </w:r>
          <w:r w:rsidRPr="005B62FC">
            <w:rPr>
              <w:rFonts w:eastAsia="Aptos"/>
              <w:lang w:eastAsia="en-US"/>
            </w:rPr>
            <w:t>Onze Minister of Ministers die het mede aangaat</w:t>
          </w:r>
          <w:r>
            <w:rPr>
              <w:rFonts w:eastAsia="Aptos"/>
              <w:lang w:eastAsia="en-US"/>
            </w:rPr>
            <w:t>"</w:t>
          </w:r>
          <w:r w:rsidRPr="0020199F">
            <w:t xml:space="preserve">. </w:t>
          </w:r>
          <w:r>
            <w:t xml:space="preserve">De toelichting stelt dat </w:t>
          </w:r>
          <w:r w:rsidRPr="0020199F">
            <w:t xml:space="preserve">in ieder geval de </w:t>
          </w:r>
          <w:r w:rsidR="008202F0">
            <w:t>m</w:t>
          </w:r>
          <w:r w:rsidRPr="0020199F">
            <w:t xml:space="preserve">inister van Justitie en Veiligheid </w:t>
          </w:r>
          <w:r>
            <w:t xml:space="preserve">hierin </w:t>
          </w:r>
          <w:r w:rsidRPr="0020199F">
            <w:t xml:space="preserve">een rol </w:t>
          </w:r>
          <w:r>
            <w:t>heeft, n</w:t>
          </w:r>
          <w:r w:rsidRPr="0020199F">
            <w:t>u de bescherming van de nationale veiligheid als reden hiervoor geldt.</w:t>
          </w:r>
          <w:r>
            <w:rPr>
              <w:rStyle w:val="Voetnootmarkering"/>
            </w:rPr>
            <w:footnoteReference w:id="25"/>
          </w:r>
        </w:p>
        <w:p w:rsidR="006D26AF" w:rsidP="000765F3" w:rsidRDefault="006D26AF" w14:paraId="1233C873" w14:textId="77777777"/>
        <w:p w:rsidR="000765F3" w:rsidP="000765F3" w:rsidRDefault="000765F3" w14:paraId="715BE07E" w14:textId="322941BE">
          <w:r>
            <w:t>De Afdeling merkt op dat e</w:t>
          </w:r>
          <w:r w:rsidR="00AB49E6">
            <w:t>en</w:t>
          </w:r>
          <w:r>
            <w:t xml:space="preserve"> aanwijzing alleen gegeven kan worden </w:t>
          </w:r>
          <w:r w:rsidR="00810542">
            <w:t xml:space="preserve">voor situaties waarin </w:t>
          </w:r>
          <w:r w:rsidR="00890096">
            <w:t>niet</w:t>
          </w:r>
          <w:r w:rsidR="00C30389">
            <w:t xml:space="preserve"> voor alle afnemers </w:t>
          </w:r>
          <w:r w:rsidR="00333BEA">
            <w:t>de leveringszekerheid kan worden gegarandeerd</w:t>
          </w:r>
          <w:r w:rsidR="00190B04">
            <w:t xml:space="preserve">. </w:t>
          </w:r>
          <w:r w:rsidR="006F26A8">
            <w:t>I</w:t>
          </w:r>
          <w:r w:rsidR="00762CB5">
            <w:t xml:space="preserve">n </w:t>
          </w:r>
          <w:r w:rsidR="00E25046">
            <w:t>een dergelijke</w:t>
          </w:r>
          <w:r w:rsidR="00762CB5">
            <w:t xml:space="preserve"> situatie </w:t>
          </w:r>
          <w:r w:rsidR="006F26A8">
            <w:t>kan er niet mee word</w:t>
          </w:r>
          <w:r w:rsidR="00FD168F">
            <w:t>e</w:t>
          </w:r>
          <w:r w:rsidR="006F26A8">
            <w:t xml:space="preserve">n volstaan </w:t>
          </w:r>
          <w:r w:rsidR="00762CB5">
            <w:t xml:space="preserve">voorrang </w:t>
          </w:r>
          <w:r w:rsidR="006F26A8">
            <w:t>t</w:t>
          </w:r>
          <w:r w:rsidR="00762CB5">
            <w:t>e</w:t>
          </w:r>
          <w:r w:rsidR="006F26A8">
            <w:t xml:space="preserve"> </w:t>
          </w:r>
          <w:r w:rsidR="00762CB5">
            <w:t xml:space="preserve">geven aan organisaties </w:t>
          </w:r>
          <w:r w:rsidR="00416381">
            <w:t xml:space="preserve">die van belang zijn </w:t>
          </w:r>
          <w:r w:rsidR="003C3EFE">
            <w:t xml:space="preserve">voor de nationale veiligheid: er zal dan ook moeten worden bepaald met welke prioriteit </w:t>
          </w:r>
          <w:r w:rsidR="000F7C2C">
            <w:t>– en bijvoorbeeld</w:t>
          </w:r>
          <w:r w:rsidR="00441039">
            <w:t xml:space="preserve"> ook</w:t>
          </w:r>
          <w:r w:rsidR="000F7C2C">
            <w:t xml:space="preserve"> </w:t>
          </w:r>
          <w:r w:rsidR="00417412">
            <w:t xml:space="preserve">in </w:t>
          </w:r>
          <w:r w:rsidR="00454C7F">
            <w:t xml:space="preserve">welke hoeveelheden en </w:t>
          </w:r>
          <w:r w:rsidR="00417412">
            <w:t>welke tijdsblokken</w:t>
          </w:r>
          <w:r w:rsidR="000F7C2C">
            <w:t xml:space="preserve"> – </w:t>
          </w:r>
          <w:r w:rsidR="003C3EFE">
            <w:t xml:space="preserve">andere afnemers </w:t>
          </w:r>
          <w:r w:rsidR="00AA6D36">
            <w:t xml:space="preserve">moeten worden voorzien van energie. Dat vraagt om een integrale afweging, die </w:t>
          </w:r>
          <w:r w:rsidR="00B63B64">
            <w:t xml:space="preserve">gemaakt dient te worden door </w:t>
          </w:r>
          <w:r w:rsidR="00807456">
            <w:t>de regering</w:t>
          </w:r>
          <w:r w:rsidR="00B63B64">
            <w:t xml:space="preserve">. Omdat </w:t>
          </w:r>
          <w:r w:rsidR="00FE5A71">
            <w:t xml:space="preserve">het gaat om een bevoegdheid </w:t>
          </w:r>
          <w:r w:rsidR="00B63B64">
            <w:t>met het oog op de nationale veiligheid</w:t>
          </w:r>
          <w:r w:rsidR="00520DE6">
            <w:t xml:space="preserve"> (een zaak van algemeen regeringsbeleid)</w:t>
          </w:r>
          <w:r w:rsidR="00B63B64">
            <w:t xml:space="preserve">, </w:t>
          </w:r>
          <w:r w:rsidR="00B53FCB">
            <w:t xml:space="preserve">ligt het in de rede dat </w:t>
          </w:r>
          <w:r w:rsidR="00EC2F16">
            <w:t xml:space="preserve">een </w:t>
          </w:r>
          <w:r w:rsidR="00B53FCB">
            <w:t>de</w:t>
          </w:r>
          <w:r w:rsidR="00EC2F16">
            <w:t>rgelijke</w:t>
          </w:r>
          <w:r w:rsidR="00B53FCB">
            <w:t xml:space="preserve"> aanwijzing tot stand komt bij koninklijk besluit, op voordracht van </w:t>
          </w:r>
          <w:r w:rsidRPr="0020199F">
            <w:t xml:space="preserve">de </w:t>
          </w:r>
          <w:r w:rsidR="00BB2602">
            <w:t>m</w:t>
          </w:r>
          <w:r w:rsidRPr="0020199F">
            <w:t>inister van Justitie en Veiligheid</w:t>
          </w:r>
          <w:r>
            <w:t>.</w:t>
          </w:r>
          <w:r w:rsidR="003530AA">
            <w:rPr>
              <w:rStyle w:val="Voetnootmarkering"/>
            </w:rPr>
            <w:footnoteReference w:id="26"/>
          </w:r>
          <w:r w:rsidR="00A24DC1">
            <w:t xml:space="preserve"> </w:t>
          </w:r>
        </w:p>
        <w:p w:rsidR="000765F3" w:rsidP="000765F3" w:rsidRDefault="000765F3" w14:paraId="6CC029FF" w14:textId="77777777"/>
        <w:p w:rsidR="000765F3" w:rsidP="000765F3" w:rsidRDefault="000765F3" w14:paraId="23180EF4" w14:textId="7F1A3A23">
          <w:r>
            <w:t xml:space="preserve">De Afdeling adviseert het artikel aan te </w:t>
          </w:r>
          <w:r w:rsidR="00B53FCB">
            <w:t>passen</w:t>
          </w:r>
          <w:r>
            <w:t>.</w:t>
          </w:r>
        </w:p>
        <w:p w:rsidR="000765F3" w:rsidP="000765F3" w:rsidRDefault="000765F3" w14:paraId="6D026F18" w14:textId="77777777"/>
        <w:p w:rsidR="002F44B9" w:rsidP="00FC1539" w:rsidRDefault="000765F3" w14:paraId="4D40D74A" w14:textId="732BCCF1">
          <w:r>
            <w:t>c</w:t>
          </w:r>
          <w:r w:rsidR="00116B35">
            <w:t>.</w:t>
          </w:r>
          <w:r w:rsidR="002F44B9">
            <w:tab/>
          </w:r>
          <w:r w:rsidR="00470EB7">
            <w:rPr>
              <w:i/>
              <w:iCs/>
            </w:rPr>
            <w:t>Open energiemarkt en nationale veiligheid</w:t>
          </w:r>
        </w:p>
        <w:p w:rsidR="002059B3" w:rsidP="00FC1539" w:rsidRDefault="002059B3" w14:paraId="30B5B6D6" w14:textId="32C75B71">
          <w:r>
            <w:t>De aanwijzingsbevoegdheid is op een laat moment aan het wetsvoorstel toegevoegd</w:t>
          </w:r>
          <w:r w:rsidR="008D41EB">
            <w:t>, d</w:t>
          </w:r>
          <w:r>
            <w:t xml:space="preserve">e internetconsultatie was toen al voorbij. Er is geen </w:t>
          </w:r>
          <w:r w:rsidR="003356BD">
            <w:t xml:space="preserve">uitvoerings- en handhavingstoets uitgevoerd. Wel is </w:t>
          </w:r>
          <w:r w:rsidR="00097875">
            <w:t xml:space="preserve">deze bevoegdheid </w:t>
          </w:r>
          <w:r w:rsidR="005B26C6">
            <w:t>ambtelijk</w:t>
          </w:r>
          <w:r w:rsidR="003356BD">
            <w:t xml:space="preserve"> </w:t>
          </w:r>
          <w:r w:rsidR="003E4A16">
            <w:t xml:space="preserve">afgestemd </w:t>
          </w:r>
          <w:r w:rsidR="003356BD">
            <w:t>met de ACM.</w:t>
          </w:r>
          <w:r w:rsidR="005B26C6">
            <w:rPr>
              <w:rStyle w:val="Voetnootmarkering"/>
            </w:rPr>
            <w:footnoteReference w:id="27"/>
          </w:r>
        </w:p>
        <w:p w:rsidR="003E4A16" w:rsidP="00FC1539" w:rsidRDefault="003E4A16" w14:paraId="4E964F3A" w14:textId="77777777"/>
        <w:p w:rsidR="00A856EC" w:rsidP="00A856EC" w:rsidRDefault="00774C04" w14:paraId="0C5A0C6A" w14:textId="3A395EE5">
          <w:r>
            <w:t>De Afdeling heeft begrip voor de noodzaak om deze bevoegdheid snel te regelen.</w:t>
          </w:r>
          <w:r w:rsidR="00F650A4">
            <w:t xml:space="preserve"> Zij merkt wel op dat de geopolitieke ontwikkelingen van de laatste jaren </w:t>
          </w:r>
          <w:r w:rsidR="003F5CBC">
            <w:t xml:space="preserve">aanleiding </w:t>
          </w:r>
          <w:r w:rsidR="00EC7E70">
            <w:t>vorm</w:t>
          </w:r>
          <w:r w:rsidR="009A53C7">
            <w:t>en</w:t>
          </w:r>
          <w:r w:rsidR="00EC7E70">
            <w:t xml:space="preserve"> </w:t>
          </w:r>
          <w:r w:rsidR="003F5CBC">
            <w:t xml:space="preserve">om </w:t>
          </w:r>
          <w:r w:rsidR="00C221EB">
            <w:t>meer structureel</w:t>
          </w:r>
          <w:r w:rsidR="003F5CBC">
            <w:t xml:space="preserve"> na te denken over de </w:t>
          </w:r>
          <w:r w:rsidR="00C221EB">
            <w:t xml:space="preserve">vraag of </w:t>
          </w:r>
          <w:r w:rsidR="009F6549">
            <w:t>de vrije energiemarkt zich wel altijd goed verhoudt tot</w:t>
          </w:r>
          <w:r w:rsidR="00191D73">
            <w:t xml:space="preserve"> </w:t>
          </w:r>
          <w:r w:rsidR="00092785">
            <w:t>het belang van nationale veiligheid</w:t>
          </w:r>
          <w:r w:rsidR="00D27697">
            <w:t>.</w:t>
          </w:r>
          <w:r w:rsidR="001008F0">
            <w:t xml:space="preserve"> </w:t>
          </w:r>
          <w:r w:rsidR="002F23F5">
            <w:t>A</w:t>
          </w:r>
          <w:r w:rsidR="00510FED">
            <w:t xml:space="preserve">ls dat niet zonder meer het geval is, </w:t>
          </w:r>
          <w:r w:rsidR="002F23F5">
            <w:t xml:space="preserve">is </w:t>
          </w:r>
          <w:r w:rsidR="000A0706">
            <w:t>ver</w:t>
          </w:r>
          <w:r w:rsidR="002F23F5">
            <w:t>volgen</w:t>
          </w:r>
          <w:r w:rsidR="000A0706">
            <w:t>s</w:t>
          </w:r>
          <w:r w:rsidR="002F23F5">
            <w:t xml:space="preserve"> </w:t>
          </w:r>
          <w:r w:rsidR="000A0706">
            <w:t xml:space="preserve">de </w:t>
          </w:r>
          <w:r w:rsidR="002F23F5">
            <w:t xml:space="preserve">vraag </w:t>
          </w:r>
          <w:r w:rsidR="00510FED">
            <w:t>wat daaraan gedaan kan worden</w:t>
          </w:r>
          <w:r w:rsidR="003E10EF">
            <w:t>.</w:t>
          </w:r>
          <w:r w:rsidR="00092785">
            <w:t xml:space="preserve"> </w:t>
          </w:r>
          <w:r w:rsidR="00A856EC">
            <w:t xml:space="preserve">De Afdeling heeft eerder geadviseerd om </w:t>
          </w:r>
          <w:r w:rsidRPr="008A4B65" w:rsidR="00A856EC">
            <w:t>het stelsel van (staats)nood- en crisiswetgeving integraal door te lichten op samenhang en consistentie</w:t>
          </w:r>
          <w:r w:rsidR="00A856EC">
            <w:t xml:space="preserve">, om te voorkomen dat moet worden teruggevallen op </w:t>
          </w:r>
          <w:r w:rsidRPr="00F37807" w:rsidR="00A856EC">
            <w:t>ongeschreven (subjectief) staatsnoodrecht</w:t>
          </w:r>
          <w:r w:rsidR="00A856EC">
            <w:t>.</w:t>
          </w:r>
          <w:r w:rsidR="00A856EC">
            <w:rPr>
              <w:rStyle w:val="Voetnootmarkering"/>
            </w:rPr>
            <w:footnoteReference w:id="28"/>
          </w:r>
        </w:p>
        <w:p w:rsidR="00A856EC" w:rsidP="00FC1539" w:rsidRDefault="00A856EC" w14:paraId="5FE860DF" w14:textId="77777777"/>
        <w:p w:rsidR="003E10EF" w:rsidP="00FC1539" w:rsidRDefault="003E10EF" w14:paraId="7AC7E8BA" w14:textId="73CBEF56">
          <w:r>
            <w:t xml:space="preserve">In dat verband valt het voorts op dat de energiesector is aangewezen als </w:t>
          </w:r>
          <w:r w:rsidR="00081A08">
            <w:t xml:space="preserve">een "essentiële dienst" in het stelsel van de </w:t>
          </w:r>
          <w:r w:rsidRPr="009155A4" w:rsidR="009155A4">
            <w:t>Wet beveiliging netwerk- en informatiesystemen</w:t>
          </w:r>
          <w:r w:rsidR="009155A4">
            <w:t xml:space="preserve">, </w:t>
          </w:r>
          <w:r w:rsidR="00025D74">
            <w:t xml:space="preserve">en als </w:t>
          </w:r>
          <w:r w:rsidRPr="00B05EA0" w:rsidR="00B05EA0">
            <w:t>"zeer kritieke sector"</w:t>
          </w:r>
          <w:r w:rsidR="00143B4A">
            <w:t xml:space="preserve"> volgens het voorstel van </w:t>
          </w:r>
          <w:r w:rsidRPr="006A69C2" w:rsidR="006A69C2">
            <w:t>Cyberbeveili</w:t>
          </w:r>
          <w:r w:rsidR="002C416C">
            <w:t>gi</w:t>
          </w:r>
          <w:r w:rsidRPr="006A69C2" w:rsidR="006A69C2">
            <w:t>ngswet</w:t>
          </w:r>
          <w:r w:rsidR="006A69C2">
            <w:t>.</w:t>
          </w:r>
          <w:r w:rsidR="00003D6A">
            <w:rPr>
              <w:rStyle w:val="Voetnootmarkering"/>
            </w:rPr>
            <w:footnoteReference w:id="29"/>
          </w:r>
          <w:r w:rsidR="00A821E4">
            <w:t xml:space="preserve"> De Energiewet </w:t>
          </w:r>
          <w:r w:rsidR="00F77504">
            <w:t xml:space="preserve">en haar voorgangers de Elektriciteitswet en de Gaswet </w:t>
          </w:r>
          <w:r w:rsidR="00A821E4">
            <w:t>bevat</w:t>
          </w:r>
          <w:r w:rsidR="00F77504">
            <w:t>ten</w:t>
          </w:r>
          <w:r w:rsidR="00A821E4">
            <w:t xml:space="preserve"> echter geen noodbevoegdheden</w:t>
          </w:r>
          <w:r w:rsidR="00591D03">
            <w:t xml:space="preserve"> in het stelsel van staatsnoodrecht</w:t>
          </w:r>
          <w:r w:rsidR="00422FFF">
            <w:t>.</w:t>
          </w:r>
          <w:r w:rsidR="00725212">
            <w:rPr>
              <w:rStyle w:val="Voetnootmarkering"/>
            </w:rPr>
            <w:footnoteReference w:id="30"/>
          </w:r>
          <w:r w:rsidR="00CA6645">
            <w:t xml:space="preserve"> </w:t>
          </w:r>
          <w:r w:rsidR="00E31D8E">
            <w:t xml:space="preserve">Wel </w:t>
          </w:r>
          <w:r w:rsidR="000A191B">
            <w:t xml:space="preserve">is </w:t>
          </w:r>
          <w:r w:rsidR="000B5E26">
            <w:t xml:space="preserve">een wetsvoorstel </w:t>
          </w:r>
          <w:r w:rsidR="000A191B">
            <w:t xml:space="preserve">in </w:t>
          </w:r>
          <w:r w:rsidR="002B3567">
            <w:t>voorbereiding</w:t>
          </w:r>
          <w:r w:rsidR="000A191B">
            <w:t xml:space="preserve"> waarin </w:t>
          </w:r>
          <w:r w:rsidR="001752FA">
            <w:t xml:space="preserve">wordt voorzien in noodbevoegdheden voor leveringszekerheid van gas. Tot de noodbevoegdheden </w:t>
          </w:r>
          <w:r w:rsidR="00AC7937">
            <w:t xml:space="preserve">in dat voorstel </w:t>
          </w:r>
          <w:r w:rsidR="001752FA">
            <w:t xml:space="preserve">hoort </w:t>
          </w:r>
          <w:r w:rsidR="00053A5A">
            <w:t xml:space="preserve">het </w:t>
          </w:r>
          <w:r w:rsidRPr="00053A5A" w:rsidR="00053A5A">
            <w:t>afschakelen van niet-beschermde afnemers</w:t>
          </w:r>
          <w:r w:rsidR="00C71A51">
            <w:t xml:space="preserve"> en</w:t>
          </w:r>
          <w:r w:rsidR="00053A5A">
            <w:t xml:space="preserve"> </w:t>
          </w:r>
          <w:r w:rsidR="0081574C">
            <w:t>het onteigenen van gasvoorraden</w:t>
          </w:r>
          <w:r w:rsidR="00C71A51">
            <w:t>.</w:t>
          </w:r>
          <w:r w:rsidR="003B0949">
            <w:rPr>
              <w:rStyle w:val="Voetnootmarkering"/>
            </w:rPr>
            <w:footnoteReference w:id="31"/>
          </w:r>
          <w:r w:rsidR="00A9064B">
            <w:t xml:space="preserve"> Dit laatste wetsvoorstel wordt in de toelichting niet besproken.</w:t>
          </w:r>
          <w:r w:rsidR="003B3218">
            <w:t xml:space="preserve"> De wetgeving is nu </w:t>
          </w:r>
          <w:r w:rsidR="003F5ED1">
            <w:t>dus</w:t>
          </w:r>
          <w:r w:rsidR="003B3218">
            <w:t xml:space="preserve"> niet consistent in de manier waarop </w:t>
          </w:r>
          <w:r w:rsidR="00D33DAF">
            <w:t>het belang van de energiesector voor de nationale veiligheid wordt gewaardeerd.</w:t>
          </w:r>
        </w:p>
        <w:p w:rsidR="00AF0CFC" w:rsidP="00FC1539" w:rsidRDefault="00AF0CFC" w14:paraId="3BBAEFE6" w14:textId="77777777"/>
        <w:p w:rsidR="00665C6C" w:rsidP="00FC1539" w:rsidRDefault="00665C6C" w14:paraId="52235EC1" w14:textId="5678E8D8">
          <w:r>
            <w:t xml:space="preserve">De Afdeling adviseert </w:t>
          </w:r>
          <w:r w:rsidR="005A5318">
            <w:t>op het voorgaande in de toelichting in te gaan.</w:t>
          </w:r>
        </w:p>
        <w:p w:rsidR="00E51EFC" w:rsidP="00E51EFC" w:rsidRDefault="00E51EFC" w14:paraId="7622AB36" w14:textId="77777777"/>
        <w:p w:rsidR="00E51EFC" w:rsidP="00E51EFC" w:rsidRDefault="00E51EFC" w14:paraId="2B0F219E" w14:textId="77777777">
          <w:r>
            <w:t>3.</w:t>
          </w:r>
          <w:r>
            <w:tab/>
          </w:r>
          <w:r w:rsidRPr="00FE0B0A">
            <w:rPr>
              <w:u w:val="single"/>
            </w:rPr>
            <w:t>Maatregelen bij een energieprijscrisis</w:t>
          </w:r>
        </w:p>
        <w:p w:rsidR="00E51EFC" w:rsidP="00E51EFC" w:rsidRDefault="00E51EFC" w14:paraId="7E896C8E" w14:textId="77777777"/>
        <w:p w:rsidR="00E51EFC" w:rsidP="00E51EFC" w:rsidRDefault="00E51EFC" w14:paraId="791692B2" w14:textId="77777777">
          <w:r>
            <w:t xml:space="preserve">Als de energieprijzen sterk zijn gestegen, kan de Raad van de Europese Unie een </w:t>
          </w:r>
          <w:r w:rsidRPr="00AF2DA7">
            <w:t>elektriciteitsprijscrisis afkondigen</w:t>
          </w:r>
          <w:r>
            <w:t>. De lidstaten kunnen dan besluiten een prijs vast te stellen die onder de kostprijs ligt. Daarbij gelden verschillende voorwaarden, die bedoeld zijn om de verstoring van de vrije markt zo beperkt mogelijk te houden.</w:t>
          </w:r>
          <w:r>
            <w:rPr>
              <w:rStyle w:val="Voetnootmarkering"/>
            </w:rPr>
            <w:footnoteReference w:id="32"/>
          </w:r>
          <w:r>
            <w:t xml:space="preserve"> Het kabinet heeft besloten om </w:t>
          </w:r>
          <w:r w:rsidRPr="008D1DAB">
            <w:t>geen specifiek instrument in de wet op</w:t>
          </w:r>
          <w:r>
            <w:t xml:space="preserve"> t</w:t>
          </w:r>
          <w:r w:rsidRPr="008D1DAB">
            <w:t>e</w:t>
          </w:r>
          <w:r>
            <w:t xml:space="preserve"> </w:t>
          </w:r>
          <w:r w:rsidRPr="008D1DAB">
            <w:t>n</w:t>
          </w:r>
          <w:r>
            <w:t>e</w:t>
          </w:r>
          <w:r w:rsidRPr="008D1DAB">
            <w:t xml:space="preserve">men dat </w:t>
          </w:r>
          <w:r>
            <w:t xml:space="preserve">bij een </w:t>
          </w:r>
          <w:r w:rsidRPr="00AF2DA7">
            <w:t xml:space="preserve">elektriciteitsprijscrisis </w:t>
          </w:r>
          <w:r w:rsidRPr="008D1DAB">
            <w:t>kan worden</w:t>
          </w:r>
          <w:r>
            <w:t xml:space="preserve"> </w:t>
          </w:r>
          <w:r w:rsidRPr="008D1DAB">
            <w:t>ingezet</w:t>
          </w:r>
          <w:r>
            <w:t>. In een crisissituatie wil h</w:t>
          </w:r>
          <w:r w:rsidRPr="006D2873">
            <w:t>et kabinet de Eerste en Tweede Kamer tijdig informeren</w:t>
          </w:r>
          <w:r>
            <w:t xml:space="preserve">, zodat </w:t>
          </w:r>
          <w:r w:rsidRPr="00DF605F">
            <w:t xml:space="preserve">zo spoedig mogelijk </w:t>
          </w:r>
          <w:r>
            <w:t xml:space="preserve">politiek besloten kan worden </w:t>
          </w:r>
          <w:r w:rsidRPr="00CB5DD9">
            <w:t>of er een instrument ingezet dient te worden om te voorkomen dat de koopkracht onder druk komt te staan</w:t>
          </w:r>
          <w:r>
            <w:t xml:space="preserve">. Er staan dan verschillende instrumenten ter beschikking, zoals </w:t>
          </w:r>
          <w:r w:rsidRPr="00F250BC">
            <w:t xml:space="preserve">een </w:t>
          </w:r>
          <w:r>
            <w:t>energie</w:t>
          </w:r>
          <w:r w:rsidRPr="00F250BC">
            <w:t>belastingverlaging, een energietoeslag, een lump sum-uitkering, het prijsplafond en het Noodfonds</w:t>
          </w:r>
          <w:r>
            <w:t>.</w:t>
          </w:r>
          <w:r>
            <w:rPr>
              <w:rStyle w:val="Voetnootmarkering"/>
            </w:rPr>
            <w:footnoteReference w:id="33"/>
          </w:r>
        </w:p>
        <w:p w:rsidR="00E51EFC" w:rsidP="00E51EFC" w:rsidRDefault="00E51EFC" w14:paraId="7206B477" w14:textId="77777777"/>
        <w:p w:rsidR="00E51EFC" w:rsidP="00E51EFC" w:rsidRDefault="00E51EFC" w14:paraId="0646388A" w14:textId="6BE2DD9D">
          <w:r>
            <w:t>De Afdeling merkt op dat het bij eerdere gelegenheden niet eenvoudig is gebleken om bij een plotselinge stijging van de energieprijzen tijdig effectieve maatregelen te treffen en daarbij ongewenste neveneffecten te voorkomen.</w:t>
          </w:r>
          <w:r>
            <w:rPr>
              <w:rStyle w:val="Voetnootmarkering"/>
            </w:rPr>
            <w:footnoteReference w:id="34"/>
          </w:r>
          <w:r>
            <w:t xml:space="preserve"> Het kan in zo'n situatie behulpzaam zijn als het wettelijk instrumentarium voor een prijsmaatregel al eerder wettelijk wordt uitgewerkt</w:t>
          </w:r>
          <w:r w:rsidR="000B2717">
            <w:t xml:space="preserve"> en uitgedacht</w:t>
          </w:r>
          <w:r>
            <w:t xml:space="preserve">, </w:t>
          </w:r>
          <w:r w:rsidR="00BB4122">
            <w:t>voor</w:t>
          </w:r>
          <w:r w:rsidR="005F46E0">
            <w:t xml:space="preserve"> </w:t>
          </w:r>
          <w:r w:rsidR="00BB4122">
            <w:t xml:space="preserve">zover dat vooraf mogelijk is, </w:t>
          </w:r>
          <w:r>
            <w:t xml:space="preserve">op basis van een </w:t>
          </w:r>
          <w:r w:rsidRPr="00771257">
            <w:t>adequate probleemanalyse</w:t>
          </w:r>
          <w:r>
            <w:t xml:space="preserve"> en een nauwkeurige afbakening van de doelgroep.</w:t>
          </w:r>
          <w:r>
            <w:rPr>
              <w:rStyle w:val="Voetnootmarkering"/>
            </w:rPr>
            <w:footnoteReference w:id="35"/>
          </w:r>
        </w:p>
        <w:p w:rsidR="00E51EFC" w:rsidP="00E51EFC" w:rsidRDefault="00E51EFC" w14:paraId="4EF3AA9F" w14:textId="77777777"/>
        <w:p w:rsidR="00C85AD2" w:rsidP="00C85AD2" w:rsidRDefault="00E51EFC" w14:paraId="7643C9B8" w14:textId="64A14171">
          <w:r>
            <w:t>De Afdeling adviseert in de toelichting nader in te gaan op de mogelijkheid om in een energieprijscrisis het noodzakelijke wettelijke instrumentarium ter beschikking te hebben, het voorstel zo nodig aan te vullen</w:t>
          </w:r>
          <w:r w:rsidR="00C85AD2">
            <w:t xml:space="preserve"> en daarbij specifiek aan te geven op welke termijn de hiervoor genoemde wetgeving zal worden aangepast.</w:t>
          </w:r>
        </w:p>
        <w:p w:rsidR="00E51EFC" w:rsidP="00E51EFC" w:rsidRDefault="00E51EFC" w14:paraId="5A591B4A" w14:textId="77777777"/>
        <w:p w:rsidR="007B2F8C" w:rsidRDefault="00E51EFC" w14:paraId="1B366239" w14:textId="65D1BA31">
          <w:r>
            <w:t>4</w:t>
          </w:r>
          <w:r w:rsidR="007B2F8C">
            <w:t>.</w:t>
          </w:r>
          <w:r w:rsidR="007B2F8C">
            <w:tab/>
          </w:r>
          <w:r w:rsidRPr="00661D4E" w:rsidR="00661D4E">
            <w:rPr>
              <w:u w:val="single"/>
            </w:rPr>
            <w:t>Samenwerking met Europese toezichthouders</w:t>
          </w:r>
        </w:p>
        <w:p w:rsidR="00661D4E" w:rsidRDefault="00661D4E" w14:paraId="70DCAF9E" w14:textId="77777777"/>
        <w:p w:rsidR="00661D4E" w:rsidRDefault="00FD5948" w14:paraId="307C4DEF" w14:textId="65E1500B">
          <w:r>
            <w:t xml:space="preserve">De ACM werkt samen met het </w:t>
          </w:r>
          <w:r w:rsidRPr="00FD5948">
            <w:t>Agentschap van de EU voor de samenwerking tussen energieregulators (Acer)</w:t>
          </w:r>
          <w:r w:rsidR="008E58A4">
            <w:t>, dat vanuit de EU toezicht houdt op de naleving van energieregels</w:t>
          </w:r>
          <w:r>
            <w:t xml:space="preserve">. Dat houdt onder andere in dat </w:t>
          </w:r>
          <w:r w:rsidR="00906C0D">
            <w:t>ambtenaren</w:t>
          </w:r>
          <w:r w:rsidR="007733BB">
            <w:t xml:space="preserve"> </w:t>
          </w:r>
          <w:r w:rsidR="008E58A4">
            <w:t>toezichthouders</w:t>
          </w:r>
          <w:r w:rsidR="00906C0D">
            <w:t xml:space="preserve"> </w:t>
          </w:r>
          <w:r w:rsidR="00A9440A">
            <w:t xml:space="preserve">van </w:t>
          </w:r>
          <w:r w:rsidR="00906C0D">
            <w:t xml:space="preserve">de </w:t>
          </w:r>
          <w:r>
            <w:t>ACM</w:t>
          </w:r>
          <w:r w:rsidRPr="00FD5948">
            <w:t xml:space="preserve"> </w:t>
          </w:r>
          <w:r w:rsidR="008E58A4">
            <w:t xml:space="preserve">in voorkomende gevallen </w:t>
          </w:r>
          <w:r w:rsidR="00906C0D">
            <w:t>bijstand verlenen aan Acer</w:t>
          </w:r>
          <w:r w:rsidR="00C7692A">
            <w:t xml:space="preserve"> bij het uitoefenen van toezicht, zoals bij het </w:t>
          </w:r>
          <w:r w:rsidR="006D430C">
            <w:t>vorderen van inlichtingen</w:t>
          </w:r>
          <w:r w:rsidR="005D72CF">
            <w:t xml:space="preserve">, het betreden van plaatsen </w:t>
          </w:r>
          <w:r w:rsidR="00322889">
            <w:t>(</w:t>
          </w:r>
          <w:r w:rsidRPr="00322889" w:rsidR="00322889">
            <w:t>zo nodig met behulp van de sterke arm</w:t>
          </w:r>
          <w:r w:rsidR="00322889">
            <w:t xml:space="preserve">) </w:t>
          </w:r>
          <w:r w:rsidR="005D72CF">
            <w:t xml:space="preserve">en </w:t>
          </w:r>
          <w:r w:rsidR="002A588D">
            <w:t>het binnentreden in woningen zonder toestemming van de bewoner</w:t>
          </w:r>
          <w:r w:rsidR="008C76F4">
            <w:t xml:space="preserve"> (maar met </w:t>
          </w:r>
          <w:r w:rsidR="00322889">
            <w:t>machtiging van de rechter-commissaris</w:t>
          </w:r>
          <w:r w:rsidR="008C76F4">
            <w:t>)</w:t>
          </w:r>
          <w:r w:rsidR="002A588D">
            <w:t xml:space="preserve">. Daarbij gelden zorgvuldigheidseisen, zoals </w:t>
          </w:r>
          <w:r w:rsidR="00FF11B3">
            <w:t>het noodzaakvereiste</w:t>
          </w:r>
          <w:r w:rsidR="00CE5F6C">
            <w:t xml:space="preserve"> en</w:t>
          </w:r>
          <w:r w:rsidR="00FF11B3">
            <w:t xml:space="preserve"> </w:t>
          </w:r>
          <w:r w:rsidR="00F72670">
            <w:t>de plicht van de toezichthouder om zich te legitimeren</w:t>
          </w:r>
          <w:r w:rsidR="00CE5F6C">
            <w:t>.</w:t>
          </w:r>
          <w:r w:rsidR="00C82815">
            <w:t xml:space="preserve"> De ACM kan ook bijstand verlenen aan </w:t>
          </w:r>
          <w:r w:rsidR="009604A3">
            <w:t xml:space="preserve">toezichthouders </w:t>
          </w:r>
          <w:r w:rsidR="00D1573B">
            <w:t>van andere EU-lidsta</w:t>
          </w:r>
          <w:r w:rsidR="009604A3">
            <w:t>ten</w:t>
          </w:r>
          <w:r w:rsidR="00B914B8">
            <w:t>.</w:t>
          </w:r>
        </w:p>
        <w:p w:rsidR="00CE5F6C" w:rsidRDefault="00CE5F6C" w14:paraId="25713FF0" w14:textId="77777777"/>
        <w:p w:rsidR="00CE5F6C" w:rsidRDefault="009604A3" w14:paraId="7824D263" w14:textId="3F54200B">
          <w:r>
            <w:lastRenderedPageBreak/>
            <w:t xml:space="preserve">De bijstand die </w:t>
          </w:r>
          <w:r w:rsidR="00245B1C">
            <w:t>de ACM verleent aan Acer en buitenlandse zusterorgan</w:t>
          </w:r>
          <w:r w:rsidR="00311A0F">
            <w:t>i</w:t>
          </w:r>
          <w:r w:rsidR="00245B1C">
            <w:t xml:space="preserve">saties </w:t>
          </w:r>
          <w:r w:rsidR="00CE5F6C">
            <w:t>wordt geregeld in de Energiewet,</w:t>
          </w:r>
          <w:r w:rsidR="00CB45DF">
            <w:rPr>
              <w:rStyle w:val="Voetnootmarkering"/>
            </w:rPr>
            <w:footnoteReference w:id="36"/>
          </w:r>
          <w:r w:rsidR="00CE5F6C">
            <w:t xml:space="preserve"> deels met verwijzing naar de </w:t>
          </w:r>
          <w:r w:rsidR="00D04B07">
            <w:t>algemene regels voor</w:t>
          </w:r>
          <w:r w:rsidR="000217A7">
            <w:t xml:space="preserve"> toezicht in de </w:t>
          </w:r>
          <w:r w:rsidRPr="000217A7" w:rsidR="000217A7">
            <w:t xml:space="preserve">Instellingswet Autoriteit Consument en Markt </w:t>
          </w:r>
          <w:r w:rsidR="00CB45DF">
            <w:t>(die op hun beurt weer terugverwijzen naar de regel</w:t>
          </w:r>
          <w:r w:rsidR="00D80BF2">
            <w:t>s</w:t>
          </w:r>
          <w:r w:rsidR="00CB45DF">
            <w:t xml:space="preserve"> voor toezicht in de Algemene wet bestuursrecht</w:t>
          </w:r>
          <w:r w:rsidR="00EF727D">
            <w:t>)</w:t>
          </w:r>
          <w:r w:rsidR="00CB45DF">
            <w:t>.</w:t>
          </w:r>
        </w:p>
        <w:p w:rsidR="006E28F1" w:rsidRDefault="006E28F1" w14:paraId="1C7077B7" w14:textId="77777777"/>
        <w:p w:rsidR="00E20999" w:rsidRDefault="00D80BF2" w14:paraId="57E015E4" w14:textId="60824731">
          <w:r>
            <w:t>Ook i</w:t>
          </w:r>
          <w:r w:rsidR="001D4027">
            <w:t xml:space="preserve">n andere </w:t>
          </w:r>
          <w:r w:rsidR="00623ED9">
            <w:t xml:space="preserve">bijzondere </w:t>
          </w:r>
          <w:r w:rsidR="001D4027">
            <w:t xml:space="preserve">wetten is </w:t>
          </w:r>
          <w:r w:rsidR="0089542D">
            <w:t>eerder</w:t>
          </w:r>
          <w:r w:rsidR="008576F7">
            <w:t xml:space="preserve"> </w:t>
          </w:r>
          <w:r w:rsidR="001D4027">
            <w:t>geregeld dat de ACM bijstand verleen</w:t>
          </w:r>
          <w:r w:rsidR="00725A37">
            <w:t>t</w:t>
          </w:r>
          <w:r w:rsidR="001D4027">
            <w:t xml:space="preserve"> aan de Europese Commissie </w:t>
          </w:r>
          <w:r w:rsidR="006863CB">
            <w:t xml:space="preserve">of aan een zusterorganisatie </w:t>
          </w:r>
          <w:r w:rsidR="00623ED9">
            <w:t>uit</w:t>
          </w:r>
          <w:r w:rsidR="006863CB">
            <w:t xml:space="preserve"> een andere EU-lidstaat </w:t>
          </w:r>
          <w:r w:rsidR="0062275F">
            <w:t xml:space="preserve">als die andere organisatie </w:t>
          </w:r>
          <w:r w:rsidR="00FC7451">
            <w:t xml:space="preserve">onderzoek </w:t>
          </w:r>
          <w:r w:rsidR="0062275F">
            <w:t xml:space="preserve">wil </w:t>
          </w:r>
          <w:r w:rsidR="00FC7451">
            <w:t xml:space="preserve">doen </w:t>
          </w:r>
          <w:r w:rsidR="0062275F">
            <w:t>in Nederland</w:t>
          </w:r>
          <w:r w:rsidR="00743F70">
            <w:t xml:space="preserve">: </w:t>
          </w:r>
          <w:r w:rsidR="00AA5966">
            <w:t xml:space="preserve">in ieder geval de </w:t>
          </w:r>
          <w:r w:rsidR="00477A0B">
            <w:t xml:space="preserve">artikelen 89b </w:t>
          </w:r>
          <w:r w:rsidR="00D509E4">
            <w:t xml:space="preserve">en volgende van de Mededingingswet, </w:t>
          </w:r>
          <w:r w:rsidR="00113728">
            <w:t xml:space="preserve">artikel 15.3d van de </w:t>
          </w:r>
          <w:r w:rsidRPr="00C00430" w:rsidR="00C00430">
            <w:t>Telecommunicatiewet</w:t>
          </w:r>
          <w:r w:rsidR="00113728">
            <w:t xml:space="preserve">, </w:t>
          </w:r>
          <w:r w:rsidR="005A316E">
            <w:t xml:space="preserve">artikel 2.7 en 2.8 van de </w:t>
          </w:r>
          <w:r w:rsidRPr="001317C7" w:rsidR="001317C7">
            <w:t>Uitvoeringswet digitaledienstenverordening</w:t>
          </w:r>
          <w:r w:rsidR="001317C7">
            <w:t xml:space="preserve">, </w:t>
          </w:r>
          <w:r w:rsidR="00D96AA4">
            <w:t xml:space="preserve">artikel 3 van de </w:t>
          </w:r>
          <w:r w:rsidRPr="00D96AA4" w:rsidR="00D96AA4">
            <w:t>Uitvoeringswet digitalemarktenverordening</w:t>
          </w:r>
          <w:r w:rsidR="00F941A5">
            <w:t xml:space="preserve"> en</w:t>
          </w:r>
          <w:r w:rsidR="00613ECA">
            <w:t xml:space="preserve"> </w:t>
          </w:r>
          <w:r w:rsidR="004569DF">
            <w:t>a</w:t>
          </w:r>
          <w:r w:rsidR="00613ECA">
            <w:t>rtikel 56</w:t>
          </w:r>
          <w:r w:rsidR="004569DF">
            <w:t xml:space="preserve"> van de Spoorwegwet</w:t>
          </w:r>
          <w:r w:rsidR="00BB6528">
            <w:t>.</w:t>
          </w:r>
          <w:r w:rsidR="00BB6528">
            <w:rPr>
              <w:rStyle w:val="Voetnootmarkering"/>
            </w:rPr>
            <w:footnoteReference w:id="37"/>
          </w:r>
          <w:r w:rsidR="00030CDC">
            <w:t xml:space="preserve"> De Afdeling begrijpt dat nu een bijzondere regeling is opgenomen in de Energiewet, maar merkt op dat het uit oogpunt van eenvoud van regelgeving e</w:t>
          </w:r>
          <w:r w:rsidR="00715BE3">
            <w:t>n</w:t>
          </w:r>
          <w:r w:rsidR="00030CDC">
            <w:t xml:space="preserve"> harmonisatie </w:t>
          </w:r>
          <w:r w:rsidR="00715BE3">
            <w:t xml:space="preserve">overweging verdient om </w:t>
          </w:r>
          <w:r w:rsidR="00723B37">
            <w:t xml:space="preserve">in de </w:t>
          </w:r>
          <w:r w:rsidRPr="000217A7" w:rsidR="00723B37">
            <w:t>Instellingswet Autoriteit Consument en Markt</w:t>
          </w:r>
          <w:r w:rsidR="00723B37">
            <w:t xml:space="preserve"> een algemene regeling op te nemen</w:t>
          </w:r>
          <w:r w:rsidR="00CD1F64">
            <w:t xml:space="preserve"> voor de bijstand </w:t>
          </w:r>
          <w:r w:rsidR="000B3335">
            <w:t xml:space="preserve">die de ACM verleent </w:t>
          </w:r>
          <w:r w:rsidR="00CD1F64">
            <w:t>aan Europese en buitenlandse toezichthouders</w:t>
          </w:r>
          <w:r w:rsidR="008B41AD">
            <w:t>.</w:t>
          </w:r>
        </w:p>
        <w:p w:rsidR="008B41AD" w:rsidRDefault="008B41AD" w14:paraId="295D0D65" w14:textId="77777777"/>
        <w:p w:rsidR="00FE0B0A" w:rsidRDefault="008B41AD" w14:paraId="308B3A61" w14:textId="277C405A">
          <w:r>
            <w:t>De Afdeling adviseert in de toelichting in te gaan op de vraag of</w:t>
          </w:r>
          <w:r w:rsidR="002B7775">
            <w:t xml:space="preserve"> het </w:t>
          </w:r>
          <w:r w:rsidRPr="004F15D7" w:rsidR="002B7775">
            <w:t>op termijn</w:t>
          </w:r>
          <w:r w:rsidR="002B7775">
            <w:t xml:space="preserve"> </w:t>
          </w:r>
          <w:r w:rsidR="00955851">
            <w:t>wenselijk is zo'n algemene regeling te treffen.</w:t>
          </w:r>
        </w:p>
      </w:sdtContent>
    </w:sdt>
    <w:p w:rsidR="00E00A54" w:rsidRDefault="00E00A54" w14:paraId="6A36C60E" w14:textId="77777777"/>
    <w:p w:rsidR="00A70176" w:rsidRDefault="00A70176" w14:paraId="346B1CF0" w14:textId="77777777"/>
    <w:sdt>
      <w:sdtPr>
        <w:tag w:val="bmDictum"/>
        <w:id w:val="665525189"/>
        <w:lock w:val="sdtLocked"/>
        <w:placeholder>
          <w:docPart w:val="DefaultPlaceholder_-1854013440"/>
        </w:placeholder>
      </w:sdtPr>
      <w:sdtContent>
        <w:p w:rsidR="00180D68" w:rsidRDefault="00DC667B" w14:paraId="08628AEF" w14:textId="69626EF3">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r w:rsidR="00D77F3C">
            <w:t xml:space="preserve">waarnemend </w:t>
          </w:r>
          <w:r>
            <w:t>vice-president van de Raad van State,</w:t>
          </w:r>
        </w:p>
      </w:sdtContent>
    </w:sdt>
    <w:sectPr w:rsidR="00180D68" w:rsidSect="00621F95">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0777E" w14:textId="77777777" w:rsidR="00914945" w:rsidRDefault="00914945">
      <w:r>
        <w:separator/>
      </w:r>
    </w:p>
  </w:endnote>
  <w:endnote w:type="continuationSeparator" w:id="0">
    <w:p w14:paraId="4D0C13EF" w14:textId="77777777" w:rsidR="00914945" w:rsidRDefault="00914945">
      <w:r>
        <w:continuationSeparator/>
      </w:r>
    </w:p>
  </w:endnote>
  <w:endnote w:type="continuationNotice" w:id="1">
    <w:p w14:paraId="4C18E6D7" w14:textId="77777777" w:rsidR="00914945" w:rsidRDefault="00914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938" w14:textId="77777777" w:rsidR="00182754" w:rsidRDefault="001827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77C40" w14:paraId="444CADDA" w14:textId="77777777" w:rsidTr="00D90098">
      <w:tc>
        <w:tcPr>
          <w:tcW w:w="4815" w:type="dxa"/>
        </w:tcPr>
        <w:p w14:paraId="444CADD8" w14:textId="77777777" w:rsidR="00D90098" w:rsidRDefault="00D90098" w:rsidP="00D90098">
          <w:pPr>
            <w:pStyle w:val="Voettekst"/>
          </w:pPr>
        </w:p>
      </w:tc>
      <w:tc>
        <w:tcPr>
          <w:tcW w:w="4247" w:type="dxa"/>
        </w:tcPr>
        <w:p w14:paraId="444CADD9" w14:textId="77777777" w:rsidR="00D90098" w:rsidRDefault="00D90098" w:rsidP="00D90098">
          <w:pPr>
            <w:pStyle w:val="Voettekst"/>
            <w:jc w:val="right"/>
          </w:pPr>
        </w:p>
      </w:tc>
    </w:tr>
  </w:tbl>
  <w:p w14:paraId="444CADDB"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27FA" w14:textId="11AF97AE" w:rsidR="00621F95" w:rsidRPr="00621F95" w:rsidRDefault="00621F95">
    <w:pPr>
      <w:pStyle w:val="Voettekst"/>
      <w:rPr>
        <w:rFonts w:ascii="Bembo" w:hAnsi="Bembo"/>
        <w:sz w:val="32"/>
      </w:rPr>
    </w:pPr>
    <w:r w:rsidRPr="00621F95">
      <w:rPr>
        <w:rFonts w:ascii="Bembo" w:hAnsi="Bembo"/>
        <w:sz w:val="32"/>
      </w:rPr>
      <w:t>AAN DE KONING</w:t>
    </w:r>
  </w:p>
  <w:p w14:paraId="284F5EEE" w14:textId="77777777" w:rsidR="00621F95" w:rsidRDefault="00621F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C733" w14:textId="77777777" w:rsidR="00914945" w:rsidRDefault="00914945">
      <w:r>
        <w:separator/>
      </w:r>
    </w:p>
  </w:footnote>
  <w:footnote w:type="continuationSeparator" w:id="0">
    <w:p w14:paraId="661845DA" w14:textId="77777777" w:rsidR="00914945" w:rsidRDefault="00914945">
      <w:r>
        <w:continuationSeparator/>
      </w:r>
    </w:p>
  </w:footnote>
  <w:footnote w:type="continuationNotice" w:id="1">
    <w:p w14:paraId="4D6B50E3" w14:textId="77777777" w:rsidR="00914945" w:rsidRDefault="00914945"/>
  </w:footnote>
  <w:footnote w:id="2">
    <w:p w14:paraId="35F6EF4F" w14:textId="6AD4421A" w:rsidR="005D335E" w:rsidRDefault="005D335E">
      <w:pPr>
        <w:pStyle w:val="Voetnoottekst"/>
      </w:pPr>
      <w:r>
        <w:rPr>
          <w:rStyle w:val="Voetnootmarkering"/>
        </w:rPr>
        <w:footnoteRef/>
      </w:r>
      <w:r>
        <w:t xml:space="preserve"> </w:t>
      </w:r>
      <w:r w:rsidR="00566CFB">
        <w:t>D</w:t>
      </w:r>
      <w:r w:rsidR="007D2F26">
        <w:t xml:space="preserve">it deel van de Energiewet zal in werking treden </w:t>
      </w:r>
      <w:r w:rsidR="00E4595B">
        <w:t>op 1 januari 2026,</w:t>
      </w:r>
      <w:r w:rsidR="007D2F26">
        <w:t xml:space="preserve"> </w:t>
      </w:r>
      <w:r w:rsidR="00E4595B">
        <w:t>z</w:t>
      </w:r>
      <w:r w:rsidR="00D4315E">
        <w:t xml:space="preserve">ie </w:t>
      </w:r>
      <w:r w:rsidR="00566CFB">
        <w:t>h</w:t>
      </w:r>
      <w:r w:rsidR="00D4315E" w:rsidRPr="00D4315E">
        <w:t xml:space="preserve">et Koninklijk besluit van </w:t>
      </w:r>
      <w:r w:rsidR="00F36298">
        <w:t>17</w:t>
      </w:r>
      <w:r w:rsidR="00D4315E" w:rsidRPr="00D4315E">
        <w:t xml:space="preserve"> </w:t>
      </w:r>
      <w:r w:rsidR="00F36298">
        <w:t>februari 2025 tot vaststelling van het tijdstip van inwerkingtreding van de Energiewet (</w:t>
      </w:r>
      <w:r w:rsidR="00D4315E" w:rsidRPr="00D4315E">
        <w:t>Stb. 20</w:t>
      </w:r>
      <w:r w:rsidR="00F36298">
        <w:t>25</w:t>
      </w:r>
      <w:r w:rsidR="00D4315E" w:rsidRPr="00D4315E">
        <w:t xml:space="preserve">, </w:t>
      </w:r>
      <w:r w:rsidR="00566CFB">
        <w:t>40</w:t>
      </w:r>
      <w:r w:rsidR="00D4315E" w:rsidRPr="00D4315E">
        <w:t>)</w:t>
      </w:r>
      <w:r w:rsidR="00E4595B">
        <w:t>.</w:t>
      </w:r>
    </w:p>
  </w:footnote>
  <w:footnote w:id="3">
    <w:p w14:paraId="4C5AADA6" w14:textId="3974826A" w:rsidR="00FE1F81" w:rsidRDefault="00FE1F81" w:rsidP="00FE1F81">
      <w:pPr>
        <w:pStyle w:val="Voetnoottekst"/>
      </w:pPr>
      <w:r>
        <w:rPr>
          <w:rStyle w:val="Voetnootmarkering"/>
        </w:rPr>
        <w:footnoteRef/>
      </w:r>
      <w:r>
        <w:t xml:space="preserve"> </w:t>
      </w:r>
      <w:r w:rsidR="00257CD2">
        <w:t xml:space="preserve">Gekozen is om in dit advies de </w:t>
      </w:r>
      <w:r w:rsidR="00D53A84">
        <w:t>term “terugleveren” te hanteren omdat die beter aansluit bij het gewone spraakgebruik, ook waar d</w:t>
      </w:r>
      <w:r w:rsidR="007A6AEB">
        <w:t xml:space="preserve">e technische term “invoeden” </w:t>
      </w:r>
      <w:r w:rsidR="005C59B2">
        <w:t xml:space="preserve">in bepaalde situaties </w:t>
      </w:r>
      <w:r w:rsidR="007A6AEB">
        <w:t>nauwkeuriger</w:t>
      </w:r>
      <w:r w:rsidR="00D53A84">
        <w:t xml:space="preserve"> zou zijn.</w:t>
      </w:r>
    </w:p>
  </w:footnote>
  <w:footnote w:id="4">
    <w:p w14:paraId="278868DA" w14:textId="6D5DF7B9" w:rsidR="007B63A6" w:rsidRDefault="007B63A6">
      <w:pPr>
        <w:pStyle w:val="Voetnoottekst"/>
      </w:pPr>
      <w:r>
        <w:rPr>
          <w:rStyle w:val="Voetnootmarkering"/>
        </w:rPr>
        <w:footnoteRef/>
      </w:r>
      <w:r>
        <w:t xml:space="preserve"> Artikel 2.30 van de Energiewet</w:t>
      </w:r>
      <w:r w:rsidR="00AB08CA">
        <w:t>.</w:t>
      </w:r>
    </w:p>
  </w:footnote>
  <w:footnote w:id="5">
    <w:p w14:paraId="63788801" w14:textId="3F842ED7" w:rsidR="002A1C8A" w:rsidRDefault="002A1C8A" w:rsidP="002A1C8A">
      <w:pPr>
        <w:pStyle w:val="Voetnoottekst"/>
      </w:pPr>
      <w:r>
        <w:rPr>
          <w:rStyle w:val="Voetnootmarkering"/>
        </w:rPr>
        <w:footnoteRef/>
      </w:r>
      <w:r>
        <w:t xml:space="preserve"> Richtlijn 2019/944</w:t>
      </w:r>
      <w:r w:rsidR="00BC087D">
        <w:t xml:space="preserve"> van </w:t>
      </w:r>
      <w:r w:rsidR="006A0F03">
        <w:t xml:space="preserve">het Europees Parlement en de Raad van </w:t>
      </w:r>
      <w:r w:rsidR="00DF15F0" w:rsidRPr="00DF15F0">
        <w:t>5 juni 2019 betreffende gemeenschappelijke regels voor de interne markt voor elektriciteit en tot wijziging van Richtlijn 2012/27/EU (herschikking)</w:t>
      </w:r>
      <w:r>
        <w:t xml:space="preserve">, </w:t>
      </w:r>
      <w:r w:rsidR="00E60C2F">
        <w:t xml:space="preserve">PbEU 2019, </w:t>
      </w:r>
      <w:r w:rsidR="00E60C2F" w:rsidRPr="00E60C2F">
        <w:t>L 158/125</w:t>
      </w:r>
      <w:r w:rsidR="00D0751B">
        <w:t xml:space="preserve"> (Elektriciteitsrichtlijn)</w:t>
      </w:r>
      <w:r>
        <w:t>, artikel 15</w:t>
      </w:r>
      <w:r w:rsidR="00955A33">
        <w:t xml:space="preserve"> </w:t>
      </w:r>
      <w:r>
        <w:t>bis</w:t>
      </w:r>
      <w:r w:rsidR="00AB08CA">
        <w:t>.</w:t>
      </w:r>
    </w:p>
  </w:footnote>
  <w:footnote w:id="6">
    <w:p w14:paraId="0EBE0DB5" w14:textId="17B366BB" w:rsidR="00267E7F" w:rsidRDefault="00267E7F">
      <w:pPr>
        <w:pStyle w:val="Voetnoottekst"/>
      </w:pPr>
      <w:r>
        <w:rPr>
          <w:rStyle w:val="Voetnootmarkering"/>
        </w:rPr>
        <w:footnoteRef/>
      </w:r>
      <w:r>
        <w:t xml:space="preserve"> Voorgesteld artikel </w:t>
      </w:r>
      <w:r w:rsidR="00652E85">
        <w:t>2.30, zevende lid</w:t>
      </w:r>
      <w:r w:rsidR="00AB08CA">
        <w:t>.</w:t>
      </w:r>
    </w:p>
  </w:footnote>
  <w:footnote w:id="7">
    <w:p w14:paraId="49348D13" w14:textId="261A7D9C" w:rsidR="003F2C15" w:rsidRDefault="003F2C15">
      <w:pPr>
        <w:pStyle w:val="Voetnoottekst"/>
      </w:pPr>
      <w:r>
        <w:rPr>
          <w:rStyle w:val="Voetnootmarkering"/>
        </w:rPr>
        <w:footnoteRef/>
      </w:r>
      <w:r>
        <w:t xml:space="preserve"> Toelichting, paragraaf </w:t>
      </w:r>
      <w:r w:rsidRPr="003F2C15">
        <w:t xml:space="preserve">4.1.2 </w:t>
      </w:r>
      <w:r>
        <w:t>(</w:t>
      </w:r>
      <w:r w:rsidRPr="003F2C15">
        <w:t>Wijze waarop rekening is gehouden met het doenvermogen</w:t>
      </w:r>
      <w:r>
        <w:t>).</w:t>
      </w:r>
    </w:p>
  </w:footnote>
  <w:footnote w:id="8">
    <w:p w14:paraId="6027ACE1" w14:textId="77777777" w:rsidR="00355331" w:rsidRDefault="00355331" w:rsidP="00355331">
      <w:pPr>
        <w:pStyle w:val="Voetnoottekst"/>
      </w:pPr>
      <w:r>
        <w:rPr>
          <w:rStyle w:val="Voetnootmarkering"/>
        </w:rPr>
        <w:footnoteRef/>
      </w:r>
      <w:r>
        <w:t xml:space="preserve"> Consultatiereactie van Netbeheer Nederland (reactie van </w:t>
      </w:r>
      <w:r w:rsidRPr="00A13950">
        <w:t>5 december 2024</w:t>
      </w:r>
      <w:r>
        <w:t xml:space="preserve">, kenmerk </w:t>
      </w:r>
      <w:r w:rsidRPr="00C35E07">
        <w:t>BR-2024-2130</w:t>
      </w:r>
      <w:r>
        <w:t>, blz. 2).</w:t>
      </w:r>
    </w:p>
  </w:footnote>
  <w:footnote w:id="9">
    <w:p w14:paraId="6D20233B" w14:textId="77777777" w:rsidR="00355331" w:rsidRDefault="00355331" w:rsidP="00355331">
      <w:pPr>
        <w:pStyle w:val="Voetnoottekst"/>
      </w:pPr>
      <w:r>
        <w:rPr>
          <w:rStyle w:val="Voetnootmarkering"/>
        </w:rPr>
        <w:footnoteRef/>
      </w:r>
      <w:r>
        <w:t xml:space="preserve"> Voorgesteld artikel 2.30, tweede lid, onderdeel b.</w:t>
      </w:r>
    </w:p>
  </w:footnote>
  <w:footnote w:id="10">
    <w:p w14:paraId="2167FD58" w14:textId="76434AA5" w:rsidR="006663B1" w:rsidRDefault="006663B1">
      <w:pPr>
        <w:pStyle w:val="Voetnoottekst"/>
      </w:pPr>
      <w:r>
        <w:rPr>
          <w:rStyle w:val="Voetnootmarkering"/>
        </w:rPr>
        <w:footnoteRef/>
      </w:r>
      <w:r>
        <w:t xml:space="preserve"> </w:t>
      </w:r>
      <w:r w:rsidR="00D018B8">
        <w:t>Energiewet, a</w:t>
      </w:r>
      <w:r w:rsidR="004C68E6">
        <w:t xml:space="preserve">fdeling </w:t>
      </w:r>
      <w:r w:rsidR="00456EC8">
        <w:t>2.4</w:t>
      </w:r>
    </w:p>
  </w:footnote>
  <w:footnote w:id="11">
    <w:p w14:paraId="21E54B59" w14:textId="48EF45A2" w:rsidR="005D1A80" w:rsidRDefault="005D1A80">
      <w:pPr>
        <w:pStyle w:val="Voetnoottekst"/>
      </w:pPr>
      <w:r>
        <w:rPr>
          <w:rStyle w:val="Voetnootmarkering"/>
        </w:rPr>
        <w:footnoteRef/>
      </w:r>
      <w:r>
        <w:t xml:space="preserve"> </w:t>
      </w:r>
      <w:r w:rsidR="00C80705">
        <w:t>Voorgesteld artikel 2.30, vierde lid</w:t>
      </w:r>
      <w:r w:rsidR="00AB08CA">
        <w:t>.</w:t>
      </w:r>
      <w:r w:rsidR="00DF45B7">
        <w:t xml:space="preserve"> Leveranciers wordt toegestaan om hiervan af te wijken met bijvoorbeeld een dynamische verdeelsleutel, maar zijn verplicht om </w:t>
      </w:r>
      <w:r w:rsidR="00AD79A3">
        <w:t>energiedelen</w:t>
      </w:r>
      <w:r w:rsidR="00DF45B7">
        <w:t xml:space="preserve"> met een vaste verdeelsleutel te faciliteren.</w:t>
      </w:r>
    </w:p>
  </w:footnote>
  <w:footnote w:id="12">
    <w:p w14:paraId="56CF40EA" w14:textId="5876524C" w:rsidR="0090037B" w:rsidRDefault="0090037B">
      <w:pPr>
        <w:pStyle w:val="Voetnoottekst"/>
      </w:pPr>
      <w:r>
        <w:rPr>
          <w:rStyle w:val="Voetnootmarkering"/>
        </w:rPr>
        <w:footnoteRef/>
      </w:r>
      <w:r>
        <w:t xml:space="preserve"> Toelichting, paragra</w:t>
      </w:r>
      <w:r w:rsidR="009D63B6">
        <w:t>fen</w:t>
      </w:r>
      <w:r>
        <w:t xml:space="preserve"> </w:t>
      </w:r>
      <w:r w:rsidRPr="0090037B">
        <w:t xml:space="preserve">3.2.1 </w:t>
      </w:r>
      <w:r>
        <w:t>(</w:t>
      </w:r>
      <w:r w:rsidRPr="0090037B">
        <w:t>EMD-Richtlijn en Verordening</w:t>
      </w:r>
      <w:r>
        <w:t>)</w:t>
      </w:r>
      <w:r w:rsidR="00721228">
        <w:t>, onder "</w:t>
      </w:r>
      <w:r w:rsidR="00721228" w:rsidRPr="00721228">
        <w:t>Recht op energiedelen</w:t>
      </w:r>
      <w:r w:rsidR="00721228">
        <w:t>"</w:t>
      </w:r>
      <w:r w:rsidR="009D63B6">
        <w:t xml:space="preserve"> en </w:t>
      </w:r>
      <w:r w:rsidR="009D63B6" w:rsidRPr="009D63B6">
        <w:t xml:space="preserve">6.4.3 </w:t>
      </w:r>
      <w:r w:rsidR="009D63B6">
        <w:t>(</w:t>
      </w:r>
      <w:r w:rsidR="009D63B6" w:rsidRPr="009D63B6">
        <w:t>Energiedelen</w:t>
      </w:r>
      <w:r w:rsidR="009D63B6">
        <w:t>)</w:t>
      </w:r>
      <w:r w:rsidR="00721228">
        <w:t>.</w:t>
      </w:r>
    </w:p>
  </w:footnote>
  <w:footnote w:id="13">
    <w:p w14:paraId="501AC291" w14:textId="68E11072" w:rsidR="00FA2A0D" w:rsidRDefault="00FA2A0D" w:rsidP="00FA2A0D">
      <w:pPr>
        <w:pStyle w:val="Voetnoottekst"/>
      </w:pPr>
      <w:r>
        <w:rPr>
          <w:rStyle w:val="Voetnootmarkering"/>
        </w:rPr>
        <w:footnoteRef/>
      </w:r>
      <w:r>
        <w:t xml:space="preserve"> </w:t>
      </w:r>
      <w:r w:rsidR="00D84B6D">
        <w:t>T</w:t>
      </w:r>
      <w:r w:rsidRPr="004B09CA">
        <w:t xml:space="preserve">oelichting, paragraaf </w:t>
      </w:r>
      <w:r>
        <w:t>3</w:t>
      </w:r>
      <w:r w:rsidRPr="004B09CA">
        <w:t>.</w:t>
      </w:r>
      <w:r>
        <w:t>2</w:t>
      </w:r>
      <w:r w:rsidRPr="004B09CA">
        <w:t>.</w:t>
      </w:r>
      <w:r>
        <w:t>1 ’EMD-richtlijn en Verordening’. Bij het onderdeel recht op energiedelen wordt onder meer ingegaan op de energiebelasting. Dit maakt dat de gevolgen van de energiebelasting moeilijk vindbaar zijn.</w:t>
      </w:r>
    </w:p>
  </w:footnote>
  <w:footnote w:id="14">
    <w:p w14:paraId="2DA712A3" w14:textId="77777777" w:rsidR="00FA2A0D" w:rsidRDefault="00FA2A0D" w:rsidP="00FA2A0D">
      <w:pPr>
        <w:pStyle w:val="Voetnoottekst"/>
      </w:pPr>
      <w:r>
        <w:rPr>
          <w:rStyle w:val="Voetnootmarkering"/>
        </w:rPr>
        <w:footnoteRef/>
      </w:r>
      <w:r>
        <w:t xml:space="preserve"> Voor zowel energiedelers als energieontvangers.</w:t>
      </w:r>
    </w:p>
  </w:footnote>
  <w:footnote w:id="15">
    <w:p w14:paraId="7D82C882" w14:textId="250C06DD" w:rsidR="00FA2A0D" w:rsidRDefault="00FA2A0D" w:rsidP="00FA2A0D">
      <w:pPr>
        <w:pStyle w:val="Voetnoottekst"/>
      </w:pPr>
      <w:r>
        <w:rPr>
          <w:rStyle w:val="Voetnootmarkering"/>
        </w:rPr>
        <w:footnoteRef/>
      </w:r>
      <w:r>
        <w:t xml:space="preserve"> </w:t>
      </w:r>
      <w:r w:rsidR="00BA0886">
        <w:t>T</w:t>
      </w:r>
      <w:r w:rsidRPr="009A42AE">
        <w:t>oelichting, paragraaf 6.4.4</w:t>
      </w:r>
      <w:r>
        <w:t>.</w:t>
      </w:r>
    </w:p>
  </w:footnote>
  <w:footnote w:id="16">
    <w:p w14:paraId="1D532681" w14:textId="77777777" w:rsidR="00FA2A0D" w:rsidRDefault="00FA2A0D" w:rsidP="00FA2A0D">
      <w:pPr>
        <w:pStyle w:val="Voetnoottekst"/>
      </w:pPr>
      <w:r>
        <w:rPr>
          <w:rStyle w:val="Voetnootmarkering"/>
        </w:rPr>
        <w:footnoteRef/>
      </w:r>
      <w:r>
        <w:t xml:space="preserve"> </w:t>
      </w:r>
      <w:r w:rsidRPr="00904BBA">
        <w:t>Aanwijzingen voor de regelgeving 4.43.</w:t>
      </w:r>
    </w:p>
  </w:footnote>
  <w:footnote w:id="17">
    <w:p w14:paraId="19F8DF55" w14:textId="77777777" w:rsidR="00FA2A0D" w:rsidRDefault="00FA2A0D" w:rsidP="00FA2A0D">
      <w:pPr>
        <w:pStyle w:val="Voetnoottekst"/>
      </w:pPr>
      <w:r>
        <w:rPr>
          <w:rStyle w:val="Voetnootmarkering"/>
        </w:rPr>
        <w:footnoteRef/>
      </w:r>
      <w:r>
        <w:t xml:space="preserve"> </w:t>
      </w:r>
      <w:r w:rsidRPr="003443FA">
        <w:t xml:space="preserve">Per 2025 bedraagt deze drempel € 2.200 op grond van artikel 25b, </w:t>
      </w:r>
      <w:r>
        <w:t xml:space="preserve">eerste </w:t>
      </w:r>
      <w:r w:rsidRPr="003443FA">
        <w:t>lid</w:t>
      </w:r>
      <w:r>
        <w:t>,</w:t>
      </w:r>
      <w:r w:rsidRPr="003443FA">
        <w:t xml:space="preserve"> onderdeel a</w:t>
      </w:r>
      <w:r>
        <w:t>, van de</w:t>
      </w:r>
      <w:r w:rsidRPr="003443FA">
        <w:t xml:space="preserve"> Wet op de omzetbelasting 1968 juncto artikel 25 van de Uitvoeringsbeschikking omzetbelasting 1968.</w:t>
      </w:r>
    </w:p>
  </w:footnote>
  <w:footnote w:id="18">
    <w:p w14:paraId="60A4A17D" w14:textId="2C6CACAD" w:rsidR="006604A2" w:rsidRDefault="006604A2">
      <w:pPr>
        <w:pStyle w:val="Voetnoottekst"/>
      </w:pPr>
      <w:r>
        <w:rPr>
          <w:rStyle w:val="Voetnootmarkering"/>
        </w:rPr>
        <w:footnoteRef/>
      </w:r>
      <w:r>
        <w:t xml:space="preserve"> Voorgesteld artikel </w:t>
      </w:r>
      <w:r w:rsidR="007B3C25">
        <w:t>5.13a van de Energiewet.</w:t>
      </w:r>
    </w:p>
  </w:footnote>
  <w:footnote w:id="19">
    <w:p w14:paraId="6D1D07B7" w14:textId="45BBE9FC" w:rsidR="00CD126F" w:rsidRDefault="00CD126F">
      <w:pPr>
        <w:pStyle w:val="Voetnoottekst"/>
      </w:pPr>
      <w:r>
        <w:rPr>
          <w:rStyle w:val="Voetnootmarkering"/>
        </w:rPr>
        <w:footnoteRef/>
      </w:r>
      <w:r>
        <w:t xml:space="preserve"> A</w:t>
      </w:r>
      <w:r w:rsidRPr="00CD126F">
        <w:t>rtikel 9 van de Elektriciteitsrichtlijn en artikel 6 van de Gasrichtlijn (Richtlijn (EU) 2024/1788</w:t>
      </w:r>
      <w:r w:rsidR="009F230F">
        <w:t xml:space="preserve"> van het Europees Parlement en de Raad </w:t>
      </w:r>
      <w:r w:rsidR="009F230F" w:rsidRPr="009F230F">
        <w:t>van 13 juni 2024</w:t>
      </w:r>
      <w:r w:rsidR="00776B59">
        <w:t xml:space="preserve"> betreffende gemeenschappelijke regels voor de interne markten voor hernieuwbaar gas, aardgas en waterstof, tot wijziging van Richtlijn (EU) 2023/1791 en tot intrekking van Richtlijn 2009/73/EG (herschikking</w:t>
      </w:r>
      <w:r w:rsidRPr="00CD126F">
        <w:t>)</w:t>
      </w:r>
      <w:r w:rsidR="00133A82">
        <w:t xml:space="preserve">, PbEU </w:t>
      </w:r>
      <w:r w:rsidR="009228C7">
        <w:t>L 107</w:t>
      </w:r>
      <w:r w:rsidR="008C6C34">
        <w:t>)</w:t>
      </w:r>
      <w:r w:rsidRPr="00CD126F">
        <w:t>.</w:t>
      </w:r>
    </w:p>
  </w:footnote>
  <w:footnote w:id="20">
    <w:p w14:paraId="04D72194" w14:textId="7CEF28B1" w:rsidR="00EA5F77" w:rsidRDefault="00EA5F77">
      <w:pPr>
        <w:pStyle w:val="Voetnoottekst"/>
      </w:pPr>
      <w:r>
        <w:rPr>
          <w:rStyle w:val="Voetnootmarkering"/>
        </w:rPr>
        <w:footnoteRef/>
      </w:r>
      <w:r>
        <w:t xml:space="preserve"> Dit is bevestigd door het Hof van Justitie van de EU in </w:t>
      </w:r>
      <w:r w:rsidR="005F14BD">
        <w:t>de</w:t>
      </w:r>
      <w:r w:rsidR="00711CA0">
        <w:t xml:space="preserve"> uitspra</w:t>
      </w:r>
      <w:r w:rsidR="00835FD9">
        <w:t>a</w:t>
      </w:r>
      <w:r w:rsidR="00711CA0">
        <w:t xml:space="preserve">k </w:t>
      </w:r>
      <w:r w:rsidR="005F14BD">
        <w:t xml:space="preserve">van </w:t>
      </w:r>
      <w:r w:rsidR="005F14BD" w:rsidRPr="005F14BD">
        <w:t>3 december 2020</w:t>
      </w:r>
      <w:r w:rsidR="00E6736C">
        <w:t xml:space="preserve"> in </w:t>
      </w:r>
      <w:r w:rsidR="00F96BF1">
        <w:t xml:space="preserve">de </w:t>
      </w:r>
      <w:r w:rsidR="00E6736C" w:rsidRPr="00E6736C">
        <w:t>zaak C</w:t>
      </w:r>
      <w:r w:rsidR="00E6736C" w:rsidRPr="00E6736C">
        <w:rPr>
          <w:rFonts w:ascii="Cambria Math" w:hAnsi="Cambria Math" w:cs="Cambria Math"/>
        </w:rPr>
        <w:t>‑</w:t>
      </w:r>
      <w:r w:rsidR="00E6736C" w:rsidRPr="00E6736C">
        <w:t>767/19</w:t>
      </w:r>
      <w:r w:rsidR="00E6736C">
        <w:t xml:space="preserve"> (</w:t>
      </w:r>
      <w:r w:rsidR="00103A53" w:rsidRPr="00103A53">
        <w:t>ECLI:EU:C:2020:984</w:t>
      </w:r>
      <w:r w:rsidR="00E6736C">
        <w:t>) (</w:t>
      </w:r>
      <w:r w:rsidR="00F96BF1">
        <w:t>Commissie tegen België</w:t>
      </w:r>
      <w:r w:rsidR="00E6736C">
        <w:t>)</w:t>
      </w:r>
      <w:r w:rsidR="00835FD9">
        <w:t>,</w:t>
      </w:r>
      <w:r w:rsidR="00E6736C">
        <w:t xml:space="preserve"> en </w:t>
      </w:r>
      <w:r w:rsidR="00835FD9">
        <w:t xml:space="preserve">de uitspraak </w:t>
      </w:r>
      <w:r w:rsidR="00711CA0">
        <w:t xml:space="preserve">van </w:t>
      </w:r>
      <w:r w:rsidR="00711CA0" w:rsidRPr="00711CA0">
        <w:t>2 september 2021</w:t>
      </w:r>
      <w:r w:rsidR="00711CA0">
        <w:t xml:space="preserve"> </w:t>
      </w:r>
      <w:r w:rsidR="00922D90">
        <w:t xml:space="preserve">in </w:t>
      </w:r>
      <w:r w:rsidR="00F96BF1">
        <w:t xml:space="preserve">de </w:t>
      </w:r>
      <w:r w:rsidR="00922D90" w:rsidRPr="00922D90">
        <w:t>z</w:t>
      </w:r>
      <w:r w:rsidR="00F96BF1">
        <w:t>a</w:t>
      </w:r>
      <w:r w:rsidR="00922D90" w:rsidRPr="00922D90">
        <w:t>ak C</w:t>
      </w:r>
      <w:r w:rsidR="00922D90" w:rsidRPr="00922D90">
        <w:rPr>
          <w:rFonts w:ascii="Cambria Math" w:hAnsi="Cambria Math" w:cs="Cambria Math"/>
        </w:rPr>
        <w:t>‑</w:t>
      </w:r>
      <w:r w:rsidR="00922D90" w:rsidRPr="00922D90">
        <w:t>718/18</w:t>
      </w:r>
      <w:r w:rsidR="00922D90">
        <w:t xml:space="preserve"> </w:t>
      </w:r>
      <w:r w:rsidR="00F96BF1">
        <w:t>(</w:t>
      </w:r>
      <w:r w:rsidR="00610DF0" w:rsidRPr="00610DF0">
        <w:t>ECLI:EU:C:2021:662</w:t>
      </w:r>
      <w:r w:rsidR="007644C7">
        <w:t>)</w:t>
      </w:r>
      <w:r w:rsidR="00F96BF1">
        <w:t xml:space="preserve"> (</w:t>
      </w:r>
      <w:r w:rsidR="00EE72A4">
        <w:t>Commissie tegen Duitsland).</w:t>
      </w:r>
    </w:p>
  </w:footnote>
  <w:footnote w:id="21">
    <w:p w14:paraId="0484AEC8" w14:textId="77777777" w:rsidR="00955715" w:rsidRDefault="00955715" w:rsidP="00955715">
      <w:pPr>
        <w:pStyle w:val="Voetnoottekst"/>
      </w:pPr>
      <w:r>
        <w:rPr>
          <w:rStyle w:val="Voetnootmarkering"/>
        </w:rPr>
        <w:footnoteRef/>
      </w:r>
      <w:r>
        <w:t xml:space="preserve"> Toelichting, paragraaf </w:t>
      </w:r>
      <w:r w:rsidRPr="00D864B5">
        <w:t>3.3</w:t>
      </w:r>
      <w:r>
        <w:t xml:space="preserve"> (</w:t>
      </w:r>
      <w:r w:rsidRPr="00D864B5">
        <w:t>Openbare dienstverplichting</w:t>
      </w:r>
      <w:r>
        <w:t>).</w:t>
      </w:r>
    </w:p>
  </w:footnote>
  <w:footnote w:id="22">
    <w:p w14:paraId="57712195" w14:textId="77777777" w:rsidR="009E786E" w:rsidRDefault="009E786E" w:rsidP="009E786E">
      <w:pPr>
        <w:pStyle w:val="Voetnoottekst"/>
      </w:pPr>
      <w:r>
        <w:rPr>
          <w:rStyle w:val="Voetnootmarkering"/>
        </w:rPr>
        <w:footnoteRef/>
      </w:r>
      <w:r>
        <w:t xml:space="preserve"> Toelichting, paragraaf </w:t>
      </w:r>
      <w:r w:rsidRPr="00D864B5">
        <w:t>3.3</w:t>
      </w:r>
      <w:r>
        <w:t xml:space="preserve"> (</w:t>
      </w:r>
      <w:r w:rsidRPr="00D864B5">
        <w:t>Openbare dienstverplichting</w:t>
      </w:r>
      <w:r>
        <w:t>).</w:t>
      </w:r>
    </w:p>
  </w:footnote>
  <w:footnote w:id="23">
    <w:p w14:paraId="7B8CE686" w14:textId="65AD4C1D" w:rsidR="00602D92" w:rsidRDefault="00602D92">
      <w:pPr>
        <w:pStyle w:val="Voetnoottekst"/>
      </w:pPr>
      <w:r>
        <w:rPr>
          <w:rStyle w:val="Voetnootmarkering"/>
        </w:rPr>
        <w:footnoteRef/>
      </w:r>
      <w:r>
        <w:t xml:space="preserve"> </w:t>
      </w:r>
      <w:r w:rsidR="00EE7392">
        <w:t xml:space="preserve">Zie ook </w:t>
      </w:r>
      <w:r w:rsidR="00892BE1">
        <w:t>Aanwijzing 2.14 van de Aanwijzingen voor de regelgeving.</w:t>
      </w:r>
    </w:p>
  </w:footnote>
  <w:footnote w:id="24">
    <w:p w14:paraId="66CDD801" w14:textId="514D6DCB" w:rsidR="00EA032A" w:rsidRDefault="00EA032A" w:rsidP="00EA032A">
      <w:pPr>
        <w:pStyle w:val="Voetnoottekst"/>
      </w:pPr>
      <w:r>
        <w:rPr>
          <w:rStyle w:val="Voetnootmarkering"/>
        </w:rPr>
        <w:footnoteRef/>
      </w:r>
      <w:r>
        <w:t xml:space="preserve"> A</w:t>
      </w:r>
      <w:r w:rsidRPr="00CD126F">
        <w:t>rtikel 9 van de Elektriciteitsrichtlijn en artikel 6 van de Gasrichtlijn.</w:t>
      </w:r>
    </w:p>
  </w:footnote>
  <w:footnote w:id="25">
    <w:p w14:paraId="116CDE5D" w14:textId="77777777" w:rsidR="000765F3" w:rsidRDefault="000765F3" w:rsidP="000765F3">
      <w:pPr>
        <w:pStyle w:val="Voetnoottekst"/>
      </w:pPr>
      <w:r>
        <w:rPr>
          <w:rStyle w:val="Voetnootmarkering"/>
        </w:rPr>
        <w:footnoteRef/>
      </w:r>
      <w:r>
        <w:t xml:space="preserve"> Toelichting, paragraaf </w:t>
      </w:r>
      <w:r w:rsidRPr="00D864B5">
        <w:t>3.3</w:t>
      </w:r>
      <w:r>
        <w:t xml:space="preserve"> (</w:t>
      </w:r>
      <w:r w:rsidRPr="00D864B5">
        <w:t>Openbare dienstverplichting</w:t>
      </w:r>
      <w:r>
        <w:t>).</w:t>
      </w:r>
    </w:p>
  </w:footnote>
  <w:footnote w:id="26">
    <w:p w14:paraId="6D8AD619" w14:textId="73C7B03E" w:rsidR="003530AA" w:rsidRDefault="003530AA">
      <w:pPr>
        <w:pStyle w:val="Voetnoottekst"/>
      </w:pPr>
      <w:r>
        <w:rPr>
          <w:rStyle w:val="Voetnootmarkering"/>
        </w:rPr>
        <w:footnoteRef/>
      </w:r>
      <w:r>
        <w:t xml:space="preserve"> Zie </w:t>
      </w:r>
      <w:r w:rsidR="00376AE8">
        <w:t>a</w:t>
      </w:r>
      <w:r>
        <w:t>rtikel 1 van de Coördinatiewet uitzonderingstoestanden</w:t>
      </w:r>
    </w:p>
  </w:footnote>
  <w:footnote w:id="27">
    <w:p w14:paraId="65E2C208" w14:textId="16EE140E" w:rsidR="005B26C6" w:rsidRDefault="005B26C6">
      <w:pPr>
        <w:pStyle w:val="Voetnoottekst"/>
      </w:pPr>
      <w:r>
        <w:rPr>
          <w:rStyle w:val="Voetnootmarkering"/>
        </w:rPr>
        <w:footnoteRef/>
      </w:r>
      <w:r>
        <w:t xml:space="preserve"> Toelichting, </w:t>
      </w:r>
      <w:r w:rsidR="0057130C">
        <w:t xml:space="preserve">paragraaf </w:t>
      </w:r>
      <w:r w:rsidR="0057130C" w:rsidRPr="00D864B5">
        <w:t>3.3</w:t>
      </w:r>
      <w:r w:rsidR="0057130C">
        <w:t xml:space="preserve"> (</w:t>
      </w:r>
      <w:r w:rsidR="0057130C" w:rsidRPr="00D864B5">
        <w:t>Openbare dienstverplichting</w:t>
      </w:r>
      <w:r w:rsidR="0057130C">
        <w:t>).</w:t>
      </w:r>
    </w:p>
  </w:footnote>
  <w:footnote w:id="28">
    <w:p w14:paraId="56A0A6EE" w14:textId="2279E1E2" w:rsidR="00A856EC" w:rsidRDefault="00A856EC" w:rsidP="00A856EC">
      <w:pPr>
        <w:pStyle w:val="Voetnoottekst"/>
      </w:pPr>
      <w:r>
        <w:rPr>
          <w:rStyle w:val="Voetnootmarkering"/>
        </w:rPr>
        <w:footnoteRef/>
      </w:r>
      <w:r>
        <w:t xml:space="preserve"> Spontaan advies "</w:t>
      </w:r>
      <w:r w:rsidRPr="009060B1">
        <w:t>Van noodwet tot crisisrecht</w:t>
      </w:r>
      <w:r>
        <w:t xml:space="preserve">", 13 december 2021, </w:t>
      </w:r>
      <w:r w:rsidR="009130DB" w:rsidRPr="00621F95">
        <w:t>W04.21.0291</w:t>
      </w:r>
      <w:r>
        <w:t>, Kamerstukken II 2</w:t>
      </w:r>
      <w:r w:rsidRPr="00D62262">
        <w:t>021/22, 29668, nr. 65</w:t>
      </w:r>
      <w:r>
        <w:t>, bijlage, paragraaf 4.4. en 4.5.</w:t>
      </w:r>
    </w:p>
  </w:footnote>
  <w:footnote w:id="29">
    <w:p w14:paraId="79C189E0" w14:textId="1475E0C3" w:rsidR="00003D6A" w:rsidRDefault="00003D6A">
      <w:pPr>
        <w:pStyle w:val="Voetnoottekst"/>
      </w:pPr>
      <w:r>
        <w:rPr>
          <w:rStyle w:val="Voetnootmarkering"/>
        </w:rPr>
        <w:footnoteRef/>
      </w:r>
      <w:r>
        <w:t xml:space="preserve"> Kamerstukken II 36764. </w:t>
      </w:r>
      <w:r w:rsidR="00F529EA">
        <w:t>De aanwijzing als zeer kritieke sector vindt plaats in de NIS-2 Richtlijn (</w:t>
      </w:r>
      <w:r w:rsidR="008534EB">
        <w:t xml:space="preserve">Richtlijn </w:t>
      </w:r>
      <w:r w:rsidR="00493A96">
        <w:t>2022</w:t>
      </w:r>
      <w:r w:rsidR="00C43B2A">
        <w:t xml:space="preserve">/2555, Pb </w:t>
      </w:r>
      <w:r w:rsidR="00A92AF1" w:rsidRPr="00A92AF1">
        <w:t>L 333/80</w:t>
      </w:r>
      <w:r w:rsidR="008534EB">
        <w:t>, bijlage I</w:t>
      </w:r>
      <w:r w:rsidR="001F24C8">
        <w:t>)</w:t>
      </w:r>
      <w:r w:rsidR="008534EB">
        <w:t>.</w:t>
      </w:r>
      <w:r w:rsidR="00A92AF1">
        <w:t xml:space="preserve"> De </w:t>
      </w:r>
      <w:r w:rsidR="00A92AF1" w:rsidRPr="006A69C2">
        <w:t>Cyberbeveili</w:t>
      </w:r>
      <w:r w:rsidR="0050303C">
        <w:t>gi</w:t>
      </w:r>
      <w:r w:rsidR="00A92AF1" w:rsidRPr="006A69C2">
        <w:t>ngswet</w:t>
      </w:r>
      <w:r w:rsidR="00A92AF1">
        <w:t xml:space="preserve"> implementeert deze richtlijn.</w:t>
      </w:r>
    </w:p>
  </w:footnote>
  <w:footnote w:id="30">
    <w:p w14:paraId="57BC43A5" w14:textId="57E5E9BF" w:rsidR="00725212" w:rsidRDefault="00725212">
      <w:pPr>
        <w:pStyle w:val="Voetnoottekst"/>
      </w:pPr>
      <w:r>
        <w:rPr>
          <w:rStyle w:val="Voetnootmarkering"/>
        </w:rPr>
        <w:footnoteRef/>
      </w:r>
      <w:r>
        <w:t xml:space="preserve"> </w:t>
      </w:r>
      <w:r w:rsidR="00130BBF">
        <w:t xml:space="preserve">Deze wetten zijn niet opgenomen in de bijlage bij de </w:t>
      </w:r>
      <w:r w:rsidR="007730BE" w:rsidRPr="007730BE">
        <w:t>Coördinatiewet uitzonderingstoestanden</w:t>
      </w:r>
      <w:r w:rsidR="007730BE">
        <w:t xml:space="preserve">, </w:t>
      </w:r>
      <w:r w:rsidR="00411E80">
        <w:t>waarin bevoegdheden worden geregeld die bij een noodtoestand geactiveerd kunnen worden.</w:t>
      </w:r>
      <w:r w:rsidR="00B3057E">
        <w:t xml:space="preserve"> Zulke bevoegdheden kunnen ook buiten een noodtoestand afzonderlijk in werking worden gesteld</w:t>
      </w:r>
      <w:r w:rsidR="00770EF4">
        <w:t xml:space="preserve"> ("separate </w:t>
      </w:r>
      <w:r w:rsidR="00E76F13">
        <w:t>toepassing</w:t>
      </w:r>
      <w:r w:rsidR="00770EF4">
        <w:t>").</w:t>
      </w:r>
    </w:p>
  </w:footnote>
  <w:footnote w:id="31">
    <w:p w14:paraId="33C43B68" w14:textId="38DB6C79" w:rsidR="003B0949" w:rsidRDefault="003B0949" w:rsidP="00B44B3A">
      <w:pPr>
        <w:pStyle w:val="Voetnoottekst"/>
      </w:pPr>
      <w:r>
        <w:rPr>
          <w:rStyle w:val="Voetnootmarkering"/>
        </w:rPr>
        <w:footnoteRef/>
      </w:r>
      <w:r w:rsidR="004160B0">
        <w:t xml:space="preserve"> Het betreft het </w:t>
      </w:r>
      <w:r w:rsidR="004160B0" w:rsidRPr="008E7AE1">
        <w:t xml:space="preserve">voorstel </w:t>
      </w:r>
      <w:r w:rsidR="004160B0">
        <w:t xml:space="preserve">van Wet </w:t>
      </w:r>
      <w:r w:rsidR="004160B0" w:rsidRPr="008E7AE1">
        <w:t>bestrijden energieleveringscrisis</w:t>
      </w:r>
      <w:r w:rsidR="004160B0">
        <w:t>,</w:t>
      </w:r>
      <w:r>
        <w:t xml:space="preserve"> </w:t>
      </w:r>
      <w:r w:rsidR="004160B0">
        <w:t xml:space="preserve">dat tot maart 2025 in internetconsultatie is geweest, </w:t>
      </w:r>
      <w:r w:rsidR="009503FC" w:rsidRPr="00621F95">
        <w:t>https://www.internetconsultatie.nl/wbe/b1</w:t>
      </w:r>
      <w:r w:rsidR="00AF2DAA">
        <w:t xml:space="preserve">, </w:t>
      </w:r>
      <w:r w:rsidR="00AF2DAA" w:rsidRPr="00AF2DAA">
        <w:t>KetenID</w:t>
      </w:r>
      <w:r w:rsidR="00AF2DAA">
        <w:t xml:space="preserve"> </w:t>
      </w:r>
      <w:r w:rsidR="00AF2DAA" w:rsidRPr="00AF2DAA">
        <w:t>WGK028301</w:t>
      </w:r>
      <w:r w:rsidR="00AF2DAA">
        <w:t>.</w:t>
      </w:r>
      <w:r w:rsidR="0019002A">
        <w:t xml:space="preserve"> </w:t>
      </w:r>
      <w:r w:rsidR="0019002A" w:rsidRPr="0019002A">
        <w:t>Het kabinet verwacht het</w:t>
      </w:r>
      <w:r w:rsidR="00B44B3A">
        <w:t xml:space="preserve"> voorstel </w:t>
      </w:r>
      <w:r w:rsidR="00B44B3A" w:rsidRPr="0019002A">
        <w:t xml:space="preserve">begin 2026 </w:t>
      </w:r>
      <w:r w:rsidR="00B44B3A">
        <w:t xml:space="preserve">ter advisering voor te leggen aan de Afdeling advisering van de Raad van State (Kamerstukken II </w:t>
      </w:r>
      <w:r w:rsidR="00905C0D" w:rsidRPr="00905C0D">
        <w:t>2025</w:t>
      </w:r>
      <w:r w:rsidR="00905C0D">
        <w:t>/</w:t>
      </w:r>
      <w:r w:rsidR="00905C0D" w:rsidRPr="00905C0D">
        <w:t>26, 29023, nr. 596</w:t>
      </w:r>
      <w:r w:rsidR="00905C0D">
        <w:t>, p.</w:t>
      </w:r>
      <w:r w:rsidR="00905C0D" w:rsidRPr="00905C0D">
        <w:t xml:space="preserve"> 6</w:t>
      </w:r>
      <w:r w:rsidR="00905C0D">
        <w:t>).</w:t>
      </w:r>
    </w:p>
  </w:footnote>
  <w:footnote w:id="32">
    <w:p w14:paraId="239ABA3A" w14:textId="77777777" w:rsidR="00E51EFC" w:rsidRDefault="00E51EFC" w:rsidP="00E51EFC">
      <w:pPr>
        <w:pStyle w:val="Voetnoottekst"/>
      </w:pPr>
      <w:r>
        <w:rPr>
          <w:rStyle w:val="Voetnootmarkering"/>
        </w:rPr>
        <w:footnoteRef/>
      </w:r>
      <w:r>
        <w:t xml:space="preserve"> Artikel 66 bis van de Elektriciteitsrichtlijn.</w:t>
      </w:r>
    </w:p>
  </w:footnote>
  <w:footnote w:id="33">
    <w:p w14:paraId="01E7132C" w14:textId="77777777" w:rsidR="00E51EFC" w:rsidRDefault="00E51EFC" w:rsidP="00E51EFC">
      <w:pPr>
        <w:pStyle w:val="Voetnoottekst"/>
      </w:pPr>
      <w:r>
        <w:rPr>
          <w:rStyle w:val="Voetnootmarkering"/>
        </w:rPr>
        <w:footnoteRef/>
      </w:r>
      <w:r>
        <w:t xml:space="preserve"> Toelichting, paragraaf 3</w:t>
      </w:r>
      <w:r w:rsidRPr="00152B1B">
        <w:t xml:space="preserve">.1.2 </w:t>
      </w:r>
      <w:r>
        <w:t>(</w:t>
      </w:r>
      <w:r w:rsidRPr="00152B1B">
        <w:t>Nationale beleidsruimte in de EMD-Richtlijn</w:t>
      </w:r>
      <w:r>
        <w:t>).</w:t>
      </w:r>
    </w:p>
  </w:footnote>
  <w:footnote w:id="34">
    <w:p w14:paraId="18D73922" w14:textId="77777777" w:rsidR="00E51EFC" w:rsidRDefault="00E51EFC" w:rsidP="00E51EFC">
      <w:pPr>
        <w:pStyle w:val="Voetnoottekst"/>
      </w:pPr>
      <w:r>
        <w:rPr>
          <w:rStyle w:val="Voetnootmarkering"/>
        </w:rPr>
        <w:footnoteRef/>
      </w:r>
      <w:r>
        <w:t xml:space="preserve"> </w:t>
      </w:r>
      <w:r w:rsidRPr="00621F95">
        <w:t>Kamerstukken II</w:t>
      </w:r>
      <w:r>
        <w:t xml:space="preserve">, 2021/22, 29023, nr. 272; </w:t>
      </w:r>
      <w:r w:rsidRPr="00621F95">
        <w:t>Kamerstukken II</w:t>
      </w:r>
      <w:r w:rsidRPr="003B33C6">
        <w:t>, 2021/22</w:t>
      </w:r>
      <w:r>
        <w:t xml:space="preserve">, </w:t>
      </w:r>
      <w:r w:rsidRPr="004071BD">
        <w:t>35927</w:t>
      </w:r>
      <w:r>
        <w:t xml:space="preserve">, nr. </w:t>
      </w:r>
      <w:r w:rsidRPr="004071BD">
        <w:t>13</w:t>
      </w:r>
      <w:r>
        <w:t xml:space="preserve"> (Ramingstoelichting Derde Nota van Wijziging Belastingplan 2022).</w:t>
      </w:r>
    </w:p>
  </w:footnote>
  <w:footnote w:id="35">
    <w:p w14:paraId="13B77F09" w14:textId="54DD41D6" w:rsidR="00E51EFC" w:rsidRDefault="00E51EFC" w:rsidP="00E51EFC">
      <w:pPr>
        <w:pStyle w:val="Voetnoottekst"/>
      </w:pPr>
      <w:r>
        <w:rPr>
          <w:rStyle w:val="Voetnootmarkering"/>
        </w:rPr>
        <w:footnoteRef/>
      </w:r>
      <w:r>
        <w:t xml:space="preserve"> Advies van de Afdeling advisering van </w:t>
      </w:r>
      <w:r w:rsidRPr="001D5AE2">
        <w:t>28 mei 2025</w:t>
      </w:r>
      <w:r>
        <w:t xml:space="preserve">, </w:t>
      </w:r>
      <w:r w:rsidR="009503FC" w:rsidRPr="00621F95">
        <w:t>W04.25.00116</w:t>
      </w:r>
      <w:r>
        <w:t xml:space="preserve"> </w:t>
      </w:r>
      <w:r w:rsidRPr="008444DF">
        <w:t>(Wet huurbevriezing woningcorporaties 2025 en 2026)</w:t>
      </w:r>
      <w:r>
        <w:t>.</w:t>
      </w:r>
    </w:p>
  </w:footnote>
  <w:footnote w:id="36">
    <w:p w14:paraId="66E9B233" w14:textId="6BC98893" w:rsidR="00CB45DF" w:rsidRDefault="00CB45DF">
      <w:pPr>
        <w:pStyle w:val="Voetnoottekst"/>
      </w:pPr>
      <w:r>
        <w:rPr>
          <w:rStyle w:val="Voetnootmarkering"/>
        </w:rPr>
        <w:footnoteRef/>
      </w:r>
      <w:r>
        <w:t xml:space="preserve"> Voorgestelde artikelen </w:t>
      </w:r>
      <w:r w:rsidR="0062688A">
        <w:t>5.17 tot en met 5.17c van de Energiewet.</w:t>
      </w:r>
    </w:p>
  </w:footnote>
  <w:footnote w:id="37">
    <w:p w14:paraId="3613E5D9" w14:textId="38F37721" w:rsidR="00BB6528" w:rsidRDefault="00BB6528">
      <w:pPr>
        <w:pStyle w:val="Voetnoottekst"/>
      </w:pPr>
      <w:r>
        <w:rPr>
          <w:rStyle w:val="Voetnootmarkering"/>
        </w:rPr>
        <w:footnoteRef/>
      </w:r>
      <w:r>
        <w:t xml:space="preserve"> In dit verband zijn ook van belang het </w:t>
      </w:r>
      <w:r w:rsidRPr="00BB6528">
        <w:t>Besluit voorlopige aanwijzing ambtenaren ACM als functionarissen belast met het verlenen van bijstand bij een inspectie op grond van de verordening buitenlandse subsidies</w:t>
      </w:r>
      <w:r w:rsidR="00130D4E">
        <w:t>, en het Besluit aanwijzing toezichthouders ACM 2022 (een besluit van de ACM zelf).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4024" w14:textId="77777777" w:rsidR="00182754" w:rsidRDefault="001827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ADD6" w14:textId="77777777" w:rsidR="00FA7BCD" w:rsidRDefault="002F4143"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ADDC" w14:textId="77777777" w:rsidR="00DA0CDA" w:rsidRDefault="002F4143"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44CADDD" w14:textId="77777777" w:rsidR="00993C75" w:rsidRDefault="002F4143">
    <w:pPr>
      <w:pStyle w:val="Koptekst"/>
    </w:pPr>
    <w:r>
      <w:rPr>
        <w:noProof/>
      </w:rPr>
      <w:drawing>
        <wp:anchor distT="0" distB="0" distL="114300" distR="114300" simplePos="0" relativeHeight="251658240" behindDoc="1" locked="0" layoutInCell="1" allowOverlap="1" wp14:anchorId="444CADE8" wp14:editId="444CADE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953FB"/>
    <w:multiLevelType w:val="hybridMultilevel"/>
    <w:tmpl w:val="3348BA80"/>
    <w:lvl w:ilvl="0" w:tplc="6052B0EC">
      <w:start w:val="1"/>
      <w:numFmt w:val="decimal"/>
      <w:lvlText w:val="%1."/>
      <w:lvlJc w:val="left"/>
      <w:pPr>
        <w:ind w:left="1020" w:hanging="360"/>
      </w:pPr>
    </w:lvl>
    <w:lvl w:ilvl="1" w:tplc="ED08FC96">
      <w:start w:val="1"/>
      <w:numFmt w:val="decimal"/>
      <w:lvlText w:val="%2."/>
      <w:lvlJc w:val="left"/>
      <w:pPr>
        <w:ind w:left="1020" w:hanging="360"/>
      </w:pPr>
    </w:lvl>
    <w:lvl w:ilvl="2" w:tplc="C8DA0CFE">
      <w:start w:val="1"/>
      <w:numFmt w:val="decimal"/>
      <w:lvlText w:val="%3."/>
      <w:lvlJc w:val="left"/>
      <w:pPr>
        <w:ind w:left="1020" w:hanging="360"/>
      </w:pPr>
    </w:lvl>
    <w:lvl w:ilvl="3" w:tplc="E416CB94">
      <w:start w:val="1"/>
      <w:numFmt w:val="decimal"/>
      <w:lvlText w:val="%4."/>
      <w:lvlJc w:val="left"/>
      <w:pPr>
        <w:ind w:left="1020" w:hanging="360"/>
      </w:pPr>
    </w:lvl>
    <w:lvl w:ilvl="4" w:tplc="A8FC6790">
      <w:start w:val="1"/>
      <w:numFmt w:val="decimal"/>
      <w:lvlText w:val="%5."/>
      <w:lvlJc w:val="left"/>
      <w:pPr>
        <w:ind w:left="1020" w:hanging="360"/>
      </w:pPr>
    </w:lvl>
    <w:lvl w:ilvl="5" w:tplc="7B1EA234">
      <w:start w:val="1"/>
      <w:numFmt w:val="decimal"/>
      <w:lvlText w:val="%6."/>
      <w:lvlJc w:val="left"/>
      <w:pPr>
        <w:ind w:left="1020" w:hanging="360"/>
      </w:pPr>
    </w:lvl>
    <w:lvl w:ilvl="6" w:tplc="451CC424">
      <w:start w:val="1"/>
      <w:numFmt w:val="decimal"/>
      <w:lvlText w:val="%7."/>
      <w:lvlJc w:val="left"/>
      <w:pPr>
        <w:ind w:left="1020" w:hanging="360"/>
      </w:pPr>
    </w:lvl>
    <w:lvl w:ilvl="7" w:tplc="1AB0343C">
      <w:start w:val="1"/>
      <w:numFmt w:val="decimal"/>
      <w:lvlText w:val="%8."/>
      <w:lvlJc w:val="left"/>
      <w:pPr>
        <w:ind w:left="1020" w:hanging="360"/>
      </w:pPr>
    </w:lvl>
    <w:lvl w:ilvl="8" w:tplc="5AF01AB0">
      <w:start w:val="1"/>
      <w:numFmt w:val="decimal"/>
      <w:lvlText w:val="%9."/>
      <w:lvlJc w:val="left"/>
      <w:pPr>
        <w:ind w:left="1020" w:hanging="360"/>
      </w:pPr>
    </w:lvl>
  </w:abstractNum>
  <w:abstractNum w:abstractNumId="1" w15:restartNumberingAfterBreak="0">
    <w:nsid w:val="5E3971A7"/>
    <w:multiLevelType w:val="hybridMultilevel"/>
    <w:tmpl w:val="BA8C4098"/>
    <w:lvl w:ilvl="0" w:tplc="8A0A0A16">
      <w:start w:val="1"/>
      <w:numFmt w:val="decimal"/>
      <w:lvlText w:val="%1."/>
      <w:lvlJc w:val="left"/>
      <w:pPr>
        <w:ind w:left="1020" w:hanging="360"/>
      </w:pPr>
    </w:lvl>
    <w:lvl w:ilvl="1" w:tplc="3D80A0E4">
      <w:start w:val="1"/>
      <w:numFmt w:val="decimal"/>
      <w:lvlText w:val="%2."/>
      <w:lvlJc w:val="left"/>
      <w:pPr>
        <w:ind w:left="1020" w:hanging="360"/>
      </w:pPr>
    </w:lvl>
    <w:lvl w:ilvl="2" w:tplc="D6A04A7C">
      <w:start w:val="1"/>
      <w:numFmt w:val="decimal"/>
      <w:lvlText w:val="%3."/>
      <w:lvlJc w:val="left"/>
      <w:pPr>
        <w:ind w:left="1020" w:hanging="360"/>
      </w:pPr>
    </w:lvl>
    <w:lvl w:ilvl="3" w:tplc="E45C60DC">
      <w:start w:val="1"/>
      <w:numFmt w:val="decimal"/>
      <w:lvlText w:val="%4."/>
      <w:lvlJc w:val="left"/>
      <w:pPr>
        <w:ind w:left="1020" w:hanging="360"/>
      </w:pPr>
    </w:lvl>
    <w:lvl w:ilvl="4" w:tplc="6074AA46">
      <w:start w:val="1"/>
      <w:numFmt w:val="decimal"/>
      <w:lvlText w:val="%5."/>
      <w:lvlJc w:val="left"/>
      <w:pPr>
        <w:ind w:left="1020" w:hanging="360"/>
      </w:pPr>
    </w:lvl>
    <w:lvl w:ilvl="5" w:tplc="E96C726C">
      <w:start w:val="1"/>
      <w:numFmt w:val="decimal"/>
      <w:lvlText w:val="%6."/>
      <w:lvlJc w:val="left"/>
      <w:pPr>
        <w:ind w:left="1020" w:hanging="360"/>
      </w:pPr>
    </w:lvl>
    <w:lvl w:ilvl="6" w:tplc="FDE270AA">
      <w:start w:val="1"/>
      <w:numFmt w:val="decimal"/>
      <w:lvlText w:val="%7."/>
      <w:lvlJc w:val="left"/>
      <w:pPr>
        <w:ind w:left="1020" w:hanging="360"/>
      </w:pPr>
    </w:lvl>
    <w:lvl w:ilvl="7" w:tplc="AF4803CC">
      <w:start w:val="1"/>
      <w:numFmt w:val="decimal"/>
      <w:lvlText w:val="%8."/>
      <w:lvlJc w:val="left"/>
      <w:pPr>
        <w:ind w:left="1020" w:hanging="360"/>
      </w:pPr>
    </w:lvl>
    <w:lvl w:ilvl="8" w:tplc="0E3A0DDE">
      <w:start w:val="1"/>
      <w:numFmt w:val="decimal"/>
      <w:lvlText w:val="%9."/>
      <w:lvlJc w:val="left"/>
      <w:pPr>
        <w:ind w:left="1020" w:hanging="360"/>
      </w:pPr>
    </w:lvl>
  </w:abstractNum>
  <w:abstractNum w:abstractNumId="2" w15:restartNumberingAfterBreak="0">
    <w:nsid w:val="6B446AB5"/>
    <w:multiLevelType w:val="hybridMultilevel"/>
    <w:tmpl w:val="07267F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AD873E2"/>
    <w:multiLevelType w:val="hybridMultilevel"/>
    <w:tmpl w:val="F8269614"/>
    <w:lvl w:ilvl="0" w:tplc="30DA8DBC">
      <w:start w:val="2"/>
      <w:numFmt w:val="bullet"/>
      <w:lvlText w:val="-"/>
      <w:lvlJc w:val="left"/>
      <w:pPr>
        <w:ind w:left="720" w:hanging="360"/>
      </w:pPr>
      <w:rPr>
        <w:rFonts w:ascii="Verdana" w:eastAsia="Times New Roman" w:hAnsi="Verdana" w:cs="Times New Roman" w:hint="default"/>
        <w:b w:val="0"/>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9C2BA6"/>
    <w:multiLevelType w:val="hybridMultilevel"/>
    <w:tmpl w:val="4FA02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8064224">
    <w:abstractNumId w:val="2"/>
  </w:num>
  <w:num w:numId="2" w16cid:durableId="802384759">
    <w:abstractNumId w:val="4"/>
  </w:num>
  <w:num w:numId="3" w16cid:durableId="235287997">
    <w:abstractNumId w:val="0"/>
  </w:num>
  <w:num w:numId="4" w16cid:durableId="1043793160">
    <w:abstractNumId w:val="1"/>
  </w:num>
  <w:num w:numId="5" w16cid:durableId="120345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40"/>
    <w:rsid w:val="000007A1"/>
    <w:rsid w:val="0000138F"/>
    <w:rsid w:val="00002255"/>
    <w:rsid w:val="00002BDB"/>
    <w:rsid w:val="00002DCD"/>
    <w:rsid w:val="00003D6A"/>
    <w:rsid w:val="00004035"/>
    <w:rsid w:val="0000602B"/>
    <w:rsid w:val="000073EA"/>
    <w:rsid w:val="000077B0"/>
    <w:rsid w:val="00013410"/>
    <w:rsid w:val="000146BE"/>
    <w:rsid w:val="00015F55"/>
    <w:rsid w:val="00017C54"/>
    <w:rsid w:val="000215BC"/>
    <w:rsid w:val="000217A7"/>
    <w:rsid w:val="000221B5"/>
    <w:rsid w:val="00022FDF"/>
    <w:rsid w:val="0002355B"/>
    <w:rsid w:val="000249B1"/>
    <w:rsid w:val="000252B3"/>
    <w:rsid w:val="00025590"/>
    <w:rsid w:val="00025D74"/>
    <w:rsid w:val="000260AD"/>
    <w:rsid w:val="000273A7"/>
    <w:rsid w:val="0002765F"/>
    <w:rsid w:val="00027832"/>
    <w:rsid w:val="000304EB"/>
    <w:rsid w:val="00030C91"/>
    <w:rsid w:val="00030CDC"/>
    <w:rsid w:val="00030EC5"/>
    <w:rsid w:val="000312ED"/>
    <w:rsid w:val="00031321"/>
    <w:rsid w:val="00031A0C"/>
    <w:rsid w:val="0003331B"/>
    <w:rsid w:val="000335A1"/>
    <w:rsid w:val="00033608"/>
    <w:rsid w:val="000339F0"/>
    <w:rsid w:val="000353AB"/>
    <w:rsid w:val="0003724D"/>
    <w:rsid w:val="0004067F"/>
    <w:rsid w:val="00041826"/>
    <w:rsid w:val="0004197F"/>
    <w:rsid w:val="00041A7C"/>
    <w:rsid w:val="00043F99"/>
    <w:rsid w:val="0004474C"/>
    <w:rsid w:val="000449FB"/>
    <w:rsid w:val="00045188"/>
    <w:rsid w:val="000464BF"/>
    <w:rsid w:val="00047403"/>
    <w:rsid w:val="0005119D"/>
    <w:rsid w:val="0005133A"/>
    <w:rsid w:val="000520DF"/>
    <w:rsid w:val="00052D09"/>
    <w:rsid w:val="0005326C"/>
    <w:rsid w:val="00053483"/>
    <w:rsid w:val="00053A5A"/>
    <w:rsid w:val="00053F79"/>
    <w:rsid w:val="0005495D"/>
    <w:rsid w:val="00054FD4"/>
    <w:rsid w:val="00055C27"/>
    <w:rsid w:val="0005724C"/>
    <w:rsid w:val="00061A8D"/>
    <w:rsid w:val="00062CB5"/>
    <w:rsid w:val="00063B8F"/>
    <w:rsid w:val="00064612"/>
    <w:rsid w:val="00064E69"/>
    <w:rsid w:val="000650FC"/>
    <w:rsid w:val="000654DE"/>
    <w:rsid w:val="000655F2"/>
    <w:rsid w:val="0006618E"/>
    <w:rsid w:val="0006714E"/>
    <w:rsid w:val="00067F5E"/>
    <w:rsid w:val="00070158"/>
    <w:rsid w:val="00070B74"/>
    <w:rsid w:val="00070FC9"/>
    <w:rsid w:val="00070FCF"/>
    <w:rsid w:val="00071338"/>
    <w:rsid w:val="00071DCD"/>
    <w:rsid w:val="00071E6F"/>
    <w:rsid w:val="000720EB"/>
    <w:rsid w:val="0007212A"/>
    <w:rsid w:val="00072A89"/>
    <w:rsid w:val="000737EC"/>
    <w:rsid w:val="0007384E"/>
    <w:rsid w:val="00073F29"/>
    <w:rsid w:val="00074CC9"/>
    <w:rsid w:val="00075249"/>
    <w:rsid w:val="00075678"/>
    <w:rsid w:val="00075951"/>
    <w:rsid w:val="000765F3"/>
    <w:rsid w:val="000767F7"/>
    <w:rsid w:val="00076B0F"/>
    <w:rsid w:val="000804A0"/>
    <w:rsid w:val="00080EFA"/>
    <w:rsid w:val="00081034"/>
    <w:rsid w:val="00081284"/>
    <w:rsid w:val="00081A08"/>
    <w:rsid w:val="00082037"/>
    <w:rsid w:val="0008282E"/>
    <w:rsid w:val="000831BC"/>
    <w:rsid w:val="0008381E"/>
    <w:rsid w:val="00085128"/>
    <w:rsid w:val="000854C0"/>
    <w:rsid w:val="00086DA6"/>
    <w:rsid w:val="00090590"/>
    <w:rsid w:val="00090CC3"/>
    <w:rsid w:val="00091456"/>
    <w:rsid w:val="00091A53"/>
    <w:rsid w:val="00092785"/>
    <w:rsid w:val="00092954"/>
    <w:rsid w:val="00092B7B"/>
    <w:rsid w:val="000930D2"/>
    <w:rsid w:val="00093DF7"/>
    <w:rsid w:val="00095A51"/>
    <w:rsid w:val="00095CE0"/>
    <w:rsid w:val="00096921"/>
    <w:rsid w:val="0009734F"/>
    <w:rsid w:val="0009739E"/>
    <w:rsid w:val="00097875"/>
    <w:rsid w:val="000A0156"/>
    <w:rsid w:val="000A0403"/>
    <w:rsid w:val="000A0476"/>
    <w:rsid w:val="000A0706"/>
    <w:rsid w:val="000A191B"/>
    <w:rsid w:val="000A3C97"/>
    <w:rsid w:val="000A3EB5"/>
    <w:rsid w:val="000A44A9"/>
    <w:rsid w:val="000A49FB"/>
    <w:rsid w:val="000A5672"/>
    <w:rsid w:val="000A5A36"/>
    <w:rsid w:val="000A5CB4"/>
    <w:rsid w:val="000A67E6"/>
    <w:rsid w:val="000A68BC"/>
    <w:rsid w:val="000A6BD4"/>
    <w:rsid w:val="000A7FF8"/>
    <w:rsid w:val="000B07E7"/>
    <w:rsid w:val="000B1895"/>
    <w:rsid w:val="000B19C6"/>
    <w:rsid w:val="000B266F"/>
    <w:rsid w:val="000B2717"/>
    <w:rsid w:val="000B2978"/>
    <w:rsid w:val="000B2D3C"/>
    <w:rsid w:val="000B3335"/>
    <w:rsid w:val="000B35A0"/>
    <w:rsid w:val="000B3D01"/>
    <w:rsid w:val="000B45D0"/>
    <w:rsid w:val="000B4EFF"/>
    <w:rsid w:val="000B4F5D"/>
    <w:rsid w:val="000B5429"/>
    <w:rsid w:val="000B5E26"/>
    <w:rsid w:val="000B68B5"/>
    <w:rsid w:val="000C1180"/>
    <w:rsid w:val="000C1B02"/>
    <w:rsid w:val="000C1B3E"/>
    <w:rsid w:val="000C1C0D"/>
    <w:rsid w:val="000C20F9"/>
    <w:rsid w:val="000C3E57"/>
    <w:rsid w:val="000C424D"/>
    <w:rsid w:val="000C46D6"/>
    <w:rsid w:val="000C4CE4"/>
    <w:rsid w:val="000C53BA"/>
    <w:rsid w:val="000C57AB"/>
    <w:rsid w:val="000C58A6"/>
    <w:rsid w:val="000C5B30"/>
    <w:rsid w:val="000C6974"/>
    <w:rsid w:val="000C6D6D"/>
    <w:rsid w:val="000C75F4"/>
    <w:rsid w:val="000C7F72"/>
    <w:rsid w:val="000D00A3"/>
    <w:rsid w:val="000D018D"/>
    <w:rsid w:val="000D0496"/>
    <w:rsid w:val="000D1BA1"/>
    <w:rsid w:val="000D3CC9"/>
    <w:rsid w:val="000D468E"/>
    <w:rsid w:val="000D62A5"/>
    <w:rsid w:val="000E06C4"/>
    <w:rsid w:val="000E0C7F"/>
    <w:rsid w:val="000E1937"/>
    <w:rsid w:val="000E1DDA"/>
    <w:rsid w:val="000E2DF9"/>
    <w:rsid w:val="000E4641"/>
    <w:rsid w:val="000E4A45"/>
    <w:rsid w:val="000E4A67"/>
    <w:rsid w:val="000E4BE8"/>
    <w:rsid w:val="000E5F32"/>
    <w:rsid w:val="000E7133"/>
    <w:rsid w:val="000E7197"/>
    <w:rsid w:val="000E73C8"/>
    <w:rsid w:val="000E7A56"/>
    <w:rsid w:val="000F07D2"/>
    <w:rsid w:val="000F198C"/>
    <w:rsid w:val="000F28CA"/>
    <w:rsid w:val="000F295E"/>
    <w:rsid w:val="000F30D8"/>
    <w:rsid w:val="000F3471"/>
    <w:rsid w:val="000F34A1"/>
    <w:rsid w:val="000F4506"/>
    <w:rsid w:val="000F5A59"/>
    <w:rsid w:val="000F64ED"/>
    <w:rsid w:val="000F6684"/>
    <w:rsid w:val="000F67DB"/>
    <w:rsid w:val="000F6E91"/>
    <w:rsid w:val="000F7218"/>
    <w:rsid w:val="000F794D"/>
    <w:rsid w:val="000F7C2C"/>
    <w:rsid w:val="000F7D86"/>
    <w:rsid w:val="000F7E3E"/>
    <w:rsid w:val="001008F0"/>
    <w:rsid w:val="001009D4"/>
    <w:rsid w:val="00100CBE"/>
    <w:rsid w:val="00101687"/>
    <w:rsid w:val="00102483"/>
    <w:rsid w:val="0010278D"/>
    <w:rsid w:val="00103A53"/>
    <w:rsid w:val="00103C69"/>
    <w:rsid w:val="00103E99"/>
    <w:rsid w:val="0010587F"/>
    <w:rsid w:val="0010723D"/>
    <w:rsid w:val="001103A1"/>
    <w:rsid w:val="00110429"/>
    <w:rsid w:val="00110F0D"/>
    <w:rsid w:val="00111719"/>
    <w:rsid w:val="00111FA1"/>
    <w:rsid w:val="0011215B"/>
    <w:rsid w:val="001122E9"/>
    <w:rsid w:val="00112A6E"/>
    <w:rsid w:val="00112AC9"/>
    <w:rsid w:val="00112CC7"/>
    <w:rsid w:val="00112EFE"/>
    <w:rsid w:val="00112F23"/>
    <w:rsid w:val="0011302C"/>
    <w:rsid w:val="00113728"/>
    <w:rsid w:val="00113ABE"/>
    <w:rsid w:val="00115FC1"/>
    <w:rsid w:val="0011675B"/>
    <w:rsid w:val="00116B35"/>
    <w:rsid w:val="00116E19"/>
    <w:rsid w:val="0011772F"/>
    <w:rsid w:val="00117846"/>
    <w:rsid w:val="00120C03"/>
    <w:rsid w:val="00120EE6"/>
    <w:rsid w:val="00120F0D"/>
    <w:rsid w:val="00121A23"/>
    <w:rsid w:val="0012231C"/>
    <w:rsid w:val="0012594B"/>
    <w:rsid w:val="00126CBB"/>
    <w:rsid w:val="001278F8"/>
    <w:rsid w:val="0013079C"/>
    <w:rsid w:val="00130BBF"/>
    <w:rsid w:val="00130CBC"/>
    <w:rsid w:val="00130D4E"/>
    <w:rsid w:val="001317C7"/>
    <w:rsid w:val="001320DC"/>
    <w:rsid w:val="00133A82"/>
    <w:rsid w:val="00136A32"/>
    <w:rsid w:val="00136F58"/>
    <w:rsid w:val="001371E6"/>
    <w:rsid w:val="0013761F"/>
    <w:rsid w:val="00137DD1"/>
    <w:rsid w:val="0014057F"/>
    <w:rsid w:val="00141684"/>
    <w:rsid w:val="00141767"/>
    <w:rsid w:val="00142EE0"/>
    <w:rsid w:val="00143190"/>
    <w:rsid w:val="0014324F"/>
    <w:rsid w:val="00143770"/>
    <w:rsid w:val="00143B4A"/>
    <w:rsid w:val="00143CBF"/>
    <w:rsid w:val="001448D8"/>
    <w:rsid w:val="001452F2"/>
    <w:rsid w:val="00145F59"/>
    <w:rsid w:val="001463F6"/>
    <w:rsid w:val="00146CA9"/>
    <w:rsid w:val="00146D63"/>
    <w:rsid w:val="00147003"/>
    <w:rsid w:val="001472B8"/>
    <w:rsid w:val="001505BF"/>
    <w:rsid w:val="00151331"/>
    <w:rsid w:val="00151675"/>
    <w:rsid w:val="001516E1"/>
    <w:rsid w:val="0015235A"/>
    <w:rsid w:val="00152860"/>
    <w:rsid w:val="00152B1B"/>
    <w:rsid w:val="00152F06"/>
    <w:rsid w:val="00153252"/>
    <w:rsid w:val="00154422"/>
    <w:rsid w:val="00154AE4"/>
    <w:rsid w:val="00154B4D"/>
    <w:rsid w:val="00155066"/>
    <w:rsid w:val="00155297"/>
    <w:rsid w:val="001557EE"/>
    <w:rsid w:val="00156025"/>
    <w:rsid w:val="00156361"/>
    <w:rsid w:val="0015715C"/>
    <w:rsid w:val="001573AB"/>
    <w:rsid w:val="00160367"/>
    <w:rsid w:val="0016076D"/>
    <w:rsid w:val="00160F7A"/>
    <w:rsid w:val="00161BF3"/>
    <w:rsid w:val="00161CDC"/>
    <w:rsid w:val="001621E0"/>
    <w:rsid w:val="0016251E"/>
    <w:rsid w:val="00162ECB"/>
    <w:rsid w:val="001633ED"/>
    <w:rsid w:val="00163D1B"/>
    <w:rsid w:val="0016431B"/>
    <w:rsid w:val="00164CE8"/>
    <w:rsid w:val="00165693"/>
    <w:rsid w:val="001659C8"/>
    <w:rsid w:val="00166A08"/>
    <w:rsid w:val="0016708E"/>
    <w:rsid w:val="00167181"/>
    <w:rsid w:val="00167587"/>
    <w:rsid w:val="001678D3"/>
    <w:rsid w:val="00167E1E"/>
    <w:rsid w:val="00170AE2"/>
    <w:rsid w:val="00170EFD"/>
    <w:rsid w:val="0017139D"/>
    <w:rsid w:val="00171C72"/>
    <w:rsid w:val="001723EF"/>
    <w:rsid w:val="001733BA"/>
    <w:rsid w:val="001738CE"/>
    <w:rsid w:val="00174BDD"/>
    <w:rsid w:val="00174D0C"/>
    <w:rsid w:val="001752FA"/>
    <w:rsid w:val="0017530A"/>
    <w:rsid w:val="001755F2"/>
    <w:rsid w:val="0017634A"/>
    <w:rsid w:val="00176C69"/>
    <w:rsid w:val="001770A3"/>
    <w:rsid w:val="00177E31"/>
    <w:rsid w:val="00180D68"/>
    <w:rsid w:val="00181908"/>
    <w:rsid w:val="001819B7"/>
    <w:rsid w:val="00181B6C"/>
    <w:rsid w:val="00181E2A"/>
    <w:rsid w:val="00182035"/>
    <w:rsid w:val="00182754"/>
    <w:rsid w:val="00182826"/>
    <w:rsid w:val="00182F9D"/>
    <w:rsid w:val="00183ED5"/>
    <w:rsid w:val="00184327"/>
    <w:rsid w:val="00185513"/>
    <w:rsid w:val="00186371"/>
    <w:rsid w:val="0018686E"/>
    <w:rsid w:val="00186A05"/>
    <w:rsid w:val="00187781"/>
    <w:rsid w:val="0019002A"/>
    <w:rsid w:val="00190B04"/>
    <w:rsid w:val="00190EE4"/>
    <w:rsid w:val="001914D5"/>
    <w:rsid w:val="00191D73"/>
    <w:rsid w:val="00192D74"/>
    <w:rsid w:val="00194259"/>
    <w:rsid w:val="001945C9"/>
    <w:rsid w:val="001947CA"/>
    <w:rsid w:val="00194A7F"/>
    <w:rsid w:val="00195E78"/>
    <w:rsid w:val="0019682A"/>
    <w:rsid w:val="00196D6F"/>
    <w:rsid w:val="001978DD"/>
    <w:rsid w:val="001A0CFE"/>
    <w:rsid w:val="001A21B0"/>
    <w:rsid w:val="001A2AAD"/>
    <w:rsid w:val="001A2D77"/>
    <w:rsid w:val="001A37D8"/>
    <w:rsid w:val="001A445E"/>
    <w:rsid w:val="001A502F"/>
    <w:rsid w:val="001A631E"/>
    <w:rsid w:val="001A6B67"/>
    <w:rsid w:val="001A6D2A"/>
    <w:rsid w:val="001A78EC"/>
    <w:rsid w:val="001B02E7"/>
    <w:rsid w:val="001B22A2"/>
    <w:rsid w:val="001B2A20"/>
    <w:rsid w:val="001B2AB1"/>
    <w:rsid w:val="001B2D71"/>
    <w:rsid w:val="001B2D95"/>
    <w:rsid w:val="001B3045"/>
    <w:rsid w:val="001B3C30"/>
    <w:rsid w:val="001B3C63"/>
    <w:rsid w:val="001B4C30"/>
    <w:rsid w:val="001B4D25"/>
    <w:rsid w:val="001B4FF1"/>
    <w:rsid w:val="001B5257"/>
    <w:rsid w:val="001B69B5"/>
    <w:rsid w:val="001C0027"/>
    <w:rsid w:val="001C07E4"/>
    <w:rsid w:val="001C0FAA"/>
    <w:rsid w:val="001C112F"/>
    <w:rsid w:val="001C20BF"/>
    <w:rsid w:val="001C2313"/>
    <w:rsid w:val="001C24C6"/>
    <w:rsid w:val="001C2682"/>
    <w:rsid w:val="001C337D"/>
    <w:rsid w:val="001C3835"/>
    <w:rsid w:val="001C548F"/>
    <w:rsid w:val="001C5BE7"/>
    <w:rsid w:val="001C6DAA"/>
    <w:rsid w:val="001D020B"/>
    <w:rsid w:val="001D0A4A"/>
    <w:rsid w:val="001D1657"/>
    <w:rsid w:val="001D2AE9"/>
    <w:rsid w:val="001D3908"/>
    <w:rsid w:val="001D4027"/>
    <w:rsid w:val="001D42BD"/>
    <w:rsid w:val="001D4D0D"/>
    <w:rsid w:val="001D4DD7"/>
    <w:rsid w:val="001D5931"/>
    <w:rsid w:val="001D5AE2"/>
    <w:rsid w:val="001D645C"/>
    <w:rsid w:val="001D6FEE"/>
    <w:rsid w:val="001D73A7"/>
    <w:rsid w:val="001D759D"/>
    <w:rsid w:val="001D79A6"/>
    <w:rsid w:val="001E0953"/>
    <w:rsid w:val="001E0D10"/>
    <w:rsid w:val="001E20C2"/>
    <w:rsid w:val="001E2215"/>
    <w:rsid w:val="001E2354"/>
    <w:rsid w:val="001E2537"/>
    <w:rsid w:val="001E2840"/>
    <w:rsid w:val="001E3275"/>
    <w:rsid w:val="001E3A0B"/>
    <w:rsid w:val="001E4456"/>
    <w:rsid w:val="001E52BB"/>
    <w:rsid w:val="001E68CF"/>
    <w:rsid w:val="001E7122"/>
    <w:rsid w:val="001F02CF"/>
    <w:rsid w:val="001F11A2"/>
    <w:rsid w:val="001F1E83"/>
    <w:rsid w:val="001F24C8"/>
    <w:rsid w:val="001F2591"/>
    <w:rsid w:val="001F2D27"/>
    <w:rsid w:val="001F3682"/>
    <w:rsid w:val="001F3B9C"/>
    <w:rsid w:val="001F4A0A"/>
    <w:rsid w:val="001F4E10"/>
    <w:rsid w:val="001F4E4E"/>
    <w:rsid w:val="001F5836"/>
    <w:rsid w:val="001F5916"/>
    <w:rsid w:val="001F637F"/>
    <w:rsid w:val="00200179"/>
    <w:rsid w:val="002013EF"/>
    <w:rsid w:val="00201707"/>
    <w:rsid w:val="0020199F"/>
    <w:rsid w:val="00202E63"/>
    <w:rsid w:val="00203463"/>
    <w:rsid w:val="002039C3"/>
    <w:rsid w:val="0020408E"/>
    <w:rsid w:val="00204980"/>
    <w:rsid w:val="002056D0"/>
    <w:rsid w:val="002059B3"/>
    <w:rsid w:val="00206A0D"/>
    <w:rsid w:val="00206BE6"/>
    <w:rsid w:val="00207798"/>
    <w:rsid w:val="00207DF7"/>
    <w:rsid w:val="002115AB"/>
    <w:rsid w:val="00211CAE"/>
    <w:rsid w:val="002124B3"/>
    <w:rsid w:val="0021287C"/>
    <w:rsid w:val="002129CE"/>
    <w:rsid w:val="0021321D"/>
    <w:rsid w:val="00214713"/>
    <w:rsid w:val="00214C84"/>
    <w:rsid w:val="00214FF3"/>
    <w:rsid w:val="002159EE"/>
    <w:rsid w:val="00216B55"/>
    <w:rsid w:val="002174CB"/>
    <w:rsid w:val="00220737"/>
    <w:rsid w:val="00221215"/>
    <w:rsid w:val="00221394"/>
    <w:rsid w:val="00221605"/>
    <w:rsid w:val="0022166B"/>
    <w:rsid w:val="00221F59"/>
    <w:rsid w:val="00223C0B"/>
    <w:rsid w:val="00224197"/>
    <w:rsid w:val="00224690"/>
    <w:rsid w:val="00224C8C"/>
    <w:rsid w:val="00225A17"/>
    <w:rsid w:val="00225A55"/>
    <w:rsid w:val="002303AA"/>
    <w:rsid w:val="0023051E"/>
    <w:rsid w:val="00230DF5"/>
    <w:rsid w:val="00231373"/>
    <w:rsid w:val="00232477"/>
    <w:rsid w:val="002325E0"/>
    <w:rsid w:val="00232DEF"/>
    <w:rsid w:val="00232FB0"/>
    <w:rsid w:val="00233BE4"/>
    <w:rsid w:val="002343EC"/>
    <w:rsid w:val="002369F1"/>
    <w:rsid w:val="00236E3A"/>
    <w:rsid w:val="0023758C"/>
    <w:rsid w:val="0023762E"/>
    <w:rsid w:val="00237E55"/>
    <w:rsid w:val="002407EA"/>
    <w:rsid w:val="00240CD0"/>
    <w:rsid w:val="00240D07"/>
    <w:rsid w:val="00241904"/>
    <w:rsid w:val="00241E69"/>
    <w:rsid w:val="00241F31"/>
    <w:rsid w:val="00242229"/>
    <w:rsid w:val="00243B98"/>
    <w:rsid w:val="00243F59"/>
    <w:rsid w:val="00244619"/>
    <w:rsid w:val="00244A59"/>
    <w:rsid w:val="00244CE8"/>
    <w:rsid w:val="00245B1C"/>
    <w:rsid w:val="00247A7B"/>
    <w:rsid w:val="0025111A"/>
    <w:rsid w:val="002512E9"/>
    <w:rsid w:val="00251DF5"/>
    <w:rsid w:val="00252261"/>
    <w:rsid w:val="002533E9"/>
    <w:rsid w:val="00253661"/>
    <w:rsid w:val="00253A41"/>
    <w:rsid w:val="00253F46"/>
    <w:rsid w:val="002540D8"/>
    <w:rsid w:val="0025497D"/>
    <w:rsid w:val="00255ACF"/>
    <w:rsid w:val="00255F9F"/>
    <w:rsid w:val="00256ACD"/>
    <w:rsid w:val="00257CD2"/>
    <w:rsid w:val="00260234"/>
    <w:rsid w:val="0026039F"/>
    <w:rsid w:val="002608FA"/>
    <w:rsid w:val="002623B9"/>
    <w:rsid w:val="00262554"/>
    <w:rsid w:val="00264898"/>
    <w:rsid w:val="0026554A"/>
    <w:rsid w:val="00265632"/>
    <w:rsid w:val="0026571C"/>
    <w:rsid w:val="00266631"/>
    <w:rsid w:val="00266D63"/>
    <w:rsid w:val="002672B6"/>
    <w:rsid w:val="002674D0"/>
    <w:rsid w:val="00267956"/>
    <w:rsid w:val="00267C50"/>
    <w:rsid w:val="00267E7F"/>
    <w:rsid w:val="00267EA0"/>
    <w:rsid w:val="002712EF"/>
    <w:rsid w:val="0027155D"/>
    <w:rsid w:val="00272865"/>
    <w:rsid w:val="00273F03"/>
    <w:rsid w:val="00275BE3"/>
    <w:rsid w:val="00275FCE"/>
    <w:rsid w:val="0027751F"/>
    <w:rsid w:val="002779B0"/>
    <w:rsid w:val="0028071B"/>
    <w:rsid w:val="00280745"/>
    <w:rsid w:val="0028167C"/>
    <w:rsid w:val="00283249"/>
    <w:rsid w:val="002838E7"/>
    <w:rsid w:val="002842C5"/>
    <w:rsid w:val="00284E65"/>
    <w:rsid w:val="00285090"/>
    <w:rsid w:val="0028530C"/>
    <w:rsid w:val="002861CB"/>
    <w:rsid w:val="00286A92"/>
    <w:rsid w:val="002872D9"/>
    <w:rsid w:val="00287A1F"/>
    <w:rsid w:val="00287B2E"/>
    <w:rsid w:val="00290947"/>
    <w:rsid w:val="002909DB"/>
    <w:rsid w:val="00291486"/>
    <w:rsid w:val="00291DD2"/>
    <w:rsid w:val="002926DA"/>
    <w:rsid w:val="002936A1"/>
    <w:rsid w:val="0029388B"/>
    <w:rsid w:val="00294B5F"/>
    <w:rsid w:val="00295653"/>
    <w:rsid w:val="00295D0E"/>
    <w:rsid w:val="00296595"/>
    <w:rsid w:val="00296601"/>
    <w:rsid w:val="002979D4"/>
    <w:rsid w:val="00297D1F"/>
    <w:rsid w:val="002A0269"/>
    <w:rsid w:val="002A067B"/>
    <w:rsid w:val="002A0BB8"/>
    <w:rsid w:val="002A1112"/>
    <w:rsid w:val="002A1C8A"/>
    <w:rsid w:val="002A1F2D"/>
    <w:rsid w:val="002A27D7"/>
    <w:rsid w:val="002A2857"/>
    <w:rsid w:val="002A3004"/>
    <w:rsid w:val="002A46AE"/>
    <w:rsid w:val="002A588D"/>
    <w:rsid w:val="002A591A"/>
    <w:rsid w:val="002A5DFE"/>
    <w:rsid w:val="002A5FBB"/>
    <w:rsid w:val="002A6411"/>
    <w:rsid w:val="002A77A6"/>
    <w:rsid w:val="002A77A8"/>
    <w:rsid w:val="002B00C9"/>
    <w:rsid w:val="002B12DE"/>
    <w:rsid w:val="002B14BC"/>
    <w:rsid w:val="002B15FA"/>
    <w:rsid w:val="002B29A3"/>
    <w:rsid w:val="002B33DC"/>
    <w:rsid w:val="002B3567"/>
    <w:rsid w:val="002B3569"/>
    <w:rsid w:val="002B3A27"/>
    <w:rsid w:val="002B425B"/>
    <w:rsid w:val="002B4646"/>
    <w:rsid w:val="002B4730"/>
    <w:rsid w:val="002B51EB"/>
    <w:rsid w:val="002B6093"/>
    <w:rsid w:val="002B62BA"/>
    <w:rsid w:val="002B6A7F"/>
    <w:rsid w:val="002B7775"/>
    <w:rsid w:val="002B7C1E"/>
    <w:rsid w:val="002C105E"/>
    <w:rsid w:val="002C153A"/>
    <w:rsid w:val="002C1F20"/>
    <w:rsid w:val="002C2A42"/>
    <w:rsid w:val="002C416C"/>
    <w:rsid w:val="002C44D5"/>
    <w:rsid w:val="002C4CD6"/>
    <w:rsid w:val="002C4CD9"/>
    <w:rsid w:val="002C4E5D"/>
    <w:rsid w:val="002C4E90"/>
    <w:rsid w:val="002C5A05"/>
    <w:rsid w:val="002C5AA0"/>
    <w:rsid w:val="002C5EF4"/>
    <w:rsid w:val="002C64F7"/>
    <w:rsid w:val="002C7756"/>
    <w:rsid w:val="002D0EC4"/>
    <w:rsid w:val="002D0F27"/>
    <w:rsid w:val="002D2C37"/>
    <w:rsid w:val="002D2DCD"/>
    <w:rsid w:val="002D426E"/>
    <w:rsid w:val="002D48DA"/>
    <w:rsid w:val="002D48E7"/>
    <w:rsid w:val="002D4952"/>
    <w:rsid w:val="002D4AF5"/>
    <w:rsid w:val="002D6152"/>
    <w:rsid w:val="002D6C60"/>
    <w:rsid w:val="002D7AE4"/>
    <w:rsid w:val="002E003D"/>
    <w:rsid w:val="002E01ED"/>
    <w:rsid w:val="002E10F0"/>
    <w:rsid w:val="002E1100"/>
    <w:rsid w:val="002E16EE"/>
    <w:rsid w:val="002E1F03"/>
    <w:rsid w:val="002E1F8E"/>
    <w:rsid w:val="002E22C4"/>
    <w:rsid w:val="002E49AA"/>
    <w:rsid w:val="002E49DC"/>
    <w:rsid w:val="002E4BAF"/>
    <w:rsid w:val="002E61DB"/>
    <w:rsid w:val="002E6954"/>
    <w:rsid w:val="002E6AE1"/>
    <w:rsid w:val="002E7163"/>
    <w:rsid w:val="002E7717"/>
    <w:rsid w:val="002E7740"/>
    <w:rsid w:val="002F0F5A"/>
    <w:rsid w:val="002F23F5"/>
    <w:rsid w:val="002F266E"/>
    <w:rsid w:val="002F28C1"/>
    <w:rsid w:val="002F3B6E"/>
    <w:rsid w:val="002F3DEF"/>
    <w:rsid w:val="002F4143"/>
    <w:rsid w:val="002F44B9"/>
    <w:rsid w:val="002F6219"/>
    <w:rsid w:val="002F6400"/>
    <w:rsid w:val="00300CB3"/>
    <w:rsid w:val="00301F97"/>
    <w:rsid w:val="00302B45"/>
    <w:rsid w:val="003031DB"/>
    <w:rsid w:val="003046AF"/>
    <w:rsid w:val="00304A9E"/>
    <w:rsid w:val="00305646"/>
    <w:rsid w:val="0030568D"/>
    <w:rsid w:val="003058A1"/>
    <w:rsid w:val="00306FEA"/>
    <w:rsid w:val="003078B8"/>
    <w:rsid w:val="00311887"/>
    <w:rsid w:val="00311A0F"/>
    <w:rsid w:val="00311C28"/>
    <w:rsid w:val="0031229F"/>
    <w:rsid w:val="00312ED2"/>
    <w:rsid w:val="00312F8D"/>
    <w:rsid w:val="00313859"/>
    <w:rsid w:val="00314108"/>
    <w:rsid w:val="00314D61"/>
    <w:rsid w:val="00314DFC"/>
    <w:rsid w:val="00316F0C"/>
    <w:rsid w:val="0031706C"/>
    <w:rsid w:val="00317BCD"/>
    <w:rsid w:val="0032102A"/>
    <w:rsid w:val="00321960"/>
    <w:rsid w:val="00322442"/>
    <w:rsid w:val="00322889"/>
    <w:rsid w:val="00322AC9"/>
    <w:rsid w:val="00322B0D"/>
    <w:rsid w:val="00323273"/>
    <w:rsid w:val="0032393F"/>
    <w:rsid w:val="00324477"/>
    <w:rsid w:val="003250CB"/>
    <w:rsid w:val="00326410"/>
    <w:rsid w:val="0032740C"/>
    <w:rsid w:val="00330139"/>
    <w:rsid w:val="0033028A"/>
    <w:rsid w:val="00330544"/>
    <w:rsid w:val="00331283"/>
    <w:rsid w:val="00331BF7"/>
    <w:rsid w:val="003324D0"/>
    <w:rsid w:val="00333630"/>
    <w:rsid w:val="00333BEA"/>
    <w:rsid w:val="00334C17"/>
    <w:rsid w:val="00334EB6"/>
    <w:rsid w:val="003356BD"/>
    <w:rsid w:val="0033667A"/>
    <w:rsid w:val="00336C3E"/>
    <w:rsid w:val="00337369"/>
    <w:rsid w:val="00337695"/>
    <w:rsid w:val="003404F1"/>
    <w:rsid w:val="00341871"/>
    <w:rsid w:val="003457DD"/>
    <w:rsid w:val="00345B08"/>
    <w:rsid w:val="00345CDF"/>
    <w:rsid w:val="00346785"/>
    <w:rsid w:val="00347CEE"/>
    <w:rsid w:val="00351D54"/>
    <w:rsid w:val="00352CA7"/>
    <w:rsid w:val="003530AA"/>
    <w:rsid w:val="003530EC"/>
    <w:rsid w:val="00353287"/>
    <w:rsid w:val="00353DB0"/>
    <w:rsid w:val="00354722"/>
    <w:rsid w:val="00354C3D"/>
    <w:rsid w:val="00355331"/>
    <w:rsid w:val="00356469"/>
    <w:rsid w:val="003564DE"/>
    <w:rsid w:val="003567A7"/>
    <w:rsid w:val="00356ABB"/>
    <w:rsid w:val="00356CCD"/>
    <w:rsid w:val="0035736B"/>
    <w:rsid w:val="003575C6"/>
    <w:rsid w:val="0036047F"/>
    <w:rsid w:val="003617B3"/>
    <w:rsid w:val="00362009"/>
    <w:rsid w:val="00362782"/>
    <w:rsid w:val="00363597"/>
    <w:rsid w:val="00363817"/>
    <w:rsid w:val="00363D8D"/>
    <w:rsid w:val="00364516"/>
    <w:rsid w:val="00364ED9"/>
    <w:rsid w:val="00364F23"/>
    <w:rsid w:val="00365406"/>
    <w:rsid w:val="003659FA"/>
    <w:rsid w:val="00367443"/>
    <w:rsid w:val="00367A04"/>
    <w:rsid w:val="00367C25"/>
    <w:rsid w:val="00370B59"/>
    <w:rsid w:val="00371919"/>
    <w:rsid w:val="0037252A"/>
    <w:rsid w:val="00372D7E"/>
    <w:rsid w:val="00373B64"/>
    <w:rsid w:val="00373E63"/>
    <w:rsid w:val="003748FE"/>
    <w:rsid w:val="00374BE2"/>
    <w:rsid w:val="00375640"/>
    <w:rsid w:val="00376002"/>
    <w:rsid w:val="00376286"/>
    <w:rsid w:val="00376375"/>
    <w:rsid w:val="0037699F"/>
    <w:rsid w:val="00376AE8"/>
    <w:rsid w:val="0037726F"/>
    <w:rsid w:val="00377761"/>
    <w:rsid w:val="00380C41"/>
    <w:rsid w:val="00380C69"/>
    <w:rsid w:val="0038204F"/>
    <w:rsid w:val="0038263E"/>
    <w:rsid w:val="00384203"/>
    <w:rsid w:val="00384278"/>
    <w:rsid w:val="0038457E"/>
    <w:rsid w:val="00385843"/>
    <w:rsid w:val="00385EEF"/>
    <w:rsid w:val="00387B76"/>
    <w:rsid w:val="00391DA9"/>
    <w:rsid w:val="00391DC8"/>
    <w:rsid w:val="0039367C"/>
    <w:rsid w:val="00394488"/>
    <w:rsid w:val="00394513"/>
    <w:rsid w:val="0039781F"/>
    <w:rsid w:val="0039792D"/>
    <w:rsid w:val="00397ADA"/>
    <w:rsid w:val="00397B17"/>
    <w:rsid w:val="003A18F8"/>
    <w:rsid w:val="003A1F68"/>
    <w:rsid w:val="003A2367"/>
    <w:rsid w:val="003A2A8B"/>
    <w:rsid w:val="003A2B58"/>
    <w:rsid w:val="003A335F"/>
    <w:rsid w:val="003A359D"/>
    <w:rsid w:val="003A36CA"/>
    <w:rsid w:val="003A380C"/>
    <w:rsid w:val="003A4250"/>
    <w:rsid w:val="003A42BE"/>
    <w:rsid w:val="003A42EF"/>
    <w:rsid w:val="003A44CE"/>
    <w:rsid w:val="003A4F03"/>
    <w:rsid w:val="003A5555"/>
    <w:rsid w:val="003A6844"/>
    <w:rsid w:val="003A6AFE"/>
    <w:rsid w:val="003A6BEB"/>
    <w:rsid w:val="003A71CA"/>
    <w:rsid w:val="003A7948"/>
    <w:rsid w:val="003A7D1F"/>
    <w:rsid w:val="003B02A5"/>
    <w:rsid w:val="003B0426"/>
    <w:rsid w:val="003B0949"/>
    <w:rsid w:val="003B1144"/>
    <w:rsid w:val="003B19D1"/>
    <w:rsid w:val="003B27F3"/>
    <w:rsid w:val="003B3218"/>
    <w:rsid w:val="003B33C6"/>
    <w:rsid w:val="003B4905"/>
    <w:rsid w:val="003B531F"/>
    <w:rsid w:val="003B64F9"/>
    <w:rsid w:val="003B711D"/>
    <w:rsid w:val="003C008F"/>
    <w:rsid w:val="003C08D6"/>
    <w:rsid w:val="003C0F07"/>
    <w:rsid w:val="003C11C7"/>
    <w:rsid w:val="003C15F8"/>
    <w:rsid w:val="003C1AA8"/>
    <w:rsid w:val="003C3EFE"/>
    <w:rsid w:val="003C42DC"/>
    <w:rsid w:val="003C4329"/>
    <w:rsid w:val="003C4345"/>
    <w:rsid w:val="003C4753"/>
    <w:rsid w:val="003C4B7D"/>
    <w:rsid w:val="003C5460"/>
    <w:rsid w:val="003C582E"/>
    <w:rsid w:val="003C6380"/>
    <w:rsid w:val="003C780B"/>
    <w:rsid w:val="003C79C5"/>
    <w:rsid w:val="003D00E0"/>
    <w:rsid w:val="003D103F"/>
    <w:rsid w:val="003D1583"/>
    <w:rsid w:val="003D1D71"/>
    <w:rsid w:val="003D634E"/>
    <w:rsid w:val="003D691D"/>
    <w:rsid w:val="003D6991"/>
    <w:rsid w:val="003D69B5"/>
    <w:rsid w:val="003D79C3"/>
    <w:rsid w:val="003D79EC"/>
    <w:rsid w:val="003E0EEB"/>
    <w:rsid w:val="003E10EF"/>
    <w:rsid w:val="003E1B68"/>
    <w:rsid w:val="003E2A1E"/>
    <w:rsid w:val="003E2DCF"/>
    <w:rsid w:val="003E301F"/>
    <w:rsid w:val="003E4A16"/>
    <w:rsid w:val="003E57A4"/>
    <w:rsid w:val="003E5CDD"/>
    <w:rsid w:val="003E5E64"/>
    <w:rsid w:val="003E5F4F"/>
    <w:rsid w:val="003E6661"/>
    <w:rsid w:val="003E7925"/>
    <w:rsid w:val="003F018E"/>
    <w:rsid w:val="003F0E1C"/>
    <w:rsid w:val="003F10E6"/>
    <w:rsid w:val="003F19D1"/>
    <w:rsid w:val="003F1D8A"/>
    <w:rsid w:val="003F23DB"/>
    <w:rsid w:val="003F27B9"/>
    <w:rsid w:val="003F2C15"/>
    <w:rsid w:val="003F385F"/>
    <w:rsid w:val="003F3C7C"/>
    <w:rsid w:val="003F471F"/>
    <w:rsid w:val="003F4E80"/>
    <w:rsid w:val="003F5CBC"/>
    <w:rsid w:val="003F5ED1"/>
    <w:rsid w:val="003F609A"/>
    <w:rsid w:val="003F7891"/>
    <w:rsid w:val="003F7D91"/>
    <w:rsid w:val="004006E4"/>
    <w:rsid w:val="004008A9"/>
    <w:rsid w:val="00400F5B"/>
    <w:rsid w:val="00400F61"/>
    <w:rsid w:val="0040110C"/>
    <w:rsid w:val="004012AD"/>
    <w:rsid w:val="00401A2D"/>
    <w:rsid w:val="00401AA8"/>
    <w:rsid w:val="00401F3C"/>
    <w:rsid w:val="00401FF8"/>
    <w:rsid w:val="00402A40"/>
    <w:rsid w:val="00402E1C"/>
    <w:rsid w:val="0040347F"/>
    <w:rsid w:val="00403FCB"/>
    <w:rsid w:val="00403FFB"/>
    <w:rsid w:val="0040463B"/>
    <w:rsid w:val="00405AA7"/>
    <w:rsid w:val="004071BD"/>
    <w:rsid w:val="00410B7A"/>
    <w:rsid w:val="00410C54"/>
    <w:rsid w:val="00411AEC"/>
    <w:rsid w:val="00411E80"/>
    <w:rsid w:val="0041292B"/>
    <w:rsid w:val="004131AA"/>
    <w:rsid w:val="004145A7"/>
    <w:rsid w:val="004149E3"/>
    <w:rsid w:val="00414EFF"/>
    <w:rsid w:val="00415208"/>
    <w:rsid w:val="004155D8"/>
    <w:rsid w:val="0041596B"/>
    <w:rsid w:val="004160B0"/>
    <w:rsid w:val="004162E8"/>
    <w:rsid w:val="00416381"/>
    <w:rsid w:val="004166A0"/>
    <w:rsid w:val="00416E06"/>
    <w:rsid w:val="00416E3F"/>
    <w:rsid w:val="00417412"/>
    <w:rsid w:val="0042073F"/>
    <w:rsid w:val="00420C92"/>
    <w:rsid w:val="0042103B"/>
    <w:rsid w:val="00422FFF"/>
    <w:rsid w:val="00424314"/>
    <w:rsid w:val="00424D15"/>
    <w:rsid w:val="0042583C"/>
    <w:rsid w:val="00425969"/>
    <w:rsid w:val="0042688B"/>
    <w:rsid w:val="00427897"/>
    <w:rsid w:val="00427B68"/>
    <w:rsid w:val="004316D3"/>
    <w:rsid w:val="00432883"/>
    <w:rsid w:val="004346C9"/>
    <w:rsid w:val="00434AC0"/>
    <w:rsid w:val="00434F7C"/>
    <w:rsid w:val="00435C16"/>
    <w:rsid w:val="00435F04"/>
    <w:rsid w:val="0043620A"/>
    <w:rsid w:val="00437167"/>
    <w:rsid w:val="0044023F"/>
    <w:rsid w:val="00440244"/>
    <w:rsid w:val="004408D7"/>
    <w:rsid w:val="00441039"/>
    <w:rsid w:val="00441937"/>
    <w:rsid w:val="00441D90"/>
    <w:rsid w:val="00441EFD"/>
    <w:rsid w:val="00443358"/>
    <w:rsid w:val="00443FF5"/>
    <w:rsid w:val="00443FFE"/>
    <w:rsid w:val="0044445E"/>
    <w:rsid w:val="0044587E"/>
    <w:rsid w:val="00445D6C"/>
    <w:rsid w:val="00445EF6"/>
    <w:rsid w:val="00445FFA"/>
    <w:rsid w:val="004460E5"/>
    <w:rsid w:val="004461E0"/>
    <w:rsid w:val="004500A4"/>
    <w:rsid w:val="004503A3"/>
    <w:rsid w:val="00450636"/>
    <w:rsid w:val="004525C0"/>
    <w:rsid w:val="00452925"/>
    <w:rsid w:val="0045303B"/>
    <w:rsid w:val="00453605"/>
    <w:rsid w:val="004539DE"/>
    <w:rsid w:val="00454C7F"/>
    <w:rsid w:val="00455947"/>
    <w:rsid w:val="00455E31"/>
    <w:rsid w:val="004561F5"/>
    <w:rsid w:val="004569DF"/>
    <w:rsid w:val="00456EC8"/>
    <w:rsid w:val="004608E2"/>
    <w:rsid w:val="00460F8B"/>
    <w:rsid w:val="00460FF9"/>
    <w:rsid w:val="00461760"/>
    <w:rsid w:val="00461ABA"/>
    <w:rsid w:val="00461BE4"/>
    <w:rsid w:val="00462EC6"/>
    <w:rsid w:val="00463CE3"/>
    <w:rsid w:val="00464DAD"/>
    <w:rsid w:val="0046600E"/>
    <w:rsid w:val="00466518"/>
    <w:rsid w:val="00470034"/>
    <w:rsid w:val="00470EB7"/>
    <w:rsid w:val="00471320"/>
    <w:rsid w:val="00471748"/>
    <w:rsid w:val="00471AB0"/>
    <w:rsid w:val="004724F6"/>
    <w:rsid w:val="00473AEB"/>
    <w:rsid w:val="00475A98"/>
    <w:rsid w:val="00475FCD"/>
    <w:rsid w:val="00476FFD"/>
    <w:rsid w:val="00477858"/>
    <w:rsid w:val="00477A0B"/>
    <w:rsid w:val="00477D0A"/>
    <w:rsid w:val="004802AF"/>
    <w:rsid w:val="00480AC4"/>
    <w:rsid w:val="00481CC3"/>
    <w:rsid w:val="00481F08"/>
    <w:rsid w:val="00482C5F"/>
    <w:rsid w:val="00483177"/>
    <w:rsid w:val="0048332C"/>
    <w:rsid w:val="004835D2"/>
    <w:rsid w:val="00485083"/>
    <w:rsid w:val="00485F17"/>
    <w:rsid w:val="0048652A"/>
    <w:rsid w:val="00490A24"/>
    <w:rsid w:val="00491279"/>
    <w:rsid w:val="004915C8"/>
    <w:rsid w:val="00492C6E"/>
    <w:rsid w:val="00493A96"/>
    <w:rsid w:val="00494B10"/>
    <w:rsid w:val="004954CC"/>
    <w:rsid w:val="00495661"/>
    <w:rsid w:val="00495674"/>
    <w:rsid w:val="00495DC9"/>
    <w:rsid w:val="004A0428"/>
    <w:rsid w:val="004A046A"/>
    <w:rsid w:val="004A1331"/>
    <w:rsid w:val="004A2054"/>
    <w:rsid w:val="004A2125"/>
    <w:rsid w:val="004A24B5"/>
    <w:rsid w:val="004A2C24"/>
    <w:rsid w:val="004A4039"/>
    <w:rsid w:val="004A5107"/>
    <w:rsid w:val="004A5443"/>
    <w:rsid w:val="004A5C72"/>
    <w:rsid w:val="004A6126"/>
    <w:rsid w:val="004A6327"/>
    <w:rsid w:val="004A64C5"/>
    <w:rsid w:val="004A7917"/>
    <w:rsid w:val="004A7939"/>
    <w:rsid w:val="004B0BFD"/>
    <w:rsid w:val="004B0DC7"/>
    <w:rsid w:val="004B1468"/>
    <w:rsid w:val="004B1B8D"/>
    <w:rsid w:val="004B2003"/>
    <w:rsid w:val="004B24EF"/>
    <w:rsid w:val="004B25E8"/>
    <w:rsid w:val="004B2CD5"/>
    <w:rsid w:val="004B4359"/>
    <w:rsid w:val="004B44BB"/>
    <w:rsid w:val="004B45C1"/>
    <w:rsid w:val="004B5AA3"/>
    <w:rsid w:val="004C316A"/>
    <w:rsid w:val="004C3DC3"/>
    <w:rsid w:val="004C5BEE"/>
    <w:rsid w:val="004C5FE2"/>
    <w:rsid w:val="004C687B"/>
    <w:rsid w:val="004C68E6"/>
    <w:rsid w:val="004C6A53"/>
    <w:rsid w:val="004C7563"/>
    <w:rsid w:val="004C7C68"/>
    <w:rsid w:val="004C7E43"/>
    <w:rsid w:val="004D05B5"/>
    <w:rsid w:val="004D0693"/>
    <w:rsid w:val="004D0ADE"/>
    <w:rsid w:val="004D1F77"/>
    <w:rsid w:val="004D317B"/>
    <w:rsid w:val="004D32D6"/>
    <w:rsid w:val="004D3703"/>
    <w:rsid w:val="004D3AF4"/>
    <w:rsid w:val="004D3B86"/>
    <w:rsid w:val="004D3EE1"/>
    <w:rsid w:val="004D53A4"/>
    <w:rsid w:val="004D560E"/>
    <w:rsid w:val="004D72A3"/>
    <w:rsid w:val="004D7783"/>
    <w:rsid w:val="004D7A6C"/>
    <w:rsid w:val="004E00B9"/>
    <w:rsid w:val="004E151B"/>
    <w:rsid w:val="004E1D39"/>
    <w:rsid w:val="004E1F4F"/>
    <w:rsid w:val="004E561C"/>
    <w:rsid w:val="004E66CE"/>
    <w:rsid w:val="004E79FA"/>
    <w:rsid w:val="004E7CB2"/>
    <w:rsid w:val="004F00D8"/>
    <w:rsid w:val="004F0C53"/>
    <w:rsid w:val="004F155B"/>
    <w:rsid w:val="004F15D7"/>
    <w:rsid w:val="004F1B0E"/>
    <w:rsid w:val="004F2652"/>
    <w:rsid w:val="004F28CC"/>
    <w:rsid w:val="004F2EE1"/>
    <w:rsid w:val="004F2FAE"/>
    <w:rsid w:val="004F434D"/>
    <w:rsid w:val="004F4B64"/>
    <w:rsid w:val="004F5C64"/>
    <w:rsid w:val="004F6795"/>
    <w:rsid w:val="004F7854"/>
    <w:rsid w:val="004F7F36"/>
    <w:rsid w:val="005017C1"/>
    <w:rsid w:val="00502BAD"/>
    <w:rsid w:val="0050303C"/>
    <w:rsid w:val="005044EB"/>
    <w:rsid w:val="00505223"/>
    <w:rsid w:val="00506509"/>
    <w:rsid w:val="00506755"/>
    <w:rsid w:val="00507DAB"/>
    <w:rsid w:val="00510FED"/>
    <w:rsid w:val="00511949"/>
    <w:rsid w:val="00511A45"/>
    <w:rsid w:val="00512049"/>
    <w:rsid w:val="00512183"/>
    <w:rsid w:val="00512A71"/>
    <w:rsid w:val="005132B4"/>
    <w:rsid w:val="005137E5"/>
    <w:rsid w:val="00514198"/>
    <w:rsid w:val="005144A9"/>
    <w:rsid w:val="00514FF6"/>
    <w:rsid w:val="00515842"/>
    <w:rsid w:val="0051598E"/>
    <w:rsid w:val="00516E59"/>
    <w:rsid w:val="005170D6"/>
    <w:rsid w:val="005176E1"/>
    <w:rsid w:val="00520D41"/>
    <w:rsid w:val="00520DE6"/>
    <w:rsid w:val="00520ECE"/>
    <w:rsid w:val="005214CB"/>
    <w:rsid w:val="00521D76"/>
    <w:rsid w:val="005226D8"/>
    <w:rsid w:val="00522980"/>
    <w:rsid w:val="00523723"/>
    <w:rsid w:val="00525754"/>
    <w:rsid w:val="005267F0"/>
    <w:rsid w:val="005269C0"/>
    <w:rsid w:val="005273FC"/>
    <w:rsid w:val="00527BDF"/>
    <w:rsid w:val="0053076A"/>
    <w:rsid w:val="00531472"/>
    <w:rsid w:val="00531610"/>
    <w:rsid w:val="0053369A"/>
    <w:rsid w:val="00534E44"/>
    <w:rsid w:val="00540508"/>
    <w:rsid w:val="00540FB1"/>
    <w:rsid w:val="00542803"/>
    <w:rsid w:val="005439EB"/>
    <w:rsid w:val="00544902"/>
    <w:rsid w:val="00544957"/>
    <w:rsid w:val="00544ADC"/>
    <w:rsid w:val="005453F8"/>
    <w:rsid w:val="005465C7"/>
    <w:rsid w:val="005472C2"/>
    <w:rsid w:val="00547317"/>
    <w:rsid w:val="00547A91"/>
    <w:rsid w:val="00547BC1"/>
    <w:rsid w:val="005509D3"/>
    <w:rsid w:val="00550C06"/>
    <w:rsid w:val="00550D03"/>
    <w:rsid w:val="00550EF0"/>
    <w:rsid w:val="00551510"/>
    <w:rsid w:val="00552620"/>
    <w:rsid w:val="005528F4"/>
    <w:rsid w:val="00552C69"/>
    <w:rsid w:val="005535E2"/>
    <w:rsid w:val="0055552B"/>
    <w:rsid w:val="005560E7"/>
    <w:rsid w:val="0055636F"/>
    <w:rsid w:val="0055714F"/>
    <w:rsid w:val="00560559"/>
    <w:rsid w:val="0056089A"/>
    <w:rsid w:val="00561A22"/>
    <w:rsid w:val="00562234"/>
    <w:rsid w:val="005630EF"/>
    <w:rsid w:val="00563E04"/>
    <w:rsid w:val="00563FC1"/>
    <w:rsid w:val="00564357"/>
    <w:rsid w:val="00564A45"/>
    <w:rsid w:val="0056606F"/>
    <w:rsid w:val="00566764"/>
    <w:rsid w:val="00566CF5"/>
    <w:rsid w:val="00566CFB"/>
    <w:rsid w:val="00567734"/>
    <w:rsid w:val="00567E15"/>
    <w:rsid w:val="005707F3"/>
    <w:rsid w:val="0057130C"/>
    <w:rsid w:val="005716E0"/>
    <w:rsid w:val="005717AC"/>
    <w:rsid w:val="00573C5F"/>
    <w:rsid w:val="005744F7"/>
    <w:rsid w:val="00574E5A"/>
    <w:rsid w:val="0057669F"/>
    <w:rsid w:val="00576D53"/>
    <w:rsid w:val="00576DF2"/>
    <w:rsid w:val="00577553"/>
    <w:rsid w:val="00577913"/>
    <w:rsid w:val="005801AA"/>
    <w:rsid w:val="00580829"/>
    <w:rsid w:val="0058139F"/>
    <w:rsid w:val="00581C37"/>
    <w:rsid w:val="00581FFC"/>
    <w:rsid w:val="00582313"/>
    <w:rsid w:val="0058255B"/>
    <w:rsid w:val="00583FF2"/>
    <w:rsid w:val="005844DE"/>
    <w:rsid w:val="00585398"/>
    <w:rsid w:val="00585A7C"/>
    <w:rsid w:val="0058619D"/>
    <w:rsid w:val="00586A46"/>
    <w:rsid w:val="00586F09"/>
    <w:rsid w:val="005902B0"/>
    <w:rsid w:val="00591548"/>
    <w:rsid w:val="00591C19"/>
    <w:rsid w:val="00591D03"/>
    <w:rsid w:val="0059276E"/>
    <w:rsid w:val="00592AF5"/>
    <w:rsid w:val="005932E8"/>
    <w:rsid w:val="00593C37"/>
    <w:rsid w:val="005941F6"/>
    <w:rsid w:val="00594314"/>
    <w:rsid w:val="005944B8"/>
    <w:rsid w:val="00594DB7"/>
    <w:rsid w:val="00594E16"/>
    <w:rsid w:val="00595067"/>
    <w:rsid w:val="005950E0"/>
    <w:rsid w:val="005956E3"/>
    <w:rsid w:val="0059664E"/>
    <w:rsid w:val="00596F5C"/>
    <w:rsid w:val="00597D64"/>
    <w:rsid w:val="005A316E"/>
    <w:rsid w:val="005A3942"/>
    <w:rsid w:val="005A5318"/>
    <w:rsid w:val="005A5645"/>
    <w:rsid w:val="005B00AD"/>
    <w:rsid w:val="005B0971"/>
    <w:rsid w:val="005B0EA6"/>
    <w:rsid w:val="005B1286"/>
    <w:rsid w:val="005B26C6"/>
    <w:rsid w:val="005B28AF"/>
    <w:rsid w:val="005B2D7D"/>
    <w:rsid w:val="005B4675"/>
    <w:rsid w:val="005B5708"/>
    <w:rsid w:val="005B66C5"/>
    <w:rsid w:val="005B70F4"/>
    <w:rsid w:val="005B7BF5"/>
    <w:rsid w:val="005C04F5"/>
    <w:rsid w:val="005C193E"/>
    <w:rsid w:val="005C1DD6"/>
    <w:rsid w:val="005C2B52"/>
    <w:rsid w:val="005C2FE0"/>
    <w:rsid w:val="005C4282"/>
    <w:rsid w:val="005C4A82"/>
    <w:rsid w:val="005C5211"/>
    <w:rsid w:val="005C59B2"/>
    <w:rsid w:val="005C5A22"/>
    <w:rsid w:val="005C6E6C"/>
    <w:rsid w:val="005C6EAF"/>
    <w:rsid w:val="005D1189"/>
    <w:rsid w:val="005D1A80"/>
    <w:rsid w:val="005D1F70"/>
    <w:rsid w:val="005D3238"/>
    <w:rsid w:val="005D335E"/>
    <w:rsid w:val="005D3668"/>
    <w:rsid w:val="005D5316"/>
    <w:rsid w:val="005D6022"/>
    <w:rsid w:val="005D6E31"/>
    <w:rsid w:val="005D72CF"/>
    <w:rsid w:val="005D7551"/>
    <w:rsid w:val="005D7626"/>
    <w:rsid w:val="005E0CF4"/>
    <w:rsid w:val="005E181D"/>
    <w:rsid w:val="005E1997"/>
    <w:rsid w:val="005E1E80"/>
    <w:rsid w:val="005E2F54"/>
    <w:rsid w:val="005E38C8"/>
    <w:rsid w:val="005E3BB8"/>
    <w:rsid w:val="005E437A"/>
    <w:rsid w:val="005E48C2"/>
    <w:rsid w:val="005E581F"/>
    <w:rsid w:val="005E5BBB"/>
    <w:rsid w:val="005E5FE4"/>
    <w:rsid w:val="005E6F05"/>
    <w:rsid w:val="005E7ED7"/>
    <w:rsid w:val="005F04A4"/>
    <w:rsid w:val="005F0EC3"/>
    <w:rsid w:val="005F147A"/>
    <w:rsid w:val="005F14BD"/>
    <w:rsid w:val="005F1747"/>
    <w:rsid w:val="005F222C"/>
    <w:rsid w:val="005F2C83"/>
    <w:rsid w:val="005F3927"/>
    <w:rsid w:val="005F42A3"/>
    <w:rsid w:val="005F46E0"/>
    <w:rsid w:val="005F482D"/>
    <w:rsid w:val="005F5E89"/>
    <w:rsid w:val="005F62AF"/>
    <w:rsid w:val="005F77A8"/>
    <w:rsid w:val="005F7F24"/>
    <w:rsid w:val="00600752"/>
    <w:rsid w:val="00600EA5"/>
    <w:rsid w:val="00600ED3"/>
    <w:rsid w:val="006018B4"/>
    <w:rsid w:val="00602D92"/>
    <w:rsid w:val="00603242"/>
    <w:rsid w:val="0060332C"/>
    <w:rsid w:val="006036B5"/>
    <w:rsid w:val="00603955"/>
    <w:rsid w:val="00604311"/>
    <w:rsid w:val="0060582C"/>
    <w:rsid w:val="0061035E"/>
    <w:rsid w:val="0061066C"/>
    <w:rsid w:val="00610837"/>
    <w:rsid w:val="00610917"/>
    <w:rsid w:val="00610DF0"/>
    <w:rsid w:val="006111AE"/>
    <w:rsid w:val="00611F5D"/>
    <w:rsid w:val="00612599"/>
    <w:rsid w:val="00612A32"/>
    <w:rsid w:val="00613944"/>
    <w:rsid w:val="00613ECA"/>
    <w:rsid w:val="006140A8"/>
    <w:rsid w:val="00614AC2"/>
    <w:rsid w:val="00614B8F"/>
    <w:rsid w:val="00614DFB"/>
    <w:rsid w:val="0061522A"/>
    <w:rsid w:val="006154F3"/>
    <w:rsid w:val="006155FD"/>
    <w:rsid w:val="00616237"/>
    <w:rsid w:val="00616C8B"/>
    <w:rsid w:val="00617A81"/>
    <w:rsid w:val="00617DC8"/>
    <w:rsid w:val="00621F95"/>
    <w:rsid w:val="0062275F"/>
    <w:rsid w:val="00623ED9"/>
    <w:rsid w:val="0062413C"/>
    <w:rsid w:val="00624410"/>
    <w:rsid w:val="00624640"/>
    <w:rsid w:val="0062513C"/>
    <w:rsid w:val="0062688A"/>
    <w:rsid w:val="00627F6E"/>
    <w:rsid w:val="00630338"/>
    <w:rsid w:val="00630F4F"/>
    <w:rsid w:val="00631ADE"/>
    <w:rsid w:val="00632038"/>
    <w:rsid w:val="00632B53"/>
    <w:rsid w:val="00632CCD"/>
    <w:rsid w:val="006331D1"/>
    <w:rsid w:val="00633725"/>
    <w:rsid w:val="00633D5F"/>
    <w:rsid w:val="00635E15"/>
    <w:rsid w:val="006364B4"/>
    <w:rsid w:val="00636A9A"/>
    <w:rsid w:val="0063733B"/>
    <w:rsid w:val="00640105"/>
    <w:rsid w:val="0064140D"/>
    <w:rsid w:val="0064169A"/>
    <w:rsid w:val="00641716"/>
    <w:rsid w:val="006425BF"/>
    <w:rsid w:val="00643BBB"/>
    <w:rsid w:val="00643C3B"/>
    <w:rsid w:val="0064553E"/>
    <w:rsid w:val="00645717"/>
    <w:rsid w:val="0064578F"/>
    <w:rsid w:val="00645B3B"/>
    <w:rsid w:val="006461E6"/>
    <w:rsid w:val="00646B52"/>
    <w:rsid w:val="00647A20"/>
    <w:rsid w:val="00651046"/>
    <w:rsid w:val="006510D0"/>
    <w:rsid w:val="00651E70"/>
    <w:rsid w:val="006528AF"/>
    <w:rsid w:val="00652E85"/>
    <w:rsid w:val="0065433A"/>
    <w:rsid w:val="00655294"/>
    <w:rsid w:val="00655B95"/>
    <w:rsid w:val="00655D83"/>
    <w:rsid w:val="00655E70"/>
    <w:rsid w:val="00656B3A"/>
    <w:rsid w:val="00656F2E"/>
    <w:rsid w:val="006570B8"/>
    <w:rsid w:val="0065787A"/>
    <w:rsid w:val="00657D38"/>
    <w:rsid w:val="00657EDE"/>
    <w:rsid w:val="006604A2"/>
    <w:rsid w:val="00660596"/>
    <w:rsid w:val="00661D4E"/>
    <w:rsid w:val="006628C7"/>
    <w:rsid w:val="006641CD"/>
    <w:rsid w:val="00664C0D"/>
    <w:rsid w:val="00664CDC"/>
    <w:rsid w:val="00665C6C"/>
    <w:rsid w:val="006663B1"/>
    <w:rsid w:val="00666880"/>
    <w:rsid w:val="0067016A"/>
    <w:rsid w:val="006702DB"/>
    <w:rsid w:val="006716A1"/>
    <w:rsid w:val="006717EF"/>
    <w:rsid w:val="006718BA"/>
    <w:rsid w:val="00671CC1"/>
    <w:rsid w:val="00672632"/>
    <w:rsid w:val="006727DC"/>
    <w:rsid w:val="006739CD"/>
    <w:rsid w:val="006744B5"/>
    <w:rsid w:val="006746F1"/>
    <w:rsid w:val="00676BB0"/>
    <w:rsid w:val="0067724B"/>
    <w:rsid w:val="006773E9"/>
    <w:rsid w:val="0067750A"/>
    <w:rsid w:val="00677692"/>
    <w:rsid w:val="00677883"/>
    <w:rsid w:val="00677973"/>
    <w:rsid w:val="00680118"/>
    <w:rsid w:val="006809DD"/>
    <w:rsid w:val="006819B8"/>
    <w:rsid w:val="00682114"/>
    <w:rsid w:val="0068326D"/>
    <w:rsid w:val="00684C08"/>
    <w:rsid w:val="00684DA2"/>
    <w:rsid w:val="00685197"/>
    <w:rsid w:val="00685301"/>
    <w:rsid w:val="00685360"/>
    <w:rsid w:val="00685CC8"/>
    <w:rsid w:val="00685DD8"/>
    <w:rsid w:val="006863CB"/>
    <w:rsid w:val="00686FAB"/>
    <w:rsid w:val="00687BF4"/>
    <w:rsid w:val="00687E02"/>
    <w:rsid w:val="00691127"/>
    <w:rsid w:val="00691A19"/>
    <w:rsid w:val="00691C40"/>
    <w:rsid w:val="00692007"/>
    <w:rsid w:val="0069297C"/>
    <w:rsid w:val="00692BC1"/>
    <w:rsid w:val="00692E9A"/>
    <w:rsid w:val="00693EDB"/>
    <w:rsid w:val="006947B5"/>
    <w:rsid w:val="00694931"/>
    <w:rsid w:val="00694C39"/>
    <w:rsid w:val="00695AE0"/>
    <w:rsid w:val="006960D9"/>
    <w:rsid w:val="006970C0"/>
    <w:rsid w:val="00697FEB"/>
    <w:rsid w:val="006A0653"/>
    <w:rsid w:val="006A0D26"/>
    <w:rsid w:val="006A0F03"/>
    <w:rsid w:val="006A134C"/>
    <w:rsid w:val="006A1C6F"/>
    <w:rsid w:val="006A29D9"/>
    <w:rsid w:val="006A2A3B"/>
    <w:rsid w:val="006A3794"/>
    <w:rsid w:val="006A3CA5"/>
    <w:rsid w:val="006A3CFA"/>
    <w:rsid w:val="006A47D9"/>
    <w:rsid w:val="006A485D"/>
    <w:rsid w:val="006A5173"/>
    <w:rsid w:val="006A5356"/>
    <w:rsid w:val="006A64EC"/>
    <w:rsid w:val="006A65FC"/>
    <w:rsid w:val="006A695D"/>
    <w:rsid w:val="006A69C2"/>
    <w:rsid w:val="006A6D28"/>
    <w:rsid w:val="006A7590"/>
    <w:rsid w:val="006A7A09"/>
    <w:rsid w:val="006A7AC9"/>
    <w:rsid w:val="006B0A39"/>
    <w:rsid w:val="006B0ACF"/>
    <w:rsid w:val="006B1136"/>
    <w:rsid w:val="006B11F6"/>
    <w:rsid w:val="006B3115"/>
    <w:rsid w:val="006B3E7B"/>
    <w:rsid w:val="006B41FC"/>
    <w:rsid w:val="006B4EBD"/>
    <w:rsid w:val="006B78BD"/>
    <w:rsid w:val="006B7D22"/>
    <w:rsid w:val="006C0A44"/>
    <w:rsid w:val="006C0D8E"/>
    <w:rsid w:val="006C111A"/>
    <w:rsid w:val="006C2DD3"/>
    <w:rsid w:val="006C3179"/>
    <w:rsid w:val="006C349F"/>
    <w:rsid w:val="006C35C3"/>
    <w:rsid w:val="006C3AFD"/>
    <w:rsid w:val="006C3B3E"/>
    <w:rsid w:val="006C3B83"/>
    <w:rsid w:val="006C42B1"/>
    <w:rsid w:val="006C4D81"/>
    <w:rsid w:val="006C4FAB"/>
    <w:rsid w:val="006C4FB9"/>
    <w:rsid w:val="006C5451"/>
    <w:rsid w:val="006C56AB"/>
    <w:rsid w:val="006C5BFF"/>
    <w:rsid w:val="006C6F95"/>
    <w:rsid w:val="006D2154"/>
    <w:rsid w:val="006D26AF"/>
    <w:rsid w:val="006D2873"/>
    <w:rsid w:val="006D36D4"/>
    <w:rsid w:val="006D3FCC"/>
    <w:rsid w:val="006D430C"/>
    <w:rsid w:val="006D4941"/>
    <w:rsid w:val="006D4E18"/>
    <w:rsid w:val="006D5C36"/>
    <w:rsid w:val="006D631D"/>
    <w:rsid w:val="006D71F9"/>
    <w:rsid w:val="006D73B3"/>
    <w:rsid w:val="006E0069"/>
    <w:rsid w:val="006E0DC8"/>
    <w:rsid w:val="006E0DD8"/>
    <w:rsid w:val="006E2323"/>
    <w:rsid w:val="006E2531"/>
    <w:rsid w:val="006E280F"/>
    <w:rsid w:val="006E28F1"/>
    <w:rsid w:val="006E3164"/>
    <w:rsid w:val="006E34E9"/>
    <w:rsid w:val="006E4107"/>
    <w:rsid w:val="006E4ACC"/>
    <w:rsid w:val="006E51F1"/>
    <w:rsid w:val="006E6678"/>
    <w:rsid w:val="006E7530"/>
    <w:rsid w:val="006F142E"/>
    <w:rsid w:val="006F17DB"/>
    <w:rsid w:val="006F26A8"/>
    <w:rsid w:val="006F319F"/>
    <w:rsid w:val="006F3254"/>
    <w:rsid w:val="006F347E"/>
    <w:rsid w:val="006F3554"/>
    <w:rsid w:val="006F4401"/>
    <w:rsid w:val="006F5906"/>
    <w:rsid w:val="006F5F87"/>
    <w:rsid w:val="006F6AE4"/>
    <w:rsid w:val="006F7FEC"/>
    <w:rsid w:val="00700666"/>
    <w:rsid w:val="007018C0"/>
    <w:rsid w:val="00701950"/>
    <w:rsid w:val="00703A4C"/>
    <w:rsid w:val="00703D2F"/>
    <w:rsid w:val="0070542C"/>
    <w:rsid w:val="00705A82"/>
    <w:rsid w:val="0070614A"/>
    <w:rsid w:val="00707015"/>
    <w:rsid w:val="0070761B"/>
    <w:rsid w:val="007106F3"/>
    <w:rsid w:val="00711290"/>
    <w:rsid w:val="007115F1"/>
    <w:rsid w:val="00711CA0"/>
    <w:rsid w:val="007121C6"/>
    <w:rsid w:val="00712256"/>
    <w:rsid w:val="00713DB3"/>
    <w:rsid w:val="00713F4D"/>
    <w:rsid w:val="00715952"/>
    <w:rsid w:val="00715BE3"/>
    <w:rsid w:val="007160FE"/>
    <w:rsid w:val="00716271"/>
    <w:rsid w:val="007162FB"/>
    <w:rsid w:val="0071678D"/>
    <w:rsid w:val="00716936"/>
    <w:rsid w:val="00717065"/>
    <w:rsid w:val="00717559"/>
    <w:rsid w:val="007176F0"/>
    <w:rsid w:val="00721228"/>
    <w:rsid w:val="007212BB"/>
    <w:rsid w:val="0072211B"/>
    <w:rsid w:val="00722AEC"/>
    <w:rsid w:val="00722B7E"/>
    <w:rsid w:val="00722E6D"/>
    <w:rsid w:val="007239D1"/>
    <w:rsid w:val="00723B37"/>
    <w:rsid w:val="007251BE"/>
    <w:rsid w:val="00725212"/>
    <w:rsid w:val="00725727"/>
    <w:rsid w:val="00725A37"/>
    <w:rsid w:val="00726463"/>
    <w:rsid w:val="007266C7"/>
    <w:rsid w:val="00726AD6"/>
    <w:rsid w:val="00726BD9"/>
    <w:rsid w:val="00726DCB"/>
    <w:rsid w:val="00727018"/>
    <w:rsid w:val="00727687"/>
    <w:rsid w:val="00727C55"/>
    <w:rsid w:val="00727EF1"/>
    <w:rsid w:val="00731D79"/>
    <w:rsid w:val="007321B7"/>
    <w:rsid w:val="0073260A"/>
    <w:rsid w:val="00732FAE"/>
    <w:rsid w:val="007341ED"/>
    <w:rsid w:val="00734292"/>
    <w:rsid w:val="007345CE"/>
    <w:rsid w:val="00734786"/>
    <w:rsid w:val="00734B6B"/>
    <w:rsid w:val="00734E76"/>
    <w:rsid w:val="0073532B"/>
    <w:rsid w:val="0073582B"/>
    <w:rsid w:val="00735C9D"/>
    <w:rsid w:val="00735E1B"/>
    <w:rsid w:val="00736A0F"/>
    <w:rsid w:val="00737040"/>
    <w:rsid w:val="0074029F"/>
    <w:rsid w:val="0074095D"/>
    <w:rsid w:val="00741680"/>
    <w:rsid w:val="00741DA9"/>
    <w:rsid w:val="00741DC7"/>
    <w:rsid w:val="00742CBD"/>
    <w:rsid w:val="00742D5A"/>
    <w:rsid w:val="00743F70"/>
    <w:rsid w:val="007444BE"/>
    <w:rsid w:val="00744EDD"/>
    <w:rsid w:val="007458D2"/>
    <w:rsid w:val="00745A9C"/>
    <w:rsid w:val="00745BD2"/>
    <w:rsid w:val="00747440"/>
    <w:rsid w:val="0075070E"/>
    <w:rsid w:val="00752F95"/>
    <w:rsid w:val="00754391"/>
    <w:rsid w:val="007550F2"/>
    <w:rsid w:val="007561E4"/>
    <w:rsid w:val="00757DC3"/>
    <w:rsid w:val="00760BEA"/>
    <w:rsid w:val="0076123F"/>
    <w:rsid w:val="00761758"/>
    <w:rsid w:val="00762626"/>
    <w:rsid w:val="007629AD"/>
    <w:rsid w:val="00762CB5"/>
    <w:rsid w:val="00762D8F"/>
    <w:rsid w:val="007632D0"/>
    <w:rsid w:val="007644C7"/>
    <w:rsid w:val="00764A30"/>
    <w:rsid w:val="007650B3"/>
    <w:rsid w:val="00765260"/>
    <w:rsid w:val="00766276"/>
    <w:rsid w:val="00766F3A"/>
    <w:rsid w:val="007670AC"/>
    <w:rsid w:val="007674DC"/>
    <w:rsid w:val="00770363"/>
    <w:rsid w:val="0077068C"/>
    <w:rsid w:val="007706E3"/>
    <w:rsid w:val="00770973"/>
    <w:rsid w:val="00770EF4"/>
    <w:rsid w:val="00771257"/>
    <w:rsid w:val="00772070"/>
    <w:rsid w:val="00772564"/>
    <w:rsid w:val="00772776"/>
    <w:rsid w:val="007730BE"/>
    <w:rsid w:val="007733BB"/>
    <w:rsid w:val="0077381D"/>
    <w:rsid w:val="00774C04"/>
    <w:rsid w:val="0077590A"/>
    <w:rsid w:val="00775D68"/>
    <w:rsid w:val="00775FCE"/>
    <w:rsid w:val="007761F8"/>
    <w:rsid w:val="007766C4"/>
    <w:rsid w:val="00776A4A"/>
    <w:rsid w:val="00776B59"/>
    <w:rsid w:val="007772E0"/>
    <w:rsid w:val="007775D4"/>
    <w:rsid w:val="00780234"/>
    <w:rsid w:val="00780767"/>
    <w:rsid w:val="007807B7"/>
    <w:rsid w:val="00780D1B"/>
    <w:rsid w:val="00781972"/>
    <w:rsid w:val="00782400"/>
    <w:rsid w:val="00782994"/>
    <w:rsid w:val="00782B89"/>
    <w:rsid w:val="00783E2D"/>
    <w:rsid w:val="00784500"/>
    <w:rsid w:val="0078450B"/>
    <w:rsid w:val="00784677"/>
    <w:rsid w:val="007849AF"/>
    <w:rsid w:val="00784F68"/>
    <w:rsid w:val="007856C4"/>
    <w:rsid w:val="0078595C"/>
    <w:rsid w:val="007861D0"/>
    <w:rsid w:val="00786580"/>
    <w:rsid w:val="00786EA0"/>
    <w:rsid w:val="0078701F"/>
    <w:rsid w:val="007872F0"/>
    <w:rsid w:val="00787C6F"/>
    <w:rsid w:val="00790ADA"/>
    <w:rsid w:val="00792003"/>
    <w:rsid w:val="00792837"/>
    <w:rsid w:val="00792A0E"/>
    <w:rsid w:val="00793325"/>
    <w:rsid w:val="007937E8"/>
    <w:rsid w:val="00793957"/>
    <w:rsid w:val="00794235"/>
    <w:rsid w:val="0079439E"/>
    <w:rsid w:val="007958BC"/>
    <w:rsid w:val="00796442"/>
    <w:rsid w:val="00797288"/>
    <w:rsid w:val="007A0330"/>
    <w:rsid w:val="007A04B3"/>
    <w:rsid w:val="007A062D"/>
    <w:rsid w:val="007A13BB"/>
    <w:rsid w:val="007A1CBC"/>
    <w:rsid w:val="007A233B"/>
    <w:rsid w:val="007A39A1"/>
    <w:rsid w:val="007A4DB3"/>
    <w:rsid w:val="007A668A"/>
    <w:rsid w:val="007A6AEB"/>
    <w:rsid w:val="007A6E54"/>
    <w:rsid w:val="007A6EF8"/>
    <w:rsid w:val="007A756F"/>
    <w:rsid w:val="007A762A"/>
    <w:rsid w:val="007A7E6D"/>
    <w:rsid w:val="007A7F57"/>
    <w:rsid w:val="007B051A"/>
    <w:rsid w:val="007B0666"/>
    <w:rsid w:val="007B0B32"/>
    <w:rsid w:val="007B173E"/>
    <w:rsid w:val="007B20B4"/>
    <w:rsid w:val="007B246F"/>
    <w:rsid w:val="007B28ED"/>
    <w:rsid w:val="007B2F8C"/>
    <w:rsid w:val="007B39FC"/>
    <w:rsid w:val="007B3A21"/>
    <w:rsid w:val="007B3B20"/>
    <w:rsid w:val="007B3C25"/>
    <w:rsid w:val="007B3E6F"/>
    <w:rsid w:val="007B4AEB"/>
    <w:rsid w:val="007B4CD0"/>
    <w:rsid w:val="007B5968"/>
    <w:rsid w:val="007B6265"/>
    <w:rsid w:val="007B63A6"/>
    <w:rsid w:val="007B6E65"/>
    <w:rsid w:val="007B77DD"/>
    <w:rsid w:val="007C1B4E"/>
    <w:rsid w:val="007C1F83"/>
    <w:rsid w:val="007C30CD"/>
    <w:rsid w:val="007C35F6"/>
    <w:rsid w:val="007C4DAF"/>
    <w:rsid w:val="007C55BE"/>
    <w:rsid w:val="007C6B97"/>
    <w:rsid w:val="007C7A27"/>
    <w:rsid w:val="007C7AFF"/>
    <w:rsid w:val="007D0475"/>
    <w:rsid w:val="007D066A"/>
    <w:rsid w:val="007D07E8"/>
    <w:rsid w:val="007D2C03"/>
    <w:rsid w:val="007D2DD8"/>
    <w:rsid w:val="007D2F26"/>
    <w:rsid w:val="007D3223"/>
    <w:rsid w:val="007D349C"/>
    <w:rsid w:val="007D34D0"/>
    <w:rsid w:val="007D353D"/>
    <w:rsid w:val="007D4855"/>
    <w:rsid w:val="007D4919"/>
    <w:rsid w:val="007D5CEA"/>
    <w:rsid w:val="007D6318"/>
    <w:rsid w:val="007D6E52"/>
    <w:rsid w:val="007E05EF"/>
    <w:rsid w:val="007E11A6"/>
    <w:rsid w:val="007E1EE7"/>
    <w:rsid w:val="007E325A"/>
    <w:rsid w:val="007E3285"/>
    <w:rsid w:val="007E45C6"/>
    <w:rsid w:val="007E475F"/>
    <w:rsid w:val="007E49D4"/>
    <w:rsid w:val="007E4D35"/>
    <w:rsid w:val="007E6295"/>
    <w:rsid w:val="007E7520"/>
    <w:rsid w:val="007F1C1B"/>
    <w:rsid w:val="007F367C"/>
    <w:rsid w:val="007F41CD"/>
    <w:rsid w:val="007F4A19"/>
    <w:rsid w:val="007F4F94"/>
    <w:rsid w:val="007F53BC"/>
    <w:rsid w:val="007F58A8"/>
    <w:rsid w:val="007F5C6E"/>
    <w:rsid w:val="007F5EAE"/>
    <w:rsid w:val="007F6BA3"/>
    <w:rsid w:val="007F6DD1"/>
    <w:rsid w:val="00801021"/>
    <w:rsid w:val="008010F2"/>
    <w:rsid w:val="0080138C"/>
    <w:rsid w:val="0080194B"/>
    <w:rsid w:val="008027D0"/>
    <w:rsid w:val="008031A6"/>
    <w:rsid w:val="0080382B"/>
    <w:rsid w:val="00803DC9"/>
    <w:rsid w:val="00804DFF"/>
    <w:rsid w:val="00805BB5"/>
    <w:rsid w:val="00806ACD"/>
    <w:rsid w:val="00807456"/>
    <w:rsid w:val="008079D6"/>
    <w:rsid w:val="00807DCD"/>
    <w:rsid w:val="00807FA8"/>
    <w:rsid w:val="00810542"/>
    <w:rsid w:val="00810F6C"/>
    <w:rsid w:val="00811249"/>
    <w:rsid w:val="008125D0"/>
    <w:rsid w:val="008126BA"/>
    <w:rsid w:val="0081324F"/>
    <w:rsid w:val="00813693"/>
    <w:rsid w:val="00813C88"/>
    <w:rsid w:val="0081464F"/>
    <w:rsid w:val="0081574C"/>
    <w:rsid w:val="008159DE"/>
    <w:rsid w:val="00816A06"/>
    <w:rsid w:val="00816A38"/>
    <w:rsid w:val="00817A96"/>
    <w:rsid w:val="008202F0"/>
    <w:rsid w:val="008203C4"/>
    <w:rsid w:val="008208C8"/>
    <w:rsid w:val="00821407"/>
    <w:rsid w:val="008232DD"/>
    <w:rsid w:val="008234FC"/>
    <w:rsid w:val="00823C42"/>
    <w:rsid w:val="00823C9E"/>
    <w:rsid w:val="008243A0"/>
    <w:rsid w:val="008247FA"/>
    <w:rsid w:val="00824B70"/>
    <w:rsid w:val="00825135"/>
    <w:rsid w:val="00826910"/>
    <w:rsid w:val="00827586"/>
    <w:rsid w:val="0083040B"/>
    <w:rsid w:val="00830ED5"/>
    <w:rsid w:val="00831865"/>
    <w:rsid w:val="00831CBD"/>
    <w:rsid w:val="008329D6"/>
    <w:rsid w:val="00832B8F"/>
    <w:rsid w:val="008333BB"/>
    <w:rsid w:val="00833DCA"/>
    <w:rsid w:val="00834263"/>
    <w:rsid w:val="008344F5"/>
    <w:rsid w:val="00834ABB"/>
    <w:rsid w:val="00835E33"/>
    <w:rsid w:val="00835FD9"/>
    <w:rsid w:val="00836A16"/>
    <w:rsid w:val="00836A46"/>
    <w:rsid w:val="00836B4C"/>
    <w:rsid w:val="00836F0A"/>
    <w:rsid w:val="00837E87"/>
    <w:rsid w:val="008403BB"/>
    <w:rsid w:val="00840EF8"/>
    <w:rsid w:val="008417CA"/>
    <w:rsid w:val="00842427"/>
    <w:rsid w:val="00842AC4"/>
    <w:rsid w:val="008437C2"/>
    <w:rsid w:val="008444DF"/>
    <w:rsid w:val="00844754"/>
    <w:rsid w:val="00844AC2"/>
    <w:rsid w:val="00846B58"/>
    <w:rsid w:val="00846EFB"/>
    <w:rsid w:val="008477AF"/>
    <w:rsid w:val="0085025A"/>
    <w:rsid w:val="00850513"/>
    <w:rsid w:val="008506B3"/>
    <w:rsid w:val="00850BD0"/>
    <w:rsid w:val="008534EB"/>
    <w:rsid w:val="00853C42"/>
    <w:rsid w:val="00853F08"/>
    <w:rsid w:val="0085457C"/>
    <w:rsid w:val="00854A01"/>
    <w:rsid w:val="00854FAA"/>
    <w:rsid w:val="00854FE3"/>
    <w:rsid w:val="0085513C"/>
    <w:rsid w:val="0085516A"/>
    <w:rsid w:val="00856199"/>
    <w:rsid w:val="008565C9"/>
    <w:rsid w:val="00856BE4"/>
    <w:rsid w:val="00856DE6"/>
    <w:rsid w:val="00856FC0"/>
    <w:rsid w:val="008576F7"/>
    <w:rsid w:val="008610D1"/>
    <w:rsid w:val="00861910"/>
    <w:rsid w:val="00862C3E"/>
    <w:rsid w:val="00862D5F"/>
    <w:rsid w:val="0086305C"/>
    <w:rsid w:val="008632EA"/>
    <w:rsid w:val="00863730"/>
    <w:rsid w:val="008638C5"/>
    <w:rsid w:val="008640F3"/>
    <w:rsid w:val="0086430E"/>
    <w:rsid w:val="0086573B"/>
    <w:rsid w:val="00865D04"/>
    <w:rsid w:val="008663E0"/>
    <w:rsid w:val="00867D42"/>
    <w:rsid w:val="0087031D"/>
    <w:rsid w:val="00870BE4"/>
    <w:rsid w:val="008720CB"/>
    <w:rsid w:val="0087339C"/>
    <w:rsid w:val="00874332"/>
    <w:rsid w:val="00874ED6"/>
    <w:rsid w:val="008752F6"/>
    <w:rsid w:val="0087636E"/>
    <w:rsid w:val="00876EC7"/>
    <w:rsid w:val="00877017"/>
    <w:rsid w:val="00877101"/>
    <w:rsid w:val="00877A0F"/>
    <w:rsid w:val="00877A25"/>
    <w:rsid w:val="00877C40"/>
    <w:rsid w:val="008803D4"/>
    <w:rsid w:val="00880653"/>
    <w:rsid w:val="008817C4"/>
    <w:rsid w:val="00882FA2"/>
    <w:rsid w:val="00884188"/>
    <w:rsid w:val="00885B19"/>
    <w:rsid w:val="00885C00"/>
    <w:rsid w:val="00887400"/>
    <w:rsid w:val="008878FC"/>
    <w:rsid w:val="00890096"/>
    <w:rsid w:val="00890FF1"/>
    <w:rsid w:val="008914F8"/>
    <w:rsid w:val="0089169D"/>
    <w:rsid w:val="00891920"/>
    <w:rsid w:val="008922FA"/>
    <w:rsid w:val="008924C6"/>
    <w:rsid w:val="00892601"/>
    <w:rsid w:val="00892959"/>
    <w:rsid w:val="00892BE1"/>
    <w:rsid w:val="00892DC5"/>
    <w:rsid w:val="008937C8"/>
    <w:rsid w:val="0089542D"/>
    <w:rsid w:val="008958CE"/>
    <w:rsid w:val="00895B64"/>
    <w:rsid w:val="00897589"/>
    <w:rsid w:val="00897877"/>
    <w:rsid w:val="008A0D94"/>
    <w:rsid w:val="008A1361"/>
    <w:rsid w:val="008A1592"/>
    <w:rsid w:val="008A17B8"/>
    <w:rsid w:val="008A1B51"/>
    <w:rsid w:val="008A2E2D"/>
    <w:rsid w:val="008A3167"/>
    <w:rsid w:val="008A3347"/>
    <w:rsid w:val="008A381C"/>
    <w:rsid w:val="008A38AA"/>
    <w:rsid w:val="008A4B65"/>
    <w:rsid w:val="008A58EF"/>
    <w:rsid w:val="008A5C97"/>
    <w:rsid w:val="008A5E53"/>
    <w:rsid w:val="008A6303"/>
    <w:rsid w:val="008A6AF9"/>
    <w:rsid w:val="008A72B3"/>
    <w:rsid w:val="008A733D"/>
    <w:rsid w:val="008B00D3"/>
    <w:rsid w:val="008B04BA"/>
    <w:rsid w:val="008B0A92"/>
    <w:rsid w:val="008B12DB"/>
    <w:rsid w:val="008B1725"/>
    <w:rsid w:val="008B273E"/>
    <w:rsid w:val="008B281A"/>
    <w:rsid w:val="008B41AD"/>
    <w:rsid w:val="008B464E"/>
    <w:rsid w:val="008B472F"/>
    <w:rsid w:val="008B5162"/>
    <w:rsid w:val="008B5549"/>
    <w:rsid w:val="008B5DA9"/>
    <w:rsid w:val="008B6269"/>
    <w:rsid w:val="008B6B43"/>
    <w:rsid w:val="008B7155"/>
    <w:rsid w:val="008B7A10"/>
    <w:rsid w:val="008C06A8"/>
    <w:rsid w:val="008C073A"/>
    <w:rsid w:val="008C1420"/>
    <w:rsid w:val="008C1A7E"/>
    <w:rsid w:val="008C24E0"/>
    <w:rsid w:val="008C2AE7"/>
    <w:rsid w:val="008C2B07"/>
    <w:rsid w:val="008C2DF0"/>
    <w:rsid w:val="008C2FBF"/>
    <w:rsid w:val="008C33EA"/>
    <w:rsid w:val="008C36FC"/>
    <w:rsid w:val="008C405E"/>
    <w:rsid w:val="008C6C34"/>
    <w:rsid w:val="008C6C49"/>
    <w:rsid w:val="008C7329"/>
    <w:rsid w:val="008C76F4"/>
    <w:rsid w:val="008C7C1A"/>
    <w:rsid w:val="008C7E28"/>
    <w:rsid w:val="008D0CF7"/>
    <w:rsid w:val="008D1620"/>
    <w:rsid w:val="008D1827"/>
    <w:rsid w:val="008D1DAB"/>
    <w:rsid w:val="008D1E95"/>
    <w:rsid w:val="008D1E9E"/>
    <w:rsid w:val="008D277E"/>
    <w:rsid w:val="008D30DA"/>
    <w:rsid w:val="008D3664"/>
    <w:rsid w:val="008D3B8F"/>
    <w:rsid w:val="008D3FD7"/>
    <w:rsid w:val="008D4153"/>
    <w:rsid w:val="008D41EB"/>
    <w:rsid w:val="008D4DE3"/>
    <w:rsid w:val="008D51D4"/>
    <w:rsid w:val="008D6A1D"/>
    <w:rsid w:val="008D6F47"/>
    <w:rsid w:val="008D7659"/>
    <w:rsid w:val="008E0D40"/>
    <w:rsid w:val="008E2240"/>
    <w:rsid w:val="008E2C34"/>
    <w:rsid w:val="008E34F2"/>
    <w:rsid w:val="008E3506"/>
    <w:rsid w:val="008E4A39"/>
    <w:rsid w:val="008E4BA6"/>
    <w:rsid w:val="008E58A4"/>
    <w:rsid w:val="008E5DBF"/>
    <w:rsid w:val="008E5F6C"/>
    <w:rsid w:val="008E6306"/>
    <w:rsid w:val="008E7AE1"/>
    <w:rsid w:val="008F02C5"/>
    <w:rsid w:val="008F05A6"/>
    <w:rsid w:val="008F0C59"/>
    <w:rsid w:val="008F204B"/>
    <w:rsid w:val="008F209E"/>
    <w:rsid w:val="008F3171"/>
    <w:rsid w:val="008F34B9"/>
    <w:rsid w:val="008F3B3B"/>
    <w:rsid w:val="008F3C8F"/>
    <w:rsid w:val="008F4070"/>
    <w:rsid w:val="008F4EB9"/>
    <w:rsid w:val="008F57F7"/>
    <w:rsid w:val="008F6C5D"/>
    <w:rsid w:val="008F6ECD"/>
    <w:rsid w:val="008F6F85"/>
    <w:rsid w:val="008F741C"/>
    <w:rsid w:val="0090037B"/>
    <w:rsid w:val="0090136B"/>
    <w:rsid w:val="00902D94"/>
    <w:rsid w:val="00903552"/>
    <w:rsid w:val="009035AA"/>
    <w:rsid w:val="009037ED"/>
    <w:rsid w:val="0090546F"/>
    <w:rsid w:val="00905C0D"/>
    <w:rsid w:val="0090601A"/>
    <w:rsid w:val="009060B1"/>
    <w:rsid w:val="009066C1"/>
    <w:rsid w:val="009067DA"/>
    <w:rsid w:val="00906A13"/>
    <w:rsid w:val="00906C0D"/>
    <w:rsid w:val="00907700"/>
    <w:rsid w:val="009079E3"/>
    <w:rsid w:val="00907D0A"/>
    <w:rsid w:val="00907D18"/>
    <w:rsid w:val="00910717"/>
    <w:rsid w:val="009107B4"/>
    <w:rsid w:val="00910D27"/>
    <w:rsid w:val="009110CC"/>
    <w:rsid w:val="0091125F"/>
    <w:rsid w:val="009123B6"/>
    <w:rsid w:val="009130DB"/>
    <w:rsid w:val="00913625"/>
    <w:rsid w:val="00913C5F"/>
    <w:rsid w:val="00914945"/>
    <w:rsid w:val="00914C1C"/>
    <w:rsid w:val="009155A4"/>
    <w:rsid w:val="009163BC"/>
    <w:rsid w:val="00916ABC"/>
    <w:rsid w:val="00916D30"/>
    <w:rsid w:val="00916FA3"/>
    <w:rsid w:val="00921D16"/>
    <w:rsid w:val="00921F90"/>
    <w:rsid w:val="009228C7"/>
    <w:rsid w:val="00922D67"/>
    <w:rsid w:val="00922D90"/>
    <w:rsid w:val="0092507E"/>
    <w:rsid w:val="00925EE9"/>
    <w:rsid w:val="0092680E"/>
    <w:rsid w:val="009268D1"/>
    <w:rsid w:val="00930265"/>
    <w:rsid w:val="009305B9"/>
    <w:rsid w:val="00930B76"/>
    <w:rsid w:val="00930EC5"/>
    <w:rsid w:val="00931487"/>
    <w:rsid w:val="00931C6D"/>
    <w:rsid w:val="00932FCB"/>
    <w:rsid w:val="00933636"/>
    <w:rsid w:val="00933890"/>
    <w:rsid w:val="00933F6A"/>
    <w:rsid w:val="00935FFD"/>
    <w:rsid w:val="00936361"/>
    <w:rsid w:val="009364A3"/>
    <w:rsid w:val="009364D2"/>
    <w:rsid w:val="00936BEB"/>
    <w:rsid w:val="00937C23"/>
    <w:rsid w:val="009400D0"/>
    <w:rsid w:val="00940FDD"/>
    <w:rsid w:val="009419D1"/>
    <w:rsid w:val="00941C55"/>
    <w:rsid w:val="00942463"/>
    <w:rsid w:val="0094291C"/>
    <w:rsid w:val="00943268"/>
    <w:rsid w:val="00943D8B"/>
    <w:rsid w:val="00943F8E"/>
    <w:rsid w:val="009444D5"/>
    <w:rsid w:val="00944840"/>
    <w:rsid w:val="00944D4D"/>
    <w:rsid w:val="009459A8"/>
    <w:rsid w:val="00947C39"/>
    <w:rsid w:val="00950003"/>
    <w:rsid w:val="009503FC"/>
    <w:rsid w:val="00951E7B"/>
    <w:rsid w:val="00952228"/>
    <w:rsid w:val="009523C3"/>
    <w:rsid w:val="00953FC9"/>
    <w:rsid w:val="00954075"/>
    <w:rsid w:val="00954949"/>
    <w:rsid w:val="00955715"/>
    <w:rsid w:val="00955851"/>
    <w:rsid w:val="00955A33"/>
    <w:rsid w:val="00956A7E"/>
    <w:rsid w:val="0095710B"/>
    <w:rsid w:val="009604A3"/>
    <w:rsid w:val="00961B4D"/>
    <w:rsid w:val="00962C89"/>
    <w:rsid w:val="009631DD"/>
    <w:rsid w:val="0096362B"/>
    <w:rsid w:val="0096385B"/>
    <w:rsid w:val="00963C6A"/>
    <w:rsid w:val="00964C64"/>
    <w:rsid w:val="0096596F"/>
    <w:rsid w:val="009659B6"/>
    <w:rsid w:val="00965C41"/>
    <w:rsid w:val="00965D6D"/>
    <w:rsid w:val="00965F4F"/>
    <w:rsid w:val="00967E3F"/>
    <w:rsid w:val="00967EFB"/>
    <w:rsid w:val="009706AA"/>
    <w:rsid w:val="00970F8A"/>
    <w:rsid w:val="00970F9B"/>
    <w:rsid w:val="00971B4E"/>
    <w:rsid w:val="00971D6C"/>
    <w:rsid w:val="0097209D"/>
    <w:rsid w:val="0097215F"/>
    <w:rsid w:val="00972E93"/>
    <w:rsid w:val="00974AC9"/>
    <w:rsid w:val="009765CE"/>
    <w:rsid w:val="009768FA"/>
    <w:rsid w:val="00976AEB"/>
    <w:rsid w:val="00976B21"/>
    <w:rsid w:val="0097752A"/>
    <w:rsid w:val="00977EA7"/>
    <w:rsid w:val="009807B5"/>
    <w:rsid w:val="009807BF"/>
    <w:rsid w:val="00981E84"/>
    <w:rsid w:val="00982DA4"/>
    <w:rsid w:val="00982FFE"/>
    <w:rsid w:val="00984198"/>
    <w:rsid w:val="0098449D"/>
    <w:rsid w:val="009851F1"/>
    <w:rsid w:val="00985D51"/>
    <w:rsid w:val="00985E4F"/>
    <w:rsid w:val="00986B10"/>
    <w:rsid w:val="00987342"/>
    <w:rsid w:val="00987A8F"/>
    <w:rsid w:val="00987D26"/>
    <w:rsid w:val="00990BCD"/>
    <w:rsid w:val="00991FFD"/>
    <w:rsid w:val="009922AA"/>
    <w:rsid w:val="00992384"/>
    <w:rsid w:val="009925CD"/>
    <w:rsid w:val="00992765"/>
    <w:rsid w:val="00992FC2"/>
    <w:rsid w:val="00993593"/>
    <w:rsid w:val="00993B88"/>
    <w:rsid w:val="00993C75"/>
    <w:rsid w:val="00994586"/>
    <w:rsid w:val="00995AE3"/>
    <w:rsid w:val="009965D3"/>
    <w:rsid w:val="00996780"/>
    <w:rsid w:val="00996798"/>
    <w:rsid w:val="00997513"/>
    <w:rsid w:val="009A1B4D"/>
    <w:rsid w:val="009A2480"/>
    <w:rsid w:val="009A53C7"/>
    <w:rsid w:val="009A564A"/>
    <w:rsid w:val="009A5A0C"/>
    <w:rsid w:val="009A6A44"/>
    <w:rsid w:val="009A6EA6"/>
    <w:rsid w:val="009B0CC7"/>
    <w:rsid w:val="009B0D0B"/>
    <w:rsid w:val="009B0D96"/>
    <w:rsid w:val="009B14C3"/>
    <w:rsid w:val="009B1C5A"/>
    <w:rsid w:val="009B273A"/>
    <w:rsid w:val="009B3B56"/>
    <w:rsid w:val="009B427C"/>
    <w:rsid w:val="009B4B1D"/>
    <w:rsid w:val="009B4DF5"/>
    <w:rsid w:val="009B55D5"/>
    <w:rsid w:val="009B68E6"/>
    <w:rsid w:val="009B6CD6"/>
    <w:rsid w:val="009B6EB4"/>
    <w:rsid w:val="009B7C7C"/>
    <w:rsid w:val="009C0329"/>
    <w:rsid w:val="009C1B26"/>
    <w:rsid w:val="009C1C3C"/>
    <w:rsid w:val="009C21A8"/>
    <w:rsid w:val="009C224C"/>
    <w:rsid w:val="009C2C50"/>
    <w:rsid w:val="009C34C3"/>
    <w:rsid w:val="009C3C3E"/>
    <w:rsid w:val="009C3CA7"/>
    <w:rsid w:val="009C42B8"/>
    <w:rsid w:val="009C4740"/>
    <w:rsid w:val="009C4770"/>
    <w:rsid w:val="009C56D8"/>
    <w:rsid w:val="009C5A4B"/>
    <w:rsid w:val="009C727B"/>
    <w:rsid w:val="009D08C2"/>
    <w:rsid w:val="009D0DE3"/>
    <w:rsid w:val="009D29B4"/>
    <w:rsid w:val="009D40CD"/>
    <w:rsid w:val="009D5259"/>
    <w:rsid w:val="009D54C6"/>
    <w:rsid w:val="009D63B6"/>
    <w:rsid w:val="009D6675"/>
    <w:rsid w:val="009D798B"/>
    <w:rsid w:val="009D7E55"/>
    <w:rsid w:val="009E0484"/>
    <w:rsid w:val="009E0DF5"/>
    <w:rsid w:val="009E0FDF"/>
    <w:rsid w:val="009E181F"/>
    <w:rsid w:val="009E20A8"/>
    <w:rsid w:val="009E2661"/>
    <w:rsid w:val="009E282E"/>
    <w:rsid w:val="009E2DD5"/>
    <w:rsid w:val="009E4A1A"/>
    <w:rsid w:val="009E50A3"/>
    <w:rsid w:val="009E5422"/>
    <w:rsid w:val="009E5531"/>
    <w:rsid w:val="009E5D4E"/>
    <w:rsid w:val="009E68FB"/>
    <w:rsid w:val="009E6C9B"/>
    <w:rsid w:val="009E6E85"/>
    <w:rsid w:val="009E7441"/>
    <w:rsid w:val="009E7694"/>
    <w:rsid w:val="009E786E"/>
    <w:rsid w:val="009E7916"/>
    <w:rsid w:val="009F189A"/>
    <w:rsid w:val="009F230F"/>
    <w:rsid w:val="009F2557"/>
    <w:rsid w:val="009F27F9"/>
    <w:rsid w:val="009F3268"/>
    <w:rsid w:val="009F3778"/>
    <w:rsid w:val="009F3FFF"/>
    <w:rsid w:val="009F53E5"/>
    <w:rsid w:val="009F5469"/>
    <w:rsid w:val="009F6113"/>
    <w:rsid w:val="009F6549"/>
    <w:rsid w:val="00A003DC"/>
    <w:rsid w:val="00A00F5A"/>
    <w:rsid w:val="00A019CE"/>
    <w:rsid w:val="00A01DE1"/>
    <w:rsid w:val="00A02E76"/>
    <w:rsid w:val="00A0304A"/>
    <w:rsid w:val="00A03955"/>
    <w:rsid w:val="00A03A30"/>
    <w:rsid w:val="00A0423E"/>
    <w:rsid w:val="00A0472B"/>
    <w:rsid w:val="00A06BB6"/>
    <w:rsid w:val="00A104D6"/>
    <w:rsid w:val="00A10BC5"/>
    <w:rsid w:val="00A10E5D"/>
    <w:rsid w:val="00A1133E"/>
    <w:rsid w:val="00A11ECC"/>
    <w:rsid w:val="00A12C0E"/>
    <w:rsid w:val="00A12CA9"/>
    <w:rsid w:val="00A140F6"/>
    <w:rsid w:val="00A1584B"/>
    <w:rsid w:val="00A1692B"/>
    <w:rsid w:val="00A171C3"/>
    <w:rsid w:val="00A21CAD"/>
    <w:rsid w:val="00A223B9"/>
    <w:rsid w:val="00A22940"/>
    <w:rsid w:val="00A22AF4"/>
    <w:rsid w:val="00A23067"/>
    <w:rsid w:val="00A23575"/>
    <w:rsid w:val="00A2378C"/>
    <w:rsid w:val="00A24DC1"/>
    <w:rsid w:val="00A26B25"/>
    <w:rsid w:val="00A27486"/>
    <w:rsid w:val="00A27694"/>
    <w:rsid w:val="00A30242"/>
    <w:rsid w:val="00A302A3"/>
    <w:rsid w:val="00A30366"/>
    <w:rsid w:val="00A309A2"/>
    <w:rsid w:val="00A31710"/>
    <w:rsid w:val="00A32AA3"/>
    <w:rsid w:val="00A32EAA"/>
    <w:rsid w:val="00A32EF0"/>
    <w:rsid w:val="00A32F7E"/>
    <w:rsid w:val="00A33CC0"/>
    <w:rsid w:val="00A34574"/>
    <w:rsid w:val="00A34DB2"/>
    <w:rsid w:val="00A35161"/>
    <w:rsid w:val="00A3553B"/>
    <w:rsid w:val="00A35D9F"/>
    <w:rsid w:val="00A368CA"/>
    <w:rsid w:val="00A36E53"/>
    <w:rsid w:val="00A37024"/>
    <w:rsid w:val="00A370EA"/>
    <w:rsid w:val="00A4019F"/>
    <w:rsid w:val="00A409B8"/>
    <w:rsid w:val="00A414A1"/>
    <w:rsid w:val="00A420E2"/>
    <w:rsid w:val="00A44104"/>
    <w:rsid w:val="00A444CD"/>
    <w:rsid w:val="00A444E7"/>
    <w:rsid w:val="00A44AF8"/>
    <w:rsid w:val="00A44DD8"/>
    <w:rsid w:val="00A456A8"/>
    <w:rsid w:val="00A47D24"/>
    <w:rsid w:val="00A500BF"/>
    <w:rsid w:val="00A50256"/>
    <w:rsid w:val="00A50D20"/>
    <w:rsid w:val="00A52BDA"/>
    <w:rsid w:val="00A53C74"/>
    <w:rsid w:val="00A53E97"/>
    <w:rsid w:val="00A5589A"/>
    <w:rsid w:val="00A55B65"/>
    <w:rsid w:val="00A55BB8"/>
    <w:rsid w:val="00A55CFA"/>
    <w:rsid w:val="00A57047"/>
    <w:rsid w:val="00A577A4"/>
    <w:rsid w:val="00A578F1"/>
    <w:rsid w:val="00A57B28"/>
    <w:rsid w:val="00A60416"/>
    <w:rsid w:val="00A60C3D"/>
    <w:rsid w:val="00A61B35"/>
    <w:rsid w:val="00A620E3"/>
    <w:rsid w:val="00A622DF"/>
    <w:rsid w:val="00A62663"/>
    <w:rsid w:val="00A62BD2"/>
    <w:rsid w:val="00A64EC1"/>
    <w:rsid w:val="00A650A6"/>
    <w:rsid w:val="00A65ECB"/>
    <w:rsid w:val="00A660CD"/>
    <w:rsid w:val="00A66D56"/>
    <w:rsid w:val="00A66E1D"/>
    <w:rsid w:val="00A67052"/>
    <w:rsid w:val="00A678DA"/>
    <w:rsid w:val="00A67DE0"/>
    <w:rsid w:val="00A70176"/>
    <w:rsid w:val="00A7047B"/>
    <w:rsid w:val="00A70558"/>
    <w:rsid w:val="00A70E70"/>
    <w:rsid w:val="00A72567"/>
    <w:rsid w:val="00A72C6C"/>
    <w:rsid w:val="00A7362B"/>
    <w:rsid w:val="00A7529F"/>
    <w:rsid w:val="00A7544C"/>
    <w:rsid w:val="00A76200"/>
    <w:rsid w:val="00A76E28"/>
    <w:rsid w:val="00A775CF"/>
    <w:rsid w:val="00A819EE"/>
    <w:rsid w:val="00A821E4"/>
    <w:rsid w:val="00A828B8"/>
    <w:rsid w:val="00A82ABC"/>
    <w:rsid w:val="00A82F8E"/>
    <w:rsid w:val="00A83A78"/>
    <w:rsid w:val="00A8475C"/>
    <w:rsid w:val="00A856EC"/>
    <w:rsid w:val="00A8632E"/>
    <w:rsid w:val="00A90513"/>
    <w:rsid w:val="00A9064B"/>
    <w:rsid w:val="00A907BF"/>
    <w:rsid w:val="00A909A4"/>
    <w:rsid w:val="00A91543"/>
    <w:rsid w:val="00A9205B"/>
    <w:rsid w:val="00A92578"/>
    <w:rsid w:val="00A92AF1"/>
    <w:rsid w:val="00A92CA5"/>
    <w:rsid w:val="00A93347"/>
    <w:rsid w:val="00A94082"/>
    <w:rsid w:val="00A941B8"/>
    <w:rsid w:val="00A94323"/>
    <w:rsid w:val="00A9440A"/>
    <w:rsid w:val="00A94A3A"/>
    <w:rsid w:val="00A9516B"/>
    <w:rsid w:val="00A955C4"/>
    <w:rsid w:val="00A95CEE"/>
    <w:rsid w:val="00AA2A37"/>
    <w:rsid w:val="00AA35B5"/>
    <w:rsid w:val="00AA3898"/>
    <w:rsid w:val="00AA45E0"/>
    <w:rsid w:val="00AA4898"/>
    <w:rsid w:val="00AA5966"/>
    <w:rsid w:val="00AA6D36"/>
    <w:rsid w:val="00AA748A"/>
    <w:rsid w:val="00AB014C"/>
    <w:rsid w:val="00AB043F"/>
    <w:rsid w:val="00AB08CA"/>
    <w:rsid w:val="00AB0BA6"/>
    <w:rsid w:val="00AB333F"/>
    <w:rsid w:val="00AB3567"/>
    <w:rsid w:val="00AB3E75"/>
    <w:rsid w:val="00AB48C1"/>
    <w:rsid w:val="00AB49E6"/>
    <w:rsid w:val="00AB4C4B"/>
    <w:rsid w:val="00AB5242"/>
    <w:rsid w:val="00AB7874"/>
    <w:rsid w:val="00AB79F3"/>
    <w:rsid w:val="00AC046F"/>
    <w:rsid w:val="00AC0CE0"/>
    <w:rsid w:val="00AC155B"/>
    <w:rsid w:val="00AC19D4"/>
    <w:rsid w:val="00AC3431"/>
    <w:rsid w:val="00AC3587"/>
    <w:rsid w:val="00AC3679"/>
    <w:rsid w:val="00AC3D84"/>
    <w:rsid w:val="00AC4E08"/>
    <w:rsid w:val="00AC5411"/>
    <w:rsid w:val="00AC5AA3"/>
    <w:rsid w:val="00AC5AE1"/>
    <w:rsid w:val="00AC6B37"/>
    <w:rsid w:val="00AC71FF"/>
    <w:rsid w:val="00AC74EB"/>
    <w:rsid w:val="00AC7937"/>
    <w:rsid w:val="00AC7DBE"/>
    <w:rsid w:val="00AD039D"/>
    <w:rsid w:val="00AD0CC7"/>
    <w:rsid w:val="00AD146B"/>
    <w:rsid w:val="00AD214B"/>
    <w:rsid w:val="00AD2813"/>
    <w:rsid w:val="00AD2FDE"/>
    <w:rsid w:val="00AD3499"/>
    <w:rsid w:val="00AD36E8"/>
    <w:rsid w:val="00AD489D"/>
    <w:rsid w:val="00AD4970"/>
    <w:rsid w:val="00AD52B1"/>
    <w:rsid w:val="00AD5CD5"/>
    <w:rsid w:val="00AD6503"/>
    <w:rsid w:val="00AD7317"/>
    <w:rsid w:val="00AD782E"/>
    <w:rsid w:val="00AD78F6"/>
    <w:rsid w:val="00AD7936"/>
    <w:rsid w:val="00AD79A3"/>
    <w:rsid w:val="00AE03E7"/>
    <w:rsid w:val="00AE1DB5"/>
    <w:rsid w:val="00AE200B"/>
    <w:rsid w:val="00AE2277"/>
    <w:rsid w:val="00AE292D"/>
    <w:rsid w:val="00AE2EAB"/>
    <w:rsid w:val="00AE313D"/>
    <w:rsid w:val="00AE46CE"/>
    <w:rsid w:val="00AE5830"/>
    <w:rsid w:val="00AE5BC5"/>
    <w:rsid w:val="00AE5EBC"/>
    <w:rsid w:val="00AE6557"/>
    <w:rsid w:val="00AE7DD8"/>
    <w:rsid w:val="00AF038C"/>
    <w:rsid w:val="00AF0769"/>
    <w:rsid w:val="00AF0CFC"/>
    <w:rsid w:val="00AF1287"/>
    <w:rsid w:val="00AF2DA7"/>
    <w:rsid w:val="00AF2DAA"/>
    <w:rsid w:val="00AF4A85"/>
    <w:rsid w:val="00AF5ED5"/>
    <w:rsid w:val="00AF7CCB"/>
    <w:rsid w:val="00B001C0"/>
    <w:rsid w:val="00B00EC4"/>
    <w:rsid w:val="00B013F8"/>
    <w:rsid w:val="00B022E6"/>
    <w:rsid w:val="00B02BB4"/>
    <w:rsid w:val="00B02F25"/>
    <w:rsid w:val="00B03982"/>
    <w:rsid w:val="00B05486"/>
    <w:rsid w:val="00B05EA0"/>
    <w:rsid w:val="00B0636C"/>
    <w:rsid w:val="00B07C0E"/>
    <w:rsid w:val="00B1022B"/>
    <w:rsid w:val="00B104B5"/>
    <w:rsid w:val="00B107E7"/>
    <w:rsid w:val="00B1101A"/>
    <w:rsid w:val="00B11110"/>
    <w:rsid w:val="00B1171B"/>
    <w:rsid w:val="00B121FD"/>
    <w:rsid w:val="00B1308C"/>
    <w:rsid w:val="00B1445D"/>
    <w:rsid w:val="00B15315"/>
    <w:rsid w:val="00B1596E"/>
    <w:rsid w:val="00B15D69"/>
    <w:rsid w:val="00B160E7"/>
    <w:rsid w:val="00B17550"/>
    <w:rsid w:val="00B206CB"/>
    <w:rsid w:val="00B20955"/>
    <w:rsid w:val="00B20E16"/>
    <w:rsid w:val="00B210DF"/>
    <w:rsid w:val="00B215F3"/>
    <w:rsid w:val="00B22D7B"/>
    <w:rsid w:val="00B242F7"/>
    <w:rsid w:val="00B24493"/>
    <w:rsid w:val="00B24F2B"/>
    <w:rsid w:val="00B250BC"/>
    <w:rsid w:val="00B256FE"/>
    <w:rsid w:val="00B25717"/>
    <w:rsid w:val="00B25E21"/>
    <w:rsid w:val="00B25E90"/>
    <w:rsid w:val="00B26FC5"/>
    <w:rsid w:val="00B27F04"/>
    <w:rsid w:val="00B3057E"/>
    <w:rsid w:val="00B32712"/>
    <w:rsid w:val="00B32EA3"/>
    <w:rsid w:val="00B33BC4"/>
    <w:rsid w:val="00B34ADA"/>
    <w:rsid w:val="00B34B20"/>
    <w:rsid w:val="00B3506A"/>
    <w:rsid w:val="00B35ABE"/>
    <w:rsid w:val="00B408B5"/>
    <w:rsid w:val="00B409DB"/>
    <w:rsid w:val="00B41034"/>
    <w:rsid w:val="00B41345"/>
    <w:rsid w:val="00B41B27"/>
    <w:rsid w:val="00B42AB9"/>
    <w:rsid w:val="00B43C93"/>
    <w:rsid w:val="00B445D1"/>
    <w:rsid w:val="00B44B3A"/>
    <w:rsid w:val="00B44C6E"/>
    <w:rsid w:val="00B4544D"/>
    <w:rsid w:val="00B458D5"/>
    <w:rsid w:val="00B45BBB"/>
    <w:rsid w:val="00B45DB2"/>
    <w:rsid w:val="00B45DDF"/>
    <w:rsid w:val="00B45ECC"/>
    <w:rsid w:val="00B46AA9"/>
    <w:rsid w:val="00B475BE"/>
    <w:rsid w:val="00B476C2"/>
    <w:rsid w:val="00B47800"/>
    <w:rsid w:val="00B47C5F"/>
    <w:rsid w:val="00B5002A"/>
    <w:rsid w:val="00B50B53"/>
    <w:rsid w:val="00B50E8A"/>
    <w:rsid w:val="00B5132D"/>
    <w:rsid w:val="00B5136F"/>
    <w:rsid w:val="00B5173C"/>
    <w:rsid w:val="00B521D8"/>
    <w:rsid w:val="00B52525"/>
    <w:rsid w:val="00B53AFA"/>
    <w:rsid w:val="00B53CE1"/>
    <w:rsid w:val="00B53FCB"/>
    <w:rsid w:val="00B54466"/>
    <w:rsid w:val="00B54BEC"/>
    <w:rsid w:val="00B5542F"/>
    <w:rsid w:val="00B55E10"/>
    <w:rsid w:val="00B5631C"/>
    <w:rsid w:val="00B56689"/>
    <w:rsid w:val="00B6033B"/>
    <w:rsid w:val="00B616A4"/>
    <w:rsid w:val="00B61703"/>
    <w:rsid w:val="00B61B62"/>
    <w:rsid w:val="00B620B5"/>
    <w:rsid w:val="00B62FB4"/>
    <w:rsid w:val="00B633F7"/>
    <w:rsid w:val="00B63B64"/>
    <w:rsid w:val="00B64498"/>
    <w:rsid w:val="00B65C22"/>
    <w:rsid w:val="00B66EAB"/>
    <w:rsid w:val="00B66FBD"/>
    <w:rsid w:val="00B67434"/>
    <w:rsid w:val="00B675E3"/>
    <w:rsid w:val="00B67B89"/>
    <w:rsid w:val="00B7127F"/>
    <w:rsid w:val="00B71756"/>
    <w:rsid w:val="00B72BB2"/>
    <w:rsid w:val="00B72DDC"/>
    <w:rsid w:val="00B7403B"/>
    <w:rsid w:val="00B744FA"/>
    <w:rsid w:val="00B746B3"/>
    <w:rsid w:val="00B74AFA"/>
    <w:rsid w:val="00B74BF3"/>
    <w:rsid w:val="00B76278"/>
    <w:rsid w:val="00B767AD"/>
    <w:rsid w:val="00B76A53"/>
    <w:rsid w:val="00B76A5B"/>
    <w:rsid w:val="00B773CF"/>
    <w:rsid w:val="00B7780E"/>
    <w:rsid w:val="00B8087E"/>
    <w:rsid w:val="00B80D7E"/>
    <w:rsid w:val="00B81339"/>
    <w:rsid w:val="00B8146C"/>
    <w:rsid w:val="00B81E19"/>
    <w:rsid w:val="00B8309C"/>
    <w:rsid w:val="00B83C1D"/>
    <w:rsid w:val="00B84080"/>
    <w:rsid w:val="00B84FA6"/>
    <w:rsid w:val="00B85FC2"/>
    <w:rsid w:val="00B862F3"/>
    <w:rsid w:val="00B86E4F"/>
    <w:rsid w:val="00B877DA"/>
    <w:rsid w:val="00B87F19"/>
    <w:rsid w:val="00B87FFB"/>
    <w:rsid w:val="00B90653"/>
    <w:rsid w:val="00B914B8"/>
    <w:rsid w:val="00B922C4"/>
    <w:rsid w:val="00B924CD"/>
    <w:rsid w:val="00B92596"/>
    <w:rsid w:val="00B93301"/>
    <w:rsid w:val="00B93AD1"/>
    <w:rsid w:val="00B9413C"/>
    <w:rsid w:val="00B9459A"/>
    <w:rsid w:val="00B94CEC"/>
    <w:rsid w:val="00B95ADD"/>
    <w:rsid w:val="00B96924"/>
    <w:rsid w:val="00B97BE6"/>
    <w:rsid w:val="00BA0886"/>
    <w:rsid w:val="00BA09CE"/>
    <w:rsid w:val="00BA0C34"/>
    <w:rsid w:val="00BA20AA"/>
    <w:rsid w:val="00BA20E1"/>
    <w:rsid w:val="00BA267A"/>
    <w:rsid w:val="00BA2CFD"/>
    <w:rsid w:val="00BA2F1F"/>
    <w:rsid w:val="00BA3034"/>
    <w:rsid w:val="00BA5205"/>
    <w:rsid w:val="00BA56A4"/>
    <w:rsid w:val="00BA62C3"/>
    <w:rsid w:val="00BA6FE8"/>
    <w:rsid w:val="00BB003C"/>
    <w:rsid w:val="00BB0DA0"/>
    <w:rsid w:val="00BB1A04"/>
    <w:rsid w:val="00BB20D1"/>
    <w:rsid w:val="00BB2602"/>
    <w:rsid w:val="00BB295B"/>
    <w:rsid w:val="00BB344E"/>
    <w:rsid w:val="00BB4122"/>
    <w:rsid w:val="00BB5D96"/>
    <w:rsid w:val="00BB5DCC"/>
    <w:rsid w:val="00BB61E8"/>
    <w:rsid w:val="00BB6528"/>
    <w:rsid w:val="00BB73D5"/>
    <w:rsid w:val="00BB76EA"/>
    <w:rsid w:val="00BB780D"/>
    <w:rsid w:val="00BB7A60"/>
    <w:rsid w:val="00BB7A7A"/>
    <w:rsid w:val="00BC0279"/>
    <w:rsid w:val="00BC0332"/>
    <w:rsid w:val="00BC0807"/>
    <w:rsid w:val="00BC087D"/>
    <w:rsid w:val="00BC0D5D"/>
    <w:rsid w:val="00BC0F69"/>
    <w:rsid w:val="00BC17DC"/>
    <w:rsid w:val="00BC2115"/>
    <w:rsid w:val="00BC3186"/>
    <w:rsid w:val="00BC3656"/>
    <w:rsid w:val="00BC4FCB"/>
    <w:rsid w:val="00BC5FE2"/>
    <w:rsid w:val="00BC63F1"/>
    <w:rsid w:val="00BC66ED"/>
    <w:rsid w:val="00BC6767"/>
    <w:rsid w:val="00BC6772"/>
    <w:rsid w:val="00BC694F"/>
    <w:rsid w:val="00BC73E6"/>
    <w:rsid w:val="00BD17FA"/>
    <w:rsid w:val="00BD1AB8"/>
    <w:rsid w:val="00BD1D3A"/>
    <w:rsid w:val="00BD3336"/>
    <w:rsid w:val="00BD463F"/>
    <w:rsid w:val="00BD5446"/>
    <w:rsid w:val="00BD59A4"/>
    <w:rsid w:val="00BD5F52"/>
    <w:rsid w:val="00BE0422"/>
    <w:rsid w:val="00BE07F6"/>
    <w:rsid w:val="00BE11E8"/>
    <w:rsid w:val="00BE127D"/>
    <w:rsid w:val="00BE1433"/>
    <w:rsid w:val="00BE1434"/>
    <w:rsid w:val="00BE24EF"/>
    <w:rsid w:val="00BE2513"/>
    <w:rsid w:val="00BE3928"/>
    <w:rsid w:val="00BE397E"/>
    <w:rsid w:val="00BE4004"/>
    <w:rsid w:val="00BE5F51"/>
    <w:rsid w:val="00BE65A1"/>
    <w:rsid w:val="00BE71B5"/>
    <w:rsid w:val="00BE78B1"/>
    <w:rsid w:val="00BF0052"/>
    <w:rsid w:val="00BF18A5"/>
    <w:rsid w:val="00BF1D3B"/>
    <w:rsid w:val="00BF21B5"/>
    <w:rsid w:val="00BF2E96"/>
    <w:rsid w:val="00BF445B"/>
    <w:rsid w:val="00BF4F4E"/>
    <w:rsid w:val="00C00430"/>
    <w:rsid w:val="00C007DE"/>
    <w:rsid w:val="00C00D8D"/>
    <w:rsid w:val="00C01CB6"/>
    <w:rsid w:val="00C03891"/>
    <w:rsid w:val="00C04065"/>
    <w:rsid w:val="00C041E1"/>
    <w:rsid w:val="00C04A2A"/>
    <w:rsid w:val="00C04A3B"/>
    <w:rsid w:val="00C05C50"/>
    <w:rsid w:val="00C07229"/>
    <w:rsid w:val="00C0767B"/>
    <w:rsid w:val="00C07A30"/>
    <w:rsid w:val="00C11531"/>
    <w:rsid w:val="00C11E6E"/>
    <w:rsid w:val="00C130B4"/>
    <w:rsid w:val="00C135C9"/>
    <w:rsid w:val="00C13932"/>
    <w:rsid w:val="00C13967"/>
    <w:rsid w:val="00C14596"/>
    <w:rsid w:val="00C151A9"/>
    <w:rsid w:val="00C15A30"/>
    <w:rsid w:val="00C15DDD"/>
    <w:rsid w:val="00C162BB"/>
    <w:rsid w:val="00C16853"/>
    <w:rsid w:val="00C17D2E"/>
    <w:rsid w:val="00C17E5F"/>
    <w:rsid w:val="00C21E5A"/>
    <w:rsid w:val="00C221EB"/>
    <w:rsid w:val="00C22AC8"/>
    <w:rsid w:val="00C232A1"/>
    <w:rsid w:val="00C23537"/>
    <w:rsid w:val="00C23E80"/>
    <w:rsid w:val="00C24411"/>
    <w:rsid w:val="00C247AA"/>
    <w:rsid w:val="00C25348"/>
    <w:rsid w:val="00C25456"/>
    <w:rsid w:val="00C25CE8"/>
    <w:rsid w:val="00C260BE"/>
    <w:rsid w:val="00C261CC"/>
    <w:rsid w:val="00C26748"/>
    <w:rsid w:val="00C26E68"/>
    <w:rsid w:val="00C276EF"/>
    <w:rsid w:val="00C27F1F"/>
    <w:rsid w:val="00C30389"/>
    <w:rsid w:val="00C306C2"/>
    <w:rsid w:val="00C30E48"/>
    <w:rsid w:val="00C322B0"/>
    <w:rsid w:val="00C323E0"/>
    <w:rsid w:val="00C3281C"/>
    <w:rsid w:val="00C32BF7"/>
    <w:rsid w:val="00C33203"/>
    <w:rsid w:val="00C34358"/>
    <w:rsid w:val="00C3473E"/>
    <w:rsid w:val="00C3553C"/>
    <w:rsid w:val="00C35E4C"/>
    <w:rsid w:val="00C36137"/>
    <w:rsid w:val="00C36C3C"/>
    <w:rsid w:val="00C36CDB"/>
    <w:rsid w:val="00C37592"/>
    <w:rsid w:val="00C3777E"/>
    <w:rsid w:val="00C37A7E"/>
    <w:rsid w:val="00C37EE9"/>
    <w:rsid w:val="00C40F6B"/>
    <w:rsid w:val="00C41734"/>
    <w:rsid w:val="00C43444"/>
    <w:rsid w:val="00C43B2A"/>
    <w:rsid w:val="00C44E40"/>
    <w:rsid w:val="00C46636"/>
    <w:rsid w:val="00C467AB"/>
    <w:rsid w:val="00C46A2A"/>
    <w:rsid w:val="00C47066"/>
    <w:rsid w:val="00C47E02"/>
    <w:rsid w:val="00C507E5"/>
    <w:rsid w:val="00C5183D"/>
    <w:rsid w:val="00C52997"/>
    <w:rsid w:val="00C53034"/>
    <w:rsid w:val="00C53A5D"/>
    <w:rsid w:val="00C546B4"/>
    <w:rsid w:val="00C5483D"/>
    <w:rsid w:val="00C54EB0"/>
    <w:rsid w:val="00C555D8"/>
    <w:rsid w:val="00C56564"/>
    <w:rsid w:val="00C57509"/>
    <w:rsid w:val="00C57675"/>
    <w:rsid w:val="00C57C6D"/>
    <w:rsid w:val="00C601A6"/>
    <w:rsid w:val="00C62F98"/>
    <w:rsid w:val="00C63D52"/>
    <w:rsid w:val="00C64BFD"/>
    <w:rsid w:val="00C65848"/>
    <w:rsid w:val="00C662A5"/>
    <w:rsid w:val="00C67691"/>
    <w:rsid w:val="00C676E3"/>
    <w:rsid w:val="00C678C0"/>
    <w:rsid w:val="00C70B97"/>
    <w:rsid w:val="00C71095"/>
    <w:rsid w:val="00C7124D"/>
    <w:rsid w:val="00C71A51"/>
    <w:rsid w:val="00C72CA7"/>
    <w:rsid w:val="00C74CBF"/>
    <w:rsid w:val="00C74D8C"/>
    <w:rsid w:val="00C758C0"/>
    <w:rsid w:val="00C7630C"/>
    <w:rsid w:val="00C76846"/>
    <w:rsid w:val="00C7692A"/>
    <w:rsid w:val="00C76B27"/>
    <w:rsid w:val="00C77503"/>
    <w:rsid w:val="00C77576"/>
    <w:rsid w:val="00C77C92"/>
    <w:rsid w:val="00C8047F"/>
    <w:rsid w:val="00C80705"/>
    <w:rsid w:val="00C813EE"/>
    <w:rsid w:val="00C81C07"/>
    <w:rsid w:val="00C81F79"/>
    <w:rsid w:val="00C82037"/>
    <w:rsid w:val="00C82587"/>
    <w:rsid w:val="00C82815"/>
    <w:rsid w:val="00C8344B"/>
    <w:rsid w:val="00C837C3"/>
    <w:rsid w:val="00C83F85"/>
    <w:rsid w:val="00C841C7"/>
    <w:rsid w:val="00C84204"/>
    <w:rsid w:val="00C8431D"/>
    <w:rsid w:val="00C8511C"/>
    <w:rsid w:val="00C85400"/>
    <w:rsid w:val="00C85976"/>
    <w:rsid w:val="00C85AD2"/>
    <w:rsid w:val="00C864CB"/>
    <w:rsid w:val="00C86742"/>
    <w:rsid w:val="00C86DC3"/>
    <w:rsid w:val="00C876AB"/>
    <w:rsid w:val="00C9052A"/>
    <w:rsid w:val="00C90F8F"/>
    <w:rsid w:val="00C920FA"/>
    <w:rsid w:val="00C928F0"/>
    <w:rsid w:val="00C93F63"/>
    <w:rsid w:val="00C93F91"/>
    <w:rsid w:val="00C944BB"/>
    <w:rsid w:val="00C952BF"/>
    <w:rsid w:val="00C95745"/>
    <w:rsid w:val="00C957B9"/>
    <w:rsid w:val="00C962D6"/>
    <w:rsid w:val="00C964B9"/>
    <w:rsid w:val="00C97F99"/>
    <w:rsid w:val="00CA015C"/>
    <w:rsid w:val="00CA18C3"/>
    <w:rsid w:val="00CA1979"/>
    <w:rsid w:val="00CA2442"/>
    <w:rsid w:val="00CA31B7"/>
    <w:rsid w:val="00CA3819"/>
    <w:rsid w:val="00CA3AEB"/>
    <w:rsid w:val="00CA48C6"/>
    <w:rsid w:val="00CA4956"/>
    <w:rsid w:val="00CA6645"/>
    <w:rsid w:val="00CA6BB7"/>
    <w:rsid w:val="00CA7E73"/>
    <w:rsid w:val="00CB2283"/>
    <w:rsid w:val="00CB296A"/>
    <w:rsid w:val="00CB2A63"/>
    <w:rsid w:val="00CB45DF"/>
    <w:rsid w:val="00CB47FC"/>
    <w:rsid w:val="00CB5DD9"/>
    <w:rsid w:val="00CB5F65"/>
    <w:rsid w:val="00CB67C7"/>
    <w:rsid w:val="00CB6FA5"/>
    <w:rsid w:val="00CC00D6"/>
    <w:rsid w:val="00CC03F0"/>
    <w:rsid w:val="00CC1571"/>
    <w:rsid w:val="00CC1C22"/>
    <w:rsid w:val="00CC210A"/>
    <w:rsid w:val="00CC2608"/>
    <w:rsid w:val="00CC325D"/>
    <w:rsid w:val="00CC4BFA"/>
    <w:rsid w:val="00CC54A7"/>
    <w:rsid w:val="00CC5AAF"/>
    <w:rsid w:val="00CC769D"/>
    <w:rsid w:val="00CC7799"/>
    <w:rsid w:val="00CC7B9C"/>
    <w:rsid w:val="00CC7DD8"/>
    <w:rsid w:val="00CD0E4E"/>
    <w:rsid w:val="00CD126F"/>
    <w:rsid w:val="00CD1F64"/>
    <w:rsid w:val="00CD2CE7"/>
    <w:rsid w:val="00CD476E"/>
    <w:rsid w:val="00CD5CD1"/>
    <w:rsid w:val="00CD5E13"/>
    <w:rsid w:val="00CD61F0"/>
    <w:rsid w:val="00CD7390"/>
    <w:rsid w:val="00CD7ECD"/>
    <w:rsid w:val="00CE02BD"/>
    <w:rsid w:val="00CE11B2"/>
    <w:rsid w:val="00CE15CC"/>
    <w:rsid w:val="00CE2C11"/>
    <w:rsid w:val="00CE31AE"/>
    <w:rsid w:val="00CE35DB"/>
    <w:rsid w:val="00CE47AC"/>
    <w:rsid w:val="00CE547F"/>
    <w:rsid w:val="00CE5994"/>
    <w:rsid w:val="00CE5F6C"/>
    <w:rsid w:val="00CE6154"/>
    <w:rsid w:val="00CE6377"/>
    <w:rsid w:val="00CE651C"/>
    <w:rsid w:val="00CE672D"/>
    <w:rsid w:val="00CE6832"/>
    <w:rsid w:val="00CE78E7"/>
    <w:rsid w:val="00CE7962"/>
    <w:rsid w:val="00CF07B1"/>
    <w:rsid w:val="00CF096C"/>
    <w:rsid w:val="00CF2060"/>
    <w:rsid w:val="00CF306B"/>
    <w:rsid w:val="00CF3F19"/>
    <w:rsid w:val="00CF41C7"/>
    <w:rsid w:val="00CF4AD0"/>
    <w:rsid w:val="00CF4E43"/>
    <w:rsid w:val="00CF572D"/>
    <w:rsid w:val="00CF6123"/>
    <w:rsid w:val="00CF6D59"/>
    <w:rsid w:val="00CF797D"/>
    <w:rsid w:val="00D00974"/>
    <w:rsid w:val="00D00D7B"/>
    <w:rsid w:val="00D018B8"/>
    <w:rsid w:val="00D01BDF"/>
    <w:rsid w:val="00D01D33"/>
    <w:rsid w:val="00D02204"/>
    <w:rsid w:val="00D0225D"/>
    <w:rsid w:val="00D02375"/>
    <w:rsid w:val="00D02A31"/>
    <w:rsid w:val="00D0360E"/>
    <w:rsid w:val="00D038DF"/>
    <w:rsid w:val="00D03918"/>
    <w:rsid w:val="00D04B07"/>
    <w:rsid w:val="00D04D7A"/>
    <w:rsid w:val="00D0508E"/>
    <w:rsid w:val="00D05BF7"/>
    <w:rsid w:val="00D06208"/>
    <w:rsid w:val="00D064FB"/>
    <w:rsid w:val="00D06C3B"/>
    <w:rsid w:val="00D074FD"/>
    <w:rsid w:val="00D0751B"/>
    <w:rsid w:val="00D1089A"/>
    <w:rsid w:val="00D110D2"/>
    <w:rsid w:val="00D11C07"/>
    <w:rsid w:val="00D12490"/>
    <w:rsid w:val="00D13F26"/>
    <w:rsid w:val="00D1573B"/>
    <w:rsid w:val="00D16820"/>
    <w:rsid w:val="00D16C3F"/>
    <w:rsid w:val="00D177F0"/>
    <w:rsid w:val="00D20084"/>
    <w:rsid w:val="00D215A9"/>
    <w:rsid w:val="00D21B2F"/>
    <w:rsid w:val="00D21CC4"/>
    <w:rsid w:val="00D2214D"/>
    <w:rsid w:val="00D2233D"/>
    <w:rsid w:val="00D22865"/>
    <w:rsid w:val="00D23D79"/>
    <w:rsid w:val="00D24238"/>
    <w:rsid w:val="00D2434A"/>
    <w:rsid w:val="00D24D4C"/>
    <w:rsid w:val="00D267DD"/>
    <w:rsid w:val="00D27052"/>
    <w:rsid w:val="00D27697"/>
    <w:rsid w:val="00D30518"/>
    <w:rsid w:val="00D30949"/>
    <w:rsid w:val="00D30B53"/>
    <w:rsid w:val="00D30BBD"/>
    <w:rsid w:val="00D320BE"/>
    <w:rsid w:val="00D32476"/>
    <w:rsid w:val="00D32818"/>
    <w:rsid w:val="00D33205"/>
    <w:rsid w:val="00D33DAF"/>
    <w:rsid w:val="00D34455"/>
    <w:rsid w:val="00D34C84"/>
    <w:rsid w:val="00D35607"/>
    <w:rsid w:val="00D361EE"/>
    <w:rsid w:val="00D36D21"/>
    <w:rsid w:val="00D36F1B"/>
    <w:rsid w:val="00D376B8"/>
    <w:rsid w:val="00D377C4"/>
    <w:rsid w:val="00D40AAF"/>
    <w:rsid w:val="00D422C7"/>
    <w:rsid w:val="00D423D4"/>
    <w:rsid w:val="00D424FF"/>
    <w:rsid w:val="00D429D1"/>
    <w:rsid w:val="00D4315E"/>
    <w:rsid w:val="00D43948"/>
    <w:rsid w:val="00D44FEE"/>
    <w:rsid w:val="00D45F43"/>
    <w:rsid w:val="00D46904"/>
    <w:rsid w:val="00D473C6"/>
    <w:rsid w:val="00D509E4"/>
    <w:rsid w:val="00D50EB4"/>
    <w:rsid w:val="00D51438"/>
    <w:rsid w:val="00D518AD"/>
    <w:rsid w:val="00D52452"/>
    <w:rsid w:val="00D53A84"/>
    <w:rsid w:val="00D5450D"/>
    <w:rsid w:val="00D546B3"/>
    <w:rsid w:val="00D54913"/>
    <w:rsid w:val="00D55D9C"/>
    <w:rsid w:val="00D6078D"/>
    <w:rsid w:val="00D60B58"/>
    <w:rsid w:val="00D60E01"/>
    <w:rsid w:val="00D62262"/>
    <w:rsid w:val="00D62442"/>
    <w:rsid w:val="00D62B1F"/>
    <w:rsid w:val="00D632F5"/>
    <w:rsid w:val="00D63E79"/>
    <w:rsid w:val="00D645DE"/>
    <w:rsid w:val="00D646AD"/>
    <w:rsid w:val="00D64871"/>
    <w:rsid w:val="00D64D1A"/>
    <w:rsid w:val="00D658AD"/>
    <w:rsid w:val="00D67877"/>
    <w:rsid w:val="00D70081"/>
    <w:rsid w:val="00D7020F"/>
    <w:rsid w:val="00D704A2"/>
    <w:rsid w:val="00D70E89"/>
    <w:rsid w:val="00D716B5"/>
    <w:rsid w:val="00D732B7"/>
    <w:rsid w:val="00D746A0"/>
    <w:rsid w:val="00D751C9"/>
    <w:rsid w:val="00D75316"/>
    <w:rsid w:val="00D754E9"/>
    <w:rsid w:val="00D75858"/>
    <w:rsid w:val="00D75DB1"/>
    <w:rsid w:val="00D76BF3"/>
    <w:rsid w:val="00D77F3C"/>
    <w:rsid w:val="00D80032"/>
    <w:rsid w:val="00D80BF2"/>
    <w:rsid w:val="00D814A5"/>
    <w:rsid w:val="00D816FC"/>
    <w:rsid w:val="00D820F2"/>
    <w:rsid w:val="00D833D8"/>
    <w:rsid w:val="00D84456"/>
    <w:rsid w:val="00D844E1"/>
    <w:rsid w:val="00D84B6D"/>
    <w:rsid w:val="00D8599F"/>
    <w:rsid w:val="00D86308"/>
    <w:rsid w:val="00D864B5"/>
    <w:rsid w:val="00D8661B"/>
    <w:rsid w:val="00D87210"/>
    <w:rsid w:val="00D8746F"/>
    <w:rsid w:val="00D878A0"/>
    <w:rsid w:val="00D87C9E"/>
    <w:rsid w:val="00D87DF8"/>
    <w:rsid w:val="00D87F92"/>
    <w:rsid w:val="00D90098"/>
    <w:rsid w:val="00D908BF"/>
    <w:rsid w:val="00D924A4"/>
    <w:rsid w:val="00D92714"/>
    <w:rsid w:val="00D92735"/>
    <w:rsid w:val="00D929A2"/>
    <w:rsid w:val="00D937D0"/>
    <w:rsid w:val="00D93BE4"/>
    <w:rsid w:val="00D94B7E"/>
    <w:rsid w:val="00D95215"/>
    <w:rsid w:val="00D95ADE"/>
    <w:rsid w:val="00D95F95"/>
    <w:rsid w:val="00D962D0"/>
    <w:rsid w:val="00D9642F"/>
    <w:rsid w:val="00D96528"/>
    <w:rsid w:val="00D96AA4"/>
    <w:rsid w:val="00D96FE3"/>
    <w:rsid w:val="00DA02D7"/>
    <w:rsid w:val="00DA0CDA"/>
    <w:rsid w:val="00DA1246"/>
    <w:rsid w:val="00DA2482"/>
    <w:rsid w:val="00DA2484"/>
    <w:rsid w:val="00DA251E"/>
    <w:rsid w:val="00DA36B2"/>
    <w:rsid w:val="00DA4F55"/>
    <w:rsid w:val="00DA5574"/>
    <w:rsid w:val="00DA6174"/>
    <w:rsid w:val="00DA6E21"/>
    <w:rsid w:val="00DA6F1F"/>
    <w:rsid w:val="00DA6FE7"/>
    <w:rsid w:val="00DA74F6"/>
    <w:rsid w:val="00DA77FC"/>
    <w:rsid w:val="00DB01FB"/>
    <w:rsid w:val="00DB0C4C"/>
    <w:rsid w:val="00DB10C4"/>
    <w:rsid w:val="00DB18EB"/>
    <w:rsid w:val="00DB3A46"/>
    <w:rsid w:val="00DB5E18"/>
    <w:rsid w:val="00DB5F24"/>
    <w:rsid w:val="00DB61A1"/>
    <w:rsid w:val="00DB6290"/>
    <w:rsid w:val="00DB6D33"/>
    <w:rsid w:val="00DB7734"/>
    <w:rsid w:val="00DB7847"/>
    <w:rsid w:val="00DC01B8"/>
    <w:rsid w:val="00DC1168"/>
    <w:rsid w:val="00DC12EA"/>
    <w:rsid w:val="00DC3140"/>
    <w:rsid w:val="00DC339E"/>
    <w:rsid w:val="00DC3F88"/>
    <w:rsid w:val="00DC49C4"/>
    <w:rsid w:val="00DC5C21"/>
    <w:rsid w:val="00DC5E38"/>
    <w:rsid w:val="00DC667B"/>
    <w:rsid w:val="00DC6AC2"/>
    <w:rsid w:val="00DC6F27"/>
    <w:rsid w:val="00DC703C"/>
    <w:rsid w:val="00DC7FF4"/>
    <w:rsid w:val="00DD0AD1"/>
    <w:rsid w:val="00DD0B05"/>
    <w:rsid w:val="00DD19E7"/>
    <w:rsid w:val="00DD222E"/>
    <w:rsid w:val="00DD31CD"/>
    <w:rsid w:val="00DD41AC"/>
    <w:rsid w:val="00DD4E63"/>
    <w:rsid w:val="00DD5B33"/>
    <w:rsid w:val="00DD745D"/>
    <w:rsid w:val="00DE0B4B"/>
    <w:rsid w:val="00DE14F2"/>
    <w:rsid w:val="00DE17AA"/>
    <w:rsid w:val="00DE1812"/>
    <w:rsid w:val="00DE19E5"/>
    <w:rsid w:val="00DE1D6F"/>
    <w:rsid w:val="00DE20A7"/>
    <w:rsid w:val="00DE34C3"/>
    <w:rsid w:val="00DE3D91"/>
    <w:rsid w:val="00DE43A5"/>
    <w:rsid w:val="00DE553D"/>
    <w:rsid w:val="00DE5852"/>
    <w:rsid w:val="00DE6262"/>
    <w:rsid w:val="00DE6C9F"/>
    <w:rsid w:val="00DE706C"/>
    <w:rsid w:val="00DE7BF5"/>
    <w:rsid w:val="00DE7D0B"/>
    <w:rsid w:val="00DE7DB8"/>
    <w:rsid w:val="00DF0B6C"/>
    <w:rsid w:val="00DF15F0"/>
    <w:rsid w:val="00DF1F16"/>
    <w:rsid w:val="00DF1F57"/>
    <w:rsid w:val="00DF2270"/>
    <w:rsid w:val="00DF3B1C"/>
    <w:rsid w:val="00DF410E"/>
    <w:rsid w:val="00DF440A"/>
    <w:rsid w:val="00DF45B7"/>
    <w:rsid w:val="00DF5AD1"/>
    <w:rsid w:val="00DF5CDE"/>
    <w:rsid w:val="00DF605F"/>
    <w:rsid w:val="00DF78B6"/>
    <w:rsid w:val="00DF7F6C"/>
    <w:rsid w:val="00E0017A"/>
    <w:rsid w:val="00E0067E"/>
    <w:rsid w:val="00E00770"/>
    <w:rsid w:val="00E00A54"/>
    <w:rsid w:val="00E01216"/>
    <w:rsid w:val="00E02228"/>
    <w:rsid w:val="00E0371D"/>
    <w:rsid w:val="00E0395C"/>
    <w:rsid w:val="00E03B24"/>
    <w:rsid w:val="00E03E29"/>
    <w:rsid w:val="00E03E6A"/>
    <w:rsid w:val="00E0579E"/>
    <w:rsid w:val="00E06DE0"/>
    <w:rsid w:val="00E07D1C"/>
    <w:rsid w:val="00E07F81"/>
    <w:rsid w:val="00E1051F"/>
    <w:rsid w:val="00E106D0"/>
    <w:rsid w:val="00E10C22"/>
    <w:rsid w:val="00E10D92"/>
    <w:rsid w:val="00E110A0"/>
    <w:rsid w:val="00E12BF6"/>
    <w:rsid w:val="00E12C7E"/>
    <w:rsid w:val="00E1371E"/>
    <w:rsid w:val="00E145B3"/>
    <w:rsid w:val="00E145C9"/>
    <w:rsid w:val="00E14793"/>
    <w:rsid w:val="00E14E8A"/>
    <w:rsid w:val="00E14F5D"/>
    <w:rsid w:val="00E15430"/>
    <w:rsid w:val="00E15665"/>
    <w:rsid w:val="00E15804"/>
    <w:rsid w:val="00E16487"/>
    <w:rsid w:val="00E169B8"/>
    <w:rsid w:val="00E1761D"/>
    <w:rsid w:val="00E20123"/>
    <w:rsid w:val="00E20230"/>
    <w:rsid w:val="00E20999"/>
    <w:rsid w:val="00E21AE0"/>
    <w:rsid w:val="00E224FA"/>
    <w:rsid w:val="00E244E1"/>
    <w:rsid w:val="00E24E1D"/>
    <w:rsid w:val="00E24E83"/>
    <w:rsid w:val="00E24FDB"/>
    <w:rsid w:val="00E25046"/>
    <w:rsid w:val="00E259C7"/>
    <w:rsid w:val="00E26714"/>
    <w:rsid w:val="00E2672E"/>
    <w:rsid w:val="00E267BB"/>
    <w:rsid w:val="00E26FFF"/>
    <w:rsid w:val="00E300BC"/>
    <w:rsid w:val="00E305D1"/>
    <w:rsid w:val="00E30863"/>
    <w:rsid w:val="00E31D7D"/>
    <w:rsid w:val="00E31D8E"/>
    <w:rsid w:val="00E32415"/>
    <w:rsid w:val="00E325A1"/>
    <w:rsid w:val="00E3388C"/>
    <w:rsid w:val="00E339D4"/>
    <w:rsid w:val="00E34D36"/>
    <w:rsid w:val="00E350A8"/>
    <w:rsid w:val="00E36027"/>
    <w:rsid w:val="00E37E68"/>
    <w:rsid w:val="00E41437"/>
    <w:rsid w:val="00E41631"/>
    <w:rsid w:val="00E4227B"/>
    <w:rsid w:val="00E424B2"/>
    <w:rsid w:val="00E42512"/>
    <w:rsid w:val="00E42D0C"/>
    <w:rsid w:val="00E432C5"/>
    <w:rsid w:val="00E439CF"/>
    <w:rsid w:val="00E43DFB"/>
    <w:rsid w:val="00E4418D"/>
    <w:rsid w:val="00E448A0"/>
    <w:rsid w:val="00E44D65"/>
    <w:rsid w:val="00E4595B"/>
    <w:rsid w:val="00E46CAB"/>
    <w:rsid w:val="00E472C1"/>
    <w:rsid w:val="00E5014D"/>
    <w:rsid w:val="00E505BE"/>
    <w:rsid w:val="00E50BAF"/>
    <w:rsid w:val="00E51958"/>
    <w:rsid w:val="00E5198B"/>
    <w:rsid w:val="00E51EFC"/>
    <w:rsid w:val="00E52944"/>
    <w:rsid w:val="00E533A8"/>
    <w:rsid w:val="00E53628"/>
    <w:rsid w:val="00E53DA0"/>
    <w:rsid w:val="00E5480A"/>
    <w:rsid w:val="00E54E7A"/>
    <w:rsid w:val="00E57D57"/>
    <w:rsid w:val="00E57D9A"/>
    <w:rsid w:val="00E57E9C"/>
    <w:rsid w:val="00E6040E"/>
    <w:rsid w:val="00E60C2F"/>
    <w:rsid w:val="00E613A4"/>
    <w:rsid w:val="00E62008"/>
    <w:rsid w:val="00E62699"/>
    <w:rsid w:val="00E62DC5"/>
    <w:rsid w:val="00E635B6"/>
    <w:rsid w:val="00E63911"/>
    <w:rsid w:val="00E63B05"/>
    <w:rsid w:val="00E6419A"/>
    <w:rsid w:val="00E65825"/>
    <w:rsid w:val="00E65F55"/>
    <w:rsid w:val="00E66CF6"/>
    <w:rsid w:val="00E6736C"/>
    <w:rsid w:val="00E675BA"/>
    <w:rsid w:val="00E67A6C"/>
    <w:rsid w:val="00E70558"/>
    <w:rsid w:val="00E710A1"/>
    <w:rsid w:val="00E712E6"/>
    <w:rsid w:val="00E7158D"/>
    <w:rsid w:val="00E7180D"/>
    <w:rsid w:val="00E71DE4"/>
    <w:rsid w:val="00E727B1"/>
    <w:rsid w:val="00E72A71"/>
    <w:rsid w:val="00E72D28"/>
    <w:rsid w:val="00E738DF"/>
    <w:rsid w:val="00E73A60"/>
    <w:rsid w:val="00E73DD0"/>
    <w:rsid w:val="00E7440A"/>
    <w:rsid w:val="00E74B6A"/>
    <w:rsid w:val="00E76A4B"/>
    <w:rsid w:val="00E76E37"/>
    <w:rsid w:val="00E76F13"/>
    <w:rsid w:val="00E774C6"/>
    <w:rsid w:val="00E80683"/>
    <w:rsid w:val="00E80F6C"/>
    <w:rsid w:val="00E815E2"/>
    <w:rsid w:val="00E81792"/>
    <w:rsid w:val="00E81EA7"/>
    <w:rsid w:val="00E8479E"/>
    <w:rsid w:val="00E85277"/>
    <w:rsid w:val="00E8534E"/>
    <w:rsid w:val="00E85F7D"/>
    <w:rsid w:val="00E864DD"/>
    <w:rsid w:val="00E86B3E"/>
    <w:rsid w:val="00E92A9F"/>
    <w:rsid w:val="00E92AD5"/>
    <w:rsid w:val="00E92B6F"/>
    <w:rsid w:val="00E93194"/>
    <w:rsid w:val="00E93824"/>
    <w:rsid w:val="00E93E63"/>
    <w:rsid w:val="00E944DF"/>
    <w:rsid w:val="00E959DD"/>
    <w:rsid w:val="00E9734C"/>
    <w:rsid w:val="00E97863"/>
    <w:rsid w:val="00E97AE9"/>
    <w:rsid w:val="00EA032A"/>
    <w:rsid w:val="00EA04F6"/>
    <w:rsid w:val="00EA0975"/>
    <w:rsid w:val="00EA0E91"/>
    <w:rsid w:val="00EA1E27"/>
    <w:rsid w:val="00EA404F"/>
    <w:rsid w:val="00EA4164"/>
    <w:rsid w:val="00EA4C6D"/>
    <w:rsid w:val="00EA52EA"/>
    <w:rsid w:val="00EA59B1"/>
    <w:rsid w:val="00EA5F77"/>
    <w:rsid w:val="00EA6428"/>
    <w:rsid w:val="00EA7099"/>
    <w:rsid w:val="00EA7B48"/>
    <w:rsid w:val="00EA7E1C"/>
    <w:rsid w:val="00EB15E4"/>
    <w:rsid w:val="00EB1D76"/>
    <w:rsid w:val="00EB374F"/>
    <w:rsid w:val="00EB3913"/>
    <w:rsid w:val="00EB397F"/>
    <w:rsid w:val="00EB3E48"/>
    <w:rsid w:val="00EB4187"/>
    <w:rsid w:val="00EB43D8"/>
    <w:rsid w:val="00EB4728"/>
    <w:rsid w:val="00EB5E15"/>
    <w:rsid w:val="00EB6737"/>
    <w:rsid w:val="00EB68D6"/>
    <w:rsid w:val="00EB7A52"/>
    <w:rsid w:val="00EC04B1"/>
    <w:rsid w:val="00EC0A69"/>
    <w:rsid w:val="00EC0BFF"/>
    <w:rsid w:val="00EC139D"/>
    <w:rsid w:val="00EC194B"/>
    <w:rsid w:val="00EC2DBA"/>
    <w:rsid w:val="00EC2F16"/>
    <w:rsid w:val="00EC36C8"/>
    <w:rsid w:val="00EC385B"/>
    <w:rsid w:val="00EC39F3"/>
    <w:rsid w:val="00EC3A7E"/>
    <w:rsid w:val="00EC3E8B"/>
    <w:rsid w:val="00EC41BB"/>
    <w:rsid w:val="00EC49EC"/>
    <w:rsid w:val="00EC4B60"/>
    <w:rsid w:val="00EC5A73"/>
    <w:rsid w:val="00EC5E7E"/>
    <w:rsid w:val="00EC62AD"/>
    <w:rsid w:val="00EC6919"/>
    <w:rsid w:val="00EC74CD"/>
    <w:rsid w:val="00EC7BCB"/>
    <w:rsid w:val="00EC7E70"/>
    <w:rsid w:val="00ED0787"/>
    <w:rsid w:val="00ED0CB8"/>
    <w:rsid w:val="00ED224A"/>
    <w:rsid w:val="00ED3477"/>
    <w:rsid w:val="00ED38E4"/>
    <w:rsid w:val="00ED3C90"/>
    <w:rsid w:val="00ED3DFC"/>
    <w:rsid w:val="00ED5A8D"/>
    <w:rsid w:val="00ED5AD9"/>
    <w:rsid w:val="00ED68B8"/>
    <w:rsid w:val="00ED7898"/>
    <w:rsid w:val="00ED7B49"/>
    <w:rsid w:val="00EE03A2"/>
    <w:rsid w:val="00EE0821"/>
    <w:rsid w:val="00EE1808"/>
    <w:rsid w:val="00EE2081"/>
    <w:rsid w:val="00EE2B4F"/>
    <w:rsid w:val="00EE4354"/>
    <w:rsid w:val="00EE4D30"/>
    <w:rsid w:val="00EE5A5E"/>
    <w:rsid w:val="00EE666C"/>
    <w:rsid w:val="00EE6965"/>
    <w:rsid w:val="00EE6B16"/>
    <w:rsid w:val="00EE7212"/>
    <w:rsid w:val="00EE72A4"/>
    <w:rsid w:val="00EE7392"/>
    <w:rsid w:val="00EF018D"/>
    <w:rsid w:val="00EF0DC7"/>
    <w:rsid w:val="00EF0F03"/>
    <w:rsid w:val="00EF1071"/>
    <w:rsid w:val="00EF13AC"/>
    <w:rsid w:val="00EF17C3"/>
    <w:rsid w:val="00EF42AD"/>
    <w:rsid w:val="00EF59CA"/>
    <w:rsid w:val="00EF60DB"/>
    <w:rsid w:val="00EF7031"/>
    <w:rsid w:val="00EF727D"/>
    <w:rsid w:val="00F00170"/>
    <w:rsid w:val="00F0020F"/>
    <w:rsid w:val="00F0043B"/>
    <w:rsid w:val="00F00841"/>
    <w:rsid w:val="00F0129C"/>
    <w:rsid w:val="00F01BE7"/>
    <w:rsid w:val="00F01E80"/>
    <w:rsid w:val="00F01F9A"/>
    <w:rsid w:val="00F02640"/>
    <w:rsid w:val="00F03866"/>
    <w:rsid w:val="00F039C2"/>
    <w:rsid w:val="00F03B77"/>
    <w:rsid w:val="00F04B23"/>
    <w:rsid w:val="00F0581C"/>
    <w:rsid w:val="00F059E1"/>
    <w:rsid w:val="00F06F14"/>
    <w:rsid w:val="00F0750C"/>
    <w:rsid w:val="00F105C0"/>
    <w:rsid w:val="00F10E13"/>
    <w:rsid w:val="00F12B15"/>
    <w:rsid w:val="00F12BB9"/>
    <w:rsid w:val="00F135BA"/>
    <w:rsid w:val="00F1413F"/>
    <w:rsid w:val="00F14B5E"/>
    <w:rsid w:val="00F15890"/>
    <w:rsid w:val="00F160CA"/>
    <w:rsid w:val="00F20146"/>
    <w:rsid w:val="00F20604"/>
    <w:rsid w:val="00F207C4"/>
    <w:rsid w:val="00F20831"/>
    <w:rsid w:val="00F20ED2"/>
    <w:rsid w:val="00F20FD9"/>
    <w:rsid w:val="00F2206D"/>
    <w:rsid w:val="00F22305"/>
    <w:rsid w:val="00F22848"/>
    <w:rsid w:val="00F2403A"/>
    <w:rsid w:val="00F246D6"/>
    <w:rsid w:val="00F24E99"/>
    <w:rsid w:val="00F250BC"/>
    <w:rsid w:val="00F254F2"/>
    <w:rsid w:val="00F25525"/>
    <w:rsid w:val="00F25ACA"/>
    <w:rsid w:val="00F27721"/>
    <w:rsid w:val="00F27B2A"/>
    <w:rsid w:val="00F3180B"/>
    <w:rsid w:val="00F3244F"/>
    <w:rsid w:val="00F32BB8"/>
    <w:rsid w:val="00F33C98"/>
    <w:rsid w:val="00F34511"/>
    <w:rsid w:val="00F34E74"/>
    <w:rsid w:val="00F34EFB"/>
    <w:rsid w:val="00F352D4"/>
    <w:rsid w:val="00F355D5"/>
    <w:rsid w:val="00F358E2"/>
    <w:rsid w:val="00F35F3B"/>
    <w:rsid w:val="00F36298"/>
    <w:rsid w:val="00F37101"/>
    <w:rsid w:val="00F37807"/>
    <w:rsid w:val="00F40042"/>
    <w:rsid w:val="00F402F5"/>
    <w:rsid w:val="00F405CA"/>
    <w:rsid w:val="00F40D53"/>
    <w:rsid w:val="00F41039"/>
    <w:rsid w:val="00F4156A"/>
    <w:rsid w:val="00F42009"/>
    <w:rsid w:val="00F4229C"/>
    <w:rsid w:val="00F42CF7"/>
    <w:rsid w:val="00F43191"/>
    <w:rsid w:val="00F4324E"/>
    <w:rsid w:val="00F4363F"/>
    <w:rsid w:val="00F43D08"/>
    <w:rsid w:val="00F44BAC"/>
    <w:rsid w:val="00F45834"/>
    <w:rsid w:val="00F45F30"/>
    <w:rsid w:val="00F46F8F"/>
    <w:rsid w:val="00F47246"/>
    <w:rsid w:val="00F478F3"/>
    <w:rsid w:val="00F50100"/>
    <w:rsid w:val="00F5107E"/>
    <w:rsid w:val="00F51180"/>
    <w:rsid w:val="00F51980"/>
    <w:rsid w:val="00F52814"/>
    <w:rsid w:val="00F529EA"/>
    <w:rsid w:val="00F53A76"/>
    <w:rsid w:val="00F54F98"/>
    <w:rsid w:val="00F55032"/>
    <w:rsid w:val="00F5527C"/>
    <w:rsid w:val="00F565C0"/>
    <w:rsid w:val="00F57471"/>
    <w:rsid w:val="00F57D85"/>
    <w:rsid w:val="00F60452"/>
    <w:rsid w:val="00F60680"/>
    <w:rsid w:val="00F61701"/>
    <w:rsid w:val="00F62C58"/>
    <w:rsid w:val="00F63E52"/>
    <w:rsid w:val="00F650A4"/>
    <w:rsid w:val="00F65D31"/>
    <w:rsid w:val="00F6611C"/>
    <w:rsid w:val="00F66828"/>
    <w:rsid w:val="00F6682B"/>
    <w:rsid w:val="00F669B9"/>
    <w:rsid w:val="00F673D8"/>
    <w:rsid w:val="00F674A1"/>
    <w:rsid w:val="00F709E8"/>
    <w:rsid w:val="00F7108D"/>
    <w:rsid w:val="00F7142D"/>
    <w:rsid w:val="00F72670"/>
    <w:rsid w:val="00F73313"/>
    <w:rsid w:val="00F73A7D"/>
    <w:rsid w:val="00F73E19"/>
    <w:rsid w:val="00F74BA7"/>
    <w:rsid w:val="00F7533D"/>
    <w:rsid w:val="00F75B79"/>
    <w:rsid w:val="00F75C0F"/>
    <w:rsid w:val="00F75D0E"/>
    <w:rsid w:val="00F76ADE"/>
    <w:rsid w:val="00F76F66"/>
    <w:rsid w:val="00F770B9"/>
    <w:rsid w:val="00F774CE"/>
    <w:rsid w:val="00F77504"/>
    <w:rsid w:val="00F816CF"/>
    <w:rsid w:val="00F81E24"/>
    <w:rsid w:val="00F826D9"/>
    <w:rsid w:val="00F851F6"/>
    <w:rsid w:val="00F856C2"/>
    <w:rsid w:val="00F85776"/>
    <w:rsid w:val="00F8598C"/>
    <w:rsid w:val="00F86B0D"/>
    <w:rsid w:val="00F86BF9"/>
    <w:rsid w:val="00F87DE6"/>
    <w:rsid w:val="00F90CBC"/>
    <w:rsid w:val="00F91441"/>
    <w:rsid w:val="00F9171D"/>
    <w:rsid w:val="00F91AF9"/>
    <w:rsid w:val="00F91E05"/>
    <w:rsid w:val="00F931E8"/>
    <w:rsid w:val="00F9347A"/>
    <w:rsid w:val="00F93531"/>
    <w:rsid w:val="00F941A5"/>
    <w:rsid w:val="00F94B24"/>
    <w:rsid w:val="00F960CF"/>
    <w:rsid w:val="00F96BF1"/>
    <w:rsid w:val="00F96F3F"/>
    <w:rsid w:val="00F97452"/>
    <w:rsid w:val="00FA0AAB"/>
    <w:rsid w:val="00FA1447"/>
    <w:rsid w:val="00FA271B"/>
    <w:rsid w:val="00FA2A0D"/>
    <w:rsid w:val="00FA2C0F"/>
    <w:rsid w:val="00FA3928"/>
    <w:rsid w:val="00FA42BC"/>
    <w:rsid w:val="00FA461B"/>
    <w:rsid w:val="00FA4A15"/>
    <w:rsid w:val="00FA4B0E"/>
    <w:rsid w:val="00FA58F7"/>
    <w:rsid w:val="00FA665B"/>
    <w:rsid w:val="00FA6EAD"/>
    <w:rsid w:val="00FA778B"/>
    <w:rsid w:val="00FA7BCD"/>
    <w:rsid w:val="00FA7C0C"/>
    <w:rsid w:val="00FB02FE"/>
    <w:rsid w:val="00FB06BD"/>
    <w:rsid w:val="00FB16EE"/>
    <w:rsid w:val="00FB2271"/>
    <w:rsid w:val="00FB37BA"/>
    <w:rsid w:val="00FB3CB3"/>
    <w:rsid w:val="00FB4117"/>
    <w:rsid w:val="00FB45A4"/>
    <w:rsid w:val="00FB4C07"/>
    <w:rsid w:val="00FB528A"/>
    <w:rsid w:val="00FB5C16"/>
    <w:rsid w:val="00FB75CB"/>
    <w:rsid w:val="00FB7813"/>
    <w:rsid w:val="00FC06C0"/>
    <w:rsid w:val="00FC0A51"/>
    <w:rsid w:val="00FC0DF5"/>
    <w:rsid w:val="00FC1539"/>
    <w:rsid w:val="00FC1F79"/>
    <w:rsid w:val="00FC2456"/>
    <w:rsid w:val="00FC250D"/>
    <w:rsid w:val="00FC2863"/>
    <w:rsid w:val="00FC2F67"/>
    <w:rsid w:val="00FC33BB"/>
    <w:rsid w:val="00FC4880"/>
    <w:rsid w:val="00FC5156"/>
    <w:rsid w:val="00FC5C97"/>
    <w:rsid w:val="00FC676D"/>
    <w:rsid w:val="00FC6A1F"/>
    <w:rsid w:val="00FC6FFB"/>
    <w:rsid w:val="00FC7451"/>
    <w:rsid w:val="00FC79FE"/>
    <w:rsid w:val="00FC7A6A"/>
    <w:rsid w:val="00FC7EA9"/>
    <w:rsid w:val="00FD0B70"/>
    <w:rsid w:val="00FD168F"/>
    <w:rsid w:val="00FD198B"/>
    <w:rsid w:val="00FD2A2B"/>
    <w:rsid w:val="00FD2A4F"/>
    <w:rsid w:val="00FD3E4B"/>
    <w:rsid w:val="00FD4E25"/>
    <w:rsid w:val="00FD5948"/>
    <w:rsid w:val="00FD5974"/>
    <w:rsid w:val="00FD5BA0"/>
    <w:rsid w:val="00FD5F79"/>
    <w:rsid w:val="00FD6968"/>
    <w:rsid w:val="00FD7015"/>
    <w:rsid w:val="00FD7445"/>
    <w:rsid w:val="00FE07CE"/>
    <w:rsid w:val="00FE0B0A"/>
    <w:rsid w:val="00FE1F81"/>
    <w:rsid w:val="00FE4B16"/>
    <w:rsid w:val="00FE5A4E"/>
    <w:rsid w:val="00FE5A71"/>
    <w:rsid w:val="00FE7F8D"/>
    <w:rsid w:val="00FF08F4"/>
    <w:rsid w:val="00FF092D"/>
    <w:rsid w:val="00FF11B3"/>
    <w:rsid w:val="00FF153F"/>
    <w:rsid w:val="00FF1E9D"/>
    <w:rsid w:val="00FF2188"/>
    <w:rsid w:val="00FF2A1F"/>
    <w:rsid w:val="00FF3197"/>
    <w:rsid w:val="00FF384D"/>
    <w:rsid w:val="00FF40E4"/>
    <w:rsid w:val="00FF4117"/>
    <w:rsid w:val="00FF442A"/>
    <w:rsid w:val="00FF56AD"/>
    <w:rsid w:val="00FF6A7E"/>
    <w:rsid w:val="00FF7F3D"/>
    <w:rsid w:val="0BC87BD5"/>
    <w:rsid w:val="0E15CBB1"/>
    <w:rsid w:val="1FB2858D"/>
    <w:rsid w:val="3E50F451"/>
    <w:rsid w:val="6D8DAC78"/>
    <w:rsid w:val="7236BE44"/>
    <w:rsid w:val="728624D7"/>
    <w:rsid w:val="7EE21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CADC8"/>
  <w15:docId w15:val="{52F26C4E-6A6C-47FC-929C-0003FB49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A64EC"/>
    <w:rPr>
      <w:color w:val="666666"/>
    </w:rPr>
  </w:style>
  <w:style w:type="paragraph" w:styleId="Revisie">
    <w:name w:val="Revision"/>
    <w:hidden/>
    <w:uiPriority w:val="99"/>
    <w:semiHidden/>
    <w:rsid w:val="00E20999"/>
    <w:rPr>
      <w:rFonts w:ascii="Univers" w:hAnsi="Univers"/>
      <w:sz w:val="22"/>
      <w:szCs w:val="24"/>
    </w:rPr>
  </w:style>
  <w:style w:type="paragraph" w:styleId="Voetnoottekst">
    <w:name w:val="footnote text"/>
    <w:basedOn w:val="Standaard"/>
    <w:link w:val="VoetnoottekstChar"/>
    <w:uiPriority w:val="99"/>
    <w:unhideWhenUsed/>
    <w:rsid w:val="006604A2"/>
    <w:rPr>
      <w:sz w:val="20"/>
      <w:szCs w:val="20"/>
    </w:rPr>
  </w:style>
  <w:style w:type="character" w:customStyle="1" w:styleId="VoetnoottekstChar">
    <w:name w:val="Voetnoottekst Char"/>
    <w:basedOn w:val="Standaardalinea-lettertype"/>
    <w:link w:val="Voetnoottekst"/>
    <w:uiPriority w:val="99"/>
    <w:rsid w:val="006604A2"/>
    <w:rPr>
      <w:rFonts w:ascii="Univers" w:hAnsi="Univers"/>
    </w:rPr>
  </w:style>
  <w:style w:type="character" w:styleId="Voetnootmarkering">
    <w:name w:val="footnote reference"/>
    <w:basedOn w:val="Standaardalinea-lettertype"/>
    <w:uiPriority w:val="99"/>
    <w:semiHidden/>
    <w:unhideWhenUsed/>
    <w:rsid w:val="006604A2"/>
    <w:rPr>
      <w:vertAlign w:val="superscript"/>
    </w:rPr>
  </w:style>
  <w:style w:type="character" w:styleId="Verwijzingopmerking">
    <w:name w:val="annotation reference"/>
    <w:basedOn w:val="Standaardalinea-lettertype"/>
    <w:uiPriority w:val="99"/>
    <w:semiHidden/>
    <w:unhideWhenUsed/>
    <w:rsid w:val="00CA4956"/>
    <w:rPr>
      <w:sz w:val="16"/>
      <w:szCs w:val="16"/>
    </w:rPr>
  </w:style>
  <w:style w:type="paragraph" w:styleId="Tekstopmerking">
    <w:name w:val="annotation text"/>
    <w:basedOn w:val="Standaard"/>
    <w:link w:val="TekstopmerkingChar"/>
    <w:uiPriority w:val="99"/>
    <w:unhideWhenUsed/>
    <w:rsid w:val="00CA4956"/>
    <w:rPr>
      <w:sz w:val="20"/>
      <w:szCs w:val="20"/>
    </w:rPr>
  </w:style>
  <w:style w:type="character" w:customStyle="1" w:styleId="TekstopmerkingChar">
    <w:name w:val="Tekst opmerking Char"/>
    <w:basedOn w:val="Standaardalinea-lettertype"/>
    <w:link w:val="Tekstopmerking"/>
    <w:uiPriority w:val="99"/>
    <w:rsid w:val="00CA4956"/>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CA4956"/>
    <w:rPr>
      <w:b/>
      <w:bCs/>
    </w:rPr>
  </w:style>
  <w:style w:type="character" w:customStyle="1" w:styleId="OnderwerpvanopmerkingChar">
    <w:name w:val="Onderwerp van opmerking Char"/>
    <w:basedOn w:val="TekstopmerkingChar"/>
    <w:link w:val="Onderwerpvanopmerking"/>
    <w:uiPriority w:val="99"/>
    <w:semiHidden/>
    <w:rsid w:val="00CA4956"/>
    <w:rPr>
      <w:rFonts w:ascii="Univers" w:hAnsi="Univers"/>
      <w:b/>
      <w:bCs/>
    </w:rPr>
  </w:style>
  <w:style w:type="character" w:styleId="Hyperlink">
    <w:name w:val="Hyperlink"/>
    <w:basedOn w:val="Standaardalinea-lettertype"/>
    <w:uiPriority w:val="99"/>
    <w:unhideWhenUsed/>
    <w:rsid w:val="00AF2DAA"/>
    <w:rPr>
      <w:color w:val="0000FF" w:themeColor="hyperlink"/>
      <w:u w:val="single"/>
    </w:rPr>
  </w:style>
  <w:style w:type="character" w:styleId="Onopgelostemelding">
    <w:name w:val="Unresolved Mention"/>
    <w:basedOn w:val="Standaardalinea-lettertype"/>
    <w:uiPriority w:val="99"/>
    <w:rsid w:val="00AF2DAA"/>
    <w:rPr>
      <w:color w:val="605E5C"/>
      <w:shd w:val="clear" w:color="auto" w:fill="E1DFDD"/>
    </w:rPr>
  </w:style>
  <w:style w:type="paragraph" w:styleId="Lijstalinea">
    <w:name w:val="List Paragraph"/>
    <w:basedOn w:val="Standaard"/>
    <w:uiPriority w:val="34"/>
    <w:qFormat/>
    <w:rsid w:val="009D6675"/>
    <w:pPr>
      <w:ind w:left="720"/>
      <w:contextualSpacing/>
    </w:pPr>
  </w:style>
  <w:style w:type="character" w:styleId="GevolgdeHyperlink">
    <w:name w:val="FollowedHyperlink"/>
    <w:basedOn w:val="Standaardalinea-lettertype"/>
    <w:uiPriority w:val="99"/>
    <w:semiHidden/>
    <w:unhideWhenUsed/>
    <w:rsid w:val="009B42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32841">
      <w:bodyDiv w:val="1"/>
      <w:marLeft w:val="0"/>
      <w:marRight w:val="0"/>
      <w:marTop w:val="0"/>
      <w:marBottom w:val="0"/>
      <w:divBdr>
        <w:top w:val="none" w:sz="0" w:space="0" w:color="auto"/>
        <w:left w:val="none" w:sz="0" w:space="0" w:color="auto"/>
        <w:bottom w:val="none" w:sz="0" w:space="0" w:color="auto"/>
        <w:right w:val="none" w:sz="0" w:space="0" w:color="auto"/>
      </w:divBdr>
    </w:div>
    <w:div w:id="440616200">
      <w:bodyDiv w:val="1"/>
      <w:marLeft w:val="0"/>
      <w:marRight w:val="0"/>
      <w:marTop w:val="0"/>
      <w:marBottom w:val="0"/>
      <w:divBdr>
        <w:top w:val="none" w:sz="0" w:space="0" w:color="auto"/>
        <w:left w:val="none" w:sz="0" w:space="0" w:color="auto"/>
        <w:bottom w:val="none" w:sz="0" w:space="0" w:color="auto"/>
        <w:right w:val="none" w:sz="0" w:space="0" w:color="auto"/>
      </w:divBdr>
    </w:div>
    <w:div w:id="608514532">
      <w:bodyDiv w:val="1"/>
      <w:marLeft w:val="0"/>
      <w:marRight w:val="0"/>
      <w:marTop w:val="0"/>
      <w:marBottom w:val="0"/>
      <w:divBdr>
        <w:top w:val="none" w:sz="0" w:space="0" w:color="auto"/>
        <w:left w:val="none" w:sz="0" w:space="0" w:color="auto"/>
        <w:bottom w:val="none" w:sz="0" w:space="0" w:color="auto"/>
        <w:right w:val="none" w:sz="0" w:space="0" w:color="auto"/>
      </w:divBdr>
      <w:divsChild>
        <w:div w:id="422067078">
          <w:marLeft w:val="300"/>
          <w:marRight w:val="0"/>
          <w:marTop w:val="0"/>
          <w:marBottom w:val="0"/>
          <w:divBdr>
            <w:top w:val="none" w:sz="0" w:space="0" w:color="auto"/>
            <w:left w:val="none" w:sz="0" w:space="0" w:color="auto"/>
            <w:bottom w:val="none" w:sz="0" w:space="0" w:color="auto"/>
            <w:right w:val="none" w:sz="0" w:space="0" w:color="auto"/>
          </w:divBdr>
        </w:div>
      </w:divsChild>
    </w:div>
    <w:div w:id="1977563883">
      <w:bodyDiv w:val="1"/>
      <w:marLeft w:val="0"/>
      <w:marRight w:val="0"/>
      <w:marTop w:val="0"/>
      <w:marBottom w:val="0"/>
      <w:divBdr>
        <w:top w:val="none" w:sz="0" w:space="0" w:color="auto"/>
        <w:left w:val="none" w:sz="0" w:space="0" w:color="auto"/>
        <w:bottom w:val="none" w:sz="0" w:space="0" w:color="auto"/>
        <w:right w:val="none" w:sz="0" w:space="0" w:color="auto"/>
      </w:divBdr>
    </w:div>
    <w:div w:id="2020236984">
      <w:bodyDiv w:val="1"/>
      <w:marLeft w:val="0"/>
      <w:marRight w:val="0"/>
      <w:marTop w:val="0"/>
      <w:marBottom w:val="0"/>
      <w:divBdr>
        <w:top w:val="none" w:sz="0" w:space="0" w:color="auto"/>
        <w:left w:val="none" w:sz="0" w:space="0" w:color="auto"/>
        <w:bottom w:val="none" w:sz="0" w:space="0" w:color="auto"/>
        <w:right w:val="none" w:sz="0" w:space="0" w:color="auto"/>
      </w:divBdr>
    </w:div>
    <w:div w:id="2130204017">
      <w:bodyDiv w:val="1"/>
      <w:marLeft w:val="0"/>
      <w:marRight w:val="0"/>
      <w:marTop w:val="0"/>
      <w:marBottom w:val="0"/>
      <w:divBdr>
        <w:top w:val="none" w:sz="0" w:space="0" w:color="auto"/>
        <w:left w:val="none" w:sz="0" w:space="0" w:color="auto"/>
        <w:bottom w:val="none" w:sz="0" w:space="0" w:color="auto"/>
        <w:right w:val="none" w:sz="0" w:space="0" w:color="auto"/>
      </w:divBdr>
      <w:divsChild>
        <w:div w:id="496724456">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glossaryDocument" Target="glossary/document.xml" Id="rId20"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038E32D9-A707-48E4-B92C-8A1DB770BB16}"/>
      </w:docPartPr>
      <w:docPartBody>
        <w:p w:rsidR="00F3180B" w:rsidRDefault="00F3180B">
          <w:r w:rsidRPr="00C5448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0B"/>
    <w:rsid w:val="00041826"/>
    <w:rsid w:val="000F28CA"/>
    <w:rsid w:val="000F4123"/>
    <w:rsid w:val="000F7D86"/>
    <w:rsid w:val="00147003"/>
    <w:rsid w:val="00191653"/>
    <w:rsid w:val="002039C3"/>
    <w:rsid w:val="002672B6"/>
    <w:rsid w:val="00297D1F"/>
    <w:rsid w:val="003078B8"/>
    <w:rsid w:val="00322442"/>
    <w:rsid w:val="003B4CAB"/>
    <w:rsid w:val="00410F0F"/>
    <w:rsid w:val="00426114"/>
    <w:rsid w:val="00450797"/>
    <w:rsid w:val="00465481"/>
    <w:rsid w:val="004C5FE2"/>
    <w:rsid w:val="00512183"/>
    <w:rsid w:val="00550C06"/>
    <w:rsid w:val="00563E04"/>
    <w:rsid w:val="00567E15"/>
    <w:rsid w:val="00577913"/>
    <w:rsid w:val="005F7F24"/>
    <w:rsid w:val="00606CE2"/>
    <w:rsid w:val="00644348"/>
    <w:rsid w:val="00655B95"/>
    <w:rsid w:val="006A5173"/>
    <w:rsid w:val="0073260A"/>
    <w:rsid w:val="00744EDD"/>
    <w:rsid w:val="00782400"/>
    <w:rsid w:val="007B58B3"/>
    <w:rsid w:val="00823C9E"/>
    <w:rsid w:val="008333BB"/>
    <w:rsid w:val="008A58EF"/>
    <w:rsid w:val="008D1B3B"/>
    <w:rsid w:val="008E34F2"/>
    <w:rsid w:val="00922229"/>
    <w:rsid w:val="009807BF"/>
    <w:rsid w:val="009C0329"/>
    <w:rsid w:val="009D2ACD"/>
    <w:rsid w:val="00A12CA9"/>
    <w:rsid w:val="00A1692B"/>
    <w:rsid w:val="00A57047"/>
    <w:rsid w:val="00A61B35"/>
    <w:rsid w:val="00B23F27"/>
    <w:rsid w:val="00B436C4"/>
    <w:rsid w:val="00B43C93"/>
    <w:rsid w:val="00B50B53"/>
    <w:rsid w:val="00B6033B"/>
    <w:rsid w:val="00BD1D3A"/>
    <w:rsid w:val="00BF0052"/>
    <w:rsid w:val="00D0360E"/>
    <w:rsid w:val="00DB6D33"/>
    <w:rsid w:val="00E15665"/>
    <w:rsid w:val="00E23EB3"/>
    <w:rsid w:val="00E45640"/>
    <w:rsid w:val="00E65F55"/>
    <w:rsid w:val="00E92AD5"/>
    <w:rsid w:val="00EC36C8"/>
    <w:rsid w:val="00ED4CB5"/>
    <w:rsid w:val="00EF59CA"/>
    <w:rsid w:val="00F016D9"/>
    <w:rsid w:val="00F3180B"/>
    <w:rsid w:val="00F402F5"/>
    <w:rsid w:val="00F93531"/>
    <w:rsid w:val="00FA0A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3180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ADV Document" ma:contentTypeID="0x010100D3DA649AE4B0D248BD463BA7E77D2FA4003F15BCAD3783CF4C84B24B1EA759F27D" ma:contentTypeVersion="5" ma:contentTypeDescription="" ma:contentTypeScope="" ma:versionID="bc9815b20df6dadd060a7e2114109377">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e64d0f7562fa210407e45a912e85ce65"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01feb36-d69b-4a1d-969a-41b1f288b752}"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e01feb36-d69b-4a1d-969a-41b1f288b752}"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3F1522-87FE-4098-BF95-26FE710B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BBE56-37F9-465F-8CDA-C8CACD34FDAA}">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9</ap:Pages>
  <ap:Words>3081</ap:Words>
  <ap:Characters>16948</ap:Characters>
  <ap:DocSecurity>0</ap:DocSecurity>
  <ap:Lines>141</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2025-10-28T16:21:00.0000000Z</lastPrinted>
  <dcterms:created xsi:type="dcterms:W3CDTF">2025-10-19T11:22:00.0000000Z</dcterms:created>
  <dcterms:modified xsi:type="dcterms:W3CDTF">2025-11-13T10:55:00.0000000Z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W19.25.00218/IV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b3e5af5f-23de-4e9a-98e3-4c87bfff86de</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