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666EF" w:rsidP="001C7041" w14:paraId="3AFCC18B" w14:textId="77777777">
      <w:pPr>
        <w:spacing w:line="276" w:lineRule="auto"/>
      </w:pPr>
      <w:r>
        <w:t xml:space="preserve">In het </w:t>
      </w:r>
      <w:r w:rsidR="00D71A00">
        <w:t>regeerakkoord</w:t>
      </w:r>
      <w:r>
        <w:t xml:space="preserve"> </w:t>
      </w:r>
      <w:r w:rsidR="006F0905">
        <w:t>‘Aan de slag’</w:t>
      </w:r>
      <w:r w:rsidR="00CD46CF">
        <w:t xml:space="preserve"> </w:t>
      </w:r>
      <w:r>
        <w:t>is het principe van ‘</w:t>
      </w:r>
      <w:r>
        <w:t>comply</w:t>
      </w:r>
      <w:r>
        <w:t xml:space="preserve"> or </w:t>
      </w:r>
      <w:r>
        <w:t>explain</w:t>
      </w:r>
      <w:r>
        <w:t xml:space="preserve">’ </w:t>
      </w:r>
      <w:r w:rsidRPr="00982B75">
        <w:t>aangescherpt. Dit houdt in dat nieuw beleid</w:t>
      </w:r>
      <w:r w:rsidR="002D152E">
        <w:t>, waaronder</w:t>
      </w:r>
      <w:r w:rsidRPr="00982B75">
        <w:t xml:space="preserve"> regelgeving</w:t>
      </w:r>
      <w:r w:rsidR="002D152E">
        <w:t>,</w:t>
      </w:r>
      <w:r w:rsidRPr="00982B75">
        <w:t xml:space="preserve"> in beginsel tevens van toepassing </w:t>
      </w:r>
      <w:r w:rsidR="00CD46CF">
        <w:t>is</w:t>
      </w:r>
      <w:r w:rsidRPr="00982B75" w:rsidR="00CD46CF">
        <w:t xml:space="preserve"> </w:t>
      </w:r>
      <w:r w:rsidRPr="00982B75">
        <w:t xml:space="preserve">op </w:t>
      </w:r>
      <w:r>
        <w:t xml:space="preserve">Bonaire, </w:t>
      </w:r>
      <w:r>
        <w:t>Sint Eustatius</w:t>
      </w:r>
      <w:r>
        <w:t xml:space="preserve"> en Saba</w:t>
      </w:r>
      <w:r w:rsidRPr="00982B75">
        <w:t xml:space="preserve"> (</w:t>
      </w:r>
      <w:r w:rsidRPr="00982B75">
        <w:t>comply</w:t>
      </w:r>
      <w:r w:rsidRPr="00982B75">
        <w:t>), tenzij sprake is van zwaarwegende en deugdelijk gemotiveerde redenen om hiervan af te wijken (</w:t>
      </w:r>
      <w:r w:rsidRPr="00982B75">
        <w:t>explain</w:t>
      </w:r>
      <w:r w:rsidRPr="00982B75">
        <w:t>).</w:t>
      </w:r>
      <w:r>
        <w:t xml:space="preserve"> In de beleidsbrief Koninkrijksrelaties heb ik aangekondigd</w:t>
      </w:r>
      <w:r>
        <w:t xml:space="preserve"> dat het kabinet</w:t>
      </w:r>
      <w:r>
        <w:t xml:space="preserve"> </w:t>
      </w:r>
      <w:r>
        <w:t xml:space="preserve">de toepassing van </w:t>
      </w:r>
      <w:r>
        <w:t xml:space="preserve">het principe </w:t>
      </w:r>
      <w:r>
        <w:t xml:space="preserve">samen met de </w:t>
      </w:r>
      <w:r w:rsidR="00CD46CF">
        <w:t>BES-</w:t>
      </w:r>
      <w:r>
        <w:t xml:space="preserve">eilanden </w:t>
      </w:r>
      <w:r w:rsidR="00877AC7">
        <w:t xml:space="preserve">en de departementen </w:t>
      </w:r>
      <w:r>
        <w:t>gaat evalueren</w:t>
      </w:r>
      <w:r w:rsidR="00877AC7">
        <w:t xml:space="preserve"> op basis van de praktijk</w:t>
      </w:r>
      <w:r>
        <w:t>.</w:t>
      </w:r>
      <w:r>
        <w:rPr>
          <w:rStyle w:val="FootnoteReference"/>
        </w:rPr>
        <w:footnoteReference w:id="2"/>
      </w:r>
      <w:r>
        <w:t xml:space="preserve"> </w:t>
      </w:r>
    </w:p>
    <w:p w:rsidR="00A25A1E" w:rsidP="001C7041" w14:paraId="0D99D54E" w14:textId="77777777">
      <w:pPr>
        <w:spacing w:line="276" w:lineRule="auto"/>
      </w:pPr>
      <w:r>
        <w:t>In deze brief ga ik in op de aanpak van ‘</w:t>
      </w:r>
      <w:r>
        <w:t>comply</w:t>
      </w:r>
      <w:r>
        <w:t xml:space="preserve"> or </w:t>
      </w:r>
      <w:r>
        <w:t>explain</w:t>
      </w:r>
      <w:r>
        <w:t xml:space="preserve">’ voor Bonaire, </w:t>
      </w:r>
      <w:r>
        <w:t>Sint Eustatius</w:t>
      </w:r>
      <w:r>
        <w:t xml:space="preserve"> en Saba. Daarbij ga ik ook in de opvolging van de moties White (GroenLinks/PvdA) c.s.</w:t>
      </w:r>
      <w:r w:rsidR="00877AC7">
        <w:t>;</w:t>
      </w:r>
      <w:r>
        <w:t xml:space="preserve"> </w:t>
      </w:r>
      <w:r>
        <w:t>Bruyning</w:t>
      </w:r>
      <w:r>
        <w:t xml:space="preserve"> (NSC)/</w:t>
      </w:r>
      <w:r>
        <w:t>Paternotte</w:t>
      </w:r>
      <w:r>
        <w:t xml:space="preserve"> (D66)</w:t>
      </w:r>
      <w:r w:rsidR="00877AC7">
        <w:t>;</w:t>
      </w:r>
      <w:r>
        <w:t xml:space="preserve"> en de toezegging</w:t>
      </w:r>
      <w:r w:rsidR="00877AC7">
        <w:t xml:space="preserve"> </w:t>
      </w:r>
      <w:r w:rsidR="00D71A00">
        <w:t>om uw Kame</w:t>
      </w:r>
      <w:r w:rsidR="00877AC7">
        <w:t>r</w:t>
      </w:r>
      <w:r w:rsidR="00D71A00">
        <w:t xml:space="preserve"> te informeren over </w:t>
      </w:r>
      <w:r>
        <w:t>de evaluatie van de VNG-uitvoeringstoetsen.</w:t>
      </w:r>
      <w:r>
        <w:rPr>
          <w:rStyle w:val="FootnoteReference"/>
        </w:rPr>
        <w:footnoteReference w:id="3"/>
      </w:r>
    </w:p>
    <w:p w:rsidR="00A25A1E" w:rsidP="001C7041" w14:paraId="6198C2B6" w14:textId="77777777">
      <w:pPr>
        <w:pStyle w:val="Heading1"/>
        <w:spacing w:line="276" w:lineRule="auto"/>
      </w:pPr>
      <w:bookmarkStart w:name="_Hlk232667007" w:id="0"/>
      <w:r>
        <w:t xml:space="preserve">Aanscherping </w:t>
      </w:r>
      <w:r w:rsidR="00E636CD">
        <w:t xml:space="preserve">en toepassing </w:t>
      </w:r>
      <w:r>
        <w:t>van het principe</w:t>
      </w:r>
    </w:p>
    <w:p w:rsidR="00E72BF1" w:rsidP="001C7041" w14:paraId="3C72B4DB" w14:textId="77777777">
      <w:pPr>
        <w:spacing w:line="276" w:lineRule="auto"/>
      </w:pPr>
      <w:r>
        <w:t>Zoals benoemd in mijn beleidsbrief, is het de bedoeling dat d</w:t>
      </w:r>
      <w:r w:rsidR="001666EF">
        <w:t xml:space="preserve">epartementen bij de voorbereiding van nieuw beleid actief </w:t>
      </w:r>
      <w:r>
        <w:t xml:space="preserve">onderzoeken </w:t>
      </w:r>
      <w:r w:rsidR="001666EF">
        <w:t>op welke wijze dit van</w:t>
      </w:r>
      <w:r>
        <w:t xml:space="preserve"> </w:t>
      </w:r>
      <w:r w:rsidR="001666EF">
        <w:t xml:space="preserve">toepassing kan zijn op Bonaire, </w:t>
      </w:r>
      <w:r w:rsidR="001666EF">
        <w:t>Sint Eustatius</w:t>
      </w:r>
      <w:r w:rsidR="001666EF">
        <w:t xml:space="preserve"> en Saba en dit expliciet</w:t>
      </w:r>
      <w:r w:rsidR="0055284D">
        <w:t xml:space="preserve"> motiveren</w:t>
      </w:r>
      <w:r w:rsidR="001666EF">
        <w:t>. Maatwerk blijft mogelijk</w:t>
      </w:r>
      <w:r w:rsidR="002D152E">
        <w:t xml:space="preserve"> -en vaak ook wenselijk-</w:t>
      </w:r>
      <w:r w:rsidR="001666EF">
        <w:t xml:space="preserve"> maar wordt steeds transparant en zorgvuldig onderbouwd. Hierbij wordt gestuurd op het realiseren van een gelijkwaardig effect voor inwoners op Bonaire, </w:t>
      </w:r>
      <w:r w:rsidR="001666EF">
        <w:t>Sint Eustatius</w:t>
      </w:r>
      <w:r w:rsidR="001666EF">
        <w:t xml:space="preserve"> en Saba, in relatie tot inwoners in Europees Nederland. </w:t>
      </w:r>
      <w:r w:rsidR="002D152E">
        <w:t xml:space="preserve">Het mag geen automatisme zijn om op grond van de bijzondere omstandigheden bij Bonaire, </w:t>
      </w:r>
      <w:r w:rsidR="002D152E">
        <w:t>Sint Eustatius</w:t>
      </w:r>
      <w:r w:rsidR="002D152E">
        <w:t xml:space="preserve"> en Saba lagere standaarden te hanteren. </w:t>
      </w:r>
      <w:r w:rsidR="001666EF">
        <w:t xml:space="preserve">Het is een instrument om te sturen op een gelijkwaardig voorzieningenniveau rekening houdend met de lokale context, waar prioritering en fasering met het oog op uitvoerbaarheid onderdeel van kunnen zijn. </w:t>
      </w:r>
      <w:r w:rsidRPr="00DE5052">
        <w:t xml:space="preserve">Een </w:t>
      </w:r>
      <w:r w:rsidR="00CD46CF">
        <w:t xml:space="preserve">goed </w:t>
      </w:r>
      <w:r w:rsidRPr="00DE5052">
        <w:t xml:space="preserve">voorbeeld </w:t>
      </w:r>
      <w:r w:rsidRPr="00DE5052" w:rsidR="0055284D">
        <w:t xml:space="preserve">van de toepassing van </w:t>
      </w:r>
      <w:r w:rsidRPr="00DE5052" w:rsidR="00DE5052">
        <w:t xml:space="preserve">het </w:t>
      </w:r>
      <w:r w:rsidRPr="00DE5052" w:rsidR="0055284D">
        <w:t xml:space="preserve">principe </w:t>
      </w:r>
      <w:r w:rsidRPr="00DE5052">
        <w:t>is de recente voortgangsbrief van de staatssecretaris van Justitie en Veiligheid over kansspelen.</w:t>
      </w:r>
      <w:r>
        <w:rPr>
          <w:rStyle w:val="FootnoteReference"/>
        </w:rPr>
        <w:footnoteReference w:id="4"/>
      </w:r>
      <w:r w:rsidRPr="00DE5052">
        <w:t xml:space="preserve"> </w:t>
      </w:r>
      <w:r w:rsidRPr="00DE5052" w:rsidR="00DE5052">
        <w:t xml:space="preserve">Het uitgangspunt hierbij is dat de doelstellingen gericht op bescherming van mensen tegen de risico’s van gokken, voor héél Nederland gelden. Om rekening te houden met de context van Bonaire, </w:t>
      </w:r>
      <w:r w:rsidRPr="00DE5052" w:rsidR="00DE5052">
        <w:t>Sint Eustatius</w:t>
      </w:r>
      <w:r w:rsidRPr="00DE5052" w:rsidR="00DE5052">
        <w:t xml:space="preserve"> en Saba wordt de situatie daar nu eerst beter in beeld gebracht om vervolgens te bepalen welke maatregelen aldaar passend zijn voor het behalen van de doelstellingen.</w:t>
      </w:r>
      <w:r w:rsidRPr="00DE5052" w:rsidR="00DE5052">
        <w:t xml:space="preserve"> </w:t>
      </w:r>
    </w:p>
    <w:p w:rsidR="00DE5052" w:rsidP="001C7041" w14:paraId="17910F40" w14:textId="77777777">
      <w:pPr>
        <w:spacing w:line="276" w:lineRule="auto"/>
      </w:pPr>
    </w:p>
    <w:bookmarkEnd w:id="0"/>
    <w:p w:rsidR="00E636CD" w:rsidP="001C7041" w14:paraId="3302CDFC" w14:textId="77777777">
      <w:pPr>
        <w:pStyle w:val="Heading2"/>
        <w:spacing w:line="276" w:lineRule="auto"/>
      </w:pPr>
      <w:r>
        <w:t>Beleids</w:t>
      </w:r>
      <w:r w:rsidR="002E5E13">
        <w:t>inzet</w:t>
      </w:r>
      <w:r>
        <w:t xml:space="preserve"> van dit kabinet</w:t>
      </w:r>
    </w:p>
    <w:p w:rsidR="001666EF" w:rsidP="001C7041" w14:paraId="0DA51E2F" w14:textId="77777777">
      <w:pPr>
        <w:spacing w:line="276" w:lineRule="auto"/>
      </w:pPr>
      <w:r>
        <w:t>Het u</w:t>
      </w:r>
      <w:r w:rsidRPr="00E72BF1" w:rsidR="00E72BF1">
        <w:t xml:space="preserve">itgangspunt is dat </w:t>
      </w:r>
      <w:r w:rsidR="00F44B30">
        <w:t xml:space="preserve">het </w:t>
      </w:r>
      <w:r w:rsidRPr="00E72BF1" w:rsidR="00E72BF1">
        <w:t>principe</w:t>
      </w:r>
      <w:r w:rsidR="00F44B30">
        <w:t xml:space="preserve"> van ‘</w:t>
      </w:r>
      <w:r w:rsidR="00F44B30">
        <w:t>comply</w:t>
      </w:r>
      <w:r w:rsidR="00F44B30">
        <w:t xml:space="preserve"> or </w:t>
      </w:r>
      <w:r w:rsidR="00F44B30">
        <w:t>explain</w:t>
      </w:r>
      <w:r w:rsidR="00F44B30">
        <w:t xml:space="preserve">’ </w:t>
      </w:r>
      <w:r w:rsidRPr="00E72BF1" w:rsidR="00E72BF1">
        <w:t xml:space="preserve">betrekking heeft op het gehele rijksbeleid, waaronder beleidsdoelstellingen, de daarvoor beschikbaar gestelde middelen, </w:t>
      </w:r>
      <w:r w:rsidRPr="00E72BF1" w:rsidR="00E72BF1">
        <w:t>alsmede</w:t>
      </w:r>
      <w:r w:rsidRPr="00E72BF1" w:rsidR="00E72BF1">
        <w:t xml:space="preserve"> wet- en regelgeving en overige beleidsinstrumenten. Dit sluit aan bij bestaande kaders, zoals de Aanwijzingen voor de regelgeving, het Draaiboek voor de regelgeving en het Beleidskompas, waarin is vastgelegd dat expliciet wordt afgewogen in hoeverre regelgeving van toepassing is op </w:t>
      </w:r>
      <w:r w:rsidR="00D8383F">
        <w:t xml:space="preserve">Bonaire, </w:t>
      </w:r>
      <w:r w:rsidR="00D8383F">
        <w:t>Sint Eustatius</w:t>
      </w:r>
      <w:r w:rsidR="00D8383F">
        <w:t xml:space="preserve"> en Saba</w:t>
      </w:r>
      <w:r w:rsidRPr="00E72BF1" w:rsidR="00E72BF1">
        <w:t>. Afwijking van ‘</w:t>
      </w:r>
      <w:r w:rsidRPr="00E72BF1" w:rsidR="00E72BF1">
        <w:t>comply</w:t>
      </w:r>
      <w:r w:rsidRPr="00E72BF1" w:rsidR="00E72BF1">
        <w:t xml:space="preserve">’ is uitsluitend aan de orde met het oog op de bijzondere omstandigheden waardoor Bonaire, </w:t>
      </w:r>
      <w:r w:rsidRPr="00E72BF1" w:rsidR="00E72BF1">
        <w:t>Sint Eustatius</w:t>
      </w:r>
      <w:r w:rsidRPr="00E72BF1" w:rsidR="00E72BF1">
        <w:t xml:space="preserve"> en Saba zich wezenlijk onderscheiden van Europees Nederland.</w:t>
      </w:r>
    </w:p>
    <w:p w:rsidR="00E636CD" w:rsidP="001C7041" w14:paraId="12839831" w14:textId="77777777">
      <w:pPr>
        <w:spacing w:line="276" w:lineRule="auto"/>
      </w:pPr>
    </w:p>
    <w:p w:rsidR="00307E59" w:rsidP="001C7041" w14:paraId="5D723C3B" w14:textId="77777777">
      <w:pPr>
        <w:spacing w:line="276" w:lineRule="auto"/>
      </w:pPr>
      <w:r>
        <w:t>Dat betekent dat mijn collega</w:t>
      </w:r>
      <w:r w:rsidR="00D85123">
        <w:t xml:space="preserve"> bewindspersonen</w:t>
      </w:r>
      <w:r>
        <w:t xml:space="preserve"> bij het opstellen van de verschillende beleidsbrieven hebben gereflecteerd op de toepasbaarheid hiervan op Bonaire, </w:t>
      </w:r>
      <w:r>
        <w:t>Sint Eustatius</w:t>
      </w:r>
      <w:r>
        <w:t xml:space="preserve"> en Saba. </w:t>
      </w:r>
      <w:r>
        <w:t>Dit ziet er per beleidsterrein verschillend uit:</w:t>
      </w:r>
    </w:p>
    <w:p w:rsidR="006B4313" w:rsidP="001C7041" w14:paraId="027D98A0" w14:textId="77777777">
      <w:pPr>
        <w:pStyle w:val="ListParagraph"/>
        <w:numPr>
          <w:ilvl w:val="0"/>
          <w:numId w:val="5"/>
        </w:numPr>
        <w:spacing w:line="276" w:lineRule="auto"/>
      </w:pPr>
      <w:r>
        <w:t>Op het gebied van zorg betekent dit de ambitie om naar een gelijkwaardig voorzieningenniveau toe te werken op het gebied van zorg, jeugd en ondersteuning</w:t>
      </w:r>
      <w:r>
        <w:t>,</w:t>
      </w:r>
      <w:r w:rsidRPr="006B4313">
        <w:t xml:space="preserve"> met aandacht voor preventie, kansrijke start, gezonde voeding en versterking van de randvoorwaarden van het zorgstelse</w:t>
      </w:r>
      <w:r w:rsidR="00B95C5C">
        <w:t>l</w:t>
      </w:r>
      <w:r w:rsidR="00BA6946">
        <w:t>.</w:t>
      </w:r>
      <w:r>
        <w:rPr>
          <w:rStyle w:val="FootnoteReference"/>
        </w:rPr>
        <w:footnoteReference w:id="5"/>
      </w:r>
      <w:r>
        <w:t xml:space="preserve"> </w:t>
      </w:r>
    </w:p>
    <w:p w:rsidR="00307E59" w:rsidP="001C7041" w14:paraId="2754E8E6" w14:textId="77777777">
      <w:pPr>
        <w:pStyle w:val="ListParagraph"/>
        <w:numPr>
          <w:ilvl w:val="0"/>
          <w:numId w:val="5"/>
        </w:numPr>
        <w:spacing w:line="276" w:lineRule="auto"/>
      </w:pPr>
      <w:r>
        <w:t xml:space="preserve">Deze ambitie geldt ook op het gebied van onderwijs, cultuur en kansengelijkheid waarvoor al onderwijs- en cultuuragenda’s bestaan en </w:t>
      </w:r>
      <w:r w:rsidR="00FF7318">
        <w:t>de emancipatienota</w:t>
      </w:r>
      <w:r>
        <w:t>.</w:t>
      </w:r>
      <w:r>
        <w:rPr>
          <w:rStyle w:val="FootnoteReference"/>
        </w:rPr>
        <w:footnoteReference w:id="6"/>
      </w:r>
      <w:r>
        <w:t xml:space="preserve"> </w:t>
      </w:r>
    </w:p>
    <w:p w:rsidR="00307E59" w:rsidP="001C7041" w14:paraId="7F7790ED" w14:textId="77777777">
      <w:pPr>
        <w:pStyle w:val="ListParagraph"/>
        <w:numPr>
          <w:ilvl w:val="0"/>
          <w:numId w:val="5"/>
        </w:numPr>
        <w:spacing w:line="276" w:lineRule="auto"/>
      </w:pPr>
      <w:r>
        <w:t xml:space="preserve">Er is aandacht voor klimaatadaptatie, weerbaarheid en duurzaamheid op Bonaire, </w:t>
      </w:r>
      <w:r>
        <w:t>Sint Eustatius</w:t>
      </w:r>
      <w:r>
        <w:t xml:space="preserve"> en Saba. Zo </w:t>
      </w:r>
      <w:r w:rsidR="00C0121F">
        <w:t xml:space="preserve">wordt voor </w:t>
      </w:r>
      <w:r>
        <w:t xml:space="preserve">de klimaatplannen voor Bonaire, </w:t>
      </w:r>
      <w:r>
        <w:t>Sint Eustatius</w:t>
      </w:r>
      <w:r>
        <w:t xml:space="preserve"> en Saba aansluiting gezocht bij de Nationale Klimaatadaptatiestrategie en krijgt het Natuur en Milieubeleidsplan Caribisch Nederland een tweede fase.</w:t>
      </w:r>
      <w:r>
        <w:rPr>
          <w:rStyle w:val="FootnoteReference"/>
        </w:rPr>
        <w:footnoteReference w:id="7"/>
      </w:r>
      <w:r w:rsidR="00D572C3">
        <w:t xml:space="preserve"> </w:t>
      </w:r>
      <w:r>
        <w:t xml:space="preserve">De plannen voor wonen op Bonaire, Sint Eustatius en Saba worden uitgewerkt in een Beleidsagenda </w:t>
      </w:r>
      <w:r w:rsidR="00D572C3">
        <w:t>Volkshuisvesting en Bouwen 2027-2030.</w:t>
      </w:r>
      <w:r>
        <w:rPr>
          <w:rStyle w:val="FootnoteReference"/>
        </w:rPr>
        <w:footnoteReference w:id="8"/>
      </w:r>
    </w:p>
    <w:p w:rsidRPr="006D07FD" w:rsidR="00D572C3" w:rsidP="001C7041" w14:paraId="28FFCEFB" w14:textId="77777777">
      <w:pPr>
        <w:pStyle w:val="ListParagraph"/>
        <w:numPr>
          <w:ilvl w:val="0"/>
          <w:numId w:val="5"/>
        </w:numPr>
        <w:spacing w:line="276" w:lineRule="auto"/>
      </w:pPr>
      <w:r>
        <w:t>W</w:t>
      </w:r>
      <w:r w:rsidR="00C0121F">
        <w:t xml:space="preserve">at betreft </w:t>
      </w:r>
      <w:r w:rsidRPr="006D07FD" w:rsidR="00C0121F">
        <w:t xml:space="preserve">economische ontwikkeling en bestaanszekerheid is zichtbaar aandacht voor sociaaleconomische weerbaarheid, onder meer via het Economisch Groeiplatform </w:t>
      </w:r>
      <w:r w:rsidRPr="006D07FD" w:rsidR="00C0121F">
        <w:t>Carib</w:t>
      </w:r>
      <w:r w:rsidRPr="006D07FD" w:rsidR="00C0121F">
        <w:t xml:space="preserve"> en investeringen in digitale infrastructuur en de initiatieven op het gebied van voedselzekerheid</w:t>
      </w:r>
      <w:r w:rsidRPr="006D07FD" w:rsidR="000B4DF4">
        <w:t>.</w:t>
      </w:r>
      <w:r w:rsidRPr="006D07FD" w:rsidR="00C0121F">
        <w:t xml:space="preserve"> Over de invulling van de €30 miljoen voor bestaanszekerheid vindt al intensieve samenwerking plaats.</w:t>
      </w:r>
      <w:r w:rsidRPr="006D07FD" w:rsidR="000B4DF4">
        <w:rPr>
          <w:rStyle w:val="FootnoteReference"/>
        </w:rPr>
        <w:t xml:space="preserve"> </w:t>
      </w:r>
      <w:r>
        <w:rPr>
          <w:rStyle w:val="FootnoteReference"/>
        </w:rPr>
        <w:footnoteReference w:id="9"/>
      </w:r>
    </w:p>
    <w:p w:rsidR="00D572C3" w:rsidP="001C7041" w14:paraId="78B448D3" w14:textId="77777777">
      <w:pPr>
        <w:pStyle w:val="ListParagraph"/>
        <w:numPr>
          <w:ilvl w:val="0"/>
          <w:numId w:val="5"/>
        </w:numPr>
        <w:spacing w:line="276" w:lineRule="auto"/>
      </w:pPr>
      <w:r w:rsidRPr="006D07FD">
        <w:t>Op het gebied</w:t>
      </w:r>
      <w:r w:rsidRPr="006D07FD" w:rsidR="00714A77">
        <w:t xml:space="preserve"> v</w:t>
      </w:r>
      <w:r w:rsidRPr="006D07FD">
        <w:t>eiligheid en weerbaarheid</w:t>
      </w:r>
      <w:r w:rsidRPr="006D07FD" w:rsidR="00714A77">
        <w:t xml:space="preserve"> wordt het Caribisch gebied expliciet genoemd als onderdeel</w:t>
      </w:r>
      <w:r w:rsidR="00714A77">
        <w:t xml:space="preserve"> van het bredere veiligheidsbeeld van Nederland en het Koninkrijk, mede in het licht van </w:t>
      </w:r>
      <w:r w:rsidR="00F41BEB">
        <w:t xml:space="preserve">de ontwikkelingen in en rond </w:t>
      </w:r>
      <w:r w:rsidR="00714A77">
        <w:t>Venezuela, hybride dreigingen en cyberveiligheid. Ook is het Caribisch deel van het Koninkrijk opgenomen in het nationale veiligheids- en defensiebeleid. Verder is er aandacht voor ondermijning en versterking van de politiecapaciteit.</w:t>
      </w:r>
      <w:r>
        <w:rPr>
          <w:rStyle w:val="FootnoteReference"/>
        </w:rPr>
        <w:footnoteReference w:id="10"/>
      </w:r>
      <w:r w:rsidR="00714A77">
        <w:t xml:space="preserve"> </w:t>
      </w:r>
    </w:p>
    <w:p w:rsidR="00D572C3" w:rsidP="001C7041" w14:paraId="375AB818" w14:textId="77777777">
      <w:pPr>
        <w:spacing w:line="276" w:lineRule="auto"/>
      </w:pPr>
    </w:p>
    <w:p w:rsidR="00054EC5" w:rsidP="001C7041" w14:paraId="2E554ADC" w14:textId="77777777">
      <w:pPr>
        <w:spacing w:line="276" w:lineRule="auto"/>
      </w:pPr>
    </w:p>
    <w:p w:rsidR="001666EF" w:rsidP="001C7041" w14:paraId="1925A11B" w14:textId="77777777">
      <w:pPr>
        <w:pStyle w:val="Heading2"/>
        <w:spacing w:line="276" w:lineRule="auto"/>
        <w:rPr>
          <w:i w:val="0"/>
          <w:iCs/>
        </w:rPr>
      </w:pPr>
      <w:r>
        <w:t xml:space="preserve">Evaluatie </w:t>
      </w:r>
      <w:r w:rsidR="00DE5052">
        <w:t>v</w:t>
      </w:r>
      <w:r>
        <w:t>an de toepassing van het principe</w:t>
      </w:r>
    </w:p>
    <w:p w:rsidR="00E16D9E" w:rsidP="001C7041" w14:paraId="53A251B7" w14:textId="77777777">
      <w:pPr>
        <w:spacing w:line="276" w:lineRule="auto"/>
      </w:pPr>
      <w:r>
        <w:t xml:space="preserve">Zoals benoemd in mijn beleidsbrief evalueert het kabinet samen met de eilanden de toepassing van het principe mede op basis van ervaringen uit de praktijk en betrekt hierbij de andere departementen. </w:t>
      </w:r>
      <w:r>
        <w:t>De evaluatie vindt plaats op basis van in ieder geval:</w:t>
      </w:r>
    </w:p>
    <w:p w:rsidR="00752848" w:rsidP="001C7041" w14:paraId="1525A935" w14:textId="77777777">
      <w:pPr>
        <w:pStyle w:val="ListParagraph"/>
        <w:numPr>
          <w:ilvl w:val="0"/>
          <w:numId w:val="6"/>
        </w:numPr>
        <w:spacing w:line="276" w:lineRule="auto"/>
      </w:pPr>
      <w:r>
        <w:t>B</w:t>
      </w:r>
      <w:r w:rsidR="00E16D9E">
        <w:t xml:space="preserve">estaande advies- en evaluatierapporten, waaronder </w:t>
      </w:r>
      <w:r>
        <w:t>in ieder geval</w:t>
      </w:r>
      <w:r>
        <w:t>:</w:t>
      </w:r>
    </w:p>
    <w:p w:rsidR="006F0905" w:rsidP="001C7041" w14:paraId="60D913EB" w14:textId="77777777">
      <w:pPr>
        <w:pStyle w:val="ListParagraph"/>
        <w:numPr>
          <w:ilvl w:val="1"/>
          <w:numId w:val="5"/>
        </w:numPr>
        <w:spacing w:line="276" w:lineRule="auto"/>
      </w:pPr>
      <w:r>
        <w:t>De P</w:t>
      </w:r>
      <w:r w:rsidR="00E16D9E">
        <w:t>eriodieke Rapportage artikel 4 Begrotingshoofdstuk IV Koninkrijksrelaties “Bevorderen sociaaleconomische structuur” over de periode 2016-2023</w:t>
      </w:r>
      <w:r>
        <w:rPr>
          <w:rStyle w:val="FootnoteReference"/>
        </w:rPr>
        <w:footnoteReference w:id="11"/>
      </w:r>
      <w:r w:rsidR="00F44B30">
        <w:t>;</w:t>
      </w:r>
    </w:p>
    <w:p w:rsidRPr="00385556" w:rsidR="00752848" w:rsidP="001C7041" w14:paraId="02DE0B05" w14:textId="77777777">
      <w:pPr>
        <w:pStyle w:val="ListParagraph"/>
        <w:numPr>
          <w:ilvl w:val="1"/>
          <w:numId w:val="5"/>
        </w:numPr>
        <w:spacing w:line="276" w:lineRule="auto"/>
      </w:pPr>
      <w:r>
        <w:t xml:space="preserve">Het </w:t>
      </w:r>
      <w:r w:rsidRPr="00385556">
        <w:t>adviesrapport ‘Gelijkwaardigheid als grondwettelijke opdracht’ van de Nationaal Coördinator tegen Discriminatie en Racisme (</w:t>
      </w:r>
      <w:r w:rsidR="00E4246E">
        <w:t xml:space="preserve">hierna: </w:t>
      </w:r>
      <w:r w:rsidRPr="00385556">
        <w:t>NCDR);</w:t>
      </w:r>
    </w:p>
    <w:p w:rsidRPr="00385556" w:rsidR="00752848" w:rsidP="001C7041" w14:paraId="1B5980D5" w14:textId="77777777">
      <w:pPr>
        <w:pStyle w:val="ListParagraph"/>
        <w:numPr>
          <w:ilvl w:val="1"/>
          <w:numId w:val="5"/>
        </w:numPr>
        <w:spacing w:line="276" w:lineRule="auto"/>
      </w:pPr>
      <w:r w:rsidRPr="00385556">
        <w:t>H</w:t>
      </w:r>
      <w:r w:rsidRPr="00385556" w:rsidR="00F44B30">
        <w:t xml:space="preserve">et eindrapport </w:t>
      </w:r>
      <w:r w:rsidRPr="00385556">
        <w:t xml:space="preserve">‘Discriminatie doorbreken’ </w:t>
      </w:r>
      <w:r w:rsidRPr="00385556" w:rsidR="00F44B30">
        <w:t>van de Staatscommissie tegen Discriminatie en Racisme</w:t>
      </w:r>
      <w:r w:rsidRPr="00385556">
        <w:t xml:space="preserve">; </w:t>
      </w:r>
    </w:p>
    <w:p w:rsidR="00054EC5" w:rsidP="001C7041" w14:paraId="53B01FD5" w14:textId="77777777">
      <w:pPr>
        <w:pStyle w:val="ListParagraph"/>
        <w:numPr>
          <w:ilvl w:val="1"/>
          <w:numId w:val="5"/>
        </w:numPr>
        <w:spacing w:line="276" w:lineRule="auto"/>
      </w:pPr>
      <w:r>
        <w:t>E</w:t>
      </w:r>
      <w:r w:rsidR="00E16D9E">
        <w:t>erdere rapporten van onder andere de Raad voor het Openbaar Bestuur, de Raad voor leefomgeving en infrastructuur en de Commissie sociaal minimum</w:t>
      </w:r>
      <w:r w:rsidR="00DE5052">
        <w:t xml:space="preserve"> Caribisch Nederland</w:t>
      </w:r>
      <w:r w:rsidR="00BA6946">
        <w:t>;</w:t>
      </w:r>
      <w:r>
        <w:rPr>
          <w:rStyle w:val="FootnoteReference"/>
        </w:rPr>
        <w:footnoteReference w:id="12"/>
      </w:r>
      <w:r w:rsidR="00752848">
        <w:t xml:space="preserve"> </w:t>
      </w:r>
    </w:p>
    <w:p w:rsidR="00752848" w:rsidP="006F0905" w14:paraId="26C1FE8E" w14:textId="77777777">
      <w:pPr>
        <w:pStyle w:val="ListParagraph"/>
        <w:numPr>
          <w:ilvl w:val="1"/>
          <w:numId w:val="5"/>
        </w:numPr>
        <w:spacing w:line="276" w:lineRule="auto"/>
      </w:pPr>
      <w:r>
        <w:t>Daarbij betrek ik in ieder geval ook het nog te verwachten onderzoek naar de toepassing van het principe door het College voor de Rechten van de Mens.</w:t>
      </w:r>
    </w:p>
    <w:p w:rsidRPr="006F4708" w:rsidR="00E16D9E" w:rsidP="001C7041" w14:paraId="7B4F4EB2" w14:textId="77777777">
      <w:pPr>
        <w:pStyle w:val="ListParagraph"/>
        <w:numPr>
          <w:ilvl w:val="0"/>
          <w:numId w:val="6"/>
        </w:numPr>
        <w:spacing w:line="276" w:lineRule="auto"/>
      </w:pPr>
      <w:r w:rsidRPr="006F4708">
        <w:t>E</w:t>
      </w:r>
      <w:r w:rsidRPr="006F4708" w:rsidR="00D8383F">
        <w:t>en nadere</w:t>
      </w:r>
      <w:r w:rsidRPr="006F4708">
        <w:t xml:space="preserve"> juridische analyse van </w:t>
      </w:r>
      <w:r w:rsidRPr="006F4708" w:rsidR="00F41BEB">
        <w:t>‘</w:t>
      </w:r>
      <w:r w:rsidRPr="006F4708">
        <w:t>comply</w:t>
      </w:r>
      <w:r w:rsidRPr="006F4708">
        <w:t xml:space="preserve"> or </w:t>
      </w:r>
      <w:r w:rsidRPr="006F4708">
        <w:t>explain</w:t>
      </w:r>
      <w:r w:rsidRPr="006F4708" w:rsidR="00F41BEB">
        <w:t>’</w:t>
      </w:r>
      <w:r w:rsidRPr="006F4708">
        <w:t xml:space="preserve"> in het licht van de Grondwet (verhouding artikel 1 en 132</w:t>
      </w:r>
      <w:r w:rsidRPr="006F4708" w:rsidR="007B06E9">
        <w:t>a, lid 4,</w:t>
      </w:r>
      <w:r w:rsidRPr="006F4708">
        <w:t xml:space="preserve"> van de Grondwet)</w:t>
      </w:r>
      <w:r w:rsidRPr="006F4708">
        <w:t>;</w:t>
      </w:r>
    </w:p>
    <w:p w:rsidRPr="006F4708" w:rsidR="00E16D9E" w:rsidP="001C7041" w14:paraId="2C8AFCF3" w14:textId="77777777">
      <w:pPr>
        <w:pStyle w:val="ListParagraph"/>
        <w:numPr>
          <w:ilvl w:val="0"/>
          <w:numId w:val="6"/>
        </w:numPr>
        <w:spacing w:line="276" w:lineRule="auto"/>
      </w:pPr>
      <w:r w:rsidRPr="006F4708">
        <w:t xml:space="preserve">De </w:t>
      </w:r>
      <w:r w:rsidRPr="006F4708" w:rsidR="00054EC5">
        <w:t>k</w:t>
      </w:r>
      <w:r w:rsidRPr="006F4708">
        <w:t xml:space="preserve">abinetsreactie op het onderzoek naar een statusverandering van LGO naar UPG van Bonaire, </w:t>
      </w:r>
      <w:r w:rsidRPr="006F4708">
        <w:t>Sint Eustatius</w:t>
      </w:r>
      <w:r w:rsidRPr="006F4708">
        <w:t xml:space="preserve"> en Saba</w:t>
      </w:r>
      <w:r w:rsidR="00964884">
        <w:t xml:space="preserve"> die </w:t>
      </w:r>
      <w:r w:rsidR="003A5EE1">
        <w:t xml:space="preserve">in het vierde kwartaal van dit jaar </w:t>
      </w:r>
      <w:r w:rsidR="00964884">
        <w:t>met uw Kamer wordt gedeeld;</w:t>
      </w:r>
    </w:p>
    <w:p w:rsidR="00877826" w:rsidP="001C7041" w14:paraId="6B16BA89" w14:textId="77777777">
      <w:pPr>
        <w:pStyle w:val="ListParagraph"/>
        <w:numPr>
          <w:ilvl w:val="0"/>
          <w:numId w:val="6"/>
        </w:numPr>
        <w:spacing w:line="276" w:lineRule="auto"/>
      </w:pPr>
      <w:r>
        <w:t>Dialoog met enerzijds mijn collega bewindspersonen en anderzijds de eiland</w:t>
      </w:r>
      <w:r w:rsidR="00635397">
        <w:t xml:space="preserve">sbesturen </w:t>
      </w:r>
      <w:r>
        <w:t xml:space="preserve">over hoe zij aankijken tegen toepassing van het principe. </w:t>
      </w:r>
    </w:p>
    <w:p w:rsidR="00054EC5" w:rsidP="001C7041" w14:paraId="61FF05D0" w14:textId="77777777">
      <w:pPr>
        <w:spacing w:line="276" w:lineRule="auto"/>
      </w:pPr>
    </w:p>
    <w:p w:rsidR="00877826" w:rsidP="001C7041" w14:paraId="0F8EFA12" w14:textId="77777777">
      <w:pPr>
        <w:spacing w:line="276" w:lineRule="auto"/>
      </w:pPr>
      <w:r>
        <w:t>Ik informeer u dit najaar over de voortgang van de evaluatie</w:t>
      </w:r>
      <w:r w:rsidR="00635397">
        <w:t xml:space="preserve"> van het principe</w:t>
      </w:r>
      <w:r w:rsidR="006F0905">
        <w:t>, in die brief zal ik ook namens het kabinet op het adviesrapport van de NCDR reageren</w:t>
      </w:r>
      <w:r>
        <w:t>.</w:t>
      </w:r>
      <w:r>
        <w:rPr>
          <w:rStyle w:val="FootnoteReference"/>
        </w:rPr>
        <w:footnoteReference w:id="13"/>
      </w:r>
      <w:r>
        <w:t xml:space="preserve"> </w:t>
      </w:r>
    </w:p>
    <w:p w:rsidR="00E72BF1" w:rsidP="001C7041" w14:paraId="7B1C4187" w14:textId="77777777">
      <w:pPr>
        <w:pStyle w:val="Heading1"/>
        <w:spacing w:line="276" w:lineRule="auto"/>
      </w:pPr>
      <w:r>
        <w:t>Praktische maatregelen voor het waarborgen van het principe</w:t>
      </w:r>
    </w:p>
    <w:p w:rsidR="00E72BF1" w:rsidP="001C7041" w14:paraId="060AD2B4" w14:textId="77777777">
      <w:pPr>
        <w:pStyle w:val="WitregelW1bodytekst"/>
        <w:spacing w:line="276" w:lineRule="auto"/>
      </w:pPr>
      <w:r>
        <w:t>Over het waarborgen en het toepassen van het principe van ‘</w:t>
      </w:r>
      <w:r>
        <w:t>comply</w:t>
      </w:r>
      <w:r>
        <w:t xml:space="preserve"> or </w:t>
      </w:r>
      <w:r>
        <w:t>explain</w:t>
      </w:r>
      <w:r>
        <w:t>’ is uw Kamer eerder geïnformeerd.</w:t>
      </w:r>
      <w:r>
        <w:rPr>
          <w:rStyle w:val="FootnoteReference"/>
        </w:rPr>
        <w:footnoteReference w:id="14"/>
      </w:r>
      <w:r>
        <w:t xml:space="preserve"> In de opvolging daarvan worden </w:t>
      </w:r>
      <w:r>
        <w:t xml:space="preserve">Bonaire, </w:t>
      </w:r>
      <w:r>
        <w:t>Sint Eustatius</w:t>
      </w:r>
      <w:r>
        <w:t xml:space="preserve"> en Saba beter betrokken bij de totstandkoming van beleid en wetgeving, onder andere door processen rond startnotities, (internet)consultaties en door het </w:t>
      </w:r>
      <w:r>
        <w:t>rijksbrede</w:t>
      </w:r>
      <w:r>
        <w:t xml:space="preserve"> wetgevingsoverzicht te verbeteren. Daarnaast worden</w:t>
      </w:r>
      <w:r w:rsidR="00635397">
        <w:t xml:space="preserve"> </w:t>
      </w:r>
      <w:r>
        <w:t>(internet)consultaties waar relevant meertalig toegankelijker gemaakt</w:t>
      </w:r>
      <w:r w:rsidR="00635397">
        <w:t xml:space="preserve"> </w:t>
      </w:r>
      <w:r>
        <w:t>(Nederlands, Engels en Papiaments), zodat de lokale overheden, inwoners en</w:t>
      </w:r>
      <w:r w:rsidR="00635397">
        <w:t xml:space="preserve"> </w:t>
      </w:r>
      <w:r>
        <w:t>bedrijven op de eilanden effectiever kunnen participeren en goed geïnformeerd</w:t>
      </w:r>
      <w:r w:rsidR="00635397">
        <w:t xml:space="preserve"> </w:t>
      </w:r>
      <w:r>
        <w:t>zijn over nieuw beleid en wetgeving. Ook wordt de VNG Caribendesk verder</w:t>
      </w:r>
      <w:r w:rsidR="00635397">
        <w:t xml:space="preserve"> </w:t>
      </w:r>
      <w:r>
        <w:t xml:space="preserve">doorontwikkeld, die een belangrijke rol </w:t>
      </w:r>
      <w:r w:rsidRPr="00E72BF1">
        <w:t>speelt in kennisdeling en het</w:t>
      </w:r>
      <w:r>
        <w:t xml:space="preserve"> </w:t>
      </w:r>
      <w:r w:rsidRPr="00E72BF1">
        <w:t>uitvoeren van</w:t>
      </w:r>
      <w:r w:rsidR="00635397">
        <w:t xml:space="preserve"> </w:t>
      </w:r>
      <w:r w:rsidRPr="00E72BF1">
        <w:t>uitvoeringstoetsen voor wetgeving die aansluit bij de eilandelijke</w:t>
      </w:r>
      <w:r>
        <w:t xml:space="preserve"> </w:t>
      </w:r>
      <w:r w:rsidRPr="00E72BF1">
        <w:t>context.</w:t>
      </w:r>
      <w:r w:rsidR="00C06C63">
        <w:t xml:space="preserve"> </w:t>
      </w:r>
    </w:p>
    <w:p w:rsidR="005F6F4A" w:rsidP="001C7041" w14:paraId="68420434" w14:textId="77777777">
      <w:pPr>
        <w:spacing w:line="276" w:lineRule="auto"/>
        <w:rPr>
          <w:b/>
          <w:bCs/>
        </w:rPr>
      </w:pPr>
    </w:p>
    <w:p w:rsidR="003A5EE1" w:rsidP="001C7041" w14:paraId="47A81D4D" w14:textId="77777777">
      <w:pPr>
        <w:pStyle w:val="Standaardcursief"/>
        <w:spacing w:line="276" w:lineRule="auto"/>
      </w:pPr>
    </w:p>
    <w:p w:rsidRPr="00A13B38" w:rsidR="005F6F4A" w:rsidP="001C7041" w14:paraId="1778E7B8" w14:textId="77777777">
      <w:pPr>
        <w:pStyle w:val="Standaardcursief"/>
        <w:spacing w:line="276" w:lineRule="auto"/>
        <w:rPr>
          <w:rFonts w:cs="Arial"/>
        </w:rPr>
      </w:pPr>
      <w:r w:rsidRPr="00A13B38">
        <w:t>Uitvoer</w:t>
      </w:r>
      <w:r w:rsidR="00086199">
        <w:t>baarheidstoets</w:t>
      </w:r>
      <w:r w:rsidRPr="00A13B38">
        <w:t xml:space="preserve"> Decentrale Overheden (hierna: UDO) en uitvoeringstoetsen</w:t>
      </w:r>
    </w:p>
    <w:p w:rsidRPr="00A13B38" w:rsidR="005F6F4A" w:rsidP="001C7041" w14:paraId="145E4208" w14:textId="77777777">
      <w:pPr>
        <w:spacing w:line="276" w:lineRule="auto"/>
      </w:pPr>
      <w:r w:rsidRPr="00A13B38">
        <w:t xml:space="preserve">De VNG Caribendesk heeft twee uitvoeringstoetsen uitgevoerd voor Bonaire, </w:t>
      </w:r>
      <w:r w:rsidRPr="00A13B38">
        <w:t>Sint Eustatius</w:t>
      </w:r>
      <w:r w:rsidRPr="00A13B38">
        <w:t xml:space="preserve"> en Saba</w:t>
      </w:r>
      <w:r w:rsidR="000F7ED1">
        <w:t>.</w:t>
      </w:r>
      <w:r w:rsidRPr="000F7ED1" w:rsidR="000F7ED1">
        <w:t xml:space="preserve"> </w:t>
      </w:r>
      <w:r w:rsidRPr="00A13B38" w:rsidR="000F7ED1">
        <w:t>Hiermee is uitvoering gegeven aan een toezegging aan uw Kamer</w:t>
      </w:r>
      <w:r w:rsidRPr="00A13B38">
        <w:t>.</w:t>
      </w:r>
      <w:r>
        <w:rPr>
          <w:rStyle w:val="FootnoteReference"/>
        </w:rPr>
        <w:footnoteReference w:id="15"/>
      </w:r>
      <w:r w:rsidRPr="00A13B38">
        <w:t xml:space="preserve"> De eerste toets had betrekking op het wetsvoorstel tot wijziging van de Wet </w:t>
      </w:r>
      <w:r w:rsidRPr="00A13B38">
        <w:t>Bibob</w:t>
      </w:r>
      <w:r w:rsidRPr="00A13B38">
        <w:t xml:space="preserve"> (Bevordering integriteitsbeoordelingen door het openbaar bestuur). De tweede uitvoeringstoets betrof het besluit tot wijziging van het Besluit openbare bibliotheekvoorzieningen. De uitkomsten van deze pilot met uitvoeringstoetsen laten zien dat het van belang is om uitvoeringstoetsen uit te voeren, om inzicht te verkrijgen in de uitvoerbaarheid van voorgenomen wet- en regelgeving voor de openbare lichamen. Wel liet het proces zien dat uitvoeringstoetsen voor </w:t>
      </w:r>
      <w:r w:rsidR="00D8383F">
        <w:t xml:space="preserve">Bonaire, </w:t>
      </w:r>
      <w:r w:rsidR="00D8383F">
        <w:t>Sint Eustatius</w:t>
      </w:r>
      <w:r w:rsidR="00D8383F">
        <w:t xml:space="preserve"> en Saba</w:t>
      </w:r>
      <w:r w:rsidRPr="00A13B38">
        <w:t xml:space="preserve"> op onderdelen eenvoudiger moet worden vormgegeven dan gebruikelijk is voor gemeenten in Europees Nederland. Daarnaast moet een uitvoeringstoets niet al te vroeg in het proces worden ingericht, omdat het dan lastig is voor de openbare lichamen om de consequenties van voorgenomen wetgeving volledig te overzien (onder meer de financiële onderbouwing). Tot slot </w:t>
      </w:r>
      <w:r w:rsidRPr="00A13B38">
        <w:t>onderstrepen</w:t>
      </w:r>
      <w:r w:rsidRPr="00A13B38">
        <w:t xml:space="preserve"> de uitvoeringstoetsen het belang van maatwerk. </w:t>
      </w:r>
    </w:p>
    <w:p w:rsidRPr="00A13B38" w:rsidR="005F6F4A" w:rsidP="001C7041" w14:paraId="7F17EB9E" w14:textId="77777777">
      <w:pPr>
        <w:spacing w:line="276" w:lineRule="auto"/>
      </w:pPr>
    </w:p>
    <w:p w:rsidRPr="006F4708" w:rsidR="005F6F4A" w:rsidP="001C7041" w14:paraId="53B70DE0" w14:textId="77777777">
      <w:pPr>
        <w:spacing w:line="276" w:lineRule="auto"/>
      </w:pPr>
      <w:r w:rsidRPr="00A13B38">
        <w:t xml:space="preserve">Op verzoek van mijn ministerie heeft </w:t>
      </w:r>
      <w:r w:rsidR="00E4246E">
        <w:t>het onafhankelijke onderzoeksbureau</w:t>
      </w:r>
      <w:r w:rsidR="00DE0A11">
        <w:t>,</w:t>
      </w:r>
      <w:r w:rsidR="00E4246E">
        <w:t xml:space="preserve"> de</w:t>
      </w:r>
      <w:r w:rsidRPr="00A13B38">
        <w:t xml:space="preserve"> DSP-groep</w:t>
      </w:r>
      <w:r w:rsidR="00DE0A11">
        <w:t>,</w:t>
      </w:r>
      <w:r w:rsidRPr="00A13B38">
        <w:t xml:space="preserve"> vervolgens een advies geschreven over de inzet van de UDO en uitvoeringstoetsen in Caribisch Nederland</w:t>
      </w:r>
      <w:r w:rsidR="000F7ED1">
        <w:t>.</w:t>
      </w:r>
      <w:r w:rsidRPr="000F7ED1" w:rsidR="000F7ED1">
        <w:t xml:space="preserve"> </w:t>
      </w:r>
      <w:r w:rsidRPr="00A13B38" w:rsidR="000F7ED1">
        <w:t xml:space="preserve">Hiermee is uitvoering gegeven aan de motie </w:t>
      </w:r>
      <w:r w:rsidRPr="00A13B38" w:rsidR="000F7ED1">
        <w:t>Bruyning</w:t>
      </w:r>
      <w:r w:rsidR="004B3B11">
        <w:t xml:space="preserve"> (NSC)</w:t>
      </w:r>
      <w:r w:rsidRPr="00A13B38" w:rsidR="000F7ED1">
        <w:t>–</w:t>
      </w:r>
      <w:r w:rsidRPr="00A13B38" w:rsidR="000F7ED1">
        <w:t>Paternotte</w:t>
      </w:r>
      <w:r w:rsidR="004B3B11">
        <w:t xml:space="preserve"> (D66)</w:t>
      </w:r>
      <w:r w:rsidRPr="00A13B38">
        <w:t>.</w:t>
      </w:r>
      <w:r>
        <w:rPr>
          <w:rStyle w:val="FootnoteReference"/>
        </w:rPr>
        <w:footnoteReference w:id="16"/>
      </w:r>
      <w:r w:rsidRPr="00A13B38">
        <w:t xml:space="preserve"> Het advies van de DSP-groep biedt concrete handvatten om de uitvoerbaarheid van beleid en wetgeving, via de inzet van de UDO en </w:t>
      </w:r>
      <w:r w:rsidR="00086199">
        <w:t xml:space="preserve">de van het proces van de UDO deel uitmakende </w:t>
      </w:r>
      <w:r w:rsidRPr="00A13B38">
        <w:t>uitvoeringstoetsen, vooraf beter te toetsen. Hierbij wordt geadviseerd om, indien er bij een beleidsintensivering wordt gekozen voor harmonisatie (</w:t>
      </w:r>
      <w:r w:rsidRPr="00A13B38">
        <w:t>comply</w:t>
      </w:r>
      <w:r w:rsidRPr="00A13B38">
        <w:t xml:space="preserve">), en er voor Europees Nederland wordt gestart met de UDO, </w:t>
      </w:r>
      <w:r w:rsidR="00D8383F">
        <w:t xml:space="preserve">Bonaire, </w:t>
      </w:r>
      <w:r w:rsidR="00D8383F">
        <w:t>Sint Eustatius</w:t>
      </w:r>
      <w:r w:rsidR="00D8383F">
        <w:t xml:space="preserve"> en Saba</w:t>
      </w:r>
      <w:r w:rsidRPr="00A13B38">
        <w:t xml:space="preserve"> standaard mee te laten lopen. Daarbij wordt geadviseerd om concrete werkafspraken te maken. Deze adviezen sluiten goed aan bij de uitkomsten en ervaringen van de uitvoeringstoetsen zoals die door de VNG zijn uitgevoerd en waarin Bonaire, </w:t>
      </w:r>
      <w:r w:rsidRPr="00A13B38">
        <w:t>Sint Eustatius</w:t>
      </w:r>
      <w:r w:rsidRPr="00A13B38">
        <w:t xml:space="preserve"> en Saba zich herkennen</w:t>
      </w:r>
      <w:r w:rsidRPr="00A13B38">
        <w:rPr>
          <w:b/>
          <w:bCs/>
        </w:rPr>
        <w:t xml:space="preserve">. </w:t>
      </w:r>
      <w:r w:rsidRPr="00A13B38">
        <w:t xml:space="preserve">Mijn ministerie </w:t>
      </w:r>
      <w:r w:rsidRPr="00A13B38">
        <w:rPr>
          <w:rStyle w:val="Strong"/>
          <w:b w:val="0"/>
          <w:bCs w:val="0"/>
        </w:rPr>
        <w:t xml:space="preserve">zal vanuit haar coördinerende rol langs de lijnen vanuit het advies afspraken maken met andere ministeries en de VNG over de toepassing van de UDO en uitvoeringstoetsen voor </w:t>
      </w:r>
      <w:r w:rsidR="00D8383F">
        <w:rPr>
          <w:rStyle w:val="Strong"/>
          <w:b w:val="0"/>
          <w:bCs w:val="0"/>
        </w:rPr>
        <w:t xml:space="preserve">Bonaire, </w:t>
      </w:r>
      <w:r w:rsidR="00D8383F">
        <w:rPr>
          <w:rStyle w:val="Strong"/>
          <w:b w:val="0"/>
          <w:bCs w:val="0"/>
        </w:rPr>
        <w:t>Sint Eustatius</w:t>
      </w:r>
      <w:r w:rsidR="00D8383F">
        <w:rPr>
          <w:rStyle w:val="Strong"/>
          <w:b w:val="0"/>
          <w:bCs w:val="0"/>
        </w:rPr>
        <w:t xml:space="preserve"> en Saba</w:t>
      </w:r>
      <w:r w:rsidRPr="00A13B38">
        <w:rPr>
          <w:rStyle w:val="Strong"/>
          <w:b w:val="0"/>
          <w:bCs w:val="0"/>
        </w:rPr>
        <w:t xml:space="preserve">. Ten slotte </w:t>
      </w:r>
      <w:r w:rsidRPr="00A13B38">
        <w:t>wordt geadviseerd om bij de doorontwikkeling van het principe van ‘</w:t>
      </w:r>
      <w:r w:rsidRPr="00A13B38">
        <w:t>comply</w:t>
      </w:r>
      <w:r w:rsidRPr="00A13B38">
        <w:t xml:space="preserve"> or </w:t>
      </w:r>
      <w:r w:rsidRPr="00A13B38">
        <w:t>explain</w:t>
      </w:r>
      <w:r w:rsidRPr="00A13B38">
        <w:t xml:space="preserve">’ haalbaarheid en wenselijkheid nadrukkelijk mee te nemen. Ik ben voornemens om dit advies mee te nemen bij de </w:t>
      </w:r>
      <w:r w:rsidRPr="006F4708">
        <w:t xml:space="preserve">aangekondigde evaluatie van het principe. </w:t>
      </w:r>
    </w:p>
    <w:p w:rsidR="001C7041" w:rsidP="001C7041" w14:paraId="309C1F6B" w14:textId="77777777">
      <w:pPr>
        <w:spacing w:line="276" w:lineRule="auto"/>
        <w:rPr>
          <w:rStyle w:val="Strong"/>
          <w:b w:val="0"/>
          <w:bCs w:val="0"/>
        </w:rPr>
      </w:pPr>
      <w:r w:rsidRPr="006F4708">
        <w:t>Voor een goede werking van ‘</w:t>
      </w:r>
      <w:r w:rsidRPr="006F4708">
        <w:t>comply</w:t>
      </w:r>
      <w:r w:rsidRPr="006F4708">
        <w:t xml:space="preserve"> or </w:t>
      </w:r>
      <w:r w:rsidRPr="006F4708">
        <w:t>explain</w:t>
      </w:r>
      <w:r w:rsidRPr="006F4708">
        <w:t xml:space="preserve">’ is een toetsing op uitvoerbaarheid van groot belang. Niet alleen de UDO en uitvoeringstoetsen helpen hierbij, ook het </w:t>
      </w:r>
      <w:r w:rsidRPr="006F4708">
        <w:rPr>
          <w:rStyle w:val="Strong"/>
          <w:b w:val="0"/>
          <w:bCs w:val="0"/>
        </w:rPr>
        <w:t xml:space="preserve">Beleidskader decentraal en gedeconcentreerd bestuur dat met </w:t>
      </w:r>
      <w:r w:rsidRPr="006F4708" w:rsidR="00366D1D">
        <w:rPr>
          <w:rStyle w:val="Strong"/>
          <w:b w:val="0"/>
          <w:bCs w:val="0"/>
        </w:rPr>
        <w:t>u</w:t>
      </w:r>
      <w:r w:rsidRPr="006F4708">
        <w:rPr>
          <w:rStyle w:val="Strong"/>
          <w:b w:val="0"/>
          <w:bCs w:val="0"/>
        </w:rPr>
        <w:t xml:space="preserve">w Kamer </w:t>
      </w:r>
      <w:r w:rsidR="008940A3">
        <w:rPr>
          <w:rStyle w:val="Strong"/>
          <w:b w:val="0"/>
          <w:bCs w:val="0"/>
        </w:rPr>
        <w:t>wordt</w:t>
      </w:r>
      <w:r w:rsidRPr="006F4708">
        <w:rPr>
          <w:rStyle w:val="Strong"/>
          <w:b w:val="0"/>
          <w:bCs w:val="0"/>
        </w:rPr>
        <w:t xml:space="preserve"> gedeeld waarin </w:t>
      </w:r>
      <w:r w:rsidRPr="006F4708">
        <w:rPr>
          <w:rStyle w:val="Strong"/>
          <w:b w:val="0"/>
          <w:bCs w:val="0"/>
        </w:rPr>
        <w:t xml:space="preserve">Bonaire, </w:t>
      </w:r>
      <w:r w:rsidRPr="006F4708">
        <w:rPr>
          <w:rStyle w:val="Strong"/>
          <w:b w:val="0"/>
          <w:bCs w:val="0"/>
        </w:rPr>
        <w:t>Sint Eustatius</w:t>
      </w:r>
      <w:r w:rsidRPr="006F4708">
        <w:rPr>
          <w:rStyle w:val="Strong"/>
          <w:b w:val="0"/>
          <w:bCs w:val="0"/>
        </w:rPr>
        <w:t xml:space="preserve"> en Saba</w:t>
      </w:r>
      <w:r w:rsidRPr="006F4708">
        <w:rPr>
          <w:rStyle w:val="Strong"/>
          <w:b w:val="0"/>
          <w:bCs w:val="0"/>
        </w:rPr>
        <w:t xml:space="preserve"> </w:t>
      </w:r>
      <w:r w:rsidRPr="006F4708">
        <w:rPr>
          <w:rStyle w:val="Strong"/>
          <w:b w:val="0"/>
          <w:bCs w:val="0"/>
        </w:rPr>
        <w:t>zijn</w:t>
      </w:r>
      <w:r w:rsidRPr="006F4708">
        <w:rPr>
          <w:rStyle w:val="Strong"/>
          <w:b w:val="0"/>
          <w:bCs w:val="0"/>
        </w:rPr>
        <w:t xml:space="preserve"> meegenomen draagt hieraan</w:t>
      </w:r>
      <w:r w:rsidRPr="00A13B38">
        <w:rPr>
          <w:rStyle w:val="Strong"/>
          <w:b w:val="0"/>
          <w:bCs w:val="0"/>
        </w:rPr>
        <w:t xml:space="preserve"> bij. Dit beleidskader helpt om aan de voorkant scherpere keuzes te maken over taaktoedeling naar de openbare lichamen.</w:t>
      </w:r>
    </w:p>
    <w:p w:rsidR="00BA6946" w:rsidP="00E72BF1" w14:paraId="706E2BED" w14:textId="77777777">
      <w:pPr>
        <w:pStyle w:val="Heading2"/>
      </w:pPr>
    </w:p>
    <w:p w:rsidRPr="003A5EE1" w:rsidR="003A5EE1" w:rsidP="003A5EE1" w14:paraId="4D981E0E" w14:textId="77777777"/>
    <w:p w:rsidR="00BA6946" w:rsidP="00E72BF1" w14:paraId="5FC5DBC5" w14:textId="77777777">
      <w:pPr>
        <w:pStyle w:val="Heading2"/>
      </w:pPr>
    </w:p>
    <w:p w:rsidR="001666EF" w:rsidP="00E72BF1" w14:paraId="448D08DB" w14:textId="77777777">
      <w:pPr>
        <w:pStyle w:val="Heading2"/>
      </w:pPr>
      <w:r>
        <w:t>Stand van zaken verbetermaatregelen betrokkenheid</w:t>
      </w:r>
    </w:p>
    <w:p w:rsidRPr="00C06C63" w:rsidR="00C06C63" w:rsidP="00635397" w14:paraId="71998FCC" w14:textId="77777777">
      <w:r w:rsidRPr="00DE5052">
        <w:t xml:space="preserve">De </w:t>
      </w:r>
      <w:r w:rsidR="007F6829">
        <w:t xml:space="preserve">in </w:t>
      </w:r>
      <w:r w:rsidRPr="00DE5052">
        <w:t>mijn brief van 20 augustus 2025</w:t>
      </w:r>
      <w:r>
        <w:rPr>
          <w:rStyle w:val="FootnoteReference"/>
        </w:rPr>
        <w:footnoteReference w:id="17"/>
      </w:r>
      <w:r w:rsidRPr="00BA6946">
        <w:t xml:space="preserve"> </w:t>
      </w:r>
      <w:r w:rsidRPr="00DE5052">
        <w:t xml:space="preserve">opgenomen </w:t>
      </w:r>
      <w:r w:rsidRPr="00DE5052" w:rsidR="007F6829">
        <w:t>verbeter</w:t>
      </w:r>
      <w:r w:rsidRPr="00DE5052">
        <w:t>maatregelen</w:t>
      </w:r>
      <w:r w:rsidRPr="00DE5052" w:rsidR="007F6829">
        <w:t xml:space="preserve"> inzake</w:t>
      </w:r>
      <w:r w:rsidRPr="007F6829" w:rsidR="007F6829">
        <w:t xml:space="preserve"> </w:t>
      </w:r>
      <w:r w:rsidRPr="00DE5052" w:rsidR="007F6829">
        <w:t xml:space="preserve">betrokkenheid </w:t>
      </w:r>
      <w:r w:rsidRPr="007F6829" w:rsidR="007F6829">
        <w:t xml:space="preserve">van </w:t>
      </w:r>
      <w:r w:rsidRPr="00DE5052" w:rsidR="007F6829">
        <w:t xml:space="preserve">Bonaire, </w:t>
      </w:r>
      <w:r w:rsidRPr="00DE5052" w:rsidR="007F6829">
        <w:t>Sint Eustatius</w:t>
      </w:r>
      <w:r w:rsidRPr="00DE5052" w:rsidR="007F6829">
        <w:t xml:space="preserve"> en Saba bij </w:t>
      </w:r>
      <w:r w:rsidR="00BA6946">
        <w:t>‘</w:t>
      </w:r>
      <w:r w:rsidRPr="00DE5052" w:rsidR="007F6829">
        <w:t>comply</w:t>
      </w:r>
      <w:r w:rsidRPr="00DE5052" w:rsidR="007F6829">
        <w:t xml:space="preserve"> or </w:t>
      </w:r>
      <w:r w:rsidRPr="00DE5052" w:rsidR="007F6829">
        <w:t>explain</w:t>
      </w:r>
      <w:r w:rsidR="00BA6946">
        <w:t>’</w:t>
      </w:r>
      <w:r w:rsidRPr="007F6829" w:rsidR="007F6829">
        <w:t xml:space="preserve"> </w:t>
      </w:r>
      <w:r w:rsidRPr="00DE5052">
        <w:t>zijn inmiddels doorgevoerd in de</w:t>
      </w:r>
      <w:r w:rsidRPr="00DE5052" w:rsidR="007F6829">
        <w:t xml:space="preserve"> daarvoor in aanmerking komende </w:t>
      </w:r>
      <w:r w:rsidRPr="00DE5052">
        <w:t xml:space="preserve">instrumenten. </w:t>
      </w:r>
      <w:r w:rsidR="007F6829">
        <w:t xml:space="preserve">    </w:t>
      </w:r>
      <w:r w:rsidRPr="00DE5052">
        <w:t xml:space="preserve">Het komt nu aan op daadwerkelijke toepassing </w:t>
      </w:r>
      <w:r w:rsidR="007F6829">
        <w:t xml:space="preserve">van deze maatregelen </w:t>
      </w:r>
      <w:r w:rsidRPr="00DE5052">
        <w:t xml:space="preserve">door de departementen. </w:t>
      </w:r>
      <w:r w:rsidR="007F6829">
        <w:t xml:space="preserve">Ik houd hierbij de vinger aan de pols. </w:t>
      </w:r>
    </w:p>
    <w:p w:rsidR="00A25A1E" w14:paraId="2B2E87F0" w14:textId="77777777"/>
    <w:p w:rsidR="00A25A1E" w14:paraId="3321BB5C" w14:textId="77777777">
      <w:r>
        <w:t>De Staatssecretaris van Binnenlandse Zaken en Koninkrijksrelaties</w:t>
      </w:r>
      <w:r>
        <w:rPr>
          <w:i/>
        </w:rPr>
        <w:t>,</w:t>
      </w:r>
    </w:p>
    <w:p w:rsidR="00A25A1E" w14:paraId="301D829A" w14:textId="77777777"/>
    <w:p w:rsidR="00A25A1E" w14:paraId="7728210A" w14:textId="77777777"/>
    <w:p w:rsidR="00A25A1E" w14:paraId="59886754" w14:textId="77777777"/>
    <w:p w:rsidR="00A25A1E" w14:paraId="60F0F487" w14:textId="77777777"/>
    <w:p w:rsidR="00A25A1E" w14:paraId="16E1D848" w14:textId="77777777">
      <w:r>
        <w:t>Eric van der Burg</w:t>
      </w:r>
    </w:p>
    <w:p w:rsidR="00A25A1E" w14:paraId="7132F195"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A1E" w14:paraId="29994C24"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02BC" w14:paraId="18E07D45" w14:textId="77777777">
      <w:pPr>
        <w:spacing w:line="240" w:lineRule="auto"/>
      </w:pPr>
      <w:r>
        <w:separator/>
      </w:r>
    </w:p>
  </w:footnote>
  <w:footnote w:type="continuationSeparator" w:id="1">
    <w:p w:rsidR="003C02BC" w14:paraId="6661FA57" w14:textId="77777777">
      <w:pPr>
        <w:spacing w:line="240" w:lineRule="auto"/>
      </w:pPr>
      <w:r>
        <w:continuationSeparator/>
      </w:r>
    </w:p>
  </w:footnote>
  <w:footnote w:id="2">
    <w:p w:rsidR="001666EF" w:rsidRPr="001666EF" w14:paraId="248837DB" w14:textId="77777777">
      <w:pPr>
        <w:pStyle w:val="FootnoteText"/>
        <w:rPr>
          <w:sz w:val="16"/>
          <w:szCs w:val="16"/>
        </w:rPr>
      </w:pPr>
      <w:r w:rsidRPr="001666EF">
        <w:rPr>
          <w:rStyle w:val="FootnoteReference"/>
          <w:sz w:val="16"/>
          <w:szCs w:val="16"/>
        </w:rPr>
        <w:footnoteRef/>
      </w:r>
      <w:r w:rsidRPr="001666EF">
        <w:rPr>
          <w:sz w:val="16"/>
          <w:szCs w:val="16"/>
        </w:rPr>
        <w:t xml:space="preserve"> Kamerstuk II 2025/2026, 36800 IV, nr. 56.</w:t>
      </w:r>
    </w:p>
  </w:footnote>
  <w:footnote w:id="3">
    <w:p w:rsidR="001666EF" w:rsidRPr="001666EF" w14:paraId="18D3976A" w14:textId="77777777">
      <w:pPr>
        <w:pStyle w:val="FootnoteText"/>
        <w:rPr>
          <w:sz w:val="16"/>
          <w:szCs w:val="16"/>
        </w:rPr>
      </w:pPr>
      <w:r w:rsidRPr="001666EF">
        <w:rPr>
          <w:rStyle w:val="FootnoteReference"/>
          <w:sz w:val="16"/>
          <w:szCs w:val="16"/>
        </w:rPr>
        <w:footnoteRef/>
      </w:r>
      <w:r w:rsidRPr="001666EF">
        <w:rPr>
          <w:sz w:val="16"/>
          <w:szCs w:val="16"/>
        </w:rPr>
        <w:t xml:space="preserve"> Kamerstuk II 2025/26, 36800 IV, nr. 10; Kamerstuk II 2023/24, 36410 IV, nr. 65; TZ202510-011.</w:t>
      </w:r>
    </w:p>
  </w:footnote>
  <w:footnote w:id="4">
    <w:p w:rsidR="00E636CD" w14:paraId="08648E19" w14:textId="77777777">
      <w:pPr>
        <w:pStyle w:val="FootnoteText"/>
      </w:pPr>
      <w:r w:rsidRPr="00DE5052">
        <w:rPr>
          <w:rStyle w:val="FootnoteReference"/>
          <w:sz w:val="16"/>
          <w:szCs w:val="16"/>
        </w:rPr>
        <w:footnoteRef/>
      </w:r>
      <w:r w:rsidRPr="00DE5052">
        <w:rPr>
          <w:sz w:val="16"/>
          <w:szCs w:val="16"/>
        </w:rPr>
        <w:t xml:space="preserve"> Kamerstuk II 2025/2026</w:t>
      </w:r>
      <w:r w:rsidRPr="00DE5052" w:rsidR="00DE5052">
        <w:rPr>
          <w:sz w:val="16"/>
          <w:szCs w:val="16"/>
        </w:rPr>
        <w:t>, 24557, nr. 282.</w:t>
      </w:r>
    </w:p>
  </w:footnote>
  <w:footnote w:id="5">
    <w:p w:rsidR="00054EC5" w:rsidRPr="001C7041" w14:paraId="14AC02FB" w14:textId="77777777">
      <w:pPr>
        <w:pStyle w:val="FootnoteText"/>
        <w:rPr>
          <w:sz w:val="16"/>
          <w:szCs w:val="16"/>
        </w:rPr>
      </w:pPr>
      <w:r w:rsidRPr="001C7041">
        <w:rPr>
          <w:rStyle w:val="FootnoteReference"/>
          <w:sz w:val="16"/>
          <w:szCs w:val="16"/>
        </w:rPr>
        <w:footnoteRef/>
      </w:r>
      <w:r w:rsidRPr="001C7041">
        <w:rPr>
          <w:sz w:val="16"/>
          <w:szCs w:val="16"/>
        </w:rPr>
        <w:t xml:space="preserve"> </w:t>
      </w:r>
      <w:r w:rsidRPr="001C7041" w:rsidR="001C7041">
        <w:rPr>
          <w:sz w:val="16"/>
          <w:szCs w:val="16"/>
        </w:rPr>
        <w:t>Kamerstuk II 2025/2026, 36800 XVI, nr. 191.</w:t>
      </w:r>
    </w:p>
  </w:footnote>
  <w:footnote w:id="6">
    <w:p w:rsidR="00307E59" w:rsidRPr="001C7041" w14:paraId="25FB0142" w14:textId="77777777">
      <w:pPr>
        <w:pStyle w:val="FootnoteText"/>
        <w:rPr>
          <w:sz w:val="16"/>
          <w:szCs w:val="16"/>
        </w:rPr>
      </w:pPr>
      <w:r w:rsidRPr="001C7041">
        <w:rPr>
          <w:rStyle w:val="FootnoteReference"/>
          <w:sz w:val="16"/>
          <w:szCs w:val="16"/>
        </w:rPr>
        <w:footnoteRef/>
      </w:r>
      <w:r w:rsidRPr="001C7041">
        <w:rPr>
          <w:sz w:val="16"/>
          <w:szCs w:val="16"/>
        </w:rPr>
        <w:t xml:space="preserve"> </w:t>
      </w:r>
      <w:r w:rsidRPr="001C7041" w:rsidR="001C7041">
        <w:rPr>
          <w:sz w:val="16"/>
          <w:szCs w:val="16"/>
        </w:rPr>
        <w:t>Kamerstuk II 2025/2026, 36800 VIII, nr. 148.</w:t>
      </w:r>
    </w:p>
  </w:footnote>
  <w:footnote w:id="7">
    <w:p w:rsidR="00307E59" w:rsidRPr="001C7041" w14:paraId="296C074C" w14:textId="77777777">
      <w:pPr>
        <w:pStyle w:val="FootnoteText"/>
        <w:rPr>
          <w:sz w:val="16"/>
          <w:szCs w:val="16"/>
        </w:rPr>
      </w:pPr>
      <w:r w:rsidRPr="001C7041">
        <w:rPr>
          <w:rStyle w:val="FootnoteReference"/>
          <w:sz w:val="16"/>
          <w:szCs w:val="16"/>
        </w:rPr>
        <w:footnoteRef/>
      </w:r>
      <w:r w:rsidRPr="001C7041">
        <w:rPr>
          <w:sz w:val="16"/>
          <w:szCs w:val="16"/>
        </w:rPr>
        <w:t xml:space="preserve"> </w:t>
      </w:r>
      <w:r w:rsidRPr="001C7041" w:rsidR="00635397">
        <w:rPr>
          <w:sz w:val="16"/>
          <w:szCs w:val="16"/>
        </w:rPr>
        <w:t>Kamerstuk II 2025/2026, 36800 XIV, nr. 84; kamerstuk II 2025/2026, 36800 XXIII, nr. 57; kamerstuk II 2025/2026,36800 XII, nr. 34.</w:t>
      </w:r>
    </w:p>
  </w:footnote>
  <w:footnote w:id="8">
    <w:p w:rsidR="00D572C3" w:rsidRPr="001C7041" w14:paraId="3060C74A" w14:textId="77777777">
      <w:pPr>
        <w:pStyle w:val="FootnoteText"/>
        <w:rPr>
          <w:sz w:val="16"/>
          <w:szCs w:val="16"/>
        </w:rPr>
      </w:pPr>
      <w:r w:rsidRPr="001C7041">
        <w:rPr>
          <w:rStyle w:val="FootnoteReference"/>
          <w:sz w:val="16"/>
          <w:szCs w:val="16"/>
        </w:rPr>
        <w:footnoteRef/>
      </w:r>
      <w:r w:rsidRPr="001C7041">
        <w:rPr>
          <w:sz w:val="16"/>
          <w:szCs w:val="16"/>
        </w:rPr>
        <w:t xml:space="preserve"> </w:t>
      </w:r>
      <w:r w:rsidRPr="001C7041" w:rsidR="00635397">
        <w:rPr>
          <w:sz w:val="16"/>
          <w:szCs w:val="16"/>
        </w:rPr>
        <w:t>Kamerstuk II, 2025/2026, 36800 XXII, nr. 45.</w:t>
      </w:r>
    </w:p>
  </w:footnote>
  <w:footnote w:id="9">
    <w:p w:rsidR="000B4DF4" w:rsidRPr="001C7041" w:rsidP="000B4DF4" w14:paraId="0BCA2775" w14:textId="77777777">
      <w:pPr>
        <w:pStyle w:val="FootnoteText"/>
        <w:rPr>
          <w:sz w:val="16"/>
          <w:szCs w:val="16"/>
        </w:rPr>
      </w:pPr>
      <w:r w:rsidRPr="001C7041">
        <w:rPr>
          <w:rStyle w:val="FootnoteReference"/>
          <w:sz w:val="16"/>
          <w:szCs w:val="16"/>
        </w:rPr>
        <w:footnoteRef/>
      </w:r>
      <w:r w:rsidRPr="001C7041">
        <w:rPr>
          <w:sz w:val="16"/>
          <w:szCs w:val="16"/>
        </w:rPr>
        <w:t xml:space="preserve"> </w:t>
      </w:r>
      <w:r>
        <w:rPr>
          <w:sz w:val="16"/>
          <w:szCs w:val="16"/>
        </w:rPr>
        <w:t xml:space="preserve">Kamerstuk II, 2025/2026, </w:t>
      </w:r>
      <w:r w:rsidRPr="000B4DF4">
        <w:rPr>
          <w:sz w:val="16"/>
          <w:szCs w:val="16"/>
        </w:rPr>
        <w:t>36800</w:t>
      </w:r>
      <w:r>
        <w:rPr>
          <w:sz w:val="16"/>
          <w:szCs w:val="16"/>
        </w:rPr>
        <w:t xml:space="preserve"> </w:t>
      </w:r>
      <w:r w:rsidRPr="000B4DF4">
        <w:rPr>
          <w:sz w:val="16"/>
          <w:szCs w:val="16"/>
        </w:rPr>
        <w:t>XIII</w:t>
      </w:r>
      <w:r>
        <w:rPr>
          <w:sz w:val="16"/>
          <w:szCs w:val="16"/>
        </w:rPr>
        <w:t xml:space="preserve">, nr. </w:t>
      </w:r>
      <w:r w:rsidRPr="000B4DF4">
        <w:rPr>
          <w:sz w:val="16"/>
          <w:szCs w:val="16"/>
        </w:rPr>
        <w:t>41</w:t>
      </w:r>
      <w:r>
        <w:rPr>
          <w:sz w:val="16"/>
          <w:szCs w:val="16"/>
        </w:rPr>
        <w:t>.</w:t>
      </w:r>
    </w:p>
  </w:footnote>
  <w:footnote w:id="10">
    <w:p w:rsidR="00054EC5" w:rsidRPr="001C7041" w14:paraId="65586CDC" w14:textId="77777777">
      <w:pPr>
        <w:pStyle w:val="FootnoteText"/>
        <w:rPr>
          <w:sz w:val="16"/>
          <w:szCs w:val="16"/>
        </w:rPr>
      </w:pPr>
      <w:r w:rsidRPr="001C7041">
        <w:rPr>
          <w:rStyle w:val="FootnoteReference"/>
          <w:sz w:val="16"/>
          <w:szCs w:val="16"/>
        </w:rPr>
        <w:footnoteRef/>
      </w:r>
      <w:r w:rsidRPr="001C7041">
        <w:rPr>
          <w:sz w:val="16"/>
          <w:szCs w:val="16"/>
        </w:rPr>
        <w:t xml:space="preserve"> </w:t>
      </w:r>
      <w:r w:rsidRPr="001C7041" w:rsidR="00635397">
        <w:rPr>
          <w:sz w:val="16"/>
          <w:szCs w:val="16"/>
        </w:rPr>
        <w:t xml:space="preserve">Kamerstuk II 2025/2026, 36800 V, nr. 103; </w:t>
      </w:r>
      <w:r w:rsidRPr="001C7041" w:rsidR="001C7041">
        <w:rPr>
          <w:sz w:val="16"/>
          <w:szCs w:val="16"/>
        </w:rPr>
        <w:t>kamerstuk II 2025/2026, 36800 X, nr. 78.</w:t>
      </w:r>
    </w:p>
  </w:footnote>
  <w:footnote w:id="11">
    <w:p w:rsidR="00752848" w:rsidRPr="001C7041" w14:paraId="0C5522B5" w14:textId="77777777">
      <w:pPr>
        <w:pStyle w:val="FootnoteText"/>
        <w:rPr>
          <w:sz w:val="16"/>
          <w:szCs w:val="16"/>
        </w:rPr>
      </w:pPr>
      <w:r w:rsidRPr="001C7041">
        <w:rPr>
          <w:rStyle w:val="FootnoteReference"/>
          <w:sz w:val="16"/>
          <w:szCs w:val="16"/>
        </w:rPr>
        <w:footnoteRef/>
      </w:r>
      <w:r w:rsidRPr="001C7041">
        <w:rPr>
          <w:sz w:val="16"/>
          <w:szCs w:val="16"/>
        </w:rPr>
        <w:t xml:space="preserve"> </w:t>
      </w:r>
      <w:r w:rsidRPr="001C7041" w:rsidR="00BC0C6D">
        <w:rPr>
          <w:sz w:val="16"/>
          <w:szCs w:val="16"/>
        </w:rPr>
        <w:t>Kamerstuk II 2025/2026, 33189, nr. 22.</w:t>
      </w:r>
    </w:p>
  </w:footnote>
  <w:footnote w:id="12">
    <w:p w:rsidR="00054EC5" w:rsidRPr="001C7041" w14:paraId="39212F67" w14:textId="77777777">
      <w:pPr>
        <w:pStyle w:val="FootnoteText"/>
        <w:rPr>
          <w:sz w:val="16"/>
          <w:szCs w:val="16"/>
        </w:rPr>
      </w:pPr>
      <w:r w:rsidRPr="001C7041">
        <w:rPr>
          <w:rStyle w:val="FootnoteReference"/>
          <w:sz w:val="16"/>
          <w:szCs w:val="16"/>
        </w:rPr>
        <w:footnoteRef/>
      </w:r>
      <w:r w:rsidRPr="001C7041">
        <w:rPr>
          <w:sz w:val="16"/>
          <w:szCs w:val="16"/>
        </w:rPr>
        <w:t xml:space="preserve"> </w:t>
      </w:r>
      <w:r w:rsidRPr="001C7041" w:rsidR="00BC0C6D">
        <w:rPr>
          <w:sz w:val="16"/>
          <w:szCs w:val="16"/>
        </w:rPr>
        <w:t>Kamerstuk II, 2025/2026, 36800 IV, nr. 21; kamerstuk II, 2023/2024</w:t>
      </w:r>
      <w:r w:rsidRPr="001C7041" w:rsidR="000F7ED1">
        <w:rPr>
          <w:sz w:val="16"/>
          <w:szCs w:val="16"/>
        </w:rPr>
        <w:t xml:space="preserve"> 36410 </w:t>
      </w:r>
      <w:r w:rsidRPr="001C7041" w:rsidR="000F7ED1">
        <w:rPr>
          <w:sz w:val="16"/>
          <w:szCs w:val="16"/>
        </w:rPr>
        <w:t>IV,  nr.</w:t>
      </w:r>
      <w:r w:rsidRPr="001C7041" w:rsidR="000F7ED1">
        <w:rPr>
          <w:sz w:val="16"/>
          <w:szCs w:val="16"/>
        </w:rPr>
        <w:t xml:space="preserve"> 43.</w:t>
      </w:r>
    </w:p>
  </w:footnote>
  <w:footnote w:id="13">
    <w:p w:rsidR="006F0905" w:rsidRPr="001C7041" w:rsidP="006F0905" w14:paraId="49245E5B" w14:textId="77777777">
      <w:pPr>
        <w:pStyle w:val="FootnoteText"/>
        <w:rPr>
          <w:sz w:val="16"/>
          <w:szCs w:val="16"/>
        </w:rPr>
      </w:pPr>
      <w:r w:rsidRPr="001C7041">
        <w:rPr>
          <w:rStyle w:val="FootnoteReference"/>
          <w:sz w:val="16"/>
          <w:szCs w:val="16"/>
        </w:rPr>
        <w:footnoteRef/>
      </w:r>
      <w:r w:rsidRPr="001C7041">
        <w:rPr>
          <w:sz w:val="16"/>
          <w:szCs w:val="16"/>
        </w:rPr>
        <w:t xml:space="preserve"> TZ202605-100.</w:t>
      </w:r>
    </w:p>
  </w:footnote>
  <w:footnote w:id="14">
    <w:p w:rsidR="00635397" w:rsidRPr="00635397" w14:paraId="13449E08" w14:textId="77777777">
      <w:pPr>
        <w:pStyle w:val="FootnoteText"/>
        <w:rPr>
          <w:sz w:val="16"/>
          <w:szCs w:val="16"/>
        </w:rPr>
      </w:pPr>
      <w:r w:rsidRPr="001C7041">
        <w:rPr>
          <w:rStyle w:val="FootnoteReference"/>
          <w:sz w:val="16"/>
          <w:szCs w:val="16"/>
        </w:rPr>
        <w:footnoteRef/>
      </w:r>
      <w:r w:rsidRPr="001C7041">
        <w:rPr>
          <w:sz w:val="16"/>
          <w:szCs w:val="16"/>
        </w:rPr>
        <w:t xml:space="preserve"> Kamerstuk II 2024/2025, 36600 IV, nr. 70; kamerstuk II, 2022/2023, 36200 IV, nr. 85.</w:t>
      </w:r>
    </w:p>
  </w:footnote>
  <w:footnote w:id="15">
    <w:p w:rsidR="005F6F4A" w:rsidRPr="00635397" w:rsidP="005F6F4A" w14:paraId="4A6F4BA2" w14:textId="77777777">
      <w:pPr>
        <w:pStyle w:val="FootnoteText"/>
        <w:rPr>
          <w:sz w:val="16"/>
          <w:szCs w:val="16"/>
        </w:rPr>
      </w:pPr>
      <w:r w:rsidRPr="00635397">
        <w:rPr>
          <w:rStyle w:val="FootnoteReference"/>
          <w:sz w:val="16"/>
          <w:szCs w:val="16"/>
        </w:rPr>
        <w:footnoteRef/>
      </w:r>
      <w:r w:rsidRPr="00635397">
        <w:rPr>
          <w:sz w:val="16"/>
          <w:szCs w:val="16"/>
        </w:rPr>
        <w:t xml:space="preserve"> </w:t>
      </w:r>
      <w:r w:rsidRPr="004E1932" w:rsidR="004E1932">
        <w:rPr>
          <w:sz w:val="16"/>
          <w:szCs w:val="16"/>
        </w:rPr>
        <w:t>TZ202510-011</w:t>
      </w:r>
      <w:r w:rsidR="004E1932">
        <w:rPr>
          <w:sz w:val="16"/>
          <w:szCs w:val="16"/>
        </w:rPr>
        <w:t>.</w:t>
      </w:r>
    </w:p>
  </w:footnote>
  <w:footnote w:id="16">
    <w:p w:rsidR="005F6F4A" w:rsidRPr="00635397" w:rsidP="005F6F4A" w14:paraId="2AB55E91" w14:textId="77777777">
      <w:pPr>
        <w:pStyle w:val="FootnoteText"/>
        <w:rPr>
          <w:sz w:val="16"/>
          <w:szCs w:val="16"/>
        </w:rPr>
      </w:pPr>
      <w:r w:rsidRPr="00635397">
        <w:rPr>
          <w:rStyle w:val="FootnoteReference"/>
          <w:sz w:val="16"/>
          <w:szCs w:val="16"/>
        </w:rPr>
        <w:footnoteRef/>
      </w:r>
      <w:r w:rsidRPr="00635397">
        <w:rPr>
          <w:sz w:val="16"/>
          <w:szCs w:val="16"/>
        </w:rPr>
        <w:t xml:space="preserve"> </w:t>
      </w:r>
      <w:r w:rsidRPr="000F7ED1" w:rsidR="000F7ED1">
        <w:rPr>
          <w:sz w:val="16"/>
          <w:szCs w:val="16"/>
        </w:rPr>
        <w:t>Kamerstuk II 2023/24, 36410 IV, nr. 65</w:t>
      </w:r>
      <w:r w:rsidR="000F7ED1">
        <w:rPr>
          <w:sz w:val="16"/>
          <w:szCs w:val="16"/>
        </w:rPr>
        <w:t>.</w:t>
      </w:r>
    </w:p>
  </w:footnote>
  <w:footnote w:id="17">
    <w:p w:rsidR="007F6829" w:rsidRPr="00DE5052" w14:paraId="0AF9BCEB" w14:textId="77777777">
      <w:pPr>
        <w:pStyle w:val="FootnoteText"/>
        <w:rPr>
          <w:sz w:val="16"/>
          <w:szCs w:val="16"/>
        </w:rPr>
      </w:pPr>
      <w:r w:rsidRPr="00DE5052">
        <w:rPr>
          <w:rStyle w:val="FootnoteReference"/>
          <w:sz w:val="16"/>
          <w:szCs w:val="16"/>
        </w:rPr>
        <w:footnoteRef/>
      </w:r>
      <w:r w:rsidRPr="00DE5052">
        <w:rPr>
          <w:sz w:val="16"/>
          <w:szCs w:val="16"/>
        </w:rPr>
        <w:t xml:space="preserve"> K</w:t>
      </w:r>
      <w:r w:rsidRPr="00DE5052" w:rsidR="00955DBD">
        <w:rPr>
          <w:sz w:val="16"/>
          <w:szCs w:val="16"/>
        </w:rPr>
        <w:t>amerstukken II</w:t>
      </w:r>
      <w:r w:rsidRPr="00DE5052">
        <w:rPr>
          <w:sz w:val="16"/>
          <w:szCs w:val="16"/>
        </w:rPr>
        <w:t xml:space="preserve"> 2024</w:t>
      </w:r>
      <w:r w:rsidRPr="00DE5052" w:rsidR="00955DBD">
        <w:rPr>
          <w:sz w:val="16"/>
          <w:szCs w:val="16"/>
        </w:rPr>
        <w:t>/</w:t>
      </w:r>
      <w:r w:rsidRPr="00DE5052">
        <w:rPr>
          <w:sz w:val="16"/>
          <w:szCs w:val="16"/>
        </w:rPr>
        <w:t>2025, 3</w:t>
      </w:r>
      <w:r w:rsidRPr="00DE5052" w:rsidR="00955DBD">
        <w:rPr>
          <w:sz w:val="16"/>
          <w:szCs w:val="16"/>
        </w:rPr>
        <w:t>6</w:t>
      </w:r>
      <w:r w:rsidRPr="00DE5052">
        <w:rPr>
          <w:sz w:val="16"/>
          <w:szCs w:val="16"/>
        </w:rPr>
        <w:t>600 IV</w:t>
      </w:r>
      <w:r w:rsidRPr="00DE5052" w:rsidR="00955DBD">
        <w:rPr>
          <w:sz w:val="16"/>
          <w:szCs w:val="16"/>
        </w:rPr>
        <w:t>,</w:t>
      </w:r>
      <w:r w:rsidRPr="00DE5052">
        <w:rPr>
          <w:sz w:val="16"/>
          <w:szCs w:val="16"/>
        </w:rPr>
        <w:t xml:space="preserve"> nr</w:t>
      </w:r>
      <w:r w:rsidRPr="00DE5052" w:rsidR="00955DBD">
        <w:rPr>
          <w:sz w:val="16"/>
          <w:szCs w:val="16"/>
        </w:rPr>
        <w:t>.</w:t>
      </w:r>
      <w:r w:rsidRPr="00DE5052">
        <w:rPr>
          <w:sz w:val="16"/>
          <w:szCs w:val="16"/>
        </w:rPr>
        <w:t xml:space="preserve"> 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A1E" w14:paraId="62672D7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25A1E" w14:textId="77777777">
                          <w:pPr>
                            <w:pStyle w:val="Referentiegegevensbold"/>
                          </w:pPr>
                          <w:r>
                            <w:t>Directoraat-generaal Koninkrijksrelaties</w:t>
                          </w:r>
                        </w:p>
                        <w:p w:rsidR="00A25A1E" w14:textId="77777777">
                          <w:pPr>
                            <w:pStyle w:val="WitregelW2"/>
                          </w:pPr>
                        </w:p>
                        <w:p w:rsidR="00A25A1E" w14:textId="77777777">
                          <w:pPr>
                            <w:pStyle w:val="Referentiegegevensbold"/>
                          </w:pPr>
                          <w:r>
                            <w:t>Datum</w:t>
                          </w:r>
                        </w:p>
                        <w:p w:rsidR="00E975A5" w14:textId="27DDDBEF">
                          <w:pPr>
                            <w:pStyle w:val="Referentiegegevens"/>
                          </w:pPr>
                        </w:p>
                        <w:p w:rsidR="00A25A1E" w14:textId="77777777">
                          <w:pPr>
                            <w:pStyle w:val="WitregelW1"/>
                          </w:pPr>
                        </w:p>
                        <w:p w:rsidR="00A25A1E" w14:textId="77777777">
                          <w:pPr>
                            <w:pStyle w:val="Referentiegegevensbold"/>
                          </w:pPr>
                          <w:r>
                            <w:t>Onze referentie</w:t>
                          </w:r>
                        </w:p>
                        <w:p w:rsidR="00E975A5" w14:textId="77777777">
                          <w:pPr>
                            <w:pStyle w:val="Referentiegegevens"/>
                          </w:pPr>
                          <w:r>
                            <w:fldChar w:fldCharType="begin"/>
                          </w:r>
                          <w:r>
                            <w:instrText xml:space="preserve"> DOCPROPERTY  "Kenmerk"  \* MERGEFORMAT </w:instrText>
                          </w:r>
                          <w:r>
                            <w:fldChar w:fldCharType="separate"/>
                          </w:r>
                          <w:r w:rsidR="007D20A2">
                            <w:t>2026-0000253972</w:t>
                          </w:r>
                          <w:r w:rsidR="007D20A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25A1E" w14:paraId="57E4AF04" w14:textId="77777777">
                    <w:pPr>
                      <w:pStyle w:val="Referentiegegevensbold"/>
                    </w:pPr>
                    <w:r>
                      <w:t>Directoraat-generaal Koninkrijksrelaties</w:t>
                    </w:r>
                  </w:p>
                  <w:p w:rsidR="00A25A1E" w14:paraId="7B1B06AA" w14:textId="77777777">
                    <w:pPr>
                      <w:pStyle w:val="WitregelW2"/>
                    </w:pPr>
                  </w:p>
                  <w:p w:rsidR="00A25A1E" w14:paraId="56DB9C45" w14:textId="77777777">
                    <w:pPr>
                      <w:pStyle w:val="Referentiegegevensbold"/>
                    </w:pPr>
                    <w:r>
                      <w:t>Datum</w:t>
                    </w:r>
                  </w:p>
                  <w:p w:rsidR="00E975A5" w14:paraId="4206EE4A" w14:textId="27DDDBEF">
                    <w:pPr>
                      <w:pStyle w:val="Referentiegegevens"/>
                    </w:pPr>
                  </w:p>
                  <w:p w:rsidR="00A25A1E" w14:paraId="1EF063F4" w14:textId="77777777">
                    <w:pPr>
                      <w:pStyle w:val="WitregelW1"/>
                    </w:pPr>
                  </w:p>
                  <w:p w:rsidR="00A25A1E" w14:paraId="07373DAB" w14:textId="77777777">
                    <w:pPr>
                      <w:pStyle w:val="Referentiegegevensbold"/>
                    </w:pPr>
                    <w:r>
                      <w:t>Onze referentie</w:t>
                    </w:r>
                  </w:p>
                  <w:p w:rsidR="00E975A5" w14:paraId="6D457B2C" w14:textId="77777777">
                    <w:pPr>
                      <w:pStyle w:val="Referentiegegevens"/>
                    </w:pPr>
                    <w:r>
                      <w:fldChar w:fldCharType="begin"/>
                    </w:r>
                    <w:r>
                      <w:instrText xml:space="preserve"> DOCPROPERTY  "Kenmerk"  \* MERGEFORMAT </w:instrText>
                    </w:r>
                    <w:r>
                      <w:fldChar w:fldCharType="separate"/>
                    </w:r>
                    <w:r w:rsidR="007D20A2">
                      <w:t>2026-0000253972</w:t>
                    </w:r>
                    <w:r w:rsidR="007D20A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06C6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06C63" w14:paraId="324D7A2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975A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975A5" w14:paraId="7327047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p w:rsidR="00A25A1E" w14:paraId="2B47676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A1E" w14:paraId="2B47770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25A1E" w14:textId="77777777">
                          <w:r>
                            <w:t>Aan de Voorzitter van de Tweede Kamer der Staten-Generaal</w:t>
                          </w:r>
                        </w:p>
                        <w:p w:rsidR="00A25A1E" w14:textId="77777777">
                          <w:r>
                            <w:t>Postbus 20018</w:t>
                          </w:r>
                        </w:p>
                        <w:p w:rsidR="00A25A1E" w14:textId="77777777">
                          <w:r>
                            <w:t>2500 EA  DEN HAAG</w:t>
                          </w:r>
                        </w:p>
                        <w:p w:rsidR="00A25A1E"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25A1E" w14:paraId="586C179F" w14:textId="77777777">
                    <w:r>
                      <w:t>Aan de Voorzitter van de Tweede Kamer der Staten-Generaal</w:t>
                    </w:r>
                  </w:p>
                  <w:p w:rsidR="00A25A1E" w14:paraId="45D30A53" w14:textId="77777777">
                    <w:r>
                      <w:t>Postbus 20018</w:t>
                    </w:r>
                  </w:p>
                  <w:p w:rsidR="00A25A1E" w14:paraId="4C3FEAA4" w14:textId="77777777">
                    <w:r>
                      <w:t>2500 EA  DEN HAAG</w:t>
                    </w:r>
                  </w:p>
                  <w:p w:rsidR="00A25A1E" w14:paraId="4B198346"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3962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96240"/>
                      </a:xfrm>
                      <a:prstGeom prst="rect">
                        <a:avLst/>
                      </a:prstGeom>
                      <a:noFill/>
                    </wps:spPr>
                    <wps:txbx>
                      <w:txbxContent>
                        <w:tbl>
                          <w:tblPr>
                            <w:tblW w:w="0" w:type="auto"/>
                            <w:tblInd w:w="-120" w:type="dxa"/>
                            <w:tblLayout w:type="fixed"/>
                            <w:tblLook w:val="07E0"/>
                          </w:tblPr>
                          <w:tblGrid>
                            <w:gridCol w:w="1140"/>
                            <w:gridCol w:w="5918"/>
                          </w:tblGrid>
                          <w:tr w14:paraId="334B42EB" w14:textId="77777777">
                            <w:tblPrEx>
                              <w:tblW w:w="0" w:type="auto"/>
                              <w:tblInd w:w="-120" w:type="dxa"/>
                              <w:tblLayout w:type="fixed"/>
                              <w:tblLook w:val="07E0"/>
                            </w:tblPrEx>
                            <w:trPr>
                              <w:trHeight w:val="240"/>
                            </w:trPr>
                            <w:tc>
                              <w:tcPr>
                                <w:tcW w:w="1140" w:type="dxa"/>
                              </w:tcPr>
                              <w:p w:rsidR="00A25A1E" w14:textId="77777777">
                                <w:r>
                                  <w:t>Datum</w:t>
                                </w:r>
                              </w:p>
                            </w:tc>
                            <w:tc>
                              <w:tcPr>
                                <w:tcW w:w="5918" w:type="dxa"/>
                              </w:tcPr>
                              <w:p w:rsidR="00506A0E" w14:textId="60AB51F2">
                                <w:r>
                                  <w:t>6 juli 2026</w:t>
                                </w:r>
                              </w:p>
                            </w:tc>
                          </w:tr>
                          <w:tr w14:paraId="59B510E7" w14:textId="77777777">
                            <w:tblPrEx>
                              <w:tblW w:w="0" w:type="auto"/>
                              <w:tblInd w:w="-120" w:type="dxa"/>
                              <w:tblLayout w:type="fixed"/>
                              <w:tblLook w:val="07E0"/>
                            </w:tblPrEx>
                            <w:trPr>
                              <w:trHeight w:val="240"/>
                            </w:trPr>
                            <w:tc>
                              <w:tcPr>
                                <w:tcW w:w="1140" w:type="dxa"/>
                              </w:tcPr>
                              <w:p w:rsidR="00A25A1E" w14:textId="77777777">
                                <w:r>
                                  <w:t>Betreft</w:t>
                                </w:r>
                              </w:p>
                            </w:tc>
                            <w:bookmarkStart w:id="1" w:name="_Hlk234229454"/>
                            <w:tc>
                              <w:tcPr>
                                <w:tcW w:w="5918" w:type="dxa"/>
                              </w:tcPr>
                              <w:p w:rsidR="00E975A5" w14:textId="77777777">
                                <w:r>
                                  <w:fldChar w:fldCharType="begin"/>
                                </w:r>
                                <w:r>
                                  <w:instrText xml:space="preserve"> DOCPROPERTY  "Onderwerp"  \* MERGEFORMAT </w:instrText>
                                </w:r>
                                <w:r>
                                  <w:fldChar w:fldCharType="separate"/>
                                </w:r>
                                <w:r w:rsidR="007D20A2">
                                  <w:t>Aanpak '</w:t>
                                </w:r>
                                <w:r w:rsidR="007D20A2">
                                  <w:t>comply</w:t>
                                </w:r>
                                <w:r w:rsidR="007D20A2">
                                  <w:t xml:space="preserve"> or </w:t>
                                </w:r>
                                <w:r w:rsidR="007D20A2">
                                  <w:t>explain</w:t>
                                </w:r>
                                <w:r w:rsidR="007D20A2">
                                  <w:t xml:space="preserve">' Bonaire, </w:t>
                                </w:r>
                                <w:r w:rsidR="007D20A2">
                                  <w:t>Sint Eustatius</w:t>
                                </w:r>
                                <w:r w:rsidR="007D20A2">
                                  <w:t xml:space="preserve"> en Saba</w:t>
                                </w:r>
                                <w:r>
                                  <w:fldChar w:fldCharType="end"/>
                                </w:r>
                                <w:bookmarkEnd w:id="1"/>
                              </w:p>
                            </w:tc>
                          </w:tr>
                        </w:tbl>
                        <w:p w:rsidR="00C06C6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1.2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34B42EA" w14:textId="77777777">
                      <w:tblPrEx>
                        <w:tblW w:w="0" w:type="auto"/>
                        <w:tblInd w:w="-120" w:type="dxa"/>
                        <w:tblLayout w:type="fixed"/>
                        <w:tblLook w:val="07E0"/>
                      </w:tblPrEx>
                      <w:trPr>
                        <w:trHeight w:val="240"/>
                      </w:trPr>
                      <w:tc>
                        <w:tcPr>
                          <w:tcW w:w="1140" w:type="dxa"/>
                        </w:tcPr>
                        <w:p w:rsidR="00A25A1E" w14:paraId="72C7A3E9" w14:textId="77777777">
                          <w:r>
                            <w:t>Datum</w:t>
                          </w:r>
                        </w:p>
                      </w:tc>
                      <w:tc>
                        <w:tcPr>
                          <w:tcW w:w="5918" w:type="dxa"/>
                        </w:tcPr>
                        <w:p w:rsidR="00506A0E" w14:paraId="6FE8066C" w14:textId="60AB51F2">
                          <w:r>
                            <w:t>6 juli 2026</w:t>
                          </w:r>
                        </w:p>
                      </w:tc>
                    </w:tr>
                    <w:tr w14:paraId="59B510E6" w14:textId="77777777">
                      <w:tblPrEx>
                        <w:tblW w:w="0" w:type="auto"/>
                        <w:tblInd w:w="-120" w:type="dxa"/>
                        <w:tblLayout w:type="fixed"/>
                        <w:tblLook w:val="07E0"/>
                      </w:tblPrEx>
                      <w:trPr>
                        <w:trHeight w:val="240"/>
                      </w:trPr>
                      <w:tc>
                        <w:tcPr>
                          <w:tcW w:w="1140" w:type="dxa"/>
                        </w:tcPr>
                        <w:p w:rsidR="00A25A1E" w14:paraId="6952D137" w14:textId="77777777">
                          <w:r>
                            <w:t>Betreft</w:t>
                          </w:r>
                        </w:p>
                      </w:tc>
                      <w:bookmarkStart w:id="1" w:name="_Hlk234229454"/>
                      <w:tc>
                        <w:tcPr>
                          <w:tcW w:w="5918" w:type="dxa"/>
                        </w:tcPr>
                        <w:p w:rsidR="00E975A5" w14:paraId="29310C64" w14:textId="77777777">
                          <w:r>
                            <w:fldChar w:fldCharType="begin"/>
                          </w:r>
                          <w:r>
                            <w:instrText xml:space="preserve"> DOCPROPERTY  "Onderwerp"  \* MERGEFORMAT </w:instrText>
                          </w:r>
                          <w:r>
                            <w:fldChar w:fldCharType="separate"/>
                          </w:r>
                          <w:r w:rsidR="007D20A2">
                            <w:t>Aanpak '</w:t>
                          </w:r>
                          <w:r w:rsidR="007D20A2">
                            <w:t>comply</w:t>
                          </w:r>
                          <w:r w:rsidR="007D20A2">
                            <w:t xml:space="preserve"> or </w:t>
                          </w:r>
                          <w:r w:rsidR="007D20A2">
                            <w:t>explain</w:t>
                          </w:r>
                          <w:r w:rsidR="007D20A2">
                            <w:t xml:space="preserve">' Bonaire, </w:t>
                          </w:r>
                          <w:r w:rsidR="007D20A2">
                            <w:t>Sint Eustatius</w:t>
                          </w:r>
                          <w:r w:rsidR="007D20A2">
                            <w:t xml:space="preserve"> en Saba</w:t>
                          </w:r>
                          <w:r>
                            <w:fldChar w:fldCharType="end"/>
                          </w:r>
                          <w:bookmarkEnd w:id="1"/>
                        </w:p>
                      </w:tc>
                    </w:tr>
                  </w:tbl>
                  <w:p w:rsidR="00C06C63" w14:paraId="125626B7"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25A1E" w14:textId="77777777">
                          <w:pPr>
                            <w:pStyle w:val="Referentiegegevensbold"/>
                          </w:pPr>
                          <w:r>
                            <w:t>Directoraat-generaal Koninkrijksrelaties</w:t>
                          </w:r>
                        </w:p>
                        <w:p w:rsidR="00A25A1E" w14:textId="77777777">
                          <w:pPr>
                            <w:pStyle w:val="WitregelW1"/>
                          </w:pPr>
                        </w:p>
                        <w:p w:rsidR="00A25A1E" w14:textId="77777777">
                          <w:pPr>
                            <w:pStyle w:val="Referentiegegevens"/>
                          </w:pPr>
                          <w:r>
                            <w:t>Turfmarkt 147</w:t>
                          </w:r>
                        </w:p>
                        <w:p w:rsidR="00A25A1E" w14:textId="77777777">
                          <w:pPr>
                            <w:pStyle w:val="Referentiegegevens"/>
                          </w:pPr>
                          <w:r>
                            <w:t>2511 DP Den Haag</w:t>
                          </w:r>
                        </w:p>
                        <w:p w:rsidR="00A25A1E" w14:textId="77777777">
                          <w:pPr>
                            <w:pStyle w:val="Referentiegegevens"/>
                          </w:pPr>
                          <w:r>
                            <w:t>Postbus 20011</w:t>
                          </w:r>
                        </w:p>
                        <w:p w:rsidR="00A25A1E" w14:textId="77777777">
                          <w:pPr>
                            <w:pStyle w:val="Referentiegegevens"/>
                          </w:pPr>
                          <w:r>
                            <w:t>2500 EA  Den Haag</w:t>
                          </w:r>
                        </w:p>
                        <w:p w:rsidR="00A25A1E" w14:textId="77777777">
                          <w:pPr>
                            <w:pStyle w:val="WitregelW2"/>
                          </w:pPr>
                        </w:p>
                        <w:p w:rsidR="00A25A1E" w14:textId="77777777">
                          <w:pPr>
                            <w:pStyle w:val="Referentiegegevensbold"/>
                          </w:pPr>
                          <w:r>
                            <w:t>Onze referentie</w:t>
                          </w:r>
                        </w:p>
                        <w:bookmarkStart w:id="2" w:name="_Hlk234229425"/>
                        <w:p w:rsidR="00E975A5" w14:textId="77777777">
                          <w:pPr>
                            <w:pStyle w:val="Referentiegegevens"/>
                          </w:pPr>
                          <w:r>
                            <w:fldChar w:fldCharType="begin"/>
                          </w:r>
                          <w:r>
                            <w:instrText xml:space="preserve"> DOCPROPERTY  "Kenmerk"  \* MERGEFORMAT </w:instrText>
                          </w:r>
                          <w:r>
                            <w:fldChar w:fldCharType="separate"/>
                          </w:r>
                          <w:r w:rsidR="007D20A2">
                            <w:t>2026-0000253972</w:t>
                          </w:r>
                          <w:r>
                            <w:fldChar w:fldCharType="end"/>
                          </w:r>
                        </w:p>
                        <w:bookmarkEnd w:id="2"/>
                        <w:p w:rsidR="00A25A1E" w14:textId="77777777">
                          <w:pPr>
                            <w:pStyle w:val="WitregelW1"/>
                          </w:pPr>
                        </w:p>
                        <w:p w:rsidR="00A25A1E" w14:textId="77777777">
                          <w:pPr>
                            <w:pStyle w:val="Referentiegegevensbold"/>
                          </w:pPr>
                          <w:r>
                            <w:t>Bijlage(n)</w:t>
                          </w:r>
                        </w:p>
                        <w:p w:rsidR="00A25A1E" w14:textId="77777777">
                          <w:pPr>
                            <w:pStyle w:val="Referentiegegevens"/>
                          </w:pPr>
                          <w:r>
                            <w:t>1</w:t>
                          </w:r>
                        </w:p>
                        <w:p w:rsidR="00A25A1E" w14:textId="77777777">
                          <w:pPr>
                            <w:pStyle w:val="WitregelW2"/>
                          </w:pPr>
                        </w:p>
                        <w:p w:rsidR="00A25A1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25A1E" w14:paraId="4AFEB469" w14:textId="77777777">
                    <w:pPr>
                      <w:pStyle w:val="Referentiegegevensbold"/>
                    </w:pPr>
                    <w:r>
                      <w:t>Directoraat-generaal Koninkrijksrelaties</w:t>
                    </w:r>
                  </w:p>
                  <w:p w:rsidR="00A25A1E" w14:paraId="285C08F9" w14:textId="77777777">
                    <w:pPr>
                      <w:pStyle w:val="WitregelW1"/>
                    </w:pPr>
                  </w:p>
                  <w:p w:rsidR="00A25A1E" w14:paraId="6DD0F05A" w14:textId="77777777">
                    <w:pPr>
                      <w:pStyle w:val="Referentiegegevens"/>
                    </w:pPr>
                    <w:r>
                      <w:t>Turfmarkt 147</w:t>
                    </w:r>
                  </w:p>
                  <w:p w:rsidR="00A25A1E" w14:paraId="03A199DF" w14:textId="77777777">
                    <w:pPr>
                      <w:pStyle w:val="Referentiegegevens"/>
                    </w:pPr>
                    <w:r>
                      <w:t>2511 DP Den Haag</w:t>
                    </w:r>
                  </w:p>
                  <w:p w:rsidR="00A25A1E" w14:paraId="6998A626" w14:textId="77777777">
                    <w:pPr>
                      <w:pStyle w:val="Referentiegegevens"/>
                    </w:pPr>
                    <w:r>
                      <w:t>Postbus 20011</w:t>
                    </w:r>
                  </w:p>
                  <w:p w:rsidR="00A25A1E" w14:paraId="202AEB1B" w14:textId="77777777">
                    <w:pPr>
                      <w:pStyle w:val="Referentiegegevens"/>
                    </w:pPr>
                    <w:r>
                      <w:t>2500 EA  Den Haag</w:t>
                    </w:r>
                  </w:p>
                  <w:p w:rsidR="00A25A1E" w14:paraId="298A227B" w14:textId="77777777">
                    <w:pPr>
                      <w:pStyle w:val="WitregelW2"/>
                    </w:pPr>
                  </w:p>
                  <w:p w:rsidR="00A25A1E" w14:paraId="3359A0F3" w14:textId="77777777">
                    <w:pPr>
                      <w:pStyle w:val="Referentiegegevensbold"/>
                    </w:pPr>
                    <w:r>
                      <w:t>Onze referentie</w:t>
                    </w:r>
                  </w:p>
                  <w:bookmarkStart w:id="2" w:name="_Hlk234229425"/>
                  <w:p w:rsidR="00E975A5" w14:paraId="10806312" w14:textId="77777777">
                    <w:pPr>
                      <w:pStyle w:val="Referentiegegevens"/>
                    </w:pPr>
                    <w:r>
                      <w:fldChar w:fldCharType="begin"/>
                    </w:r>
                    <w:r>
                      <w:instrText xml:space="preserve"> DOCPROPERTY  "Kenmerk"  \* MERGEFORMAT </w:instrText>
                    </w:r>
                    <w:r>
                      <w:fldChar w:fldCharType="separate"/>
                    </w:r>
                    <w:r w:rsidR="007D20A2">
                      <w:t>2026-0000253972</w:t>
                    </w:r>
                    <w:r>
                      <w:fldChar w:fldCharType="end"/>
                    </w:r>
                  </w:p>
                  <w:bookmarkEnd w:id="2"/>
                  <w:p w:rsidR="00A25A1E" w14:paraId="28656662" w14:textId="77777777">
                    <w:pPr>
                      <w:pStyle w:val="WitregelW1"/>
                    </w:pPr>
                  </w:p>
                  <w:p w:rsidR="00A25A1E" w14:paraId="551583F5" w14:textId="77777777">
                    <w:pPr>
                      <w:pStyle w:val="Referentiegegevensbold"/>
                    </w:pPr>
                    <w:r>
                      <w:t>Bijlage(n)</w:t>
                    </w:r>
                  </w:p>
                  <w:p w:rsidR="00A25A1E" w14:paraId="35743D59" w14:textId="77777777">
                    <w:pPr>
                      <w:pStyle w:val="Referentiegegevens"/>
                    </w:pPr>
                    <w:r>
                      <w:t>1</w:t>
                    </w:r>
                  </w:p>
                  <w:p w:rsidR="00A25A1E" w14:paraId="47625606" w14:textId="77777777">
                    <w:pPr>
                      <w:pStyle w:val="WitregelW2"/>
                    </w:pPr>
                  </w:p>
                  <w:p w:rsidR="00A25A1E" w14:paraId="228B041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06C6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06C63" w14:paraId="158230F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975A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975A5" w14:paraId="1405D8A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25A1E" w14:textId="77777777">
                          <w:pPr>
                            <w:spacing w:line="240" w:lineRule="auto"/>
                          </w:pPr>
                          <w:r>
                            <w:rPr>
                              <w:noProof/>
                            </w:rPr>
                            <w:drawing>
                              <wp:inline distT="0" distB="0" distL="0" distR="0">
                                <wp:extent cx="467995" cy="1583865"/>
                                <wp:effectExtent l="0" t="0" r="0" b="0"/>
                                <wp:docPr id="118279901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8279901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25A1E" w14:paraId="5FF3B33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25A1E" w14:textId="77777777">
                          <w:pPr>
                            <w:spacing w:line="240" w:lineRule="auto"/>
                          </w:pPr>
                          <w:r>
                            <w:rPr>
                              <w:noProof/>
                            </w:rPr>
                            <w:drawing>
                              <wp:inline distT="0" distB="0" distL="0" distR="0">
                                <wp:extent cx="2339975" cy="1582834"/>
                                <wp:effectExtent l="0" t="0" r="0" b="0"/>
                                <wp:docPr id="187229797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7229797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25A1E" w14:paraId="0DEA733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5A1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25A1E" w14:paraId="43FB6363" w14:textId="77777777">
                    <w:pPr>
                      <w:pStyle w:val="Referentiegegevens"/>
                    </w:pPr>
                    <w:r>
                      <w:t>&gt; Retouradres Postbus 20011 2500 EA  Den Haag</w:t>
                    </w:r>
                  </w:p>
                </w:txbxContent>
              </v:textbox>
              <w10:anchorlock/>
            </v:shape>
          </w:pict>
        </mc:Fallback>
      </mc:AlternateContent>
    </w:r>
  </w:p>
  <w:p w:rsidR="00A25A1E" w14:paraId="6FAF014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44104D9"/>
    <w:multiLevelType w:val="multilevel"/>
    <w:tmpl w:val="983A779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A1BD0B5F"/>
    <w:multiLevelType w:val="multilevel"/>
    <w:tmpl w:val="7BB0B5F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FD5EFF74"/>
    <w:multiLevelType w:val="multilevel"/>
    <w:tmpl w:val="3DB84E5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56B6A32"/>
    <w:multiLevelType w:val="hybridMultilevel"/>
    <w:tmpl w:val="EB1652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C4C630F"/>
    <w:multiLevelType w:val="multilevel"/>
    <w:tmpl w:val="0C8A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7D792D"/>
    <w:multiLevelType w:val="multilevel"/>
    <w:tmpl w:val="8282756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7A8220F1"/>
    <w:multiLevelType w:val="hybridMultilevel"/>
    <w:tmpl w:val="4E62995C"/>
    <w:lvl w:ilvl="0">
      <w:start w:val="1"/>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9722009">
    <w:abstractNumId w:val="2"/>
  </w:num>
  <w:num w:numId="2" w16cid:durableId="1920409715">
    <w:abstractNumId w:val="1"/>
  </w:num>
  <w:num w:numId="3" w16cid:durableId="1424254750">
    <w:abstractNumId w:val="0"/>
  </w:num>
  <w:num w:numId="4" w16cid:durableId="909734969">
    <w:abstractNumId w:val="5"/>
  </w:num>
  <w:num w:numId="5" w16cid:durableId="680935023">
    <w:abstractNumId w:val="6"/>
  </w:num>
  <w:num w:numId="6" w16cid:durableId="275217375">
    <w:abstractNumId w:val="3"/>
  </w:num>
  <w:num w:numId="7" w16cid:durableId="825783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A1E"/>
    <w:rsid w:val="000431FE"/>
    <w:rsid w:val="00054EC5"/>
    <w:rsid w:val="00086199"/>
    <w:rsid w:val="000B124E"/>
    <w:rsid w:val="000B4DF4"/>
    <w:rsid w:val="000F7ED1"/>
    <w:rsid w:val="00111BCB"/>
    <w:rsid w:val="00137B64"/>
    <w:rsid w:val="001666EF"/>
    <w:rsid w:val="001C7041"/>
    <w:rsid w:val="001F0814"/>
    <w:rsid w:val="001F7D2F"/>
    <w:rsid w:val="00217D93"/>
    <w:rsid w:val="00260FE6"/>
    <w:rsid w:val="00262777"/>
    <w:rsid w:val="0026457E"/>
    <w:rsid w:val="002D152E"/>
    <w:rsid w:val="002E5E13"/>
    <w:rsid w:val="00307E59"/>
    <w:rsid w:val="00333C66"/>
    <w:rsid w:val="00366D1D"/>
    <w:rsid w:val="00385556"/>
    <w:rsid w:val="003A5EE1"/>
    <w:rsid w:val="003B16E9"/>
    <w:rsid w:val="003C02BC"/>
    <w:rsid w:val="003C1A21"/>
    <w:rsid w:val="004304FC"/>
    <w:rsid w:val="00437576"/>
    <w:rsid w:val="00462359"/>
    <w:rsid w:val="0048069C"/>
    <w:rsid w:val="00494E4C"/>
    <w:rsid w:val="004B3B11"/>
    <w:rsid w:val="004E1932"/>
    <w:rsid w:val="004F3637"/>
    <w:rsid w:val="00506A0E"/>
    <w:rsid w:val="0053209E"/>
    <w:rsid w:val="0055284D"/>
    <w:rsid w:val="005A5A02"/>
    <w:rsid w:val="005A7946"/>
    <w:rsid w:val="005F6517"/>
    <w:rsid w:val="005F6F4A"/>
    <w:rsid w:val="006066F6"/>
    <w:rsid w:val="006304FD"/>
    <w:rsid w:val="00635397"/>
    <w:rsid w:val="006576AE"/>
    <w:rsid w:val="006A333C"/>
    <w:rsid w:val="006B4313"/>
    <w:rsid w:val="006D07FD"/>
    <w:rsid w:val="006D1B0D"/>
    <w:rsid w:val="006F0905"/>
    <w:rsid w:val="006F4708"/>
    <w:rsid w:val="00714A77"/>
    <w:rsid w:val="00752848"/>
    <w:rsid w:val="00797657"/>
    <w:rsid w:val="007B06E9"/>
    <w:rsid w:val="007D20A2"/>
    <w:rsid w:val="007E51D2"/>
    <w:rsid w:val="007F6829"/>
    <w:rsid w:val="00801340"/>
    <w:rsid w:val="00837242"/>
    <w:rsid w:val="00876D5A"/>
    <w:rsid w:val="00876F07"/>
    <w:rsid w:val="00877826"/>
    <w:rsid w:val="00877AC7"/>
    <w:rsid w:val="008940A3"/>
    <w:rsid w:val="008F76AC"/>
    <w:rsid w:val="00914E39"/>
    <w:rsid w:val="00932C36"/>
    <w:rsid w:val="00935D5A"/>
    <w:rsid w:val="009459C0"/>
    <w:rsid w:val="00955DBD"/>
    <w:rsid w:val="00956FC5"/>
    <w:rsid w:val="00957C30"/>
    <w:rsid w:val="0096419B"/>
    <w:rsid w:val="00964884"/>
    <w:rsid w:val="00982B75"/>
    <w:rsid w:val="0099778B"/>
    <w:rsid w:val="00A04878"/>
    <w:rsid w:val="00A13B38"/>
    <w:rsid w:val="00A167C4"/>
    <w:rsid w:val="00A25A1E"/>
    <w:rsid w:val="00A83830"/>
    <w:rsid w:val="00A86037"/>
    <w:rsid w:val="00AA76EF"/>
    <w:rsid w:val="00AB53BC"/>
    <w:rsid w:val="00AF3CA3"/>
    <w:rsid w:val="00AF5149"/>
    <w:rsid w:val="00B2291B"/>
    <w:rsid w:val="00B74102"/>
    <w:rsid w:val="00B87754"/>
    <w:rsid w:val="00B95C5C"/>
    <w:rsid w:val="00BA6946"/>
    <w:rsid w:val="00BB53D1"/>
    <w:rsid w:val="00BC0C6D"/>
    <w:rsid w:val="00BF458D"/>
    <w:rsid w:val="00C0121F"/>
    <w:rsid w:val="00C06C63"/>
    <w:rsid w:val="00C124E4"/>
    <w:rsid w:val="00C863E4"/>
    <w:rsid w:val="00CA6751"/>
    <w:rsid w:val="00CD46CF"/>
    <w:rsid w:val="00D572C3"/>
    <w:rsid w:val="00D71A00"/>
    <w:rsid w:val="00D8383F"/>
    <w:rsid w:val="00D85123"/>
    <w:rsid w:val="00D86455"/>
    <w:rsid w:val="00DE0A11"/>
    <w:rsid w:val="00DE5052"/>
    <w:rsid w:val="00DF2D8C"/>
    <w:rsid w:val="00E04F3C"/>
    <w:rsid w:val="00E16D9E"/>
    <w:rsid w:val="00E4246E"/>
    <w:rsid w:val="00E54BCF"/>
    <w:rsid w:val="00E636CD"/>
    <w:rsid w:val="00E72BF1"/>
    <w:rsid w:val="00E87B2B"/>
    <w:rsid w:val="00E975A5"/>
    <w:rsid w:val="00EA27E8"/>
    <w:rsid w:val="00EB7433"/>
    <w:rsid w:val="00F41BEB"/>
    <w:rsid w:val="00F41D48"/>
    <w:rsid w:val="00F44B30"/>
    <w:rsid w:val="00FB65C2"/>
    <w:rsid w:val="00FC3CCC"/>
    <w:rsid w:val="00FD34BD"/>
    <w:rsid w:val="00FF731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E16CF76"/>
  <w15:docId w15:val="{154E4BAB-12D1-4301-96BD-0D614A66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ind w:left="2880" w:hanging="36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VoetnoottekstChar"/>
    <w:uiPriority w:val="99"/>
    <w:semiHidden/>
    <w:unhideWhenUsed/>
    <w:rsid w:val="001666EF"/>
    <w:pPr>
      <w:spacing w:line="240" w:lineRule="auto"/>
    </w:pPr>
    <w:rPr>
      <w:sz w:val="20"/>
      <w:szCs w:val="20"/>
    </w:rPr>
  </w:style>
  <w:style w:type="character" w:customStyle="1" w:styleId="VoetnoottekstChar">
    <w:name w:val="Voetnoottekst Char"/>
    <w:basedOn w:val="DefaultParagraphFont"/>
    <w:link w:val="FootnoteText"/>
    <w:uiPriority w:val="99"/>
    <w:semiHidden/>
    <w:rsid w:val="001666EF"/>
    <w:rPr>
      <w:rFonts w:ascii="Verdana" w:hAnsi="Verdana"/>
      <w:color w:val="000000"/>
    </w:rPr>
  </w:style>
  <w:style w:type="character" w:styleId="FootnoteReference">
    <w:name w:val="footnote reference"/>
    <w:basedOn w:val="DefaultParagraphFont"/>
    <w:uiPriority w:val="99"/>
    <w:semiHidden/>
    <w:unhideWhenUsed/>
    <w:rsid w:val="001666EF"/>
    <w:rPr>
      <w:vertAlign w:val="superscript"/>
    </w:rPr>
  </w:style>
  <w:style w:type="character" w:styleId="CommentReference">
    <w:name w:val="annotation reference"/>
    <w:basedOn w:val="DefaultParagraphFont"/>
    <w:uiPriority w:val="99"/>
    <w:semiHidden/>
    <w:unhideWhenUsed/>
    <w:rsid w:val="00E72BF1"/>
    <w:rPr>
      <w:sz w:val="16"/>
      <w:szCs w:val="16"/>
    </w:rPr>
  </w:style>
  <w:style w:type="paragraph" w:styleId="CommentText">
    <w:name w:val="annotation text"/>
    <w:basedOn w:val="Normal"/>
    <w:link w:val="TekstopmerkingChar"/>
    <w:uiPriority w:val="99"/>
    <w:unhideWhenUsed/>
    <w:rsid w:val="00E72BF1"/>
    <w:pPr>
      <w:spacing w:line="240" w:lineRule="auto"/>
    </w:pPr>
    <w:rPr>
      <w:sz w:val="20"/>
      <w:szCs w:val="20"/>
    </w:rPr>
  </w:style>
  <w:style w:type="character" w:customStyle="1" w:styleId="TekstopmerkingChar">
    <w:name w:val="Tekst opmerking Char"/>
    <w:basedOn w:val="DefaultParagraphFont"/>
    <w:link w:val="CommentText"/>
    <w:uiPriority w:val="99"/>
    <w:rsid w:val="00E72BF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72BF1"/>
    <w:rPr>
      <w:b/>
      <w:bCs/>
    </w:rPr>
  </w:style>
  <w:style w:type="character" w:customStyle="1" w:styleId="OnderwerpvanopmerkingChar">
    <w:name w:val="Onderwerp van opmerking Char"/>
    <w:basedOn w:val="TekstopmerkingChar"/>
    <w:link w:val="CommentSubject"/>
    <w:uiPriority w:val="99"/>
    <w:semiHidden/>
    <w:rsid w:val="00E72BF1"/>
    <w:rPr>
      <w:rFonts w:ascii="Verdana" w:hAnsi="Verdana"/>
      <w:b/>
      <w:bCs/>
      <w:color w:val="000000"/>
    </w:rPr>
  </w:style>
  <w:style w:type="paragraph" w:styleId="ListParagraph">
    <w:name w:val="List Paragraph"/>
    <w:basedOn w:val="Normal"/>
    <w:uiPriority w:val="34"/>
    <w:semiHidden/>
    <w:rsid w:val="00307E59"/>
    <w:pPr>
      <w:ind w:left="720"/>
      <w:contextualSpacing/>
    </w:pPr>
  </w:style>
  <w:style w:type="paragraph" w:styleId="Header">
    <w:name w:val="header"/>
    <w:basedOn w:val="Normal"/>
    <w:link w:val="KoptekstChar"/>
    <w:uiPriority w:val="99"/>
    <w:unhideWhenUsed/>
    <w:rsid w:val="00D85123"/>
    <w:pPr>
      <w:tabs>
        <w:tab w:val="center" w:pos="4536"/>
        <w:tab w:val="right" w:pos="9072"/>
      </w:tabs>
      <w:spacing w:line="240" w:lineRule="auto"/>
    </w:pPr>
  </w:style>
  <w:style w:type="character" w:customStyle="1" w:styleId="KoptekstChar">
    <w:name w:val="Koptekst Char"/>
    <w:basedOn w:val="DefaultParagraphFont"/>
    <w:link w:val="Header"/>
    <w:uiPriority w:val="99"/>
    <w:rsid w:val="00D85123"/>
    <w:rPr>
      <w:rFonts w:ascii="Verdana" w:hAnsi="Verdana"/>
      <w:color w:val="000000"/>
      <w:sz w:val="18"/>
      <w:szCs w:val="18"/>
    </w:rPr>
  </w:style>
  <w:style w:type="paragraph" w:styleId="Footer">
    <w:name w:val="footer"/>
    <w:basedOn w:val="Normal"/>
    <w:link w:val="VoettekstChar"/>
    <w:uiPriority w:val="99"/>
    <w:unhideWhenUsed/>
    <w:rsid w:val="00D85123"/>
    <w:pPr>
      <w:tabs>
        <w:tab w:val="center" w:pos="4536"/>
        <w:tab w:val="right" w:pos="9072"/>
      </w:tabs>
      <w:spacing w:line="240" w:lineRule="auto"/>
    </w:pPr>
  </w:style>
  <w:style w:type="character" w:customStyle="1" w:styleId="VoettekstChar">
    <w:name w:val="Voettekst Char"/>
    <w:basedOn w:val="DefaultParagraphFont"/>
    <w:link w:val="Footer"/>
    <w:uiPriority w:val="99"/>
    <w:rsid w:val="00D85123"/>
    <w:rPr>
      <w:rFonts w:ascii="Verdana" w:hAnsi="Verdana"/>
      <w:color w:val="000000"/>
      <w:sz w:val="18"/>
      <w:szCs w:val="18"/>
    </w:rPr>
  </w:style>
  <w:style w:type="paragraph" w:styleId="Revision">
    <w:name w:val="Revision"/>
    <w:hidden/>
    <w:uiPriority w:val="99"/>
    <w:semiHidden/>
    <w:rsid w:val="00D85123"/>
    <w:pPr>
      <w:autoSpaceDN/>
      <w:textAlignment w:val="auto"/>
    </w:pPr>
    <w:rPr>
      <w:rFonts w:ascii="Verdana" w:hAnsi="Verdana"/>
      <w:color w:val="000000"/>
      <w:sz w:val="18"/>
      <w:szCs w:val="18"/>
    </w:rPr>
  </w:style>
  <w:style w:type="character" w:styleId="Strong">
    <w:name w:val="Strong"/>
    <w:basedOn w:val="DefaultParagraphFont"/>
    <w:uiPriority w:val="22"/>
    <w:qFormat/>
    <w:rsid w:val="005F6F4A"/>
    <w:rPr>
      <w:b/>
      <w:bCs/>
    </w:rPr>
  </w:style>
  <w:style w:type="character" w:styleId="UnresolvedMention">
    <w:name w:val="Unresolved Mention"/>
    <w:basedOn w:val="DefaultParagraphFont"/>
    <w:uiPriority w:val="99"/>
    <w:semiHidden/>
    <w:unhideWhenUsed/>
    <w:rsid w:val="00FF7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1715</ap:Words>
  <ap:Characters>9437</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aan Parlement - Aanpak 'comply or explain' Bonaire, Sint Eustatius en Saba</vt:lpstr>
    </vt:vector>
  </ap:TitlesOfParts>
  <ap:LinksUpToDate>false</ap:LinksUpToDate>
  <ap:CharactersWithSpaces>11130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2026-07-06T09:24:00.0000000Z</dcterms:created>
  <dcterms:modified xsi:type="dcterms:W3CDTF">2026-07-06T09:24:00.0000000Z</dcterms:modified>
  <dc:creator/>
  <lastModifiedBy/>
  <dc:description>------------------------</dc:description>
  <dc:subject/>
  <keywords/>
  <version/>
  <category/>
</coreProperties>
</file>