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B60" w:rsidP="008B5B60" w:rsidRDefault="008B5B60" w14:paraId="1CDA35CC" w14:textId="25373B38">
      <w:pPr>
        <w:pStyle w:val="Geenafstand"/>
      </w:pPr>
      <w:r>
        <w:t>AH 2481</w:t>
      </w:r>
    </w:p>
    <w:p w:rsidR="008B5B60" w:rsidP="008B5B60" w:rsidRDefault="008B5B60" w14:paraId="18A766E5" w14:textId="50285F01">
      <w:pPr>
        <w:pStyle w:val="Geenafstand"/>
      </w:pPr>
      <w:r>
        <w:t>2026Z11802</w:t>
      </w:r>
    </w:p>
    <w:p w:rsidR="008B5B60" w:rsidP="008B5B60" w:rsidRDefault="008B5B60" w14:paraId="28410416" w14:textId="77777777">
      <w:pPr>
        <w:pStyle w:val="Geenafstand"/>
      </w:pPr>
    </w:p>
    <w:p w:rsidR="008B5B60" w:rsidP="008B5B60" w:rsidRDefault="008B5B60" w14:paraId="7D60CAFA" w14:textId="6AE45A3A">
      <w:pPr>
        <w:rPr>
          <w:bCs/>
          <w:sz w:val="24"/>
          <w:szCs w:val="24"/>
        </w:rPr>
      </w:pPr>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6 juli 2026)</w:t>
      </w:r>
    </w:p>
    <w:p w:rsidR="008B5B60" w:rsidP="008B5B60" w:rsidRDefault="008B5B60" w14:paraId="51A56113" w14:textId="2F939282">
      <w:r w:rsidRPr="00D73ED1">
        <w:rPr>
          <w:color w:val="000000"/>
          <w:sz w:val="24"/>
          <w:szCs w:val="24"/>
        </w:rPr>
        <w:t>Zie ook Aanhangsel Handelingen, vergaderjaar 2025-2026, nr.</w:t>
      </w:r>
      <w:r>
        <w:rPr>
          <w:color w:val="000000"/>
          <w:sz w:val="24"/>
          <w:szCs w:val="24"/>
        </w:rPr>
        <w:t xml:space="preserve"> </w:t>
      </w:r>
      <w:r>
        <w:t>2353</w:t>
      </w:r>
    </w:p>
    <w:p w:rsidR="008B5B60" w:rsidP="008B5B60" w:rsidRDefault="008B5B60" w14:paraId="7E1C8075" w14:textId="77777777"/>
    <w:p w:rsidR="008B5B60" w:rsidP="008B5B60" w:rsidRDefault="008B5B60" w14:paraId="7A4EA634" w14:textId="77777777">
      <w:pPr>
        <w:pStyle w:val="Standaardvet"/>
      </w:pPr>
      <w:r>
        <w:t>Vraag 1</w:t>
      </w:r>
    </w:p>
    <w:p w:rsidRPr="005704B6" w:rsidR="008B5B60" w:rsidP="008B5B60" w:rsidRDefault="008B5B60" w14:paraId="364B0397" w14:textId="77777777">
      <w:pPr>
        <w:rPr>
          <w:b/>
          <w:bCs/>
        </w:rPr>
      </w:pPr>
      <w:r w:rsidRPr="00E211CD">
        <w:rPr>
          <w:b/>
          <w:bCs/>
        </w:rPr>
        <w:t xml:space="preserve">Kunt </w:t>
      </w:r>
      <w:r w:rsidRPr="005704B6">
        <w:rPr>
          <w:b/>
          <w:bCs/>
        </w:rPr>
        <w:t>u aangeven aan wie de verkeerde laptop is uitgegeven? Is dat aan de gedetineerde die zich in de Extra Beveiligde Inrichting (EBI) bevindt, of is die laptop verstrekt aan de gedetineerde buiten de EBI?</w:t>
      </w:r>
    </w:p>
    <w:p w:rsidRPr="005704B6" w:rsidR="008B5B60" w:rsidP="008B5B60" w:rsidRDefault="008B5B60" w14:paraId="76D58481" w14:textId="77777777">
      <w:pPr>
        <w:rPr>
          <w:b/>
          <w:bCs/>
        </w:rPr>
      </w:pPr>
      <w:r w:rsidRPr="005704B6">
        <w:rPr>
          <w:b/>
          <w:bCs/>
        </w:rPr>
        <w:t>Antwoord op vraag 1</w:t>
      </w:r>
    </w:p>
    <w:p w:rsidRPr="005704B6" w:rsidR="008B5B60" w:rsidP="008B5B60" w:rsidRDefault="008B5B60" w14:paraId="78494218" w14:textId="77777777">
      <w:r w:rsidRPr="005704B6">
        <w:t>Ik ga niet in op individuele casuïstiek. Voor meer informatie over het incident verwijs ik naar de Kamerbrief van 29 mei jl.</w:t>
      </w:r>
      <w:r w:rsidRPr="005704B6">
        <w:rPr>
          <w:rStyle w:val="Voetnootmarkering"/>
        </w:rPr>
        <w:footnoteReference w:id="1"/>
      </w:r>
      <w:r w:rsidRPr="005704B6">
        <w:t xml:space="preserve">. </w:t>
      </w:r>
    </w:p>
    <w:p w:rsidRPr="005704B6" w:rsidR="008B5B60" w:rsidP="008B5B60" w:rsidRDefault="008B5B60" w14:paraId="2D798F07" w14:textId="77777777"/>
    <w:p w:rsidRPr="005704B6" w:rsidR="008B5B60" w:rsidP="008B5B60" w:rsidRDefault="008B5B60" w14:paraId="2B70C035" w14:textId="77777777">
      <w:pPr>
        <w:rPr>
          <w:b/>
          <w:bCs/>
        </w:rPr>
      </w:pPr>
      <w:r w:rsidRPr="005704B6">
        <w:rPr>
          <w:b/>
          <w:bCs/>
        </w:rPr>
        <w:t>Vraag 2</w:t>
      </w:r>
    </w:p>
    <w:p w:rsidRPr="005704B6" w:rsidR="008B5B60" w:rsidP="008B5B60" w:rsidRDefault="008B5B60" w14:paraId="1F8A81BB" w14:textId="77777777">
      <w:pPr>
        <w:rPr>
          <w:b/>
          <w:bCs/>
        </w:rPr>
      </w:pPr>
      <w:r w:rsidRPr="005704B6">
        <w:rPr>
          <w:b/>
          <w:bCs/>
        </w:rPr>
        <w:t>Kunt u specificeren welke informatie beschikbaar was op de verkeerd uitgegeven laptop?</w:t>
      </w:r>
    </w:p>
    <w:p w:rsidRPr="005704B6" w:rsidR="008B5B60" w:rsidP="008B5B60" w:rsidRDefault="008B5B60" w14:paraId="1F9F998F" w14:textId="77777777">
      <w:pPr>
        <w:rPr>
          <w:b/>
          <w:bCs/>
        </w:rPr>
      </w:pPr>
    </w:p>
    <w:p w:rsidRPr="005704B6" w:rsidR="008B5B60" w:rsidP="008B5B60" w:rsidRDefault="008B5B60" w14:paraId="48D2C662" w14:textId="77777777">
      <w:pPr>
        <w:rPr>
          <w:b/>
          <w:bCs/>
        </w:rPr>
      </w:pPr>
      <w:r w:rsidRPr="005704B6">
        <w:rPr>
          <w:b/>
          <w:bCs/>
        </w:rPr>
        <w:t>Antwoord op vraag 2</w:t>
      </w:r>
    </w:p>
    <w:p w:rsidRPr="005704B6" w:rsidR="008B5B60" w:rsidP="008B5B60" w:rsidRDefault="008B5B60" w14:paraId="591189B9" w14:textId="77777777">
      <w:r w:rsidRPr="005704B6">
        <w:t xml:space="preserve">Ik ga niet in op individuele casuïstiek. In algemene zin kan ik zeggen dat de zogeheten DSJ-laptops uitsluitend toegang hebben tot het statisch strafdossier </w:t>
      </w:r>
      <w:r>
        <w:t xml:space="preserve">en </w:t>
      </w:r>
      <w:r w:rsidRPr="005704B6">
        <w:t>over geen andere faciliteit</w:t>
      </w:r>
      <w:r>
        <w:t>en</w:t>
      </w:r>
      <w:r w:rsidRPr="005704B6">
        <w:t xml:space="preserve"> beschikken. </w:t>
      </w:r>
    </w:p>
    <w:p w:rsidRPr="005704B6" w:rsidR="008B5B60" w:rsidP="008B5B60" w:rsidRDefault="008B5B60" w14:paraId="10DD5C2C" w14:textId="77777777"/>
    <w:p w:rsidRPr="005704B6" w:rsidR="008B5B60" w:rsidP="008B5B60" w:rsidRDefault="008B5B60" w14:paraId="1725AEEC" w14:textId="77777777">
      <w:pPr>
        <w:rPr>
          <w:b/>
          <w:bCs/>
        </w:rPr>
      </w:pPr>
      <w:r w:rsidRPr="005704B6">
        <w:rPr>
          <w:b/>
          <w:bCs/>
        </w:rPr>
        <w:t>Vraag 3</w:t>
      </w:r>
    </w:p>
    <w:p w:rsidRPr="005704B6" w:rsidR="008B5B60" w:rsidP="008B5B60" w:rsidRDefault="008B5B60" w14:paraId="1BB44A49" w14:textId="77777777">
      <w:pPr>
        <w:rPr>
          <w:b/>
          <w:bCs/>
        </w:rPr>
      </w:pPr>
      <w:r w:rsidRPr="005704B6">
        <w:rPr>
          <w:b/>
          <w:bCs/>
        </w:rPr>
        <w:t>Is er een link tussen de strafzaken van beide gedetineerden? Hebben beide gedetineerden dezelfde advocaat? Of is er een zakelijke relatie tussen beide advocaten?</w:t>
      </w:r>
    </w:p>
    <w:p w:rsidRPr="005704B6" w:rsidR="008B5B60" w:rsidP="008B5B60" w:rsidRDefault="008B5B60" w14:paraId="6E928EFC" w14:textId="77777777">
      <w:pPr>
        <w:rPr>
          <w:b/>
          <w:bCs/>
        </w:rPr>
      </w:pPr>
    </w:p>
    <w:p w:rsidRPr="005704B6" w:rsidR="008B5B60" w:rsidP="008B5B60" w:rsidRDefault="008B5B60" w14:paraId="078449CB" w14:textId="77777777">
      <w:pPr>
        <w:rPr>
          <w:b/>
          <w:bCs/>
        </w:rPr>
      </w:pPr>
      <w:r w:rsidRPr="005704B6">
        <w:rPr>
          <w:b/>
          <w:bCs/>
        </w:rPr>
        <w:t>Antwoord op vraag 3</w:t>
      </w:r>
    </w:p>
    <w:p w:rsidRPr="005704B6" w:rsidR="008B5B60" w:rsidP="008B5B60" w:rsidRDefault="008B5B60" w14:paraId="790FA81D" w14:textId="77777777">
      <w:r w:rsidRPr="005704B6">
        <w:t xml:space="preserve">Ik ga niet in op individuele casuïstiek. </w:t>
      </w:r>
    </w:p>
    <w:p w:rsidRPr="005704B6" w:rsidR="008B5B60" w:rsidP="008B5B60" w:rsidRDefault="008B5B60" w14:paraId="68B169A7" w14:textId="77777777"/>
    <w:p w:rsidRPr="005704B6" w:rsidR="008B5B60" w:rsidP="008B5B60" w:rsidRDefault="008B5B60" w14:paraId="792F1517" w14:textId="77777777">
      <w:pPr>
        <w:rPr>
          <w:b/>
          <w:bCs/>
        </w:rPr>
      </w:pPr>
      <w:r w:rsidRPr="005704B6">
        <w:rPr>
          <w:b/>
          <w:bCs/>
        </w:rPr>
        <w:t>Vraag 4</w:t>
      </w:r>
    </w:p>
    <w:p w:rsidRPr="005704B6" w:rsidR="008B5B60" w:rsidP="008B5B60" w:rsidRDefault="008B5B60" w14:paraId="1E490300" w14:textId="77777777">
      <w:pPr>
        <w:rPr>
          <w:b/>
          <w:bCs/>
        </w:rPr>
      </w:pPr>
      <w:r w:rsidRPr="005704B6">
        <w:rPr>
          <w:b/>
          <w:bCs/>
        </w:rPr>
        <w:t>Kunt u uitleg geven over de reguliere procedure waarbij de laptop automatisch wordt opgeschoond? Komt hier menselijk handelen aan te pas? Zo ja, wordt hier gecontroleerd welke medewerker hiervoor verantwoordelijk is?</w:t>
      </w:r>
    </w:p>
    <w:p w:rsidRPr="005704B6" w:rsidR="008B5B60" w:rsidP="008B5B60" w:rsidRDefault="008B5B60" w14:paraId="7204E359" w14:textId="77777777">
      <w:pPr>
        <w:rPr>
          <w:b/>
          <w:bCs/>
        </w:rPr>
      </w:pPr>
    </w:p>
    <w:p w:rsidRPr="005704B6" w:rsidR="008B5B60" w:rsidP="008B5B60" w:rsidRDefault="008B5B60" w14:paraId="4092D10E" w14:textId="77777777">
      <w:pPr>
        <w:rPr>
          <w:b/>
          <w:bCs/>
        </w:rPr>
      </w:pPr>
      <w:r w:rsidRPr="005704B6">
        <w:rPr>
          <w:b/>
          <w:bCs/>
        </w:rPr>
        <w:t>Antwoord op vraag 4</w:t>
      </w:r>
    </w:p>
    <w:p w:rsidRPr="005704B6" w:rsidR="008B5B60" w:rsidP="008B5B60" w:rsidRDefault="008B5B60" w14:paraId="5B6AEC83" w14:textId="77777777">
      <w:r w:rsidRPr="005704B6">
        <w:t>De reguliere procedure is dat nadat een gedetineerde een dergelijke laptop heeft gebruikt, de laptop wordt uitgeschakeld. Door middel van het uitschakelen van de laptop wordt alle historie automatisch verwijderd en daarmee ‘geschoond’. Pas daarna mag de laptop worden uitgegeven aan een andere gedetineerde. De procedure bevat controlestappen die door menselijk handelen moeten worden uitgevoerd. Dergelijke uitvoeringstaken zijn door de vestigingsdirecteur aan personeel toegewezen.</w:t>
      </w:r>
    </w:p>
    <w:p w:rsidRPr="005704B6" w:rsidR="008B5B60" w:rsidP="008B5B60" w:rsidRDefault="008B5B60" w14:paraId="3000430B" w14:textId="77777777"/>
    <w:p w:rsidR="008B5B60" w:rsidP="008B5B60" w:rsidRDefault="008B5B60" w14:paraId="1518D497" w14:textId="77777777">
      <w:pPr>
        <w:rPr>
          <w:b/>
          <w:bCs/>
        </w:rPr>
      </w:pPr>
    </w:p>
    <w:p w:rsidR="008B5B60" w:rsidP="008B5B60" w:rsidRDefault="008B5B60" w14:paraId="74A0654A" w14:textId="77777777">
      <w:pPr>
        <w:rPr>
          <w:b/>
          <w:bCs/>
        </w:rPr>
      </w:pPr>
    </w:p>
    <w:p w:rsidRPr="005704B6" w:rsidR="008B5B60" w:rsidP="008B5B60" w:rsidRDefault="008B5B60" w14:paraId="485AD02D" w14:textId="77777777">
      <w:pPr>
        <w:rPr>
          <w:b/>
          <w:bCs/>
        </w:rPr>
      </w:pPr>
      <w:r w:rsidRPr="005704B6">
        <w:rPr>
          <w:b/>
          <w:bCs/>
        </w:rPr>
        <w:t>Vraag 5</w:t>
      </w:r>
    </w:p>
    <w:p w:rsidRPr="005704B6" w:rsidR="008B5B60" w:rsidP="008B5B60" w:rsidRDefault="008B5B60" w14:paraId="5EF137C5" w14:textId="77777777">
      <w:pPr>
        <w:rPr>
          <w:b/>
          <w:bCs/>
        </w:rPr>
      </w:pPr>
      <w:r w:rsidRPr="005704B6">
        <w:rPr>
          <w:b/>
          <w:bCs/>
        </w:rPr>
        <w:t>Hoe is het mogelijk dat deze laptop verkeerd is uitgegeven?</w:t>
      </w:r>
    </w:p>
    <w:p w:rsidRPr="005704B6" w:rsidR="008B5B60" w:rsidP="008B5B60" w:rsidRDefault="008B5B60" w14:paraId="66F57035" w14:textId="77777777">
      <w:pPr>
        <w:rPr>
          <w:b/>
          <w:bCs/>
        </w:rPr>
      </w:pPr>
    </w:p>
    <w:p w:rsidRPr="005704B6" w:rsidR="008B5B60" w:rsidP="008B5B60" w:rsidRDefault="008B5B60" w14:paraId="70DE93D1" w14:textId="77777777">
      <w:pPr>
        <w:rPr>
          <w:b/>
          <w:bCs/>
        </w:rPr>
      </w:pPr>
      <w:r w:rsidRPr="005704B6">
        <w:rPr>
          <w:b/>
          <w:bCs/>
        </w:rPr>
        <w:t>Vraag 6</w:t>
      </w:r>
    </w:p>
    <w:p w:rsidRPr="005704B6" w:rsidR="008B5B60" w:rsidP="008B5B60" w:rsidRDefault="008B5B60" w14:paraId="25D9AEB7" w14:textId="77777777">
      <w:pPr>
        <w:rPr>
          <w:b/>
          <w:bCs/>
        </w:rPr>
      </w:pPr>
      <w:r w:rsidRPr="005704B6">
        <w:rPr>
          <w:b/>
          <w:bCs/>
        </w:rPr>
        <w:t>Bent u voornemens de reguliere procedure aan te scherpen? Zo ja, op welke wijze? Zo nee, waarom niet?</w:t>
      </w:r>
    </w:p>
    <w:p w:rsidRPr="005704B6" w:rsidR="008B5B60" w:rsidP="008B5B60" w:rsidRDefault="008B5B60" w14:paraId="2B106AA3" w14:textId="77777777">
      <w:pPr>
        <w:rPr>
          <w:b/>
          <w:bCs/>
        </w:rPr>
      </w:pPr>
    </w:p>
    <w:p w:rsidRPr="005704B6" w:rsidR="008B5B60" w:rsidP="008B5B60" w:rsidRDefault="008B5B60" w14:paraId="2FD7C5FC" w14:textId="77777777">
      <w:pPr>
        <w:rPr>
          <w:b/>
          <w:bCs/>
        </w:rPr>
      </w:pPr>
      <w:r w:rsidRPr="005704B6">
        <w:rPr>
          <w:b/>
          <w:bCs/>
        </w:rPr>
        <w:t>Antwoord op vraag 5 en 6</w:t>
      </w:r>
    </w:p>
    <w:p w:rsidRPr="005704B6" w:rsidR="008B5B60" w:rsidP="008B5B60" w:rsidRDefault="008B5B60" w14:paraId="03D31510" w14:textId="77777777">
      <w:r w:rsidRPr="005704B6">
        <w:t xml:space="preserve">De reguliere procedure schrijft voor dat een DSJ-laptop na gebruik wordt uitgeschakeld, waardoor de historie automatisch wordt verwijderd. </w:t>
      </w:r>
    </w:p>
    <w:p w:rsidRPr="005704B6" w:rsidR="008B5B60" w:rsidP="008B5B60" w:rsidRDefault="008B5B60" w14:paraId="53DBC959" w14:textId="77777777"/>
    <w:p w:rsidRPr="005704B6" w:rsidR="008B5B60" w:rsidP="008B5B60" w:rsidRDefault="008B5B60" w14:paraId="31C84090" w14:textId="77777777">
      <w:r w:rsidRPr="005704B6">
        <w:t xml:space="preserve">Uit onderzoek naar het incident blijkt dat de procedure niet juist is gevolgd. </w:t>
      </w:r>
      <w:bookmarkStart w:name="_Hlk232668091" w:id="0"/>
      <w:bookmarkStart w:name="_Hlk232668720" w:id="1"/>
      <w:r w:rsidRPr="005704B6">
        <w:t>DJI treft maatregelen om dit in de toekomst te voorkomen</w:t>
      </w:r>
      <w:bookmarkEnd w:id="0"/>
      <w:r w:rsidRPr="005704B6">
        <w:t xml:space="preserve"> door extra controle in de procedure aan te brengen.</w:t>
      </w:r>
      <w:r w:rsidRPr="005704B6">
        <w:rPr>
          <w:rFonts w:ascii="Segoe UI" w:hAnsi="Segoe UI" w:eastAsia="Times New Roman" w:cs="Segoe UI"/>
        </w:rPr>
        <w:t xml:space="preserve"> </w:t>
      </w:r>
      <w:bookmarkStart w:name="_Hlk232692900" w:id="2"/>
      <w:r w:rsidRPr="005704B6">
        <w:t>Ook voert DJI daarnaast nog enkele technische verbeteringen door. Vanuit een veiligheidsoogpunt kan ik deze niet gedetailleerd delen.</w:t>
      </w:r>
    </w:p>
    <w:bookmarkEnd w:id="1"/>
    <w:bookmarkEnd w:id="2"/>
    <w:p w:rsidRPr="005704B6" w:rsidR="008B5B60" w:rsidP="008B5B60" w:rsidRDefault="008B5B60" w14:paraId="6A6196FF" w14:textId="77777777">
      <w:pPr>
        <w:rPr>
          <w:b/>
          <w:bCs/>
        </w:rPr>
      </w:pPr>
    </w:p>
    <w:p w:rsidRPr="005704B6" w:rsidR="008B5B60" w:rsidP="008B5B60" w:rsidRDefault="008B5B60" w14:paraId="3CEAA7CD" w14:textId="77777777">
      <w:pPr>
        <w:rPr>
          <w:b/>
          <w:bCs/>
        </w:rPr>
      </w:pPr>
      <w:r w:rsidRPr="005704B6">
        <w:rPr>
          <w:b/>
          <w:bCs/>
        </w:rPr>
        <w:t>Vraag 7</w:t>
      </w:r>
    </w:p>
    <w:p w:rsidRPr="005704B6" w:rsidR="008B5B60" w:rsidP="008B5B60" w:rsidRDefault="008B5B60" w14:paraId="11344448" w14:textId="77777777">
      <w:pPr>
        <w:rPr>
          <w:b/>
          <w:bCs/>
        </w:rPr>
      </w:pPr>
      <w:r w:rsidRPr="005704B6">
        <w:rPr>
          <w:b/>
          <w:bCs/>
        </w:rPr>
        <w:t>Deelt u de mening dat elk incident er één te veel is en onderzocht moet worden of het fysiek inzien van strafdossiers de norm moet zijn, nu ook al in januari jongstleden een kwetsbaarheid in deze laptops werd aangetroffen? Zo nee, dan in ieder geval wel voor gedetineerden in de EBI, daar zij een extra risico vormen?</w:t>
      </w:r>
    </w:p>
    <w:p w:rsidRPr="005704B6" w:rsidR="008B5B60" w:rsidP="008B5B60" w:rsidRDefault="008B5B60" w14:paraId="1D2C4BB6" w14:textId="77777777">
      <w:pPr>
        <w:rPr>
          <w:b/>
          <w:bCs/>
        </w:rPr>
      </w:pPr>
    </w:p>
    <w:p w:rsidRPr="005704B6" w:rsidR="008B5B60" w:rsidP="008B5B60" w:rsidRDefault="008B5B60" w14:paraId="47613885" w14:textId="77777777">
      <w:pPr>
        <w:rPr>
          <w:b/>
          <w:bCs/>
        </w:rPr>
      </w:pPr>
      <w:r w:rsidRPr="005704B6">
        <w:rPr>
          <w:b/>
          <w:bCs/>
        </w:rPr>
        <w:t>Antwoord op vraag 7</w:t>
      </w:r>
    </w:p>
    <w:p w:rsidRPr="005704B6" w:rsidR="008B5B60" w:rsidP="008B5B60" w:rsidRDefault="008B5B60" w14:paraId="77C21104" w14:textId="77777777">
      <w:r w:rsidRPr="005704B6">
        <w:lastRenderedPageBreak/>
        <w:t>Op basis van een uitspraak van RSJ</w:t>
      </w:r>
      <w:r w:rsidRPr="005704B6">
        <w:rPr>
          <w:rStyle w:val="Voetnootmarkering"/>
        </w:rPr>
        <w:footnoteReference w:id="2"/>
      </w:r>
      <w:r w:rsidRPr="005704B6">
        <w:t xml:space="preserve"> moeten OM en DJI bij omvangrijke dossier</w:t>
      </w:r>
      <w:r>
        <w:t>s</w:t>
      </w:r>
      <w:r w:rsidRPr="005704B6">
        <w:t xml:space="preserve"> digitale inzage faciliteren. Bovendien is het uitsluitend op papier verstrekken van het strafdossier bij omvangrijke dossiers niet uitvoerbaar vanwege de beheersingsproblematiek die daarbij komt kijken. Niet enkel op het gebied van logistiek (het veilig transporteren van dossier van OM naar gedetineerde, bij overplaatsingen en bij beëindiging van inzage) maar ook op het gebied van informatieveiligheid en fysieke veiligheid (denk aan brandlast op cel). </w:t>
      </w:r>
    </w:p>
    <w:p w:rsidRPr="005704B6" w:rsidR="008B5B60" w:rsidP="008B5B60" w:rsidRDefault="008B5B60" w14:paraId="6B13CA53" w14:textId="77777777"/>
    <w:p w:rsidRPr="001A396B" w:rsidR="008B5B60" w:rsidP="008B5B60" w:rsidRDefault="008B5B60" w14:paraId="7145C65D" w14:textId="77777777">
      <w:r w:rsidRPr="005704B6">
        <w:t>Voor wat betreft de geconstateerde kwetsbaarheid in deze laptops in januari</w:t>
      </w:r>
      <w:r>
        <w:t xml:space="preserve"> jl. kan ik stellen dat d</w:t>
      </w:r>
      <w:r w:rsidRPr="0057230B">
        <w:t xml:space="preserve">oor een fout in de instelling van de software er een kans </w:t>
      </w:r>
      <w:r>
        <w:t xml:space="preserve">bestond </w:t>
      </w:r>
      <w:r w:rsidRPr="0057230B">
        <w:t xml:space="preserve">dat de toegang tot het internet niet volledig was afgesloten. Om deze kwetsbaarheid te herstellen zijn alle laptops die in bruikleen waren gesteld direct ingenomen. </w:t>
      </w:r>
      <w:r>
        <w:t>Uit onderzoek is gebleken dat e</w:t>
      </w:r>
      <w:r w:rsidRPr="0057230B">
        <w:t>r geen aanwijzingen</w:t>
      </w:r>
      <w:r>
        <w:t xml:space="preserve"> zijn</w:t>
      </w:r>
      <w:r w:rsidRPr="0057230B">
        <w:t xml:space="preserve"> gevonden dat gedetineerden van deze kwetsbaarheid gebruik hebben gemaakt</w:t>
      </w:r>
      <w:r>
        <w:t>.</w:t>
      </w:r>
    </w:p>
    <w:p w:rsidRPr="00851314" w:rsidR="008B5B60" w:rsidP="008B5B60" w:rsidRDefault="008B5B60" w14:paraId="1CD7D380" w14:textId="77777777">
      <w:pPr>
        <w:rPr>
          <w:i/>
          <w:iCs/>
        </w:rPr>
      </w:pPr>
      <w:r w:rsidRPr="001A396B">
        <w:t>Om dit in de toekomst te voorkomen zijn de er aanvullende veiligheidsmaatregelen getroffen op het gebied van het testen en controleren van de apparatuur.</w:t>
      </w:r>
      <w:r>
        <w:rPr>
          <w:rStyle w:val="Voetnootmarkering"/>
        </w:rPr>
        <w:footnoteReference w:id="3"/>
      </w:r>
    </w:p>
    <w:p w:rsidR="008B5B60" w:rsidP="008B5B60" w:rsidRDefault="008B5B60" w14:paraId="1ED996C4" w14:textId="77777777"/>
    <w:p w:rsidR="008B5B60" w:rsidP="008B5B60" w:rsidRDefault="008B5B60" w14:paraId="1C7998B3" w14:textId="77777777">
      <w:pPr>
        <w:rPr>
          <w:b/>
          <w:bCs/>
        </w:rPr>
      </w:pPr>
    </w:p>
    <w:p w:rsidRPr="00775A71" w:rsidR="008B5B60" w:rsidP="008B5B60" w:rsidRDefault="008B5B60" w14:paraId="7FE3C70B" w14:textId="77777777">
      <w:pPr>
        <w:rPr>
          <w:b/>
          <w:bCs/>
        </w:rPr>
      </w:pPr>
    </w:p>
    <w:p w:rsidR="002C3023" w:rsidRDefault="002C3023" w14:paraId="6057DDCA"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B4D4" w14:textId="77777777" w:rsidR="00EF1BB4" w:rsidRDefault="00EF1BB4" w:rsidP="008B5B60">
      <w:pPr>
        <w:spacing w:after="0" w:line="240" w:lineRule="auto"/>
      </w:pPr>
      <w:r>
        <w:separator/>
      </w:r>
    </w:p>
  </w:endnote>
  <w:endnote w:type="continuationSeparator" w:id="0">
    <w:p w14:paraId="2B7289B8" w14:textId="77777777" w:rsidR="00EF1BB4" w:rsidRDefault="00EF1BB4" w:rsidP="008B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2FA0" w14:textId="77777777" w:rsidR="008B5B60" w:rsidRPr="008B5B60" w:rsidRDefault="008B5B60" w:rsidP="008B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E511" w14:textId="77777777" w:rsidR="008B5B60" w:rsidRPr="008B5B60" w:rsidRDefault="008B5B60" w:rsidP="008B5B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24A7" w14:textId="77777777" w:rsidR="008B5B60" w:rsidRPr="008B5B60" w:rsidRDefault="008B5B60" w:rsidP="008B5B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759B" w14:textId="77777777" w:rsidR="00EF1BB4" w:rsidRDefault="00EF1BB4" w:rsidP="008B5B60">
      <w:pPr>
        <w:spacing w:after="0" w:line="240" w:lineRule="auto"/>
      </w:pPr>
      <w:r>
        <w:separator/>
      </w:r>
    </w:p>
  </w:footnote>
  <w:footnote w:type="continuationSeparator" w:id="0">
    <w:p w14:paraId="1953620A" w14:textId="77777777" w:rsidR="00EF1BB4" w:rsidRDefault="00EF1BB4" w:rsidP="008B5B60">
      <w:pPr>
        <w:spacing w:after="0" w:line="240" w:lineRule="auto"/>
      </w:pPr>
      <w:r>
        <w:continuationSeparator/>
      </w:r>
    </w:p>
  </w:footnote>
  <w:footnote w:id="1">
    <w:p w14:paraId="6A706898" w14:textId="77777777" w:rsidR="008B5B60" w:rsidRDefault="008B5B60" w:rsidP="008B5B60">
      <w:pPr>
        <w:pStyle w:val="Voetnoottekst"/>
      </w:pPr>
      <w:r>
        <w:rPr>
          <w:rStyle w:val="Voetnootmarkering"/>
        </w:rPr>
        <w:footnoteRef/>
      </w:r>
      <w:r>
        <w:t xml:space="preserve"> Kamerstukken II 2025-26 </w:t>
      </w:r>
      <w:r w:rsidRPr="00E1383A">
        <w:rPr>
          <w:rFonts w:ascii="Calibri" w:hAnsi="Calibri" w:cs="Calibri"/>
        </w:rPr>
        <w:t>24587</w:t>
      </w:r>
      <w:r>
        <w:rPr>
          <w:rFonts w:ascii="Calibri" w:hAnsi="Calibri" w:cs="Calibri"/>
        </w:rPr>
        <w:t>, n</w:t>
      </w:r>
      <w:r w:rsidRPr="00E1383A">
        <w:rPr>
          <w:rFonts w:ascii="Calibri" w:hAnsi="Calibri" w:cs="Calibri"/>
        </w:rPr>
        <w:t>r. 1132</w:t>
      </w:r>
      <w:r>
        <w:rPr>
          <w:rFonts w:ascii="Calibri" w:hAnsi="Calibri" w:cs="Calibri"/>
        </w:rPr>
        <w:t>.</w:t>
      </w:r>
    </w:p>
  </w:footnote>
  <w:footnote w:id="2">
    <w:p w14:paraId="756977AA" w14:textId="77777777" w:rsidR="008B5B60" w:rsidRDefault="008B5B60" w:rsidP="008B5B60">
      <w:pPr>
        <w:pStyle w:val="Voetnoottekst"/>
      </w:pPr>
      <w:r>
        <w:rPr>
          <w:rStyle w:val="Voetnootmarkering"/>
        </w:rPr>
        <w:footnoteRef/>
      </w:r>
      <w:r>
        <w:t xml:space="preserve"> </w:t>
      </w:r>
      <w:r w:rsidRPr="000D370A">
        <w:t>RSJ 08/2031/GA, 29 januari 2009.</w:t>
      </w:r>
    </w:p>
  </w:footnote>
  <w:footnote w:id="3">
    <w:p w14:paraId="6A20BCE6" w14:textId="77777777" w:rsidR="008B5B60" w:rsidRDefault="008B5B60" w:rsidP="008B5B60">
      <w:pPr>
        <w:pStyle w:val="Voetnoottekst"/>
      </w:pPr>
      <w:r>
        <w:rPr>
          <w:rStyle w:val="Voetnootmarkering"/>
        </w:rPr>
        <w:footnoteRef/>
      </w:r>
      <w:r>
        <w:t xml:space="preserve"> Kamerstukken II 2025-26, kenmerk </w:t>
      </w:r>
      <w:r w:rsidRPr="00464B6C">
        <w:t>2026D33327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DCA2" w14:textId="77777777" w:rsidR="008B5B60" w:rsidRPr="008B5B60" w:rsidRDefault="008B5B60" w:rsidP="008B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EBF5" w14:textId="77777777" w:rsidR="008B5B60" w:rsidRPr="008B5B60" w:rsidRDefault="008B5B60" w:rsidP="008B5B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B827" w14:textId="77777777" w:rsidR="008B5B60" w:rsidRPr="008B5B60" w:rsidRDefault="008B5B60" w:rsidP="008B5B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60"/>
    <w:rsid w:val="002C3023"/>
    <w:rsid w:val="00356CA9"/>
    <w:rsid w:val="008B5B60"/>
    <w:rsid w:val="00DF7A30"/>
    <w:rsid w:val="00EF1B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B05A"/>
  <w15:chartTrackingRefBased/>
  <w15:docId w15:val="{01EB6E48-2509-4D82-BFC7-13CB59FE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5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5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5B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5B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5B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5B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5B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5B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5B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5B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5B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5B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5B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5B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5B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5B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5B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5B60"/>
    <w:rPr>
      <w:rFonts w:eastAsiaTheme="majorEastAsia" w:cstheme="majorBidi"/>
      <w:color w:val="272727" w:themeColor="text1" w:themeTint="D8"/>
    </w:rPr>
  </w:style>
  <w:style w:type="paragraph" w:styleId="Titel">
    <w:name w:val="Title"/>
    <w:basedOn w:val="Standaard"/>
    <w:next w:val="Standaard"/>
    <w:link w:val="TitelChar"/>
    <w:uiPriority w:val="10"/>
    <w:qFormat/>
    <w:rsid w:val="008B5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5B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5B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5B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5B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5B60"/>
    <w:rPr>
      <w:i/>
      <w:iCs/>
      <w:color w:val="404040" w:themeColor="text1" w:themeTint="BF"/>
    </w:rPr>
  </w:style>
  <w:style w:type="paragraph" w:styleId="Lijstalinea">
    <w:name w:val="List Paragraph"/>
    <w:basedOn w:val="Standaard"/>
    <w:uiPriority w:val="34"/>
    <w:qFormat/>
    <w:rsid w:val="008B5B60"/>
    <w:pPr>
      <w:ind w:left="720"/>
      <w:contextualSpacing/>
    </w:pPr>
  </w:style>
  <w:style w:type="character" w:styleId="Intensievebenadrukking">
    <w:name w:val="Intense Emphasis"/>
    <w:basedOn w:val="Standaardalinea-lettertype"/>
    <w:uiPriority w:val="21"/>
    <w:qFormat/>
    <w:rsid w:val="008B5B60"/>
    <w:rPr>
      <w:i/>
      <w:iCs/>
      <w:color w:val="0F4761" w:themeColor="accent1" w:themeShade="BF"/>
    </w:rPr>
  </w:style>
  <w:style w:type="paragraph" w:styleId="Duidelijkcitaat">
    <w:name w:val="Intense Quote"/>
    <w:basedOn w:val="Standaard"/>
    <w:next w:val="Standaard"/>
    <w:link w:val="DuidelijkcitaatChar"/>
    <w:uiPriority w:val="30"/>
    <w:qFormat/>
    <w:rsid w:val="008B5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5B60"/>
    <w:rPr>
      <w:i/>
      <w:iCs/>
      <w:color w:val="0F4761" w:themeColor="accent1" w:themeShade="BF"/>
    </w:rPr>
  </w:style>
  <w:style w:type="character" w:styleId="Intensieveverwijzing">
    <w:name w:val="Intense Reference"/>
    <w:basedOn w:val="Standaardalinea-lettertype"/>
    <w:uiPriority w:val="32"/>
    <w:qFormat/>
    <w:rsid w:val="008B5B60"/>
    <w:rPr>
      <w:b/>
      <w:bCs/>
      <w:smallCaps/>
      <w:color w:val="0F4761" w:themeColor="accent1" w:themeShade="BF"/>
      <w:spacing w:val="5"/>
    </w:rPr>
  </w:style>
  <w:style w:type="paragraph" w:customStyle="1" w:styleId="Standaardvet">
    <w:name w:val="Standaard vet"/>
    <w:basedOn w:val="Standaard"/>
    <w:next w:val="Standaard"/>
    <w:qFormat/>
    <w:rsid w:val="008B5B60"/>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Voetnoottekst">
    <w:name w:val="footnote text"/>
    <w:link w:val="VoetnoottekstChar"/>
    <w:rsid w:val="008B5B60"/>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8B5B60"/>
    <w:rPr>
      <w:rFonts w:ascii="Verdana" w:eastAsia="DejaVu Sans" w:hAnsi="Verdana" w:cs="Lohit Hindi"/>
      <w:kern w:val="0"/>
      <w:sz w:val="13"/>
      <w:szCs w:val="13"/>
      <w:lang w:eastAsia="nl-NL"/>
      <w14:ligatures w14:val="none"/>
    </w:rPr>
  </w:style>
  <w:style w:type="character" w:styleId="Voetnootmarkering">
    <w:name w:val="footnote reference"/>
    <w:basedOn w:val="Standaardalinea-lettertype"/>
    <w:uiPriority w:val="99"/>
    <w:semiHidden/>
    <w:unhideWhenUsed/>
    <w:rsid w:val="008B5B60"/>
    <w:rPr>
      <w:vertAlign w:val="superscript"/>
    </w:rPr>
  </w:style>
  <w:style w:type="paragraph" w:styleId="Koptekst">
    <w:name w:val="header"/>
    <w:basedOn w:val="Standaard"/>
    <w:link w:val="KoptekstChar"/>
    <w:uiPriority w:val="99"/>
    <w:unhideWhenUsed/>
    <w:rsid w:val="008B5B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5B60"/>
  </w:style>
  <w:style w:type="paragraph" w:styleId="Voettekst">
    <w:name w:val="footer"/>
    <w:basedOn w:val="Standaard"/>
    <w:link w:val="VoettekstChar"/>
    <w:uiPriority w:val="99"/>
    <w:unhideWhenUsed/>
    <w:rsid w:val="008B5B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5B60"/>
  </w:style>
  <w:style w:type="paragraph" w:styleId="Geenafstand">
    <w:name w:val="No Spacing"/>
    <w:uiPriority w:val="1"/>
    <w:qFormat/>
    <w:rsid w:val="008B5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615</ap:Words>
  <ap:Characters>3385</ap:Characters>
  <ap:DocSecurity>0</ap:DocSecurity>
  <ap:Lines>28</ap:Lines>
  <ap:Paragraphs>7</ap:Paragraphs>
  <ap:ScaleCrop>false</ap:ScaleCrop>
  <ap:LinksUpToDate>false</ap:LinksUpToDate>
  <ap:CharactersWithSpaces>3993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2026-07-06T08:34:00.0000000Z</dcterms:created>
  <dcterms:modified xsi:type="dcterms:W3CDTF">2026-07-06T08:36:00.0000000Z</dcterms:modified>
  <version/>
  <category/>
</coreProperties>
</file>